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5089" w:rsidRDefault="006B5089">
      <w:pPr>
        <w:pStyle w:val="Heading1"/>
        <w:spacing w:line="360" w:lineRule="auto"/>
        <w:rPr>
          <w:sz w:val="28"/>
          <w:szCs w:val="28"/>
        </w:rPr>
      </w:pPr>
      <w:r>
        <w:rPr>
          <w:sz w:val="28"/>
          <w:szCs w:val="28"/>
        </w:rPr>
        <w:t>Chapter 12</w:t>
      </w:r>
    </w:p>
    <w:p w:rsidR="006B5089" w:rsidRDefault="006B5089">
      <w:pPr>
        <w:spacing w:line="360" w:lineRule="auto"/>
        <w:rPr>
          <w:rFonts w:cstheme="minorBidi"/>
          <w:b/>
          <w:bCs/>
          <w:sz w:val="28"/>
          <w:szCs w:val="28"/>
          <w:lang w:eastAsia="zh-CN"/>
        </w:rPr>
      </w:pPr>
    </w:p>
    <w:p w:rsidR="006B5089" w:rsidRDefault="006B5089">
      <w:pPr>
        <w:spacing w:line="360" w:lineRule="auto"/>
        <w:rPr>
          <w:b/>
          <w:bCs/>
          <w:sz w:val="28"/>
          <w:szCs w:val="28"/>
          <w:lang w:eastAsia="zh-CN"/>
        </w:rPr>
      </w:pPr>
      <w:r>
        <w:rPr>
          <w:b/>
          <w:bCs/>
          <w:sz w:val="28"/>
          <w:szCs w:val="28"/>
          <w:lang w:eastAsia="zh-CN"/>
        </w:rPr>
        <w:t>Grandparenting in the twenty-first century: New directions</w:t>
      </w:r>
    </w:p>
    <w:p w:rsidR="006B5089" w:rsidRDefault="006B5089">
      <w:pPr>
        <w:pStyle w:val="Heading1"/>
        <w:spacing w:line="360" w:lineRule="auto"/>
        <w:rPr>
          <w:rFonts w:cstheme="minorBidi"/>
        </w:rPr>
      </w:pPr>
    </w:p>
    <w:p w:rsidR="006B5089" w:rsidRDefault="006B5089">
      <w:pPr>
        <w:pStyle w:val="Heading1"/>
        <w:spacing w:line="360" w:lineRule="auto"/>
      </w:pPr>
      <w:r>
        <w:t>Sara Arber and Virpi Timonen</w:t>
      </w:r>
    </w:p>
    <w:p w:rsidR="006B5089" w:rsidRDefault="006B5089">
      <w:pPr>
        <w:spacing w:line="360" w:lineRule="auto"/>
        <w:rPr>
          <w:rFonts w:cstheme="minorBidi"/>
          <w:lang w:eastAsia="zh-CN"/>
        </w:rPr>
      </w:pPr>
    </w:p>
    <w:p w:rsidR="006B5089" w:rsidRDefault="006B5089">
      <w:pPr>
        <w:spacing w:line="360" w:lineRule="auto"/>
        <w:rPr>
          <w:rFonts w:cstheme="minorBidi"/>
          <w:lang w:eastAsia="zh-CN"/>
        </w:rPr>
      </w:pPr>
    </w:p>
    <w:p w:rsidR="006B5089" w:rsidRDefault="006B5089">
      <w:pPr>
        <w:spacing w:line="360" w:lineRule="auto"/>
        <w:rPr>
          <w:lang w:eastAsia="zh-CN"/>
        </w:rPr>
      </w:pPr>
      <w:r>
        <w:rPr>
          <w:lang w:eastAsia="zh-CN"/>
        </w:rPr>
        <w:t xml:space="preserve">Contemporary grandparenting is at the fulcrum of family relationships, but the nature and practices of grandparenting are very different in the twenty-first century than 50 years ago, and are very different today in the UK than in China or Africa. To fully understand grandparenting it is critical to adopt a cross-national and temporal perspective, and be attuned to the impact of globalisation. Our global focus emphasises that cultural norms in different societies and broader societal changes have a profound impact on grandparenting. Thus, the practices of grandparenting and subjective meaning of being a grandparent vary markedly between societies and within the same societal context over time.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This book considers ‘grandparenting’ as an active and dynamic family practice, focusing on </w:t>
      </w:r>
      <w:r>
        <w:rPr>
          <w:i/>
          <w:iCs/>
          <w:lang w:eastAsia="zh-CN"/>
        </w:rPr>
        <w:t>doing</w:t>
      </w:r>
      <w:r>
        <w:rPr>
          <w:lang w:eastAsia="zh-CN"/>
        </w:rPr>
        <w:t xml:space="preserve"> grandparenting.  Recent literature on family practices (Morgan, 2011) points to the importance of studying everyday family behaviours. Chambers et al (2009: 6) emphasise ‘that family relationships are constructed through interactive processes of negotiation and thus involve more than a simple following of culturally accepted rules’. Thus, grandparents and other family members exercise agency in constructing their relationships with one another. Although extensive research on ‘doing family’ has examined family practices among couples and their children (Ribbens, 1994), fewer studies consider family practices among extended (and non co-resident) family members. An exception is Chambers et al (2009) who examine older parent-adult child relationships focusing on negotiated exchanges and interdependencies.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Our relational perspective emphasises grandparenting as one part of a dynamic and changing network of family relationships, in contrast to studying grandparents using a traditional role framework. Such a role framework provides a more static image of grandparent roles, one that is often seen as substantially proscribed by cultural norms of appropriate behaviour (see Chapter 1).   </w:t>
      </w:r>
    </w:p>
    <w:p w:rsidR="006B5089" w:rsidRDefault="006B5089">
      <w:pPr>
        <w:spacing w:line="360" w:lineRule="auto"/>
        <w:rPr>
          <w:lang w:eastAsia="zh-CN"/>
        </w:rPr>
      </w:pPr>
      <w:r>
        <w:rPr>
          <w:lang w:eastAsia="zh-CN"/>
        </w:rPr>
        <w:lastRenderedPageBreak/>
        <w:tab/>
      </w:r>
    </w:p>
    <w:p w:rsidR="006B5089" w:rsidRDefault="006B5089">
      <w:pPr>
        <w:spacing w:line="360" w:lineRule="auto"/>
        <w:rPr>
          <w:rFonts w:cstheme="minorBidi"/>
          <w:lang w:eastAsia="zh-CN"/>
        </w:rPr>
      </w:pPr>
      <w:r>
        <w:rPr>
          <w:lang w:eastAsia="zh-CN"/>
        </w:rPr>
        <w:tab/>
        <w:t>The perspectives adopted in this book are very different from dominant policy concerns about ‘an ageing society’ and the availability of carers and resources to pay for the ‘burden’ of older people. Such a ‘social problem’ or ‘dependency’ perspective sees older people as a ‘burden’ to be cared for by their family members, especially the adult child generation (Chambers et al, 2009). A counter to this has been research on intergenerational relationships and reciprocity between generations. The edited volume by Izuhara (2010) examines shifts in relationships between generations, and changes in family structure and support, that are occurring in diverse global contexts</w:t>
      </w:r>
      <w:r w:rsidR="00147687">
        <w:rPr>
          <w:lang w:eastAsia="zh-CN"/>
        </w:rPr>
        <w:t>, focusing</w:t>
      </w:r>
      <w:r>
        <w:rPr>
          <w:lang w:eastAsia="zh-CN"/>
        </w:rPr>
        <w:t xml:space="preserve"> particular</w:t>
      </w:r>
      <w:r w:rsidR="00147687">
        <w:rPr>
          <w:lang w:eastAsia="zh-CN"/>
        </w:rPr>
        <w:t xml:space="preserve">ly on </w:t>
      </w:r>
      <w:r>
        <w:rPr>
          <w:lang w:eastAsia="zh-CN"/>
        </w:rPr>
        <w:t xml:space="preserve">processes of transformation in intergenerational relations as a response to economic, social and demographic change, and to what extent new patterns of reciprocity are emerging. </w:t>
      </w:r>
    </w:p>
    <w:p w:rsidR="006B5089" w:rsidRDefault="006B5089">
      <w:pPr>
        <w:spacing w:line="360" w:lineRule="auto"/>
        <w:rPr>
          <w:rFonts w:cstheme="minorBidi"/>
          <w:lang w:eastAsia="zh-CN"/>
        </w:rPr>
      </w:pPr>
    </w:p>
    <w:p w:rsidR="006B5089" w:rsidRDefault="006B5089">
      <w:pPr>
        <w:spacing w:line="360" w:lineRule="auto"/>
        <w:ind w:firstLine="720"/>
        <w:rPr>
          <w:lang w:eastAsia="zh-CN"/>
        </w:rPr>
      </w:pPr>
      <w:r>
        <w:rPr>
          <w:lang w:eastAsia="zh-CN"/>
        </w:rPr>
        <w:t xml:space="preserve">Studies of ‘intergenerational transfers’ have examined the bi-directional flows between generations of financial resources and time devoted to caregiving, showing that the dominant direction of financial transfers is from the older to the middle and grandchild generations (Attias-Donfut et al, 2005; Albertini et al, 2007). This book has not addressed intergenerational transfers; the focus has been on one particular type of intergenerational relationship, namely that between grandparents and grandchildren. While this relationship may involve transfers of time (particularly in terms of caregiving for grandchildren), as chapters in this book show, these transfers reflect much more than ‘time’, including complex negotiated practices of support and emotional exchanges. </w:t>
      </w:r>
    </w:p>
    <w:p w:rsidR="006B5089" w:rsidRDefault="006B5089">
      <w:pPr>
        <w:spacing w:line="360" w:lineRule="auto"/>
        <w:rPr>
          <w:rFonts w:cstheme="minorBidi"/>
          <w:lang w:eastAsia="zh-CN"/>
        </w:rPr>
      </w:pPr>
    </w:p>
    <w:p w:rsidR="006B5089" w:rsidRDefault="006B5089">
      <w:pPr>
        <w:spacing w:line="360" w:lineRule="auto"/>
        <w:ind w:firstLine="720"/>
        <w:rPr>
          <w:lang w:eastAsia="zh-CN"/>
        </w:rPr>
      </w:pPr>
      <w:r>
        <w:rPr>
          <w:lang w:eastAsia="zh-CN"/>
        </w:rPr>
        <w:t>It is surprising that gender has not been more visible in research on grandparenting. Much research on grandparent care for grandchildren implicitly assumes that the primary caregiver is the grandmother. In many contexts ‘grandparenting’ may be a euphemism for ‘grandmothering’. Little previous research has explicitly examined family practices associated with grandmother and grandfather care in a nuanced way. For example, we know little about whether grandfathering practices largely support the grandmothers’ practices, with his involvement dependent on her encouragement and support.</w:t>
      </w:r>
    </w:p>
    <w:p w:rsidR="006B5089" w:rsidRDefault="006B5089">
      <w:pPr>
        <w:spacing w:line="360" w:lineRule="auto"/>
        <w:rPr>
          <w:rFonts w:cstheme="minorBidi"/>
          <w:lang w:eastAsia="zh-CN"/>
        </w:rPr>
      </w:pPr>
    </w:p>
    <w:p w:rsidR="006B5089" w:rsidRDefault="006B5089">
      <w:pPr>
        <w:spacing w:line="360" w:lineRule="auto"/>
        <w:rPr>
          <w:lang w:eastAsia="zh-CN"/>
        </w:rPr>
      </w:pPr>
      <w:r>
        <w:rPr>
          <w:rFonts w:cstheme="minorBidi"/>
          <w:lang w:eastAsia="zh-CN"/>
        </w:rPr>
        <w:tab/>
      </w:r>
      <w:r>
        <w:rPr>
          <w:lang w:eastAsia="zh-CN"/>
        </w:rPr>
        <w:t xml:space="preserve">Our focus has been on the everyday practices of grandparenting, and how these are negotiated across both the dyadic grandparent-grandchild relationship and the triad of grandparent – adult child – grandchild. Underlying the family practices of ‘doing’ grandparenting, we recognise that family relationships are constrained by material and </w:t>
      </w:r>
      <w:r>
        <w:rPr>
          <w:lang w:eastAsia="zh-CN"/>
        </w:rPr>
        <w:lastRenderedPageBreak/>
        <w:t>structural realities that face individual family members and the family as a whole. Although these structural constraints often operate within the bounded household context, research on grandparenting brings into sharp relief the need to consider how family relationships that transcend household boundaries are influenced by structural constraints.</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This concluding chapter first reviews how demographic and societal changes, and cultural and generational changes, have influenced grandparenting. Since a key twenty-first century issue is the growth of dual-earner families and grandparents’ involvement in grandchild care, we consider how welfare state policies are linked to this trend in different societal contexts, demonstrating the interconnections between families, labour markets and state policies, as well as between the public and private. We consider cultural norms about grandparenting and the agency of grandparents, and how clashes between norms and agency may result in ambivalence. Finally, we emphasise that grandparenting is part of a complex web of negotiated family relationships, within which the grandchild may impact on the grandparents’s attitudes and practices. </w:t>
      </w:r>
    </w:p>
    <w:p w:rsidR="006B5089" w:rsidRDefault="006B5089">
      <w:pPr>
        <w:spacing w:line="360" w:lineRule="auto"/>
        <w:rPr>
          <w:lang w:eastAsia="zh-CN"/>
        </w:rPr>
      </w:pPr>
    </w:p>
    <w:p w:rsidR="006B5089" w:rsidRDefault="006B5089">
      <w:pPr>
        <w:spacing w:line="360" w:lineRule="auto"/>
        <w:rPr>
          <w:lang w:eastAsia="zh-CN"/>
        </w:rPr>
      </w:pPr>
    </w:p>
    <w:p w:rsidR="006B5089" w:rsidRDefault="006B5089">
      <w:pPr>
        <w:pStyle w:val="Heading1"/>
        <w:spacing w:line="360" w:lineRule="auto"/>
      </w:pPr>
      <w:r>
        <w:t>Social change and grandparenting</w:t>
      </w:r>
    </w:p>
    <w:p w:rsidR="006B5089" w:rsidRDefault="006B5089">
      <w:pPr>
        <w:spacing w:line="360" w:lineRule="auto"/>
        <w:rPr>
          <w:lang w:eastAsia="zh-CN"/>
        </w:rPr>
      </w:pPr>
      <w:r>
        <w:rPr>
          <w:lang w:eastAsia="zh-CN"/>
        </w:rPr>
        <w:t xml:space="preserve">Many societal changes that shape the practices of grandparenting are associated with globalisation, including demographic changes, trends in paid employment, geographical mobility and the communications revolution. Although these will be reviewed separately, they are of course interconnected and interacting.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A fundamental demographic change is the rapid increase in longevity across the globe. For many Asian countries, over one generation, there have been gains in life expectancy of 20 years, which mean that grandchildren will share a much longer period of life with their grandparents (Phillipson, 2010). Within the increasing number of three or four generational families, there is the potential for grandchildren to establish much longer-lasting relationships with their grandparents. Declines in fertility have been rapid, especially in southern Europe, China and Asian societies, resulting in fewer grandchildren and the development of ‘bean pole’ families (Bengtson and Harootyan, 1994). Fewer grandchildren may mean that grandparents ‘invest’ more time and resources in their relationships with these grandchildren, developing stronger emotional bonds.  </w:t>
      </w:r>
    </w:p>
    <w:p w:rsidR="006B5089" w:rsidRDefault="006B5089">
      <w:pPr>
        <w:spacing w:line="360" w:lineRule="auto"/>
        <w:rPr>
          <w:lang w:eastAsia="zh-CN"/>
        </w:rPr>
      </w:pPr>
    </w:p>
    <w:p w:rsidR="006B5089" w:rsidRDefault="006B5089">
      <w:pPr>
        <w:spacing w:line="360" w:lineRule="auto"/>
        <w:rPr>
          <w:lang w:eastAsia="zh-CN"/>
        </w:rPr>
      </w:pPr>
      <w:r>
        <w:rPr>
          <w:lang w:eastAsia="zh-CN"/>
        </w:rPr>
        <w:lastRenderedPageBreak/>
        <w:tab/>
        <w:t>Other demographic changes include changing patterns of marriage, divorce, and cohabitation. Divorce is increasingly prevalent in both the grandparent and the parent (middle) generation, often resulting in the establishment of reconstituted families. Divorce in the middle generation may increase the intensity of support provided by (particularly maternal) grandparents, while fracturing relationships with (particularly paternal) grandparents. Divorce and repartnering in the grandparent generation may potentially result in one grandchild having eight (step)grandparents, while d</w:t>
      </w:r>
      <w:r>
        <w:t>ivorce</w:t>
      </w:r>
      <w:r>
        <w:rPr>
          <w:lang w:eastAsia="zh-CN"/>
        </w:rPr>
        <w:t xml:space="preserve"> and </w:t>
      </w:r>
      <w:r>
        <w:t xml:space="preserve">repartnering in the parent generation </w:t>
      </w:r>
      <w:r>
        <w:rPr>
          <w:lang w:eastAsia="zh-CN"/>
        </w:rPr>
        <w:t>can have</w:t>
      </w:r>
      <w:r>
        <w:t xml:space="preserve"> similar effects</w:t>
      </w:r>
      <w:r>
        <w:rPr>
          <w:lang w:eastAsia="zh-CN"/>
        </w:rPr>
        <w:t xml:space="preserve">. Complexities of contemporary families include children within the same family having different sets of (usually paternal) grandparents. The prevalence of divorce and reconstituted families varies greatly between societies, being higher in the US, UK and northern Europe, very low in China and Asian countries, and at an intermediate level in the predominantly Catholic countries of southern Europe and Ireland. Chapters 8 and 9 consider the impact of divorce and the agency exercised by grandparents in contexts of divorce, but only scratch the surface of understanding the meaning of grandparenting in the context of divorce and cohabitation, while issues regarding grandparenting in reconstituted families remain unexplored.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A profound societal change impacting on grandparenting relates to paid employment, particularly the growing labour force participation of women in western and Asian societies. However, societies differ in their policies regarding provision of childcare for children (when mothers are in paid work) and grandparents’ (or more usually grandmothers’) role in childcare (as discussed in Part One). Alongside increases in women’s employment, trends towards earlier exit from the labour market in European countries have had the potential to ‘free up’ grandparents from paid employment allowing them more ‘opportunity’ to act as grandchild carers. However, policy concerns internationally have recently emphasised the costs of the ‘ageing population’ leading to increases in retirement age and policy initiatives for workers to delay retirement and remain longer in the labour market. A key issue is therefore how grandparents’ participation in paid employment impacts on their grandparenting practices. Chapter 4 illustrates how grandmothers in the US ‘juggle’ their own paid work with providing intensive grandchild care, while Chapter 11 finds that grandparents in paid employment in Germany have less frequent contact with their grandchildren. </w:t>
      </w:r>
    </w:p>
    <w:p w:rsidR="006B5089" w:rsidRDefault="006B5089">
      <w:pPr>
        <w:spacing w:line="360" w:lineRule="auto"/>
        <w:rPr>
          <w:lang w:eastAsia="zh-CN"/>
        </w:rPr>
      </w:pPr>
    </w:p>
    <w:p w:rsidR="006B5089" w:rsidRDefault="006B5089">
      <w:pPr>
        <w:spacing w:line="360" w:lineRule="auto"/>
        <w:rPr>
          <w:lang w:eastAsia="zh-CN"/>
        </w:rPr>
      </w:pPr>
      <w:r>
        <w:rPr>
          <w:lang w:eastAsia="zh-CN"/>
        </w:rPr>
        <w:lastRenderedPageBreak/>
        <w:tab/>
        <w:t xml:space="preserve">Globalisation has resulted in major migratory flows </w:t>
      </w:r>
      <w:r>
        <w:rPr>
          <w:i/>
          <w:iCs/>
          <w:lang w:eastAsia="zh-CN"/>
        </w:rPr>
        <w:t>between</w:t>
      </w:r>
      <w:r>
        <w:rPr>
          <w:lang w:eastAsia="zh-CN"/>
        </w:rPr>
        <w:t xml:space="preserve"> countries for paid employment (such as for domestic work, Chapter 5 and 6), and rural to urban migration within countries (Chapter 3). Paid work opportunities are a major reason for moving </w:t>
      </w:r>
      <w:r>
        <w:rPr>
          <w:i/>
          <w:iCs/>
          <w:lang w:eastAsia="zh-CN"/>
        </w:rPr>
        <w:t>within</w:t>
      </w:r>
      <w:r>
        <w:rPr>
          <w:lang w:eastAsia="zh-CN"/>
        </w:rPr>
        <w:t xml:space="preserve"> countries. All these migratory flows potentially severe or militate against contact between grandparents and grandchildren. However, following retirement, grandparents may move to live closer to grandchildren (Glaser et al, 2010). Geographical proximity of grandparents and grandchildren is crucial in providing ‘opportunities’ for interaction and thereby influencing grandparent-grandchild relationships (Cherlin and Furstenberg, 1992). Societal norms also influence geographical propinquity; Kohli et al (2008) report marked differences across Europe in living near adult children, varying from about 30% of people aged 50 and over living within 1 km of a child in Sweden and Denmark to over 70% in Italy, Spain and Greece.</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In parallel, societal changes associated with rapid developments in communications technology may reduce the barriers of geographical distance. Apart from mobile telephones and email, grandparents and grandchildren may increasingly communicate across countries and continents through Skype calls. Chapter 9 touches on how new communication technologies may facilitate links between grandparents and grandchildren. However, use of internet-based communication technologies is influenced by material and cultural resources that are more available or accessible to certain groups.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Alongside these macro-level societal and global changes, there are cross-cutting socio-economic and material inequalities within any society that play a profound role in influencing interpersonal relationships within families. For example, where there is public provision or adequate financial resources to purchase good quality daycare, grandparents’ lives may </w:t>
      </w:r>
      <w:r>
        <w:rPr>
          <w:i/>
          <w:iCs/>
          <w:lang w:eastAsia="zh-CN"/>
        </w:rPr>
        <w:t>not</w:t>
      </w:r>
      <w:r>
        <w:rPr>
          <w:lang w:eastAsia="zh-CN"/>
        </w:rPr>
        <w:t xml:space="preserve"> be constrained by daily grandchild care. While the employment of foreign domestic workers may be a ‘solution’ to support mothers’ paid work for middle/higher income families in Singapore (chapter 6), the domestic workers themselves may have left behind grandparents, parents, children or grandchildren in their native country, limiting these women’s own family relationships. Thus, within any society there are patterned diversities in the practices of grandparenting, associated with gender, material circumstances, ethnicity, geographical propinquity and family structure.  </w:t>
      </w:r>
    </w:p>
    <w:p w:rsidR="006B5089" w:rsidRDefault="006B5089">
      <w:pPr>
        <w:spacing w:line="360" w:lineRule="auto"/>
        <w:rPr>
          <w:rFonts w:cstheme="minorBidi"/>
          <w:b/>
          <w:bCs/>
          <w:lang w:eastAsia="zh-CN"/>
        </w:rPr>
      </w:pPr>
    </w:p>
    <w:p w:rsidR="006B5089" w:rsidRDefault="006B5089">
      <w:pPr>
        <w:spacing w:line="360" w:lineRule="auto"/>
        <w:rPr>
          <w:rFonts w:cstheme="minorBidi"/>
          <w:b/>
          <w:bCs/>
          <w:lang w:eastAsia="zh-CN"/>
        </w:rPr>
      </w:pPr>
    </w:p>
    <w:p w:rsidR="006B5089" w:rsidRDefault="006B5089">
      <w:pPr>
        <w:spacing w:line="360" w:lineRule="auto"/>
        <w:rPr>
          <w:b/>
          <w:bCs/>
          <w:lang w:eastAsia="zh-CN"/>
        </w:rPr>
      </w:pPr>
      <w:r>
        <w:rPr>
          <w:b/>
          <w:bCs/>
          <w:lang w:eastAsia="zh-CN"/>
        </w:rPr>
        <w:t>Cultural and generational changes</w:t>
      </w:r>
    </w:p>
    <w:p w:rsidR="006B5089" w:rsidRDefault="006B5089">
      <w:pPr>
        <w:spacing w:line="360" w:lineRule="auto"/>
        <w:rPr>
          <w:lang w:eastAsia="zh-CN"/>
        </w:rPr>
      </w:pPr>
      <w:r>
        <w:rPr>
          <w:lang w:eastAsia="zh-CN"/>
        </w:rPr>
        <w:lastRenderedPageBreak/>
        <w:t>Cultural norms regarding the appropriate roles of, and behaviour towards, grandparents have changed over time and vary markedly between societies. The changes in Asian societies have been particularly rapid, resulting in a ‘profound generational gap regarding social norms, expectations and cultural practices’ (Izuhara, 2010: 3). Thus, the potential for conflict between generations regarding cultural norms may be greater in the East than the West. In China and East Asian societies, Confucianism has emphasised the importance of filial piety towards elders, wisdom of elders, and esteem of grandparents within the society. Although the legacy of these Confucian ideals remains, other societal and cultural changes may lead to conflicts with these more traditional norms (Chapter 5).</w:t>
      </w:r>
    </w:p>
    <w:p w:rsidR="006B5089" w:rsidRDefault="006B5089">
      <w:pPr>
        <w:pStyle w:val="Footer"/>
        <w:tabs>
          <w:tab w:val="clear" w:pos="4153"/>
          <w:tab w:val="clear" w:pos="8306"/>
        </w:tabs>
        <w:spacing w:line="360" w:lineRule="auto"/>
        <w:rPr>
          <w:rFonts w:cstheme="minorBidi"/>
          <w:lang w:eastAsia="zh-CN"/>
        </w:rPr>
      </w:pPr>
    </w:p>
    <w:p w:rsidR="006B5089" w:rsidRDefault="006B5089">
      <w:pPr>
        <w:spacing w:line="360" w:lineRule="auto"/>
        <w:rPr>
          <w:lang w:eastAsia="zh-CN"/>
        </w:rPr>
      </w:pPr>
      <w:r>
        <w:rPr>
          <w:rFonts w:cstheme="minorBidi"/>
          <w:lang w:eastAsia="zh-CN"/>
        </w:rPr>
        <w:tab/>
      </w:r>
      <w:r>
        <w:rPr>
          <w:lang w:eastAsia="zh-CN"/>
        </w:rPr>
        <w:t xml:space="preserve">Grandparenthood is often equated with ‘old age’ in the popular imagination, although grandparents can range in age from their thirties to centenarians. The age of a grandparent clearly influences practices of grandparenting (Chapters 10 and 11), both because of age per se (and its association with health and physical ability), and because of their birth cohort. Mannheim (1952) discussed ‘historical generations’ associated with particular ‘birth cohorts’, highlighting how generations have different historical experiences which shape their outlook and attitudes (Arber and Attias-Donfut, 2000). Grandparents who have lived through different historical periods and societal contexts enter later life with varying attitudes and expectations that influence their perspectives on grandparenting. The image of the grandmother knitting in a rocking chair, or the old widow dressed in black, no longer chimes in the twenty-first century. Contemporary grandmothers are less constrained by cultural expectations of passivity. The ‘baby-boomers’, born in the late 1940s and early 1950s (Evandrou, 1997), are entering later life with different sets of cultural values, as well as being healthier, wealthier and more oriented to leisure than earlier cohorts. We can therefore expect that this generation will practice grandparenting in very different ways to their parents.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A key normative cultural change in contemporary western societies is the expectation that older people should be active and productive (Bowling, 2003; Katz, 2005). Grandparents may adopt the cultural norm of ‘active ageing’ and wish to be seen as ageing ‘successfully’ as exemplified by leading an active lifestyle and demonstrating agency over their activities.   However, this contemporary cultural mandate to ‘active’ or ‘successful ageing’ may conflict with other cultural norms and expectations, such as to ‘be there’ for grandchildren (Chapter 7), and to support and provide grandchild care when required by the middle generation (Chapters 2-6). Thus, the norm of ‘active ageing’ may conflict with expectations of the parent </w:t>
      </w:r>
      <w:r>
        <w:rPr>
          <w:lang w:eastAsia="zh-CN"/>
        </w:rPr>
        <w:lastRenderedPageBreak/>
        <w:t>generation that grandparents will be available to care for grandchildren while the mothers</w:t>
      </w:r>
      <w:r w:rsidR="00147687">
        <w:rPr>
          <w:lang w:eastAsia="zh-CN"/>
        </w:rPr>
        <w:t>’</w:t>
      </w:r>
      <w:r>
        <w:rPr>
          <w:lang w:eastAsia="zh-CN"/>
        </w:rPr>
        <w:t xml:space="preserve"> work. Conflict between these two cultural norms may lead to growing tensions or ambivalence between the desires of the grandparent generation for ‘active ageing’ and the requirements of the middle generation for grandchild care, which are likely to be most keenly felt by older women.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Grandparenting, by definition, involves a dyadic relationship with one or multiple grandchildren. Literature from the sociology of childhood over the last 20 years (James et al, 1998; Knappe, 1999) has emphasised the active ways that children influence relationships with their parents and other adults. Cultural changes in norms regarding childhood, and the expectations of being a grandchild will also influence the nature of grandparent-grandchild relationships.  </w:t>
      </w:r>
    </w:p>
    <w:p w:rsidR="006B5089" w:rsidRDefault="006B5089">
      <w:pPr>
        <w:spacing w:line="360" w:lineRule="auto"/>
        <w:rPr>
          <w:lang w:eastAsia="zh-CN"/>
        </w:rPr>
      </w:pPr>
    </w:p>
    <w:p w:rsidR="006B5089" w:rsidRDefault="006B5089">
      <w:pPr>
        <w:spacing w:line="360" w:lineRule="auto"/>
        <w:rPr>
          <w:lang w:eastAsia="zh-CN"/>
        </w:rPr>
      </w:pPr>
      <w:r>
        <w:rPr>
          <w:lang w:eastAsia="zh-CN"/>
        </w:rPr>
        <w:tab/>
        <w:t>In summary, to understand grandparenting practices, we need to consider both the changing cultural scripts for older people as well as changing norms about children and childhood, in tandem with the societal changes discussed in the previous section. While it is important to emphasise diversity and the agency of both parties in the dyadic relationship of grandparent and grandchild, as well as the agency of the parent (middle) generation, we need to be mindful of how cultural and societal changes intersect with material and socio-economic resources, which contribute to the everyday realities of grandparenting practices.</w:t>
      </w:r>
    </w:p>
    <w:p w:rsidR="006B5089" w:rsidRDefault="006B5089">
      <w:pPr>
        <w:spacing w:line="360" w:lineRule="auto"/>
        <w:rPr>
          <w:lang w:eastAsia="zh-CN"/>
        </w:rPr>
      </w:pPr>
    </w:p>
    <w:p w:rsidR="006B5089" w:rsidRDefault="006B5089">
      <w:pPr>
        <w:spacing w:line="360" w:lineRule="auto"/>
        <w:rPr>
          <w:rFonts w:cstheme="minorBidi"/>
          <w:b/>
          <w:bCs/>
          <w:lang w:eastAsia="zh-CN"/>
        </w:rPr>
      </w:pPr>
    </w:p>
    <w:p w:rsidR="006B5089" w:rsidRDefault="006B5089">
      <w:pPr>
        <w:spacing w:line="360" w:lineRule="auto"/>
        <w:rPr>
          <w:b/>
          <w:bCs/>
          <w:lang w:eastAsia="zh-CN"/>
        </w:rPr>
      </w:pPr>
      <w:r>
        <w:rPr>
          <w:b/>
          <w:bCs/>
          <w:lang w:eastAsia="zh-CN"/>
        </w:rPr>
        <w:t>Grandparenting responses to mothers’ paid employment</w:t>
      </w:r>
    </w:p>
    <w:p w:rsidR="006B5089" w:rsidRDefault="006B5089">
      <w:pPr>
        <w:spacing w:line="360" w:lineRule="auto"/>
        <w:rPr>
          <w:lang w:eastAsia="zh-CN"/>
        </w:rPr>
      </w:pPr>
      <w:r>
        <w:rPr>
          <w:lang w:eastAsia="zh-CN"/>
        </w:rPr>
        <w:t xml:space="preserve">Since the ‘dual earner’ family has become the norm in most developed societies, it is vital to consider childcare arrangements where both parents (and lone parents) are in paid work. Chapters in Part One showed how grandparents are central to supporting the increased employment of women, but in varying ways according to the welfare policy context, demonstrating the interconnections between families, labour markets and state policies.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From a macro-perspective, Herlofson and Hagestad (Chapter 2) contrasted the varied responses across European societies regarding women’s increased labour participation. In northern European countries, welfare policies support the provision of childcare and care for elders, with policies also encouraging greater gender equality in the domestic division of labour. Although the majority of grandparents provide support and ‘baby-sitting’ for their </w:t>
      </w:r>
      <w:r>
        <w:rPr>
          <w:lang w:eastAsia="zh-CN"/>
        </w:rPr>
        <w:lastRenderedPageBreak/>
        <w:t xml:space="preserve">grandchildren, they rarely undertake daily childcare to enable daughters/in-law to work. Grandparents in these countries provide a back-up resource in temporary emergencies or times of need, and are characterised by Herlofson and Hagestad as ‘family savers’. Grandparents therefore ‘complement’ the provision of state welfare services. In contrast, the countries of southern Europe provide very little welfare state provision for childcare (or elder care). This, together with very marked gender segregated roles in the domestic arena, has resulted in employed women turning to their mothers (the grandmothers) for everyday childcare. Cross-national survey data show that a high proportion of grandparents in southern European countries provide daily childcare, characterised as ‘mother savers’, who play a vital role in supporting their daughters/-in-law to enter and remain in the labour market. They ‘substitute’ for the inadequacy of state childcare support. However, there are divisions by financial circumstances, with more affluent grandparents and higher earning women better able to afford formal childcare, rather than relying on (and constraining the lives of) their grandmothers.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The UK exemplifies a combination of both systems and is profoundly class-divided. Lack of affordable childcare means that working class parents in particular turn to grandparents for daily childcare (or a regular commitment of childcare on 2-3 days per week) (Dench and Ogg, 2002). Wheelock and Jones (2002) demonstrate the heavy reliance of employed mothers on grandparent care and that some grandparents give up paid work to provide regular grandchild care. Indeed, the UK Grandparents Plus report (Glaser et al, 2010) highlights the considerable involvement of grandparents in regular childcare in the UK and across Europe, arguing that policies should be in place to provide financial and other supports for grandparents in this role. Thus, it is important to consider the interdependence between formal and informal systems of child care and how these differ across societal contexts.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Grandparents perform the greatest childcare role where the middle generation are absent because of migration (as in China, Chapter 3), through HIV/AIDS (as in sub-Saharan Africa, Oduran and Oduran, 2010) or because of inability to parent through mental health problems, drug or alcohol addiction (as in the US, Minkler, 1999). However, as Baker and Silverstein (Chapter 3) demonstrate the routes are very different into each of these forms of ‘custodial grandparenting’ within ‘skipped-generation’ households, leading to diverse outcomes for the grandparents. In the US, custodial grandparents are disadvantaged on financial and health grounds prior to entry into custodial grandparenting, and their health and </w:t>
      </w:r>
      <w:r>
        <w:rPr>
          <w:lang w:eastAsia="zh-CN"/>
        </w:rPr>
        <w:lastRenderedPageBreak/>
        <w:t xml:space="preserve">wellbeing then worsens, largely due to the accumulation of economic disadvantages. In contrast, grandparents in rural China are advantaged in their health and financial assets prior to entry into custodial grandparenting, and while in this role their health and well-being (measured by number of depressive symptoms) improves, both because of financial remittances from adult children and the psychological benefits of grandparenting within the Chinese cultural context. Custodial grandparents in the US are characterised as ‘child savers’, whereas in the Chinese context, they are characterised by Baker and Silverstein as ‘family maximizers’, since their role is part of a broader family strategy to improve the financial well-being of the whole extended family.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Chapters 2 and 3 provide a macro-level perspective to highlight the influence of societal contexts and welfare state policies on grandparents’ role in providing ‘substitute’ or ‘complementary’ childcare. Less attention has previously been paid to the micro-level perspectives of grandparents themselves about providing childcare, especially to what extent they feel constrained by ‘being expected’ to provide grandchild care or ambivalent towards their role as regular caregivers for grandchildren. Three chapters adopted a micro-perspective, examining grandchild care and intergenerational relationships in different societal contexts - the US (chapter 4), Hong Kong (chapter 5) and Singapore (chapter 6). </w:t>
      </w:r>
    </w:p>
    <w:p w:rsidR="006B5089" w:rsidRDefault="006B5089">
      <w:pPr>
        <w:spacing w:line="360" w:lineRule="auto"/>
        <w:rPr>
          <w:lang w:eastAsia="zh-CN"/>
        </w:rPr>
      </w:pPr>
    </w:p>
    <w:p w:rsidR="006B5089" w:rsidRDefault="006B5089">
      <w:pPr>
        <w:spacing w:line="360" w:lineRule="auto"/>
        <w:rPr>
          <w:lang w:eastAsia="zh-CN"/>
        </w:rPr>
      </w:pPr>
      <w:r>
        <w:rPr>
          <w:lang w:eastAsia="zh-CN"/>
        </w:rPr>
        <w:tab/>
        <w:t>Harrington Meyer (Chapter 4) provided in-depth case studies of three US grandmothers who, while engaged in full-time paid work, also undertook very extensive grandchild care. They privileged their daughters’ employment over their own, and accepted the priority of their daughter ‘keeping her job’ or pursuing educational qualifications. These grandmothers devoted nearly all of their time, while not working themselves, to providing grandchild care. Despite their very extensive time commitments, they expressed little ambivalence about their grandchild care practices, being motivated entirely by the well-being of their grandchildren and adult daughters (all of whom were single mothers). Although these women lived close to their grandchildren, they were not custodial grandparents, and could be characterised as ‘mother savers’.</w:t>
      </w:r>
    </w:p>
    <w:p w:rsidR="006B5089" w:rsidRDefault="006B5089">
      <w:pPr>
        <w:spacing w:line="360" w:lineRule="auto"/>
        <w:rPr>
          <w:lang w:eastAsia="zh-CN"/>
        </w:rPr>
      </w:pPr>
      <w:r>
        <w:rPr>
          <w:lang w:eastAsia="zh-CN"/>
        </w:rPr>
        <w:t xml:space="preserve"> </w:t>
      </w:r>
    </w:p>
    <w:p w:rsidR="006B5089" w:rsidRDefault="006B5089">
      <w:pPr>
        <w:spacing w:line="360" w:lineRule="auto"/>
        <w:rPr>
          <w:lang w:eastAsia="zh-CN"/>
        </w:rPr>
      </w:pPr>
      <w:r>
        <w:rPr>
          <w:lang w:eastAsia="zh-CN"/>
        </w:rPr>
        <w:tab/>
        <w:t xml:space="preserve">Asian societies exemplify rapid changes in cultural norms about the role of grandparents, declines in co-residence within three generational households, and acceptance of the contemporary norm of mothers’ participation in paid work. The policy response in both Hong Kong and Singapore has been to support mothers’ employment through ‘importing’ </w:t>
      </w:r>
      <w:r>
        <w:rPr>
          <w:lang w:eastAsia="zh-CN"/>
        </w:rPr>
        <w:lastRenderedPageBreak/>
        <w:t xml:space="preserve">foreign domestic workers, mainly from the Phillipines. Ko (Chapter 5) analysed the perspectives of grandparents in Hong Kong about their supportive relationships with adult children and adolescent grandchildren, both in co-residential and non-co-residential families. Although multi-generational co-residence is still seen as an act of filial piety and a virtue in traditional Chinese culture, this conflicts with newer cultural expectations that a successful son should be able to afford his own independent residence. Tensions and ambivalences were revealed with grandparents expressing resentment that they were treated like ‘domestic workers’, and not accorded the traditional respect (as a manifestation of filial piety) that should be accorded to elders. Thus, grandparents experienced ambivalence generated from conflicts between different norms, as well as conflicts between norms and the realities of providing everyday functional support to their adult children and grandchildren.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Sun (Chapter 6) probed the perspectives of young adults in Singapore about preferred carers for children under 3, illustrating that grandparents were the preferred childcarers, even though foreign domestic workers were usually employed. Grandparents played a key role in ‘supervising’ foreign domestic workers, and ensured that grandchildren would be taught morals and good behaviour. However, the feasibility of employing foreign domestic workers was divided by income, with those in lower income households more reliant on grandparent care. As one participant stated, ‘When you get your parents, you get the real Singaporean deal, cheap and good’. However, adult children expressed a sense of ambivalence that reliance on grandparental childcare may be ‘unfair’ for their parents whose lives were severely constrained or may result in adverse health consequences, and that care by less educated grandparents may not be in the best interests of the educational development of their child. </w:t>
      </w:r>
    </w:p>
    <w:p w:rsidR="006B5089" w:rsidRDefault="006B5089">
      <w:pPr>
        <w:spacing w:line="360" w:lineRule="auto"/>
        <w:rPr>
          <w:lang w:eastAsia="zh-CN"/>
        </w:rPr>
      </w:pPr>
    </w:p>
    <w:p w:rsidR="006B5089" w:rsidRDefault="006B5089">
      <w:pPr>
        <w:spacing w:line="360" w:lineRule="auto"/>
        <w:ind w:firstLine="720"/>
        <w:rPr>
          <w:lang w:eastAsia="zh-CN"/>
        </w:rPr>
      </w:pPr>
      <w:r>
        <w:rPr>
          <w:lang w:eastAsia="zh-CN"/>
        </w:rPr>
        <w:t>The chapters in Part One illustrate the vital role grandparents play in enabling the middle generation (mothers) to be employed, but that state policies differ in the nature of support provided for children during mother’s employment. Grandparents perform a key role by undertaking grandchild care, and have been characterised in different societal contexts as ‘child savers’, ‘mother savers’, ‘family savers’ and ‘family maximizers’. Another distinction which could be made is to what extent grandparents represent a ‘regular army’, providing grandchild care on a regular basis, as in the Mediterranean countries, China and Singapore, or act as a ‘reserve army’</w:t>
      </w:r>
      <w:r>
        <w:rPr>
          <w:vertAlign w:val="superscript"/>
          <w:lang w:eastAsia="zh-CN"/>
        </w:rPr>
        <w:t>1</w:t>
      </w:r>
      <w:r>
        <w:rPr>
          <w:lang w:eastAsia="zh-CN"/>
        </w:rPr>
        <w:t xml:space="preserve">, providing care only in times of crisis or emergencies and on their own terms, as in the Nordic countries. Grandparents within the ‘reserve army’ are much less constrained by grandchild care, more able to pursue an ‘active ageing’ later life, and </w:t>
      </w:r>
      <w:r>
        <w:rPr>
          <w:lang w:eastAsia="zh-CN"/>
        </w:rPr>
        <w:lastRenderedPageBreak/>
        <w:t xml:space="preserve">experience less intergenerational ambivalence. In contrast, in contexts where grandparents are expected to be a ‘regular army’ there is greater potential for intergenerational tensions and ambivalence, and constraints experienced by the older generation. Cross-cutting this is gender. Where grandparents form a ‘regular army’, the major childcare roles and responsibilities normally fall on grandmothers, although grandfathers often provide a supportive role to their wives. </w:t>
      </w:r>
    </w:p>
    <w:p w:rsidR="006B5089" w:rsidRDefault="006B5089">
      <w:pPr>
        <w:spacing w:line="360" w:lineRule="auto"/>
        <w:ind w:firstLine="720"/>
        <w:rPr>
          <w:lang w:eastAsia="zh-CN"/>
        </w:rPr>
      </w:pPr>
    </w:p>
    <w:p w:rsidR="006B5089" w:rsidRDefault="006B5089">
      <w:pPr>
        <w:spacing w:line="360" w:lineRule="auto"/>
        <w:rPr>
          <w:rFonts w:cstheme="minorBidi"/>
        </w:rPr>
      </w:pPr>
    </w:p>
    <w:p w:rsidR="006B5089" w:rsidRDefault="006B5089">
      <w:pPr>
        <w:spacing w:line="360" w:lineRule="auto"/>
        <w:rPr>
          <w:rFonts w:cstheme="minorBidi"/>
        </w:rPr>
      </w:pPr>
      <w:r>
        <w:rPr>
          <w:b/>
          <w:bCs/>
        </w:rPr>
        <w:t>Grandparenting norms, gender and complex family configurations</w:t>
      </w:r>
    </w:p>
    <w:p w:rsidR="006B5089" w:rsidRDefault="006B5089">
      <w:pPr>
        <w:spacing w:line="360" w:lineRule="auto"/>
        <w:rPr>
          <w:lang w:eastAsia="zh-CN"/>
        </w:rPr>
      </w:pPr>
      <w:r>
        <w:rPr>
          <w:lang w:eastAsia="zh-CN"/>
        </w:rPr>
        <w:t xml:space="preserve">Micro-level perspectives were employed to tease out the realities of grandparenting practices, as well as the impact of cultural norms about grandparenting, based on in-depth qualitative research in Chapters 7-9. These chapters documented the subtle ways that grandparents negotiate relationships and exercise agency, the nature of ambivalences within grandparents’ relationships with the middle generation, and how gender intersects in these intergenerational dynamics.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Cultural norms about grandparenting may conflict with other norms and with everyday practices. May et al (Chapter 7) report the ubiquity of norms of grandparents ‘being there’ for their grandchildren and ‘not interfering’ with the middle generations’ parenting practices in the UK. Using survey data, Herlofson and Hagestad (Chapter 2) in Norway also found strong support for the norm of ‘being there’ among both the grandparent and adult child generations, showing very little gender difference in support for this norm. May et al’s relational approach highlights how grandparents negotiate competing norms within their everyday practices of grandparenting. The norm of grandparents being a ‘good parent’ to their own adult children implies allowing them to be independent and thereby ‘not interfering’, but this can conflict with responsibilities to their grandchildren. Another paradox and potential conflict relates to balancing the personal norm of ‘self determination’ with ‘being there’ for grandchildren.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The clash of cultural norms may be greater in specific societal or material contexts, increasing the need for negotiations between competing understandings of different kin responsibilities, tensions and ambivalence. A pronounced generational-gap in cultural norms exists in Hong Kong. Ko (Chapter 5) highlighted substantial ambivalence in Hong Kong, </w:t>
      </w:r>
      <w:r>
        <w:rPr>
          <w:lang w:eastAsia="zh-CN"/>
        </w:rPr>
        <w:lastRenderedPageBreak/>
        <w:t xml:space="preserve">where the filial norms of piety towards grandparents and current norms that grandparents provide extensive support to their grandchildren were in conflict.  </w:t>
      </w:r>
    </w:p>
    <w:p w:rsidR="006B5089" w:rsidRDefault="006B5089">
      <w:pPr>
        <w:spacing w:line="360" w:lineRule="auto"/>
        <w:rPr>
          <w:lang w:eastAsia="zh-CN"/>
        </w:rPr>
      </w:pPr>
    </w:p>
    <w:p w:rsidR="006B5089" w:rsidRDefault="006B5089">
      <w:pPr>
        <w:pStyle w:val="CommentText"/>
        <w:spacing w:after="0" w:line="360" w:lineRule="auto"/>
        <w:rPr>
          <w:rFonts w:ascii="Times New Roman" w:hAnsi="Times New Roman" w:cs="Times New Roman"/>
          <w:sz w:val="24"/>
          <w:szCs w:val="24"/>
        </w:rPr>
      </w:pPr>
      <w:r>
        <w:rPr>
          <w:rFonts w:ascii="Times New Roman" w:hAnsi="Times New Roman" w:cs="Times New Roman"/>
          <w:sz w:val="24"/>
          <w:szCs w:val="24"/>
          <w:lang w:eastAsia="zh-CN"/>
        </w:rPr>
        <w:tab/>
        <w:t xml:space="preserve">Ambivalence and how grandparents negotiate contradictions between cultural norms were also highlighted in cases of divorce, especially in contexts where divorce is less normative, as in contemporary Ireland. Timonen and Doyle’s qualitative research (Chapter 8) on grandparenting following an adult child’s divorce in Ireland illustrated grandparents’ key role in the process of reorganising relationships within families following divorce. They showed how grandparents use agency to maintain (and sometimes to reduce) contact with their grandchildren, and how they actively renegotiated boundaries around the expectations of others about their grandparenting practices. They </w:t>
      </w:r>
      <w:r>
        <w:rPr>
          <w:rFonts w:ascii="Times New Roman" w:hAnsi="Times New Roman" w:cs="Times New Roman"/>
          <w:sz w:val="24"/>
          <w:szCs w:val="24"/>
        </w:rPr>
        <w:t>argue</w:t>
      </w:r>
      <w:r>
        <w:rPr>
          <w:rFonts w:ascii="Times New Roman" w:hAnsi="Times New Roman" w:cs="Times New Roman"/>
          <w:sz w:val="24"/>
          <w:szCs w:val="24"/>
          <w:lang w:eastAsia="zh-CN"/>
        </w:rPr>
        <w:t>d</w:t>
      </w:r>
      <w:r>
        <w:rPr>
          <w:rFonts w:ascii="Times New Roman" w:hAnsi="Times New Roman" w:cs="Times New Roman"/>
          <w:sz w:val="24"/>
          <w:szCs w:val="24"/>
        </w:rPr>
        <w:t xml:space="preserve"> that grandparental agency </w:t>
      </w:r>
      <w:r>
        <w:rPr>
          <w:rFonts w:ascii="Times New Roman" w:hAnsi="Times New Roman" w:cs="Times New Roman"/>
          <w:sz w:val="24"/>
          <w:szCs w:val="24"/>
          <w:lang w:eastAsia="zh-CN"/>
        </w:rPr>
        <w:t>was</w:t>
      </w:r>
      <w:r>
        <w:rPr>
          <w:rFonts w:ascii="Times New Roman" w:hAnsi="Times New Roman" w:cs="Times New Roman"/>
          <w:sz w:val="24"/>
          <w:szCs w:val="24"/>
        </w:rPr>
        <w:t xml:space="preserve"> </w:t>
      </w:r>
      <w:r>
        <w:rPr>
          <w:rFonts w:ascii="Times New Roman" w:hAnsi="Times New Roman" w:cs="Times New Roman"/>
          <w:sz w:val="24"/>
          <w:szCs w:val="24"/>
          <w:lang w:eastAsia="zh-CN"/>
        </w:rPr>
        <w:t xml:space="preserve">primarily </w:t>
      </w:r>
      <w:r>
        <w:rPr>
          <w:rFonts w:ascii="Times New Roman" w:hAnsi="Times New Roman" w:cs="Times New Roman"/>
          <w:sz w:val="24"/>
          <w:szCs w:val="24"/>
        </w:rPr>
        <w:t>motivated by the wish to maintain the</w:t>
      </w:r>
      <w:r>
        <w:rPr>
          <w:rFonts w:ascii="Times New Roman" w:hAnsi="Times New Roman" w:cs="Times New Roman"/>
          <w:sz w:val="24"/>
          <w:szCs w:val="24"/>
          <w:lang w:eastAsia="zh-CN"/>
        </w:rPr>
        <w:t>ir</w:t>
      </w:r>
      <w:r>
        <w:rPr>
          <w:rFonts w:ascii="Times New Roman" w:hAnsi="Times New Roman" w:cs="Times New Roman"/>
          <w:sz w:val="24"/>
          <w:szCs w:val="24"/>
        </w:rPr>
        <w:t xml:space="preserve"> grandchild</w:t>
      </w:r>
      <w:r>
        <w:rPr>
          <w:rFonts w:ascii="Times New Roman" w:hAnsi="Times New Roman" w:cs="Times New Roman"/>
          <w:sz w:val="24"/>
          <w:szCs w:val="24"/>
          <w:lang w:eastAsia="zh-CN"/>
        </w:rPr>
        <w:t>’s</w:t>
      </w:r>
      <w:r>
        <w:rPr>
          <w:rFonts w:ascii="Times New Roman" w:hAnsi="Times New Roman" w:cs="Times New Roman"/>
          <w:sz w:val="24"/>
          <w:szCs w:val="24"/>
        </w:rPr>
        <w:t xml:space="preserve"> well-being and to bridge formally dissolved family relations in order to secure contact with grandchildren. However, grandparents’ own well-being </w:t>
      </w:r>
      <w:r>
        <w:rPr>
          <w:rFonts w:ascii="Times New Roman" w:hAnsi="Times New Roman" w:cs="Times New Roman"/>
          <w:sz w:val="24"/>
          <w:szCs w:val="24"/>
          <w:lang w:eastAsia="zh-CN"/>
        </w:rPr>
        <w:t xml:space="preserve">could </w:t>
      </w:r>
      <w:r>
        <w:rPr>
          <w:rFonts w:ascii="Times New Roman" w:hAnsi="Times New Roman" w:cs="Times New Roman"/>
          <w:sz w:val="24"/>
          <w:szCs w:val="24"/>
        </w:rPr>
        <w:t xml:space="preserve">also be the driving consideration in situations where agency </w:t>
      </w:r>
      <w:r>
        <w:rPr>
          <w:rFonts w:ascii="Times New Roman" w:hAnsi="Times New Roman" w:cs="Times New Roman"/>
          <w:sz w:val="24"/>
          <w:szCs w:val="24"/>
          <w:lang w:eastAsia="zh-CN"/>
        </w:rPr>
        <w:t>wa</w:t>
      </w:r>
      <w:r>
        <w:rPr>
          <w:rFonts w:ascii="Times New Roman" w:hAnsi="Times New Roman" w:cs="Times New Roman"/>
          <w:sz w:val="24"/>
          <w:szCs w:val="24"/>
        </w:rPr>
        <w:t xml:space="preserve">s used to reduce involvement that </w:t>
      </w:r>
      <w:r>
        <w:rPr>
          <w:rFonts w:ascii="Times New Roman" w:hAnsi="Times New Roman" w:cs="Times New Roman"/>
          <w:sz w:val="24"/>
          <w:szCs w:val="24"/>
          <w:lang w:eastAsia="zh-CN"/>
        </w:rPr>
        <w:t>wa</w:t>
      </w:r>
      <w:r>
        <w:rPr>
          <w:rFonts w:ascii="Times New Roman" w:hAnsi="Times New Roman" w:cs="Times New Roman"/>
          <w:sz w:val="24"/>
          <w:szCs w:val="24"/>
        </w:rPr>
        <w:t>s experienced as onerous or excessive.</w:t>
      </w:r>
    </w:p>
    <w:p w:rsidR="006B5089" w:rsidRDefault="006B5089">
      <w:pPr>
        <w:pStyle w:val="CommentText"/>
        <w:spacing w:after="0" w:line="360" w:lineRule="auto"/>
        <w:rPr>
          <w:rFonts w:ascii="Times New Roman" w:hAnsi="Times New Roman" w:cs="Times New Roman"/>
          <w:sz w:val="24"/>
          <w:szCs w:val="24"/>
        </w:rPr>
      </w:pPr>
    </w:p>
    <w:p w:rsidR="006B5089" w:rsidRDefault="006B5089">
      <w:pPr>
        <w:spacing w:line="360" w:lineRule="auto"/>
        <w:ind w:firstLine="720"/>
        <w:rPr>
          <w:lang w:eastAsia="zh-CN"/>
        </w:rPr>
      </w:pPr>
      <w:r>
        <w:rPr>
          <w:lang w:eastAsia="zh-CN"/>
        </w:rPr>
        <w:t xml:space="preserve">Gender remains unacknowledged in many studies of grandparenting with very little research on grandfathering, especially among divorced or widowed grandfathers. An exception is Tarrant (Chapter 9) who considered grandfathering practices in the UK, among ‘still married’, ‘repartnered’ and widowed grandfathers. She examined the performance of masculinities among grandfathers following divorce and family reformation, shattering the myth that all divorced grandfathers have poorer relationships with their grandchildren. Her chapter showed how grandfathers were taking on new identities within their grandfathering role, and may be acting with agency to forge new caregiving relationships with their grandchildren, engaging more extensively in childcare practices than they did when their own children were young. She reminds us of the importance of taking into consideration generation, and the nature of generational influences on grandparenting, demonstrating how some grandfathers learn new grandparenting practices and behaviours by observing their adult sons’ fathering practices. In addition, new technologies open new spaces for the performance of masculinities among grandfathers, who may be more likely to communicate with their grandchildren through internet technologies. Skype calls mean that grandparenting relationships can be co-constructed, when grandparents and grandchildren are divided by great geographical distances. </w:t>
      </w:r>
    </w:p>
    <w:p w:rsidR="006B5089" w:rsidRDefault="006B5089">
      <w:pPr>
        <w:spacing w:line="360" w:lineRule="auto"/>
        <w:rPr>
          <w:rFonts w:cstheme="minorBidi"/>
          <w:lang w:eastAsia="zh-CN"/>
        </w:rPr>
      </w:pPr>
    </w:p>
    <w:p w:rsidR="006B5089" w:rsidRDefault="006B5089">
      <w:pPr>
        <w:spacing w:line="360" w:lineRule="auto"/>
        <w:rPr>
          <w:lang w:eastAsia="zh-CN"/>
        </w:rPr>
      </w:pPr>
      <w:r>
        <w:rPr>
          <w:rFonts w:cstheme="minorBidi"/>
          <w:lang w:eastAsia="zh-CN"/>
        </w:rPr>
        <w:lastRenderedPageBreak/>
        <w:tab/>
      </w:r>
      <w:r>
        <w:rPr>
          <w:lang w:eastAsia="zh-CN"/>
        </w:rPr>
        <w:t xml:space="preserve">A number of chapters illustrate the negotiated nature of grandparenting relationships and the paradoxes and ambivalences within these relationships. However, there remains a lack of attention to the gendered nature of grandparenting practices, including among grandfathers who are divorced or widowed. Much more research is needed on grandparenting following divorce and in more complex family configurations, and on how grandparenting practices vary by the intersections of gender, lineage and step-grandparenting, as well as class and ethnicity. These chapters build on the perspectives of the grandparent generation, while neglecting the perspectives of grandchildren, to which we now turn. </w:t>
      </w:r>
    </w:p>
    <w:p w:rsidR="006B5089" w:rsidRDefault="006B5089">
      <w:pPr>
        <w:spacing w:line="360" w:lineRule="auto"/>
        <w:rPr>
          <w:lang w:eastAsia="zh-CN"/>
        </w:rPr>
      </w:pPr>
    </w:p>
    <w:p w:rsidR="006B5089" w:rsidRDefault="006B5089">
      <w:pPr>
        <w:spacing w:line="360" w:lineRule="auto"/>
        <w:rPr>
          <w:rFonts w:cstheme="minorBidi"/>
          <w:b/>
          <w:bCs/>
          <w:lang w:eastAsia="zh-CN"/>
        </w:rPr>
      </w:pPr>
    </w:p>
    <w:p w:rsidR="006B5089" w:rsidRDefault="006B5089">
      <w:pPr>
        <w:spacing w:line="360" w:lineRule="auto"/>
        <w:rPr>
          <w:b/>
          <w:bCs/>
          <w:lang w:eastAsia="zh-CN"/>
        </w:rPr>
      </w:pPr>
      <w:r>
        <w:rPr>
          <w:b/>
          <w:bCs/>
          <w:lang w:eastAsia="zh-CN"/>
        </w:rPr>
        <w:t xml:space="preserve">A relational perspective and grandchildren’s agency </w:t>
      </w:r>
    </w:p>
    <w:p w:rsidR="006B5089" w:rsidRDefault="006B5089">
      <w:pPr>
        <w:spacing w:line="360" w:lineRule="auto"/>
        <w:rPr>
          <w:lang w:eastAsia="zh-CN"/>
        </w:rPr>
      </w:pPr>
      <w:r>
        <w:rPr>
          <w:lang w:eastAsia="zh-CN"/>
        </w:rPr>
        <w:t xml:space="preserve">The voices of grandchildren have been surprisingly absent in research on grandparenting. This is akin to assuming that the nature of couple relationships can be understood by only interviewing husbands (or wives). Clearly each party will have differing perspectives on the nature of the grandparent-grandchild relationship, as well as varying degrees of influence on different aspects of this relationship. Research in the sociology of childhood has emphasised that children have agency over their relationships and has pioneered new methodologies for researching and hearing the voices of children (James et al, 1998; Knappe, 1999; Greene and Hogan, 2005), but has not yet had a major influence on approaches within research on grandparent-grandchild relationships.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Earlier research on grandparents emphasised the importance of grandparents as socialisation agents for grandchildren (Neugarten and Weinstein, 1964), and portrayed a one-way influence of grandparents on grandchildren. Later work also emphasised the potentially mediating role of the middle generation in influencing grandparent-grandchild relationships (Robertson, 1976). This ‘downward’ model has neglected consideration of upward flows of influence from the grandchild to the grandparent, and that older grandchildren may influence the nature of the grandparent-adult child relationship; all three generations should be considered in order to fully understand grandparent-grandchild relationships (Hagestad, 1985). </w:t>
      </w:r>
    </w:p>
    <w:p w:rsidR="006B5089" w:rsidRDefault="006B5089">
      <w:pPr>
        <w:spacing w:line="360" w:lineRule="auto"/>
        <w:rPr>
          <w:lang w:eastAsia="zh-CN"/>
        </w:rPr>
      </w:pPr>
    </w:p>
    <w:p w:rsidR="006B5089" w:rsidRDefault="006B5089">
      <w:pPr>
        <w:spacing w:line="360" w:lineRule="auto"/>
        <w:rPr>
          <w:lang w:eastAsia="zh-CN"/>
        </w:rPr>
      </w:pPr>
      <w:r>
        <w:rPr>
          <w:lang w:eastAsia="zh-CN"/>
        </w:rPr>
        <w:tab/>
        <w:t>The practices of grandparenting can only be understood through a broader relational approach that ‘emphasises the individual’s place within a dynamic and continuous set of transactional processes’ (Hillcoat-Nall</w:t>
      </w:r>
      <w:r>
        <w:t>é</w:t>
      </w:r>
      <w:r>
        <w:rPr>
          <w:lang w:eastAsia="zh-CN"/>
        </w:rPr>
        <w:t xml:space="preserve">tamby and Phillips, 2011: 212). Thus, grandparents </w:t>
      </w:r>
      <w:r>
        <w:rPr>
          <w:lang w:eastAsia="zh-CN"/>
        </w:rPr>
        <w:lastRenderedPageBreak/>
        <w:t xml:space="preserve">must be seen within an interactional network which involves not only the grandparent and grandchild, but also the parent(s) and potentially other family members. Within a relational perspective all three generations may be seen as having agency over the nature of the relationships.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Matos and Neves (Chapter 10) used qualitative interview data to illustrate how adolescent children in Portugal influenced the behaviour and opinions of their ‘emotionally closest’ grandparent. Grandchildren exercised agency in altering their grandparents’ use of IT and domestic appliances, altering their dietary behaviour, and their attitudes towards contemporary social issues. The influence of grandchildren on their grandparents was greatest where the dyad shared activities and had an emotionally close relationship. In many cases, among these adolescent grandchildren, there was little mediation of the relationship by the middle (adult child) generation.  </w:t>
      </w:r>
    </w:p>
    <w:p w:rsidR="006B5089" w:rsidRDefault="006B5089">
      <w:pPr>
        <w:spacing w:line="360" w:lineRule="auto"/>
        <w:rPr>
          <w:lang w:eastAsia="zh-CN"/>
        </w:rPr>
      </w:pPr>
    </w:p>
    <w:p w:rsidR="006B5089" w:rsidRDefault="006B5089">
      <w:pPr>
        <w:spacing w:line="360" w:lineRule="auto"/>
        <w:rPr>
          <w:lang w:eastAsia="zh-CN"/>
        </w:rPr>
      </w:pPr>
      <w:r>
        <w:rPr>
          <w:lang w:eastAsia="zh-CN"/>
        </w:rPr>
        <w:tab/>
        <w:t xml:space="preserve">The importance of taking a three generational perspective was illustrated by Mahne and Huxhold (Chapter 11). Their methodologically innovative chapter simultaneously considered the impact of the grandparent, adult child and grandchild on the frequency of face-to-face contact between grandparents and older grandchildren. By using nationally representative German data on contact with a randomly selected grandchild within the family of </w:t>
      </w:r>
      <w:r>
        <w:rPr>
          <w:i/>
          <w:iCs/>
          <w:lang w:eastAsia="zh-CN"/>
        </w:rPr>
        <w:t>each</w:t>
      </w:r>
      <w:r>
        <w:rPr>
          <w:lang w:eastAsia="zh-CN"/>
        </w:rPr>
        <w:t xml:space="preserve"> adult child, they disentangled within-family and between-family variation in grandparent-grandchild contact. The impact of social changes such as divorce was addressed, showing that divorced grandparents (especially grandfathers) had less contact with their grandchildren, while divorce among the middle generation only resulted in less contact with paternal grandparents. They demonstrated how the adult child generation moderated the nature of grandparenting even with older grandchildren, who no longer lived in the parental home. </w:t>
      </w:r>
    </w:p>
    <w:p w:rsidR="006B5089" w:rsidRDefault="006B5089">
      <w:pPr>
        <w:spacing w:line="360" w:lineRule="auto"/>
        <w:rPr>
          <w:lang w:eastAsia="zh-CN"/>
        </w:rPr>
      </w:pPr>
    </w:p>
    <w:p w:rsidR="006B5089" w:rsidRDefault="006B5089">
      <w:pPr>
        <w:spacing w:line="360" w:lineRule="auto"/>
        <w:ind w:firstLine="720"/>
        <w:rPr>
          <w:lang w:eastAsia="zh-CN"/>
        </w:rPr>
      </w:pPr>
      <w:r>
        <w:rPr>
          <w:lang w:eastAsia="zh-CN"/>
        </w:rPr>
        <w:t xml:space="preserve">In their varying ways, these two chapters illustrate the agency of each party within the triad. Chapter 10 used qualitative research to focus on the ‘grandchilding’ practices of adolescent grandchildren and how they influenced their emotionally closest grandparent. In contrast, Chapter 11 used sophisticated multi-level statistical analysis to analyse the triad of grandparent - adult child - grandchild, and simultaneously measured the independent influence of each party on the frequency of grandparent-grandchild contact.  </w:t>
      </w:r>
    </w:p>
    <w:p w:rsidR="006B5089" w:rsidRDefault="006B5089">
      <w:pPr>
        <w:pStyle w:val="Heading1"/>
        <w:spacing w:line="360" w:lineRule="auto"/>
        <w:rPr>
          <w:rFonts w:cstheme="minorBidi"/>
        </w:rPr>
      </w:pPr>
    </w:p>
    <w:p w:rsidR="006B5089" w:rsidRDefault="006B5089">
      <w:pPr>
        <w:rPr>
          <w:rFonts w:cstheme="minorBidi"/>
          <w:lang w:eastAsia="zh-CN"/>
        </w:rPr>
      </w:pPr>
    </w:p>
    <w:p w:rsidR="006B5089" w:rsidRDefault="006B5089">
      <w:pPr>
        <w:pStyle w:val="Heading1"/>
        <w:spacing w:line="360" w:lineRule="auto"/>
      </w:pPr>
      <w:r>
        <w:t>Concluding remarks</w:t>
      </w:r>
    </w:p>
    <w:p w:rsidR="006B5089" w:rsidRDefault="006B5089">
      <w:pPr>
        <w:spacing w:line="360" w:lineRule="auto"/>
        <w:rPr>
          <w:rFonts w:cstheme="minorBidi"/>
          <w:lang w:eastAsia="zh-CN"/>
        </w:rPr>
      </w:pPr>
      <w:r>
        <w:rPr>
          <w:lang w:eastAsia="zh-CN"/>
        </w:rPr>
        <w:t>This collection has brought</w:t>
      </w:r>
      <w:r>
        <w:t xml:space="preserve"> to light novel findings, arguments and conceptualisations of grandparent</w:t>
      </w:r>
      <w:r>
        <w:rPr>
          <w:lang w:eastAsia="zh-CN"/>
        </w:rPr>
        <w:t>ing</w:t>
      </w:r>
      <w:r>
        <w:t xml:space="preserve"> that </w:t>
      </w:r>
      <w:r>
        <w:rPr>
          <w:lang w:eastAsia="zh-CN"/>
        </w:rPr>
        <w:t xml:space="preserve">provide a basis for </w:t>
      </w:r>
      <w:r>
        <w:t>advanc</w:t>
      </w:r>
      <w:r>
        <w:rPr>
          <w:lang w:eastAsia="zh-CN"/>
        </w:rPr>
        <w:t>ing</w:t>
      </w:r>
      <w:r>
        <w:t xml:space="preserve"> research </w:t>
      </w:r>
      <w:r>
        <w:rPr>
          <w:lang w:eastAsia="zh-CN"/>
        </w:rPr>
        <w:t>on family relationships</w:t>
      </w:r>
      <w:r>
        <w:t xml:space="preserve">. However, we also wish to acknowledge limitations. </w:t>
      </w:r>
      <w:r>
        <w:rPr>
          <w:lang w:eastAsia="zh-CN"/>
        </w:rPr>
        <w:t>Although</w:t>
      </w:r>
      <w:r>
        <w:t xml:space="preserve"> this book </w:t>
      </w:r>
      <w:r>
        <w:rPr>
          <w:lang w:eastAsia="zh-CN"/>
        </w:rPr>
        <w:t xml:space="preserve">covers a range of contexts (Europe, US, China, Hong Kong, Singapore), it is mainly </w:t>
      </w:r>
      <w:r>
        <w:t xml:space="preserve">about grandparenting in developed countries. </w:t>
      </w:r>
      <w:r>
        <w:rPr>
          <w:lang w:eastAsia="zh-CN"/>
        </w:rPr>
        <w:t>G</w:t>
      </w:r>
      <w:r>
        <w:t xml:space="preserve">randparenting </w:t>
      </w:r>
      <w:r>
        <w:rPr>
          <w:lang w:eastAsia="zh-CN"/>
        </w:rPr>
        <w:t xml:space="preserve">may be </w:t>
      </w:r>
      <w:r>
        <w:t xml:space="preserve">of </w:t>
      </w:r>
      <w:r>
        <w:rPr>
          <w:lang w:eastAsia="zh-CN"/>
        </w:rPr>
        <w:t xml:space="preserve">particular </w:t>
      </w:r>
      <w:r>
        <w:t xml:space="preserve">salience in developing countries where grandparents are often </w:t>
      </w:r>
      <w:r>
        <w:rPr>
          <w:lang w:eastAsia="zh-CN"/>
        </w:rPr>
        <w:t xml:space="preserve">critical for </w:t>
      </w:r>
      <w:r>
        <w:t>the well</w:t>
      </w:r>
      <w:r>
        <w:rPr>
          <w:rFonts w:ascii="Calibri" w:hAnsi="Calibri" w:cs="Calibri"/>
          <w:lang w:eastAsia="zh-CN"/>
        </w:rPr>
        <w:t>-</w:t>
      </w:r>
      <w:r>
        <w:t xml:space="preserve">being of their grandchildren, adult children and indeed societies and economies as a whole (Oppong, 2006; Oduaran and Oduaran, 2010). </w:t>
      </w:r>
    </w:p>
    <w:p w:rsidR="006B5089" w:rsidRDefault="006B5089">
      <w:pPr>
        <w:spacing w:line="360" w:lineRule="auto"/>
        <w:rPr>
          <w:rFonts w:cstheme="minorBidi"/>
          <w:lang w:eastAsia="zh-CN"/>
        </w:rPr>
      </w:pPr>
    </w:p>
    <w:p w:rsidR="006B5089" w:rsidRDefault="006B5089">
      <w:pPr>
        <w:spacing w:line="360" w:lineRule="auto"/>
        <w:ind w:firstLine="720"/>
        <w:rPr>
          <w:rFonts w:cstheme="minorBidi"/>
          <w:lang w:eastAsia="zh-CN"/>
        </w:rPr>
      </w:pPr>
      <w:r>
        <w:rPr>
          <w:lang w:eastAsia="zh-CN"/>
        </w:rPr>
        <w:t>Globalisation has increased distance between family members, and d</w:t>
      </w:r>
      <w:r>
        <w:t>istance matters (Cherlin and Furstenberg</w:t>
      </w:r>
      <w:r>
        <w:rPr>
          <w:lang w:eastAsia="zh-CN"/>
        </w:rPr>
        <w:t>,</w:t>
      </w:r>
      <w:r>
        <w:t xml:space="preserve"> 1992)</w:t>
      </w:r>
      <w:r>
        <w:rPr>
          <w:lang w:eastAsia="zh-CN"/>
        </w:rPr>
        <w:t xml:space="preserve">. However, we know little about </w:t>
      </w:r>
      <w:r>
        <w:t>grandparenting at a very long distance</w:t>
      </w:r>
      <w:r>
        <w:rPr>
          <w:lang w:eastAsia="zh-CN"/>
        </w:rPr>
        <w:t>, for example in</w:t>
      </w:r>
      <w:r>
        <w:t xml:space="preserve"> transnational families</w:t>
      </w:r>
      <w:r>
        <w:rPr>
          <w:lang w:eastAsia="zh-CN"/>
        </w:rPr>
        <w:t xml:space="preserve">. In western countries, the increasing </w:t>
      </w:r>
      <w:r>
        <w:t xml:space="preserve">prevalence of divorce, re-partnering and step-families, </w:t>
      </w:r>
      <w:r>
        <w:rPr>
          <w:lang w:eastAsia="zh-CN"/>
        </w:rPr>
        <w:t xml:space="preserve">means that </w:t>
      </w:r>
      <w:r>
        <w:t xml:space="preserve">step-grandparenting is a more common experience, yet remains poorly understood. New patterns in family reciprocity, including </w:t>
      </w:r>
      <w:r>
        <w:rPr>
          <w:lang w:eastAsia="zh-CN"/>
        </w:rPr>
        <w:t xml:space="preserve">within </w:t>
      </w:r>
      <w:r>
        <w:t>step-families and transnational families, are examined in the edited collection by Izuhara (2010)</w:t>
      </w:r>
      <w:r>
        <w:rPr>
          <w:lang w:eastAsia="zh-CN"/>
        </w:rPr>
        <w:t>, but need further study</w:t>
      </w:r>
      <w:r>
        <w:t>. Great-grandparenting may also become more important with four or even five surviving generations in some families, and calls for research.</w:t>
      </w:r>
    </w:p>
    <w:p w:rsidR="006B5089" w:rsidRDefault="006B5089">
      <w:pPr>
        <w:pStyle w:val="BodyText2"/>
        <w:spacing w:before="0" w:line="360" w:lineRule="auto"/>
        <w:rPr>
          <w:rFonts w:cstheme="minorBidi"/>
        </w:rPr>
      </w:pPr>
    </w:p>
    <w:p w:rsidR="006B5089" w:rsidRDefault="006B5089">
      <w:pPr>
        <w:pStyle w:val="BodyText2"/>
        <w:spacing w:before="0" w:line="360" w:lineRule="auto"/>
      </w:pPr>
      <w:r>
        <w:t xml:space="preserve">Gender often remains unacknowledged in both macro-level and micro-level studies of grandparenting. For example, where an older couple provide grandchild care, few studies analyse the divisions of grandchild labour in terms of the relative roles of each grandparent in grandchild care. We could draw an analogy with the lack of research on the gendered divisions of household work and childcare prior to feminist research from the 1970s onwards. Future studies should more explicitly tease out the gendered dimensions of grandparenting practices, including emotional aspects of relationships with grandchildren. </w:t>
      </w:r>
    </w:p>
    <w:p w:rsidR="006B5089" w:rsidRDefault="006B5089">
      <w:pPr>
        <w:spacing w:line="360" w:lineRule="auto"/>
        <w:ind w:firstLine="720"/>
        <w:rPr>
          <w:rFonts w:cstheme="minorBidi"/>
          <w:lang w:eastAsia="zh-CN"/>
        </w:rPr>
      </w:pPr>
    </w:p>
    <w:p w:rsidR="006B5089" w:rsidRDefault="006B5089">
      <w:pPr>
        <w:spacing w:line="360" w:lineRule="auto"/>
        <w:ind w:firstLine="720"/>
        <w:rPr>
          <w:lang w:eastAsia="zh-CN"/>
        </w:rPr>
      </w:pPr>
      <w:r>
        <w:rPr>
          <w:lang w:eastAsia="zh-CN"/>
        </w:rPr>
        <w:t xml:space="preserve">Divorce and family reconstitution throw into sharp relief issues of how gender is implicated in grandparenting practices. We need to better understand the constraints and possibilities associated with grandfathering following divorce and widowhood, and how this contrasts with grandmothering by divorced/widowed women. The growth of same-sex families (Heaphy, 2007) has not been matched by research on grandparenting in relation to </w:t>
      </w:r>
      <w:r>
        <w:rPr>
          <w:lang w:eastAsia="zh-CN"/>
        </w:rPr>
        <w:lastRenderedPageBreak/>
        <w:t xml:space="preserve">same-sex couples within the parent (middle) generation or among same-sex grandparents, or how gender influences the expectations and practices of members of any of the three relevant generations. </w:t>
      </w:r>
    </w:p>
    <w:p w:rsidR="006B5089" w:rsidRDefault="006B5089">
      <w:pPr>
        <w:spacing w:line="360" w:lineRule="auto"/>
        <w:rPr>
          <w:lang w:eastAsia="zh-CN"/>
        </w:rPr>
      </w:pPr>
      <w:r>
        <w:rPr>
          <w:lang w:eastAsia="zh-CN"/>
        </w:rPr>
        <w:t xml:space="preserve">  </w:t>
      </w:r>
    </w:p>
    <w:p w:rsidR="006B5089" w:rsidRDefault="006B5089">
      <w:pPr>
        <w:spacing w:line="360" w:lineRule="auto"/>
      </w:pPr>
      <w:r>
        <w:rPr>
          <w:rFonts w:cstheme="minorBidi"/>
        </w:rPr>
        <w:tab/>
      </w:r>
      <w:r>
        <w:t xml:space="preserve">This volume </w:t>
      </w:r>
      <w:r>
        <w:rPr>
          <w:lang w:eastAsia="zh-CN"/>
        </w:rPr>
        <w:t xml:space="preserve">does </w:t>
      </w:r>
      <w:r>
        <w:t xml:space="preserve">contain chapters that take the exhortation to take a three-generational approach seriously; for instance </w:t>
      </w:r>
      <w:r>
        <w:rPr>
          <w:lang w:eastAsia="zh-CN"/>
        </w:rPr>
        <w:t xml:space="preserve">Chapter 11 and </w:t>
      </w:r>
      <w:r>
        <w:t xml:space="preserve">several other </w:t>
      </w:r>
      <w:r>
        <w:rPr>
          <w:lang w:eastAsia="zh-CN"/>
        </w:rPr>
        <w:t>chapters</w:t>
      </w:r>
      <w:r>
        <w:t xml:space="preserve"> are attuned to the role and impact of the middle generation. However, we adhere to Szinovacz’s </w:t>
      </w:r>
      <w:r>
        <w:rPr>
          <w:lang w:eastAsia="zh-CN"/>
        </w:rPr>
        <w:t xml:space="preserve">(1998) </w:t>
      </w:r>
      <w:r>
        <w:t>recommendation that triads and indeed broader family groups and horizontal family relationships call for more research. For instance, the impact of relationships between maternal and paternal grandparents within a family on the experience of grandparenting</w:t>
      </w:r>
      <w:r>
        <w:rPr>
          <w:rFonts w:ascii="Calibri" w:hAnsi="Calibri" w:cs="Calibri"/>
          <w:lang w:eastAsia="zh-CN"/>
        </w:rPr>
        <w:t>,</w:t>
      </w:r>
      <w:r>
        <w:t xml:space="preserve"> and the experience of being a grandchild</w:t>
      </w:r>
      <w:r>
        <w:rPr>
          <w:rFonts w:ascii="Calibri" w:hAnsi="Calibri" w:cs="Calibri"/>
          <w:lang w:eastAsia="zh-CN"/>
        </w:rPr>
        <w:t>,</w:t>
      </w:r>
      <w:r>
        <w:t xml:space="preserve"> remain poorly understood. </w:t>
      </w:r>
    </w:p>
    <w:p w:rsidR="006B5089" w:rsidRDefault="006B5089">
      <w:pPr>
        <w:spacing w:line="360" w:lineRule="auto"/>
      </w:pPr>
    </w:p>
    <w:p w:rsidR="006B5089" w:rsidRDefault="006B5089">
      <w:pPr>
        <w:spacing w:line="360" w:lineRule="auto"/>
        <w:rPr>
          <w:rFonts w:cstheme="minorBidi"/>
          <w:b/>
          <w:bCs/>
          <w:lang w:eastAsia="zh-CN"/>
        </w:rPr>
      </w:pPr>
      <w:r>
        <w:tab/>
      </w:r>
      <w:r>
        <w:rPr>
          <w:i/>
          <w:iCs/>
        </w:rPr>
        <w:t xml:space="preserve">Contemporary grandparenting </w:t>
      </w:r>
      <w:r>
        <w:rPr>
          <w:lang w:eastAsia="zh-CN"/>
        </w:rPr>
        <w:t xml:space="preserve">has illuminated some of the newer contours of grandparenting in a diversity of societal and cultural contexts. Chapters have examined how grandparenting is influenced by cultural norms and welfare policies, as well as global trends associated with demographic changes, migration and increases in women’s employment. The importance of examining the </w:t>
      </w:r>
      <w:r>
        <w:rPr>
          <w:i/>
          <w:iCs/>
          <w:lang w:eastAsia="zh-CN"/>
        </w:rPr>
        <w:t>doing</w:t>
      </w:r>
      <w:r>
        <w:rPr>
          <w:lang w:eastAsia="zh-CN"/>
        </w:rPr>
        <w:t xml:space="preserve"> of grandparenting has been emphasised, together with the value of using a relational perspective to understand the negotiated nature of grandparent - adult child - grandchild relationships and the agency of each party within these three generational relationships. Key cross-cutting dimensions include the salience of gender, age (or generation), marital status, and structured inequalities associated with class and material resources. Themes addressed in this book represent </w:t>
      </w:r>
      <w:r>
        <w:t>a rich are</w:t>
      </w:r>
      <w:r>
        <w:rPr>
          <w:lang w:eastAsia="zh-CN"/>
        </w:rPr>
        <w:t>na</w:t>
      </w:r>
      <w:r>
        <w:t xml:space="preserve"> for future research, given the rapid pace of </w:t>
      </w:r>
      <w:r w:rsidR="00147687">
        <w:t xml:space="preserve">global and </w:t>
      </w:r>
      <w:r>
        <w:t>societal changes, increased scope for agency in many contexts, and the fact that g</w:t>
      </w:r>
      <w:bookmarkStart w:id="0" w:name="_GoBack"/>
      <w:bookmarkEnd w:id="0"/>
      <w:r>
        <w:t>randparenting is at the fulcrum of family relationships</w:t>
      </w:r>
      <w:r>
        <w:rPr>
          <w:lang w:eastAsia="zh-CN"/>
        </w:rPr>
        <w:t>.</w:t>
      </w:r>
    </w:p>
    <w:p w:rsidR="006B5089" w:rsidRDefault="006B5089">
      <w:pPr>
        <w:spacing w:line="360" w:lineRule="auto"/>
        <w:rPr>
          <w:rFonts w:cstheme="minorBidi"/>
          <w:b/>
          <w:bCs/>
          <w:lang w:eastAsia="zh-CN"/>
        </w:rPr>
      </w:pPr>
    </w:p>
    <w:p w:rsidR="006B5089" w:rsidRDefault="006B5089">
      <w:pPr>
        <w:spacing w:line="360" w:lineRule="auto"/>
        <w:rPr>
          <w:rFonts w:cstheme="minorBidi"/>
          <w:b/>
          <w:bCs/>
          <w:lang w:eastAsia="zh-CN"/>
        </w:rPr>
      </w:pPr>
    </w:p>
    <w:p w:rsidR="006B5089" w:rsidRDefault="006B5089">
      <w:pPr>
        <w:pStyle w:val="Heading1"/>
        <w:spacing w:line="360" w:lineRule="auto"/>
      </w:pPr>
      <w:r>
        <w:t>Notes</w:t>
      </w:r>
    </w:p>
    <w:p w:rsidR="006B5089" w:rsidRDefault="006B5089">
      <w:pPr>
        <w:spacing w:line="360" w:lineRule="auto"/>
        <w:rPr>
          <w:lang w:eastAsia="zh-CN"/>
        </w:rPr>
      </w:pPr>
      <w:r>
        <w:rPr>
          <w:lang w:eastAsia="zh-CN"/>
        </w:rPr>
        <w:t xml:space="preserve">1.    Gunhild Hagestad coined the concept of grandparents as a ‘reserve’ army (personal communication), building on her earlier discussion of grandparents in the US as the ‘family National Guard’ (Hagestad, 1985).  </w:t>
      </w:r>
    </w:p>
    <w:p w:rsidR="006B5089" w:rsidRDefault="006B5089">
      <w:pPr>
        <w:rPr>
          <w:rFonts w:cstheme="minorBidi"/>
          <w:lang w:eastAsia="zh-CN"/>
        </w:rPr>
      </w:pPr>
      <w:r>
        <w:rPr>
          <w:rFonts w:cstheme="minorBidi"/>
          <w:lang w:eastAsia="zh-CN"/>
        </w:rPr>
        <w:br w:type="page"/>
      </w:r>
    </w:p>
    <w:p w:rsidR="006B5089" w:rsidRDefault="006B5089">
      <w:pPr>
        <w:pStyle w:val="Heading1"/>
        <w:spacing w:line="360" w:lineRule="auto"/>
      </w:pPr>
      <w:r>
        <w:lastRenderedPageBreak/>
        <w:t>References</w:t>
      </w:r>
    </w:p>
    <w:p w:rsidR="006B5089" w:rsidRDefault="006B5089">
      <w:pPr>
        <w:spacing w:line="360" w:lineRule="auto"/>
        <w:ind w:firstLine="709"/>
        <w:rPr>
          <w:lang w:eastAsia="zh-CN"/>
        </w:rPr>
      </w:pPr>
      <w:r>
        <w:rPr>
          <w:lang w:eastAsia="zh-CN"/>
        </w:rPr>
        <w:t xml:space="preserve">Albertini, M, Kohli, M. and Vogel, C. (2007) ‘Intergenerational transfers of time and money in European families: Common patterns – different regimes?’ </w:t>
      </w:r>
      <w:r>
        <w:rPr>
          <w:i/>
          <w:iCs/>
          <w:lang w:eastAsia="zh-CN"/>
        </w:rPr>
        <w:t>Journal of European Social Policy</w:t>
      </w:r>
      <w:r>
        <w:rPr>
          <w:lang w:eastAsia="zh-CN"/>
        </w:rPr>
        <w:t>, vol 17, no 4, pp 319-334.</w:t>
      </w:r>
    </w:p>
    <w:p w:rsidR="006B5089" w:rsidRDefault="006B5089">
      <w:pPr>
        <w:spacing w:line="360" w:lineRule="auto"/>
        <w:ind w:firstLine="709"/>
        <w:rPr>
          <w:rFonts w:cstheme="minorBidi"/>
          <w:lang w:eastAsia="zh-CN"/>
        </w:rPr>
      </w:pPr>
      <w:r>
        <w:rPr>
          <w:lang w:eastAsia="zh-CN"/>
        </w:rPr>
        <w:t xml:space="preserve">Arber S. and Attias-Donfut C. (eds) (2000) </w:t>
      </w:r>
      <w:r>
        <w:rPr>
          <w:i/>
          <w:iCs/>
          <w:lang w:eastAsia="zh-CN"/>
        </w:rPr>
        <w:t xml:space="preserve">The Myth of generational conflict: The family and state in ageing societies, </w:t>
      </w:r>
      <w:r>
        <w:rPr>
          <w:lang w:eastAsia="zh-CN"/>
        </w:rPr>
        <w:t>London: Routledge</w:t>
      </w:r>
      <w:r>
        <w:rPr>
          <w:i/>
          <w:iCs/>
          <w:lang w:eastAsia="zh-CN"/>
        </w:rPr>
        <w:t>.</w:t>
      </w:r>
    </w:p>
    <w:p w:rsidR="006B5089" w:rsidRDefault="006B5089">
      <w:pPr>
        <w:spacing w:line="360" w:lineRule="auto"/>
        <w:ind w:firstLine="709"/>
        <w:rPr>
          <w:lang w:eastAsia="zh-CN"/>
        </w:rPr>
      </w:pPr>
      <w:r>
        <w:rPr>
          <w:lang w:eastAsia="zh-CN"/>
        </w:rPr>
        <w:t xml:space="preserve">Attias-Donfut, C, Ogg, J. and Wolff, F.C. (2005) ‘European patterns of intergenerational financial and time transfers’, </w:t>
      </w:r>
      <w:r>
        <w:rPr>
          <w:i/>
          <w:iCs/>
          <w:lang w:eastAsia="zh-CN"/>
        </w:rPr>
        <w:t>European Journal of Ageing</w:t>
      </w:r>
      <w:r>
        <w:rPr>
          <w:lang w:eastAsia="zh-CN"/>
        </w:rPr>
        <w:t>, vol 2, no 3, pp 161-173.</w:t>
      </w:r>
    </w:p>
    <w:p w:rsidR="006B5089" w:rsidRDefault="006B5089">
      <w:pPr>
        <w:spacing w:line="360" w:lineRule="auto"/>
        <w:ind w:firstLine="709"/>
        <w:rPr>
          <w:lang w:eastAsia="zh-CN"/>
        </w:rPr>
      </w:pPr>
      <w:r>
        <w:rPr>
          <w:lang w:eastAsia="zh-CN"/>
        </w:rPr>
        <w:t xml:space="preserve">Bengtson, V. and Harootyan, R.A. (1994) </w:t>
      </w:r>
      <w:r>
        <w:rPr>
          <w:i/>
          <w:iCs/>
          <w:lang w:eastAsia="zh-CN"/>
        </w:rPr>
        <w:t>Intergenerational linkages: Hidden connections in American society</w:t>
      </w:r>
      <w:r>
        <w:rPr>
          <w:lang w:eastAsia="zh-CN"/>
        </w:rPr>
        <w:t>, New York, NY: Springer.</w:t>
      </w:r>
    </w:p>
    <w:p w:rsidR="006B5089" w:rsidRDefault="006B5089">
      <w:pPr>
        <w:spacing w:line="360" w:lineRule="auto"/>
        <w:ind w:firstLine="709"/>
        <w:rPr>
          <w:lang w:eastAsia="zh-CN"/>
        </w:rPr>
      </w:pPr>
      <w:r>
        <w:rPr>
          <w:lang w:eastAsia="zh-CN"/>
        </w:rPr>
        <w:t xml:space="preserve">Bowling, A. (2003) ‘The concepts of successful and positive ageing’, </w:t>
      </w:r>
      <w:r>
        <w:rPr>
          <w:i/>
          <w:iCs/>
          <w:lang w:eastAsia="zh-CN"/>
        </w:rPr>
        <w:t>Family Practice</w:t>
      </w:r>
      <w:r>
        <w:rPr>
          <w:lang w:eastAsia="zh-CN"/>
        </w:rPr>
        <w:t>, vol 10, no 4, pp 449-453.</w:t>
      </w:r>
    </w:p>
    <w:p w:rsidR="006B5089" w:rsidRDefault="006B5089">
      <w:pPr>
        <w:spacing w:line="360" w:lineRule="auto"/>
        <w:ind w:firstLine="709"/>
        <w:rPr>
          <w:lang w:eastAsia="zh-CN"/>
        </w:rPr>
      </w:pPr>
      <w:r>
        <w:rPr>
          <w:lang w:eastAsia="zh-CN"/>
        </w:rPr>
        <w:t xml:space="preserve">Chambers, P, Allan, G, Phillipson, C. and Ray, M. (2009) </w:t>
      </w:r>
      <w:r>
        <w:rPr>
          <w:i/>
          <w:iCs/>
          <w:lang w:eastAsia="zh-CN"/>
        </w:rPr>
        <w:t>Family practices in later life</w:t>
      </w:r>
      <w:r>
        <w:rPr>
          <w:lang w:eastAsia="zh-CN"/>
        </w:rPr>
        <w:t>, Bristol: The Policy Press.</w:t>
      </w:r>
    </w:p>
    <w:p w:rsidR="006B5089" w:rsidRDefault="006B5089">
      <w:pPr>
        <w:spacing w:line="360" w:lineRule="auto"/>
        <w:ind w:firstLine="709"/>
        <w:rPr>
          <w:noProof/>
        </w:rPr>
      </w:pPr>
      <w:r>
        <w:rPr>
          <w:noProof/>
        </w:rPr>
        <w:t xml:space="preserve">Cherlin, A.J. and Furstenberg, F.F. (1992) </w:t>
      </w:r>
      <w:r>
        <w:rPr>
          <w:i/>
          <w:iCs/>
          <w:noProof/>
        </w:rPr>
        <w:t>The new American grandparent</w:t>
      </w:r>
      <w:r>
        <w:rPr>
          <w:noProof/>
        </w:rPr>
        <w:t>, Cambridge, MA: Harvard University Press.</w:t>
      </w:r>
    </w:p>
    <w:p w:rsidR="006B5089" w:rsidRDefault="006B5089">
      <w:pPr>
        <w:spacing w:line="360" w:lineRule="auto"/>
        <w:ind w:firstLine="709"/>
        <w:rPr>
          <w:lang w:eastAsia="zh-CN"/>
        </w:rPr>
      </w:pPr>
      <w:r>
        <w:rPr>
          <w:lang w:eastAsia="zh-CN"/>
        </w:rPr>
        <w:t xml:space="preserve">Dench, G. and Ogg, J. (2002) </w:t>
      </w:r>
      <w:r>
        <w:rPr>
          <w:i/>
          <w:iCs/>
          <w:lang w:eastAsia="zh-CN"/>
        </w:rPr>
        <w:t>Grandparenting in Britain: A baseline study</w:t>
      </w:r>
      <w:r>
        <w:rPr>
          <w:lang w:eastAsia="zh-CN"/>
        </w:rPr>
        <w:t xml:space="preserve">, London: Institute of Community Studies. </w:t>
      </w:r>
    </w:p>
    <w:p w:rsidR="006B5089" w:rsidRDefault="006B5089">
      <w:pPr>
        <w:spacing w:line="360" w:lineRule="auto"/>
        <w:ind w:firstLine="709"/>
        <w:rPr>
          <w:lang w:eastAsia="zh-CN"/>
        </w:rPr>
      </w:pPr>
      <w:r>
        <w:rPr>
          <w:lang w:eastAsia="zh-CN"/>
        </w:rPr>
        <w:t xml:space="preserve">Evandrou, M. (1997) </w:t>
      </w:r>
      <w:r>
        <w:rPr>
          <w:i/>
          <w:iCs/>
          <w:lang w:eastAsia="zh-CN"/>
        </w:rPr>
        <w:t>Baby boomers: Ageing in the 21</w:t>
      </w:r>
      <w:r>
        <w:rPr>
          <w:i/>
          <w:iCs/>
          <w:vertAlign w:val="superscript"/>
          <w:lang w:eastAsia="zh-CN"/>
        </w:rPr>
        <w:t>st</w:t>
      </w:r>
      <w:r>
        <w:rPr>
          <w:i/>
          <w:iCs/>
          <w:lang w:eastAsia="zh-CN"/>
        </w:rPr>
        <w:t xml:space="preserve"> century</w:t>
      </w:r>
      <w:r>
        <w:rPr>
          <w:lang w:eastAsia="zh-CN"/>
        </w:rPr>
        <w:t>, London: Age Concern.</w:t>
      </w:r>
    </w:p>
    <w:p w:rsidR="006B5089" w:rsidRDefault="006B5089">
      <w:pPr>
        <w:spacing w:line="360" w:lineRule="auto"/>
        <w:ind w:firstLine="709"/>
        <w:rPr>
          <w:lang w:eastAsia="zh-CN"/>
        </w:rPr>
      </w:pPr>
      <w:r>
        <w:rPr>
          <w:lang w:eastAsia="zh-CN"/>
        </w:rPr>
        <w:t xml:space="preserve">Glaser, K, Montserrat, E.R, Waginger, U, Price, D, Stuchbury, R. and Tinker, A. (2010) </w:t>
      </w:r>
      <w:r>
        <w:rPr>
          <w:i/>
          <w:iCs/>
          <w:lang w:eastAsia="zh-CN"/>
        </w:rPr>
        <w:t xml:space="preserve">Grandparenting in Europe, </w:t>
      </w:r>
      <w:r>
        <w:rPr>
          <w:lang w:eastAsia="zh-CN"/>
        </w:rPr>
        <w:t>London: King’s College London and Grandparents Plus.</w:t>
      </w:r>
    </w:p>
    <w:p w:rsidR="006B5089" w:rsidRDefault="006B5089">
      <w:pPr>
        <w:spacing w:line="360" w:lineRule="auto"/>
        <w:ind w:firstLine="709"/>
        <w:rPr>
          <w:lang w:val="en-US"/>
        </w:rPr>
      </w:pPr>
      <w:r>
        <w:rPr>
          <w:lang w:val="en-US"/>
        </w:rPr>
        <w:t xml:space="preserve">Greene, S. </w:t>
      </w:r>
      <w:r>
        <w:rPr>
          <w:lang w:val="en-US" w:eastAsia="zh-CN"/>
        </w:rPr>
        <w:t xml:space="preserve">and </w:t>
      </w:r>
      <w:r>
        <w:rPr>
          <w:lang w:val="en-US"/>
        </w:rPr>
        <w:t>Hogan, D. (</w:t>
      </w:r>
      <w:r>
        <w:rPr>
          <w:lang w:val="en-US" w:eastAsia="zh-CN"/>
        </w:rPr>
        <w:t>e</w:t>
      </w:r>
      <w:r>
        <w:rPr>
          <w:lang w:val="en-US"/>
        </w:rPr>
        <w:t>ds)</w:t>
      </w:r>
      <w:r>
        <w:rPr>
          <w:lang w:val="en-US" w:eastAsia="zh-CN"/>
        </w:rPr>
        <w:t xml:space="preserve"> (2005)</w:t>
      </w:r>
      <w:r>
        <w:rPr>
          <w:lang w:val="en-US"/>
        </w:rPr>
        <w:t xml:space="preserve"> </w:t>
      </w:r>
      <w:r>
        <w:rPr>
          <w:i/>
          <w:iCs/>
          <w:lang w:val="en-US"/>
        </w:rPr>
        <w:t>Researching children’s experience. Approaches and methods.</w:t>
      </w:r>
      <w:r>
        <w:rPr>
          <w:lang w:val="en-US"/>
        </w:rPr>
        <w:t xml:space="preserve"> London: Sage.</w:t>
      </w:r>
    </w:p>
    <w:p w:rsidR="006B5089" w:rsidRDefault="006B5089">
      <w:pPr>
        <w:spacing w:line="360" w:lineRule="auto"/>
        <w:ind w:firstLine="709"/>
        <w:rPr>
          <w:lang w:val="en-US"/>
        </w:rPr>
      </w:pPr>
      <w:r>
        <w:rPr>
          <w:lang w:val="en-US"/>
        </w:rPr>
        <w:t xml:space="preserve">Hagestad, G. (1985) ‘Continuity and connectedness’ in V.L. Bengtson and J.F Robertson (eds) </w:t>
      </w:r>
      <w:r>
        <w:rPr>
          <w:i/>
          <w:iCs/>
          <w:lang w:val="en-US"/>
        </w:rPr>
        <w:t>Grandparenthood</w:t>
      </w:r>
      <w:r>
        <w:rPr>
          <w:lang w:val="en-US"/>
        </w:rPr>
        <w:t>, Beverly Hills, CA: Sage.</w:t>
      </w:r>
    </w:p>
    <w:p w:rsidR="006B5089" w:rsidRDefault="006B5089">
      <w:pPr>
        <w:spacing w:line="360" w:lineRule="auto"/>
        <w:ind w:firstLine="709"/>
        <w:rPr>
          <w:rFonts w:cstheme="minorBidi"/>
          <w:i/>
          <w:iCs/>
          <w:lang w:eastAsia="zh-CN"/>
        </w:rPr>
      </w:pPr>
      <w:r>
        <w:rPr>
          <w:lang w:val="en-US"/>
        </w:rPr>
        <w:t xml:space="preserve">Heaphy, B. (2007) ‘Lesbian and gay families’ in G. Ritzer (ed) </w:t>
      </w:r>
      <w:r>
        <w:rPr>
          <w:i/>
          <w:iCs/>
          <w:lang w:val="en-US"/>
        </w:rPr>
        <w:t>Blackwell encyclopedia of sociology</w:t>
      </w:r>
      <w:r>
        <w:rPr>
          <w:lang w:val="en-US"/>
        </w:rPr>
        <w:t>, Oxford: Blackwell.</w:t>
      </w:r>
      <w:r>
        <w:rPr>
          <w:i/>
          <w:iCs/>
          <w:lang w:val="en-US"/>
        </w:rPr>
        <w:t xml:space="preserve"> </w:t>
      </w:r>
    </w:p>
    <w:p w:rsidR="006B5089" w:rsidRDefault="006B5089">
      <w:pPr>
        <w:spacing w:line="360" w:lineRule="auto"/>
        <w:ind w:firstLine="709"/>
        <w:rPr>
          <w:lang w:eastAsia="zh-CN"/>
        </w:rPr>
      </w:pPr>
      <w:r>
        <w:rPr>
          <w:lang w:eastAsia="zh-CN"/>
        </w:rPr>
        <w:t>Hillcoat-Nall</w:t>
      </w:r>
      <w:r>
        <w:t>é</w:t>
      </w:r>
      <w:r>
        <w:rPr>
          <w:lang w:eastAsia="zh-CN"/>
        </w:rPr>
        <w:t xml:space="preserve">tamby, S. and Phillips, H. (2011) ‘Sociological ambivalence revisited’, </w:t>
      </w:r>
      <w:r>
        <w:rPr>
          <w:i/>
          <w:iCs/>
          <w:lang w:eastAsia="zh-CN"/>
        </w:rPr>
        <w:t>Sociology</w:t>
      </w:r>
      <w:r>
        <w:rPr>
          <w:lang w:eastAsia="zh-CN"/>
        </w:rPr>
        <w:t>, vol 45, no 2, pp 202-217.</w:t>
      </w:r>
    </w:p>
    <w:p w:rsidR="006B5089" w:rsidRDefault="006B5089">
      <w:pPr>
        <w:spacing w:line="360" w:lineRule="auto"/>
        <w:ind w:firstLine="709"/>
        <w:rPr>
          <w:lang w:eastAsia="zh-CN"/>
        </w:rPr>
      </w:pPr>
      <w:r>
        <w:rPr>
          <w:lang w:eastAsia="zh-CN"/>
        </w:rPr>
        <w:t xml:space="preserve">Izuhara, M. (ed) (2010) </w:t>
      </w:r>
      <w:r>
        <w:rPr>
          <w:i/>
          <w:iCs/>
          <w:lang w:eastAsia="zh-CN"/>
        </w:rPr>
        <w:t>Ageing and intergenerational relations: Family reciprocity from a global perspective</w:t>
      </w:r>
      <w:r>
        <w:rPr>
          <w:lang w:eastAsia="zh-CN"/>
        </w:rPr>
        <w:t>, Bristol: The Policy Press.</w:t>
      </w:r>
    </w:p>
    <w:p w:rsidR="006B5089" w:rsidRDefault="006B5089">
      <w:pPr>
        <w:spacing w:line="360" w:lineRule="auto"/>
        <w:ind w:firstLine="709"/>
        <w:rPr>
          <w:rFonts w:ascii="Calibri" w:hAnsi="Calibri" w:cs="Calibri"/>
          <w:sz w:val="22"/>
          <w:szCs w:val="22"/>
          <w:lang w:val="en-IE"/>
        </w:rPr>
      </w:pPr>
      <w:r>
        <w:rPr>
          <w:lang w:val="en-US"/>
        </w:rPr>
        <w:lastRenderedPageBreak/>
        <w:t xml:space="preserve">James, A, Jenks, C. </w:t>
      </w:r>
      <w:r>
        <w:rPr>
          <w:lang w:val="en-US" w:eastAsia="zh-CN"/>
        </w:rPr>
        <w:t xml:space="preserve">and </w:t>
      </w:r>
      <w:r>
        <w:rPr>
          <w:lang w:val="en-US"/>
        </w:rPr>
        <w:t xml:space="preserve">Prout, A. (1998) </w:t>
      </w:r>
      <w:r>
        <w:rPr>
          <w:i/>
          <w:iCs/>
          <w:lang w:val="en-US"/>
        </w:rPr>
        <w:t>Theorizing childhood</w:t>
      </w:r>
      <w:r>
        <w:rPr>
          <w:lang w:val="en-US"/>
        </w:rPr>
        <w:t xml:space="preserve">. Cambridge: Polity Press. </w:t>
      </w:r>
    </w:p>
    <w:p w:rsidR="006B5089" w:rsidRDefault="006B5089">
      <w:pPr>
        <w:spacing w:line="360" w:lineRule="auto"/>
        <w:ind w:firstLine="709"/>
        <w:rPr>
          <w:lang w:eastAsia="zh-CN"/>
        </w:rPr>
      </w:pPr>
      <w:r>
        <w:rPr>
          <w:lang w:eastAsia="zh-CN"/>
        </w:rPr>
        <w:t xml:space="preserve">Katz, S. (2005) ‘Busy bodies: Activity, ageing and the management of everyday life’, in S. Katz (ed) </w:t>
      </w:r>
      <w:r>
        <w:rPr>
          <w:i/>
          <w:iCs/>
          <w:lang w:eastAsia="zh-CN"/>
        </w:rPr>
        <w:t>Cultural aging: Life courses, lifestyles and senior worlds</w:t>
      </w:r>
      <w:r>
        <w:rPr>
          <w:lang w:eastAsia="zh-CN"/>
        </w:rPr>
        <w:t>, Peterborough, ON: Broadview Press.</w:t>
      </w:r>
    </w:p>
    <w:p w:rsidR="006B5089" w:rsidRDefault="006B5089">
      <w:pPr>
        <w:spacing w:line="360" w:lineRule="auto"/>
        <w:ind w:firstLine="709"/>
        <w:rPr>
          <w:lang w:eastAsia="zh-CN"/>
        </w:rPr>
      </w:pPr>
      <w:r>
        <w:rPr>
          <w:lang w:eastAsia="zh-CN"/>
        </w:rPr>
        <w:t xml:space="preserve">Kohli, M, Kunemund, H. and Vogel, C. (2008) ‘Shrinking families? Marital status, childlessness, and intergenerational relationships’  in A. Borsch-Supan (ed) </w:t>
      </w:r>
      <w:r>
        <w:rPr>
          <w:i/>
          <w:iCs/>
          <w:lang w:eastAsia="zh-CN"/>
        </w:rPr>
        <w:t>First results from the Survey of Health, Ageing and Retirement in Europe (2004-2007)</w:t>
      </w:r>
      <w:r>
        <w:rPr>
          <w:lang w:eastAsia="zh-CN"/>
        </w:rPr>
        <w:t>, Mannheim: Mannheim Research Institute for the Economics of Ageing, pp 166-173.</w:t>
      </w:r>
    </w:p>
    <w:p w:rsidR="006B5089" w:rsidRDefault="006B5089">
      <w:pPr>
        <w:rPr>
          <w:rFonts w:cstheme="minorBidi"/>
        </w:rPr>
      </w:pPr>
      <w:r>
        <w:rPr>
          <w:lang w:val="en-US"/>
        </w:rPr>
        <w:t xml:space="preserve">Knapp, S.J. (1999) </w:t>
      </w:r>
      <w:r>
        <w:rPr>
          <w:lang w:val="en-US" w:eastAsia="zh-CN"/>
        </w:rPr>
        <w:t>‘</w:t>
      </w:r>
      <w:r>
        <w:rPr>
          <w:lang w:val="en-US"/>
        </w:rPr>
        <w:t>Facing the child.  Rethinking models of agency in parent-child relations</w:t>
      </w:r>
      <w:r>
        <w:rPr>
          <w:lang w:val="en-US" w:eastAsia="zh-CN"/>
        </w:rPr>
        <w:t xml:space="preserve">’, in </w:t>
      </w:r>
      <w:r>
        <w:rPr>
          <w:lang w:val="en-US"/>
        </w:rPr>
        <w:t>C.L. Shehan (</w:t>
      </w:r>
      <w:r>
        <w:rPr>
          <w:lang w:val="en-US" w:eastAsia="zh-CN"/>
        </w:rPr>
        <w:t>e</w:t>
      </w:r>
      <w:r>
        <w:rPr>
          <w:lang w:val="en-US"/>
        </w:rPr>
        <w:t xml:space="preserve">d) </w:t>
      </w:r>
      <w:r>
        <w:rPr>
          <w:i/>
          <w:iCs/>
          <w:lang w:val="en-US"/>
        </w:rPr>
        <w:t>Through the eyes of the child</w:t>
      </w:r>
      <w:r>
        <w:rPr>
          <w:i/>
          <w:iCs/>
          <w:lang w:val="en-US" w:eastAsia="zh-CN"/>
        </w:rPr>
        <w:t>:</w:t>
      </w:r>
      <w:r>
        <w:rPr>
          <w:rFonts w:cstheme="minorBidi"/>
          <w:i/>
          <w:iCs/>
          <w:lang w:val="en-US"/>
        </w:rPr>
        <w:t> </w:t>
      </w:r>
      <w:r>
        <w:rPr>
          <w:i/>
          <w:iCs/>
          <w:lang w:val="en-US"/>
        </w:rPr>
        <w:t xml:space="preserve"> Revisioning children as active agents of family life</w:t>
      </w:r>
      <w:r>
        <w:rPr>
          <w:lang w:val="en-US" w:eastAsia="zh-CN"/>
        </w:rPr>
        <w:t xml:space="preserve">, </w:t>
      </w:r>
      <w:r>
        <w:rPr>
          <w:lang w:val="en-US"/>
        </w:rPr>
        <w:t>pp 53-75</w:t>
      </w:r>
      <w:r>
        <w:rPr>
          <w:lang w:val="en-US" w:eastAsia="zh-CN"/>
        </w:rPr>
        <w:t xml:space="preserve">, </w:t>
      </w:r>
      <w:r>
        <w:rPr>
          <w:lang w:val="en-US"/>
        </w:rPr>
        <w:t>Stamford, CT: JAI Press Inc.</w:t>
      </w:r>
    </w:p>
    <w:sectPr w:rsidR="006B5089" w:rsidSect="006B5089">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5DC7" w:rsidRDefault="00065DC7">
      <w:pPr>
        <w:rPr>
          <w:rFonts w:cstheme="minorBidi"/>
        </w:rPr>
      </w:pPr>
      <w:r>
        <w:rPr>
          <w:rFonts w:cstheme="minorBidi"/>
        </w:rPr>
        <w:separator/>
      </w:r>
    </w:p>
  </w:endnote>
  <w:endnote w:type="continuationSeparator" w:id="0">
    <w:p w:rsidR="00065DC7" w:rsidRDefault="00065DC7">
      <w:pPr>
        <w:rPr>
          <w:rFonts w:cstheme="minorBidi"/>
        </w:rPr>
      </w:pPr>
      <w:r>
        <w:rPr>
          <w:rFonts w:cstheme="minorBidi"/>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089" w:rsidRDefault="001344B4">
    <w:pPr>
      <w:pStyle w:val="Footer"/>
      <w:jc w:val="center"/>
      <w:rPr>
        <w:rFonts w:cstheme="minorBidi"/>
      </w:rPr>
    </w:pPr>
    <w:r>
      <w:fldChar w:fldCharType="begin"/>
    </w:r>
    <w:r w:rsidR="00147687">
      <w:instrText xml:space="preserve"> PAGE   \* MERGEFORMAT </w:instrText>
    </w:r>
    <w:r>
      <w:fldChar w:fldCharType="separate"/>
    </w:r>
    <w:r w:rsidR="00736E03">
      <w:rPr>
        <w:noProof/>
      </w:rPr>
      <w:t>15</w:t>
    </w:r>
    <w:r>
      <w:rPr>
        <w:noProof/>
      </w:rPr>
      <w:fldChar w:fldCharType="end"/>
    </w:r>
  </w:p>
  <w:p w:rsidR="006B5089" w:rsidRDefault="006B5089">
    <w:pPr>
      <w:pStyle w:val="Footer"/>
      <w:rPr>
        <w:rFonts w:cstheme="minorBid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5DC7" w:rsidRDefault="00065DC7">
      <w:pPr>
        <w:rPr>
          <w:rFonts w:cstheme="minorBidi"/>
        </w:rPr>
      </w:pPr>
      <w:r>
        <w:rPr>
          <w:rFonts w:cstheme="minorBidi"/>
        </w:rPr>
        <w:separator/>
      </w:r>
    </w:p>
  </w:footnote>
  <w:footnote w:type="continuationSeparator" w:id="0">
    <w:p w:rsidR="00065DC7" w:rsidRDefault="00065DC7">
      <w:pPr>
        <w:rPr>
          <w:rFonts w:cstheme="minorBidi"/>
        </w:rPr>
      </w:pPr>
      <w:r>
        <w:rPr>
          <w:rFonts w:cstheme="minorBidi"/>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trackRevisions/>
  <w:defaultTabStop w:val="720"/>
  <w:doNotHyphenateCaps/>
  <w:characterSpacingControl w:val="doNotCompress"/>
  <w:doNotValidateAgainstSchema/>
  <w:doNotDemarcateInvalidXml/>
  <w:footnotePr>
    <w:footnote w:id="-1"/>
    <w:footnote w:id="0"/>
  </w:footnotePr>
  <w:endnotePr>
    <w:endnote w:id="-1"/>
    <w:endnote w:id="0"/>
  </w:endnotePr>
  <w:compat>
    <w:useFELayout/>
  </w:compat>
  <w:rsids>
    <w:rsidRoot w:val="006B5089"/>
    <w:rsid w:val="00057125"/>
    <w:rsid w:val="00065DC7"/>
    <w:rsid w:val="001344B4"/>
    <w:rsid w:val="00147687"/>
    <w:rsid w:val="006B5089"/>
    <w:rsid w:val="00736E03"/>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4B4"/>
    <w:rPr>
      <w:rFonts w:ascii="Times New Roman" w:eastAsia="SimSun" w:hAnsi="Times New Roman" w:cs="Times New Roman"/>
      <w:sz w:val="24"/>
      <w:szCs w:val="24"/>
      <w:lang w:val="en-GB" w:eastAsia="en-US"/>
    </w:rPr>
  </w:style>
  <w:style w:type="paragraph" w:styleId="Heading1">
    <w:name w:val="heading 1"/>
    <w:basedOn w:val="Normal"/>
    <w:next w:val="Normal"/>
    <w:link w:val="Heading1Char"/>
    <w:uiPriority w:val="99"/>
    <w:qFormat/>
    <w:rsid w:val="001344B4"/>
    <w:pPr>
      <w:keepNext/>
      <w:outlineLvl w:val="0"/>
    </w:pPr>
    <w:rPr>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344B4"/>
    <w:rPr>
      <w:rFonts w:ascii="Cambria" w:eastAsia="SimSun" w:hAnsi="Cambria" w:cs="Cambria"/>
      <w:b/>
      <w:bCs/>
      <w:kern w:val="32"/>
      <w:sz w:val="32"/>
      <w:szCs w:val="32"/>
      <w:lang w:val="en-GB" w:eastAsia="en-US"/>
    </w:rPr>
  </w:style>
  <w:style w:type="paragraph" w:styleId="Footer">
    <w:name w:val="footer"/>
    <w:basedOn w:val="Normal"/>
    <w:link w:val="FooterChar"/>
    <w:uiPriority w:val="99"/>
    <w:rsid w:val="001344B4"/>
    <w:pPr>
      <w:tabs>
        <w:tab w:val="center" w:pos="4153"/>
        <w:tab w:val="right" w:pos="8306"/>
      </w:tabs>
    </w:pPr>
  </w:style>
  <w:style w:type="character" w:customStyle="1" w:styleId="FooterChar">
    <w:name w:val="Footer Char"/>
    <w:basedOn w:val="DefaultParagraphFont"/>
    <w:link w:val="Footer"/>
    <w:uiPriority w:val="99"/>
    <w:rsid w:val="001344B4"/>
    <w:rPr>
      <w:rFonts w:ascii="Times New Roman" w:eastAsia="SimSun" w:hAnsi="Times New Roman" w:cs="Times New Roman"/>
      <w:sz w:val="24"/>
      <w:szCs w:val="24"/>
      <w:lang w:val="en-GB" w:eastAsia="en-US"/>
    </w:rPr>
  </w:style>
  <w:style w:type="character" w:styleId="PageNumber">
    <w:name w:val="page number"/>
    <w:basedOn w:val="DefaultParagraphFont"/>
    <w:uiPriority w:val="99"/>
    <w:rsid w:val="001344B4"/>
    <w:rPr>
      <w:rFonts w:ascii="Times New Roman" w:hAnsi="Times New Roman" w:cs="Times New Roman"/>
    </w:rPr>
  </w:style>
  <w:style w:type="character" w:styleId="CommentReference">
    <w:name w:val="annotation reference"/>
    <w:basedOn w:val="DefaultParagraphFont"/>
    <w:uiPriority w:val="99"/>
    <w:rsid w:val="001344B4"/>
    <w:rPr>
      <w:rFonts w:ascii="Times New Roman" w:hAnsi="Times New Roman" w:cs="Times New Roman"/>
      <w:sz w:val="16"/>
      <w:szCs w:val="16"/>
    </w:rPr>
  </w:style>
  <w:style w:type="paragraph" w:styleId="CommentText">
    <w:name w:val="annotation text"/>
    <w:basedOn w:val="Normal"/>
    <w:link w:val="CommentTextChar"/>
    <w:uiPriority w:val="99"/>
    <w:rsid w:val="001344B4"/>
    <w:pPr>
      <w:spacing w:after="200"/>
    </w:pPr>
    <w:rPr>
      <w:rFonts w:ascii="Calibri" w:hAnsi="Calibri" w:cs="Calibri"/>
      <w:sz w:val="20"/>
      <w:szCs w:val="20"/>
    </w:rPr>
  </w:style>
  <w:style w:type="character" w:customStyle="1" w:styleId="CommentTextChar">
    <w:name w:val="Comment Text Char"/>
    <w:basedOn w:val="DefaultParagraphFont"/>
    <w:link w:val="CommentText"/>
    <w:uiPriority w:val="99"/>
    <w:rsid w:val="001344B4"/>
    <w:rPr>
      <w:rFonts w:ascii="Calibri" w:hAnsi="Calibri" w:cs="Calibri"/>
      <w:lang w:val="en-GB" w:eastAsia="en-US"/>
    </w:rPr>
  </w:style>
  <w:style w:type="paragraph" w:styleId="BalloonText">
    <w:name w:val="Balloon Text"/>
    <w:basedOn w:val="Normal"/>
    <w:link w:val="BalloonTextChar"/>
    <w:uiPriority w:val="99"/>
    <w:rsid w:val="001344B4"/>
    <w:rPr>
      <w:rFonts w:ascii="Tahoma" w:hAnsi="Tahoma" w:cs="Tahoma"/>
      <w:sz w:val="16"/>
      <w:szCs w:val="16"/>
    </w:rPr>
  </w:style>
  <w:style w:type="character" w:customStyle="1" w:styleId="BalloonTextChar">
    <w:name w:val="Balloon Text Char"/>
    <w:basedOn w:val="DefaultParagraphFont"/>
    <w:link w:val="BalloonText"/>
    <w:uiPriority w:val="99"/>
    <w:rsid w:val="001344B4"/>
    <w:rPr>
      <w:rFonts w:ascii="Tahoma" w:hAnsi="Tahoma" w:cs="Tahoma"/>
      <w:sz w:val="16"/>
      <w:szCs w:val="16"/>
      <w:lang w:val="en-GB" w:eastAsia="en-US"/>
    </w:rPr>
  </w:style>
  <w:style w:type="paragraph" w:styleId="CommentSubject">
    <w:name w:val="annotation subject"/>
    <w:basedOn w:val="CommentText"/>
    <w:next w:val="CommentText"/>
    <w:link w:val="CommentSubjectChar"/>
    <w:uiPriority w:val="99"/>
    <w:rsid w:val="001344B4"/>
    <w:pPr>
      <w:spacing w:after="0"/>
    </w:pPr>
    <w:rPr>
      <w:rFonts w:ascii="Times New Roman" w:hAnsi="Times New Roman" w:cs="Times New Roman"/>
      <w:b/>
      <w:bCs/>
    </w:rPr>
  </w:style>
  <w:style w:type="character" w:customStyle="1" w:styleId="CommentSubjectChar">
    <w:name w:val="Comment Subject Char"/>
    <w:basedOn w:val="CommentTextChar"/>
    <w:link w:val="CommentSubject"/>
    <w:uiPriority w:val="99"/>
    <w:rsid w:val="001344B4"/>
    <w:rPr>
      <w:rFonts w:ascii="Calibri" w:hAnsi="Calibri" w:cs="Calibri"/>
      <w:lang w:val="en-GB" w:eastAsia="en-US"/>
    </w:rPr>
  </w:style>
  <w:style w:type="paragraph" w:styleId="BodyText2">
    <w:name w:val="Body Text 2"/>
    <w:basedOn w:val="Normal"/>
    <w:link w:val="BodyText2Char"/>
    <w:uiPriority w:val="99"/>
    <w:rsid w:val="001344B4"/>
    <w:pPr>
      <w:spacing w:before="240"/>
      <w:ind w:firstLine="720"/>
    </w:pPr>
    <w:rPr>
      <w:lang w:eastAsia="zh-CN"/>
    </w:rPr>
  </w:style>
  <w:style w:type="character" w:customStyle="1" w:styleId="BodyText2Char">
    <w:name w:val="Body Text 2 Char"/>
    <w:basedOn w:val="DefaultParagraphFont"/>
    <w:link w:val="BodyText2"/>
    <w:uiPriority w:val="99"/>
    <w:rsid w:val="001344B4"/>
    <w:rPr>
      <w:rFonts w:ascii="Times New Roman" w:eastAsia="SimSun" w:hAnsi="Times New Roman" w:cs="Times New Roman"/>
      <w:sz w:val="24"/>
      <w:szCs w:val="24"/>
      <w:lang w:val="en-GB" w:eastAsia="en-US"/>
    </w:rPr>
  </w:style>
  <w:style w:type="paragraph" w:styleId="Header">
    <w:name w:val="header"/>
    <w:basedOn w:val="Normal"/>
    <w:link w:val="HeaderChar"/>
    <w:uiPriority w:val="99"/>
    <w:rsid w:val="001344B4"/>
    <w:pPr>
      <w:tabs>
        <w:tab w:val="center" w:pos="4513"/>
        <w:tab w:val="right" w:pos="9026"/>
      </w:tabs>
    </w:pPr>
  </w:style>
  <w:style w:type="character" w:customStyle="1" w:styleId="HeaderChar">
    <w:name w:val="Header Char"/>
    <w:basedOn w:val="DefaultParagraphFont"/>
    <w:link w:val="Header"/>
    <w:uiPriority w:val="99"/>
    <w:rsid w:val="001344B4"/>
    <w:rPr>
      <w:rFonts w:ascii="Times New Roman" w:eastAsia="SimSun" w:hAnsi="Times New Roman" w:cs="Times New Roman"/>
      <w:sz w:val="24"/>
      <w:szCs w:val="24"/>
      <w:lang w:val="en-GB" w:eastAsia="en-US"/>
    </w:rPr>
  </w:style>
  <w:style w:type="paragraph" w:styleId="ListParagraph">
    <w:name w:val="List Paragraph"/>
    <w:basedOn w:val="Normal"/>
    <w:uiPriority w:val="99"/>
    <w:qFormat/>
    <w:rsid w:val="001344B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SimSun" w:hAnsi="Times New Roman" w:cs="Times New Roman"/>
      <w:sz w:val="24"/>
      <w:szCs w:val="24"/>
      <w:lang w:val="en-GB" w:eastAsia="en-US"/>
    </w:rPr>
  </w:style>
  <w:style w:type="paragraph" w:styleId="Heading1">
    <w:name w:val="heading 1"/>
    <w:basedOn w:val="Normal"/>
    <w:next w:val="Normal"/>
    <w:link w:val="Heading1Char"/>
    <w:uiPriority w:val="99"/>
    <w:qFormat/>
    <w:pPr>
      <w:keepNext/>
      <w:outlineLvl w:val="0"/>
    </w:pPr>
    <w:rPr>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eastAsia="SimSun" w:hAnsi="Cambria" w:cs="Cambria"/>
      <w:b/>
      <w:bCs/>
      <w:kern w:val="32"/>
      <w:sz w:val="32"/>
      <w:szCs w:val="32"/>
      <w:lang w:val="en-GB" w:eastAsia="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rPr>
      <w:rFonts w:ascii="Times New Roman" w:eastAsia="SimSun" w:hAnsi="Times New Roman" w:cs="Times New Roman"/>
      <w:sz w:val="24"/>
      <w:szCs w:val="24"/>
      <w:lang w:val="en-GB" w:eastAsia="en-US"/>
    </w:rPr>
  </w:style>
  <w:style w:type="character" w:styleId="PageNumber">
    <w:name w:val="page number"/>
    <w:basedOn w:val="DefaultParagraphFont"/>
    <w:uiPriority w:val="99"/>
    <w:rPr>
      <w:rFonts w:ascii="Times New Roman" w:hAnsi="Times New Roman" w:cs="Times New Roman"/>
    </w:rPr>
  </w:style>
  <w:style w:type="character" w:styleId="CommentReference">
    <w:name w:val="annotation reference"/>
    <w:basedOn w:val="DefaultParagraphFont"/>
    <w:uiPriority w:val="99"/>
    <w:rPr>
      <w:rFonts w:ascii="Times New Roman" w:hAnsi="Times New Roman" w:cs="Times New Roman"/>
      <w:sz w:val="16"/>
      <w:szCs w:val="16"/>
    </w:rPr>
  </w:style>
  <w:style w:type="paragraph" w:styleId="CommentText">
    <w:name w:val="annotation text"/>
    <w:basedOn w:val="Normal"/>
    <w:link w:val="CommentTextChar"/>
    <w:uiPriority w:val="99"/>
    <w:pPr>
      <w:spacing w:after="200"/>
    </w:pPr>
    <w:rPr>
      <w:rFonts w:ascii="Calibri" w:hAnsi="Calibri" w:cs="Calibri"/>
      <w:sz w:val="20"/>
      <w:szCs w:val="20"/>
    </w:rPr>
  </w:style>
  <w:style w:type="character" w:customStyle="1" w:styleId="CommentTextChar">
    <w:name w:val="Comment Text Char"/>
    <w:basedOn w:val="DefaultParagraphFont"/>
    <w:link w:val="CommentText"/>
    <w:uiPriority w:val="99"/>
    <w:rPr>
      <w:rFonts w:ascii="Calibri" w:hAnsi="Calibri" w:cs="Calibri"/>
      <w:lang w:val="en-GB" w:eastAsia="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en-GB" w:eastAsia="en-US"/>
    </w:rPr>
  </w:style>
  <w:style w:type="paragraph" w:styleId="CommentSubject">
    <w:name w:val="annotation subject"/>
    <w:basedOn w:val="CommentText"/>
    <w:next w:val="CommentText"/>
    <w:link w:val="CommentSubjectChar"/>
    <w:uiPriority w:val="99"/>
    <w:pPr>
      <w:spacing w:after="0"/>
    </w:pPr>
    <w:rPr>
      <w:rFonts w:ascii="Times New Roman" w:hAnsi="Times New Roman" w:cs="Times New Roman"/>
      <w:b/>
      <w:bCs/>
    </w:rPr>
  </w:style>
  <w:style w:type="character" w:customStyle="1" w:styleId="CommentSubjectChar">
    <w:name w:val="Comment Subject Char"/>
    <w:basedOn w:val="CommentTextChar"/>
    <w:link w:val="CommentSubject"/>
    <w:uiPriority w:val="99"/>
    <w:rPr>
      <w:rFonts w:ascii="Calibri" w:hAnsi="Calibri" w:cs="Calibri"/>
      <w:lang w:val="en-GB" w:eastAsia="en-US"/>
    </w:rPr>
  </w:style>
  <w:style w:type="paragraph" w:styleId="BodyText2">
    <w:name w:val="Body Text 2"/>
    <w:basedOn w:val="Normal"/>
    <w:link w:val="BodyText2Char"/>
    <w:uiPriority w:val="99"/>
    <w:pPr>
      <w:spacing w:before="240"/>
      <w:ind w:firstLine="720"/>
    </w:pPr>
    <w:rPr>
      <w:lang w:eastAsia="zh-CN"/>
    </w:rPr>
  </w:style>
  <w:style w:type="character" w:customStyle="1" w:styleId="BodyText2Char">
    <w:name w:val="Body Text 2 Char"/>
    <w:basedOn w:val="DefaultParagraphFont"/>
    <w:link w:val="BodyText2"/>
    <w:uiPriority w:val="99"/>
    <w:rPr>
      <w:rFonts w:ascii="Times New Roman" w:eastAsia="SimSun" w:hAnsi="Times New Roman" w:cs="Times New Roman"/>
      <w:sz w:val="24"/>
      <w:szCs w:val="24"/>
      <w:lang w:val="en-GB" w:eastAsia="en-US"/>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Times New Roman" w:eastAsia="SimSun" w:hAnsi="Times New Roman" w:cs="Times New Roman"/>
      <w:sz w:val="24"/>
      <w:szCs w:val="24"/>
      <w:lang w:val="en-GB" w:eastAsia="en-US"/>
    </w:rPr>
  </w:style>
  <w:style w:type="paragraph" w:styleId="ListParagraph">
    <w:name w:val="List Paragraph"/>
    <w:basedOn w:val="Normal"/>
    <w:uiPriority w:val="99"/>
    <w:qFormat/>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6462</Words>
  <Characters>36838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Chapter 12</vt:lpstr>
    </vt:vector>
  </TitlesOfParts>
  <Company/>
  <LinksUpToDate>false</LinksUpToDate>
  <CharactersWithSpaces>43214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12</dc:title>
  <dc:creator>Authorised</dc:creator>
  <cp:lastModifiedBy>Virpi Timonen</cp:lastModifiedBy>
  <cp:revision>2</cp:revision>
  <cp:lastPrinted>2011-11-10T15:23:00Z</cp:lastPrinted>
  <dcterms:created xsi:type="dcterms:W3CDTF">2011-11-10T17:36:00Z</dcterms:created>
  <dcterms:modified xsi:type="dcterms:W3CDTF">2011-11-10T17:36:00Z</dcterms:modified>
</cp:coreProperties>
</file>