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4D43B" w14:textId="509E92D6" w:rsidR="00A807F2" w:rsidRPr="009623BF" w:rsidRDefault="00A807F2" w:rsidP="00AB34C5">
      <w:pPr>
        <w:pStyle w:val="BBAuthorName"/>
        <w:jc w:val="left"/>
        <w:rPr>
          <w:rFonts w:ascii="Times New Roman" w:hAnsi="Times New Roman"/>
          <w:i w:val="0"/>
          <w:sz w:val="44"/>
          <w:lang w:val="en-GB"/>
        </w:rPr>
      </w:pPr>
      <w:bookmarkStart w:id="0" w:name="_GoBack"/>
      <w:bookmarkEnd w:id="0"/>
      <w:r w:rsidRPr="009623BF">
        <w:rPr>
          <w:rFonts w:ascii="Times New Roman" w:hAnsi="Times New Roman"/>
          <w:i w:val="0"/>
          <w:sz w:val="44"/>
          <w:lang w:val="en-IE"/>
        </w:rPr>
        <w:t>Dependence of Photocurrent Enhancements in Hybrid Quantum Dot-MoS</w:t>
      </w:r>
      <w:r w:rsidRPr="009623BF">
        <w:rPr>
          <w:rFonts w:ascii="Times New Roman" w:hAnsi="Times New Roman"/>
          <w:i w:val="0"/>
          <w:sz w:val="44"/>
          <w:vertAlign w:val="subscript"/>
          <w:lang w:val="en-IE"/>
        </w:rPr>
        <w:t>2</w:t>
      </w:r>
      <w:r w:rsidRPr="009623BF">
        <w:rPr>
          <w:rFonts w:ascii="Times New Roman" w:hAnsi="Times New Roman"/>
          <w:i w:val="0"/>
          <w:sz w:val="44"/>
          <w:lang w:val="en-IE"/>
        </w:rPr>
        <w:t xml:space="preserve"> Devices</w:t>
      </w:r>
      <w:r w:rsidRPr="009623BF">
        <w:rPr>
          <w:rFonts w:ascii="Times New Roman" w:hAnsi="Times New Roman"/>
          <w:i w:val="0"/>
          <w:sz w:val="44"/>
          <w:lang w:val="en-GB"/>
        </w:rPr>
        <w:t xml:space="preserve"> </w:t>
      </w:r>
      <w:r w:rsidR="001E3829" w:rsidRPr="009623BF">
        <w:rPr>
          <w:rFonts w:ascii="Times New Roman" w:hAnsi="Times New Roman"/>
          <w:i w:val="0"/>
          <w:sz w:val="44"/>
          <w:lang w:val="en-GB"/>
        </w:rPr>
        <w:t xml:space="preserve">on Quantum Dot </w:t>
      </w:r>
      <w:r w:rsidR="0008290C" w:rsidRPr="009623BF">
        <w:rPr>
          <w:rFonts w:ascii="Times New Roman" w:hAnsi="Times New Roman"/>
          <w:i w:val="0"/>
          <w:sz w:val="44"/>
          <w:lang w:val="en-GB"/>
        </w:rPr>
        <w:t>Emission Wavelength</w:t>
      </w:r>
    </w:p>
    <w:p w14:paraId="7E7A3E16" w14:textId="4FB7C6BC" w:rsidR="009246AD" w:rsidRPr="009623BF" w:rsidRDefault="00192132" w:rsidP="00AB34C5">
      <w:pPr>
        <w:pStyle w:val="BBAuthorName"/>
        <w:jc w:val="left"/>
      </w:pPr>
      <w:r w:rsidRPr="009623BF">
        <w:t>John J. Gough</w:t>
      </w:r>
      <w:r w:rsidRPr="009623BF">
        <w:rPr>
          <w:vertAlign w:val="superscript"/>
        </w:rPr>
        <w:t>1</w:t>
      </w:r>
      <w:r w:rsidRPr="009623BF">
        <w:t xml:space="preserve">, </w:t>
      </w:r>
      <w:r w:rsidR="009167BC" w:rsidRPr="009623BF">
        <w:t>Niall McEvoy</w:t>
      </w:r>
      <w:r w:rsidR="009167BC" w:rsidRPr="009623BF">
        <w:rPr>
          <w:vertAlign w:val="superscript"/>
        </w:rPr>
        <w:t>2,3</w:t>
      </w:r>
      <w:r w:rsidR="009167BC" w:rsidRPr="009623BF">
        <w:t>,</w:t>
      </w:r>
      <w:r w:rsidR="009167BC" w:rsidRPr="009623BF">
        <w:rPr>
          <w:vertAlign w:val="superscript"/>
        </w:rPr>
        <w:t xml:space="preserve"> </w:t>
      </w:r>
      <w:r w:rsidRPr="009623BF">
        <w:t>Maria O’Brien</w:t>
      </w:r>
      <w:r w:rsidRPr="009623BF">
        <w:rPr>
          <w:vertAlign w:val="superscript"/>
        </w:rPr>
        <w:t>2</w:t>
      </w:r>
      <w:r w:rsidR="007460A9" w:rsidRPr="009623BF">
        <w:rPr>
          <w:vertAlign w:val="superscript"/>
        </w:rPr>
        <w:t>,3</w:t>
      </w:r>
      <w:r w:rsidR="009167BC" w:rsidRPr="009623BF">
        <w:t>,</w:t>
      </w:r>
      <w:r w:rsidRPr="009623BF">
        <w:t xml:space="preserve"> </w:t>
      </w:r>
      <w:r w:rsidR="00A807F2" w:rsidRPr="009623BF">
        <w:t>John McManus</w:t>
      </w:r>
      <w:r w:rsidR="00A807F2" w:rsidRPr="009623BF">
        <w:rPr>
          <w:vertAlign w:val="superscript"/>
        </w:rPr>
        <w:t>2,3</w:t>
      </w:r>
      <w:r w:rsidR="00A807F2" w:rsidRPr="009623BF">
        <w:t xml:space="preserve">, </w:t>
      </w:r>
      <w:r w:rsidR="0075749C">
        <w:t>Jorge Garcia-Coindreau</w:t>
      </w:r>
      <w:r w:rsidR="0075749C" w:rsidRPr="009623BF">
        <w:rPr>
          <w:vertAlign w:val="superscript"/>
        </w:rPr>
        <w:t>1</w:t>
      </w:r>
      <w:r w:rsidR="0075749C">
        <w:t xml:space="preserve">, </w:t>
      </w:r>
      <w:r w:rsidRPr="009623BF">
        <w:t>Alan P. Bell</w:t>
      </w:r>
      <w:r w:rsidRPr="009623BF">
        <w:rPr>
          <w:vertAlign w:val="superscript"/>
        </w:rPr>
        <w:t>2</w:t>
      </w:r>
      <w:r w:rsidRPr="009623BF">
        <w:t xml:space="preserve">, </w:t>
      </w:r>
      <w:r w:rsidR="007460A9" w:rsidRPr="009623BF">
        <w:t>David McCloskey</w:t>
      </w:r>
      <w:r w:rsidR="007460A9" w:rsidRPr="009623BF">
        <w:rPr>
          <w:vertAlign w:val="superscript"/>
        </w:rPr>
        <w:t>1,3</w:t>
      </w:r>
      <w:r w:rsidR="007460A9" w:rsidRPr="009623BF">
        <w:t>,</w:t>
      </w:r>
      <w:r w:rsidR="00A52B72" w:rsidRPr="009623BF">
        <w:t xml:space="preserve"> </w:t>
      </w:r>
      <w:r w:rsidR="001F6F69">
        <w:t>Calin</w:t>
      </w:r>
      <w:r w:rsidR="00D0317E">
        <w:t xml:space="preserve"> Hrelescu</w:t>
      </w:r>
      <w:r w:rsidR="00D0317E">
        <w:rPr>
          <w:vertAlign w:val="superscript"/>
        </w:rPr>
        <w:t>1</w:t>
      </w:r>
      <w:r w:rsidR="00D0317E">
        <w:t xml:space="preserve">, </w:t>
      </w:r>
      <w:r w:rsidRPr="009623BF">
        <w:t>Georg S. Duesberg</w:t>
      </w:r>
      <w:r w:rsidRPr="009623BF">
        <w:rPr>
          <w:vertAlign w:val="superscript"/>
        </w:rPr>
        <w:t>2</w:t>
      </w:r>
      <w:r w:rsidR="007460A9" w:rsidRPr="009623BF">
        <w:rPr>
          <w:vertAlign w:val="superscript"/>
        </w:rPr>
        <w:t>,3</w:t>
      </w:r>
      <w:r w:rsidR="00A52B72" w:rsidRPr="009623BF">
        <w:rPr>
          <w:vertAlign w:val="superscript"/>
        </w:rPr>
        <w:t>,4</w:t>
      </w:r>
      <w:r w:rsidR="00A807F2" w:rsidRPr="009623BF">
        <w:t>,</w:t>
      </w:r>
      <w:r w:rsidRPr="009623BF">
        <w:t xml:space="preserve"> and A. Louise Bradley</w:t>
      </w:r>
      <w:r w:rsidR="007460A9" w:rsidRPr="009623BF">
        <w:rPr>
          <w:vertAlign w:val="superscript"/>
        </w:rPr>
        <w:t>1</w:t>
      </w:r>
      <w:r w:rsidRPr="009623BF">
        <w:rPr>
          <w:vertAlign w:val="superscript"/>
        </w:rPr>
        <w:t xml:space="preserve"> </w:t>
      </w:r>
      <w:r w:rsidRPr="009623BF">
        <w:t>*.</w:t>
      </w:r>
    </w:p>
    <w:p w14:paraId="32ACCA2E" w14:textId="05BD45F5" w:rsidR="00192132" w:rsidRDefault="00192132" w:rsidP="00AB34C5">
      <w:pPr>
        <w:pStyle w:val="BCAuthorAddress"/>
        <w:jc w:val="left"/>
      </w:pPr>
      <w:r w:rsidRPr="009623BF">
        <w:rPr>
          <w:vertAlign w:val="superscript"/>
        </w:rPr>
        <w:t>1</w:t>
      </w:r>
      <w:r w:rsidRPr="009623BF">
        <w:t>School of Physics and CRANN</w:t>
      </w:r>
      <w:r>
        <w:t>, Trinity College Dublin,</w:t>
      </w:r>
      <w:r w:rsidR="00A52B72">
        <w:t xml:space="preserve"> College Green, Dublin 2, </w:t>
      </w:r>
      <w:r>
        <w:t>Ireland</w:t>
      </w:r>
    </w:p>
    <w:p w14:paraId="29D507AD" w14:textId="49316FA4" w:rsidR="009246AD" w:rsidRDefault="00192132" w:rsidP="00AB34C5">
      <w:pPr>
        <w:pStyle w:val="BCAuthorAddress"/>
        <w:jc w:val="left"/>
      </w:pPr>
      <w:r>
        <w:rPr>
          <w:vertAlign w:val="superscript"/>
        </w:rPr>
        <w:t>2</w:t>
      </w:r>
      <w:r w:rsidR="007460A9">
        <w:t>School of Chemistry and</w:t>
      </w:r>
      <w:r>
        <w:t xml:space="preserve"> CRANN, Trinity College Dublin,</w:t>
      </w:r>
      <w:r w:rsidR="00A52B72" w:rsidRPr="00A52B72">
        <w:t xml:space="preserve"> </w:t>
      </w:r>
      <w:r w:rsidR="00A52B72">
        <w:t xml:space="preserve">College Green, Dublin 2, </w:t>
      </w:r>
      <w:r>
        <w:t>Ireland.</w:t>
      </w:r>
      <w:r w:rsidR="009246AD">
        <w:t xml:space="preserve"> </w:t>
      </w:r>
    </w:p>
    <w:p w14:paraId="6C943DD4" w14:textId="0894C3CB" w:rsidR="007460A9" w:rsidRDefault="007460A9" w:rsidP="007460A9">
      <w:pPr>
        <w:pStyle w:val="BIEmailAddress"/>
      </w:pPr>
      <w:r>
        <w:rPr>
          <w:vertAlign w:val="superscript"/>
        </w:rPr>
        <w:t>3</w:t>
      </w:r>
      <w:r>
        <w:t>AMBER Centre, Trinity College Dublin,</w:t>
      </w:r>
      <w:r w:rsidR="00A52B72" w:rsidRPr="00A52B72">
        <w:t xml:space="preserve"> </w:t>
      </w:r>
      <w:r w:rsidR="00A52B72">
        <w:t xml:space="preserve">College Green, Dublin 2, </w:t>
      </w:r>
      <w:r>
        <w:t>Ireland</w:t>
      </w:r>
    </w:p>
    <w:p w14:paraId="3FB354F6" w14:textId="4E27F4B9" w:rsidR="00A52B72" w:rsidRPr="00A52B72" w:rsidRDefault="00A52B72" w:rsidP="00A52B72">
      <w:pPr>
        <w:pStyle w:val="AIReceivedDate"/>
        <w:rPr>
          <w:b w:val="0"/>
        </w:rPr>
      </w:pPr>
      <w:r w:rsidRPr="00A52B72">
        <w:rPr>
          <w:b w:val="0"/>
          <w:vertAlign w:val="superscript"/>
        </w:rPr>
        <w:t>4</w:t>
      </w:r>
      <w:r w:rsidRPr="00A52B72">
        <w:rPr>
          <w:b w:val="0"/>
        </w:rPr>
        <w:t>Institute of Physics, EIT 2, Faculty of Electrical Engineering and Information Technology, Universität der Bundeswehr München, Werner-Heisenberg-</w:t>
      </w:r>
      <w:proofErr w:type="spellStart"/>
      <w:r w:rsidRPr="00A52B72">
        <w:rPr>
          <w:b w:val="0"/>
        </w:rPr>
        <w:t>Weg</w:t>
      </w:r>
      <w:proofErr w:type="spellEnd"/>
      <w:r w:rsidRPr="00A52B72">
        <w:rPr>
          <w:b w:val="0"/>
        </w:rPr>
        <w:t xml:space="preserve"> 39, 85577 </w:t>
      </w:r>
      <w:proofErr w:type="spellStart"/>
      <w:r w:rsidRPr="00A52B72">
        <w:rPr>
          <w:b w:val="0"/>
        </w:rPr>
        <w:t>Neubiberg</w:t>
      </w:r>
      <w:proofErr w:type="spellEnd"/>
      <w:r w:rsidRPr="00A52B72">
        <w:rPr>
          <w:b w:val="0"/>
        </w:rPr>
        <w:t>, Germany</w:t>
      </w:r>
    </w:p>
    <w:p w14:paraId="1C36F1B2" w14:textId="02E30220" w:rsidR="00E2556C" w:rsidRDefault="00E2556C" w:rsidP="003B4025">
      <w:pPr>
        <w:pStyle w:val="BGKeywords"/>
      </w:pPr>
      <w:r>
        <w:t>TOC GRAPHIC</w:t>
      </w:r>
    </w:p>
    <w:p w14:paraId="685913DA" w14:textId="63AC35A4" w:rsidR="00E2556C" w:rsidRDefault="00AC5188" w:rsidP="003B4025">
      <w:pPr>
        <w:pStyle w:val="BGKeywords"/>
      </w:pPr>
      <w:r>
        <w:rPr>
          <w:noProof/>
          <w:lang w:val="en-IE" w:eastAsia="en-IE"/>
        </w:rPr>
        <w:drawing>
          <wp:inline distT="0" distB="0" distL="0" distR="0" wp14:anchorId="0F970468" wp14:editId="41FAA3E7">
            <wp:extent cx="2566670" cy="1444625"/>
            <wp:effectExtent l="0" t="0" r="508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6670" cy="1444625"/>
                    </a:xfrm>
                    <a:prstGeom prst="rect">
                      <a:avLst/>
                    </a:prstGeom>
                    <a:noFill/>
                  </pic:spPr>
                </pic:pic>
              </a:graphicData>
            </a:graphic>
          </wp:inline>
        </w:drawing>
      </w:r>
    </w:p>
    <w:p w14:paraId="0E14E0E2" w14:textId="63EAE7AB" w:rsidR="0041244A" w:rsidRPr="00A764EF" w:rsidRDefault="00AB34C5" w:rsidP="003B4025">
      <w:pPr>
        <w:pStyle w:val="BGKeywords"/>
      </w:pPr>
      <w:r>
        <w:t>KEYWORDS</w:t>
      </w:r>
      <w:r w:rsidR="009133B7">
        <w:t>:</w:t>
      </w:r>
      <w:r>
        <w:t xml:space="preserve"> </w:t>
      </w:r>
      <w:r w:rsidR="00192132" w:rsidRPr="003B4025">
        <w:t>2D materials, MoS</w:t>
      </w:r>
      <w:r w:rsidR="00192132" w:rsidRPr="00E2556C">
        <w:rPr>
          <w:vertAlign w:val="subscript"/>
        </w:rPr>
        <w:t>2</w:t>
      </w:r>
      <w:r w:rsidR="0094386B">
        <w:t>, quantum d</w:t>
      </w:r>
      <w:r w:rsidR="00192132" w:rsidRPr="003B4025">
        <w:t xml:space="preserve">ots, </w:t>
      </w:r>
      <w:r w:rsidR="0094386B">
        <w:t>p</w:t>
      </w:r>
      <w:r w:rsidR="0028298B">
        <w:t>hotocurrent</w:t>
      </w:r>
      <w:r w:rsidR="00192132" w:rsidRPr="003B4025">
        <w:t xml:space="preserve">, </w:t>
      </w:r>
      <w:r w:rsidR="0094386B">
        <w:t>energy t</w:t>
      </w:r>
      <w:r w:rsidR="00A807F2">
        <w:t>ransfer</w:t>
      </w:r>
      <w:r w:rsidR="00192132" w:rsidRPr="003B4025">
        <w:t xml:space="preserve">. </w:t>
      </w:r>
    </w:p>
    <w:p w14:paraId="5204031C" w14:textId="77777777" w:rsidR="000C05CC" w:rsidRPr="00A764EF" w:rsidRDefault="000C05CC" w:rsidP="00324128">
      <w:pPr>
        <w:pStyle w:val="FACorrespondingAuthorFootnote"/>
        <w:spacing w:after="240"/>
        <w:jc w:val="left"/>
      </w:pPr>
    </w:p>
    <w:p w14:paraId="7EF82E2C" w14:textId="51AC7D67" w:rsidR="0041244A" w:rsidRPr="009623BF" w:rsidRDefault="00AB34C5" w:rsidP="0041244A">
      <w:pPr>
        <w:pStyle w:val="BDAbstract"/>
      </w:pPr>
      <w:r w:rsidRPr="009623BF">
        <w:t>ABSTRACT</w:t>
      </w:r>
      <w:r w:rsidR="009167BC" w:rsidRPr="009623BF">
        <w:t>:</w:t>
      </w:r>
      <w:r w:rsidRPr="009623BF">
        <w:t xml:space="preserve"> </w:t>
      </w:r>
      <w:r w:rsidR="000C5F32" w:rsidRPr="009623BF">
        <w:t>The spectral dependence of nonradiative energy transfer (NRET) from three spectrally different quantum dot (QD) ensembles to monolayer MoS</w:t>
      </w:r>
      <w:r w:rsidR="000C5F32" w:rsidRPr="009623BF">
        <w:rPr>
          <w:vertAlign w:val="subscript"/>
        </w:rPr>
        <w:t xml:space="preserve">2 </w:t>
      </w:r>
      <w:r w:rsidR="000C5F32" w:rsidRPr="009623BF">
        <w:t>is reported. The QDs with peak emission wavelengths of 450 nm, 530 nm, and 630 nm induce large photocurrent enhancements in the hybrid devices with monolayer MoS</w:t>
      </w:r>
      <w:r w:rsidR="000C5F32" w:rsidRPr="009623BF">
        <w:rPr>
          <w:vertAlign w:val="subscript"/>
        </w:rPr>
        <w:t>2</w:t>
      </w:r>
      <w:r w:rsidR="000C5F32" w:rsidRPr="009623BF">
        <w:t xml:space="preserve"> islands grown by chemical vapor deposition (CVD). NRET efficiencies of over 90% are observed for each of the QD-MoS</w:t>
      </w:r>
      <w:r w:rsidR="000C5F32" w:rsidRPr="009623BF">
        <w:rPr>
          <w:vertAlign w:val="subscript"/>
        </w:rPr>
        <w:t>2</w:t>
      </w:r>
      <w:r w:rsidR="000C5F32" w:rsidRPr="009623BF">
        <w:t xml:space="preserve"> hybrids, with </w:t>
      </w:r>
      <w:proofErr w:type="gramStart"/>
      <w:r w:rsidR="000C5F32" w:rsidRPr="009623BF">
        <w:t>3 fold</w:t>
      </w:r>
      <w:proofErr w:type="gramEnd"/>
      <w:r w:rsidR="000C5F32" w:rsidRPr="009623BF">
        <w:t xml:space="preserve"> to 6 fold photocurrent enhancements, depending on the spectral overlap between the QDs and the monolayer MoS</w:t>
      </w:r>
      <w:r w:rsidR="000C5F32" w:rsidRPr="009623BF">
        <w:rPr>
          <w:vertAlign w:val="subscript"/>
        </w:rPr>
        <w:t>2</w:t>
      </w:r>
      <w:r w:rsidR="000C5F32" w:rsidRPr="009623BF">
        <w:t xml:space="preserve">. </w:t>
      </w:r>
      <w:r w:rsidR="000C5F32" w:rsidRPr="009623BF">
        <w:rPr>
          <w:rFonts w:ascii="Times New Roman" w:hAnsi="Times New Roman"/>
        </w:rPr>
        <w:t xml:space="preserve">We find good agreement between the trends obtained from the NRET </w:t>
      </w:r>
      <w:r w:rsidR="0085521F" w:rsidRPr="009623BF">
        <w:rPr>
          <w:rFonts w:ascii="Times New Roman" w:hAnsi="Times New Roman"/>
        </w:rPr>
        <w:t xml:space="preserve">rate and spectral overlap function showing evidence for a </w:t>
      </w:r>
      <w:proofErr w:type="spellStart"/>
      <w:r w:rsidR="0085521F" w:rsidRPr="009623BF">
        <w:rPr>
          <w:rFonts w:ascii="Times New Roman" w:hAnsi="Times New Roman"/>
        </w:rPr>
        <w:t>Förster</w:t>
      </w:r>
      <w:proofErr w:type="spellEnd"/>
      <w:r w:rsidR="0085521F" w:rsidRPr="009623BF">
        <w:rPr>
          <w:rFonts w:ascii="Times New Roman" w:hAnsi="Times New Roman"/>
        </w:rPr>
        <w:t xml:space="preserve">-like energy transfer mechanism in these </w:t>
      </w:r>
      <w:proofErr w:type="spellStart"/>
      <w:r w:rsidR="0085521F" w:rsidRPr="009623BF">
        <w:rPr>
          <w:rFonts w:ascii="Times New Roman" w:hAnsi="Times New Roman"/>
        </w:rPr>
        <w:t>CdSeS</w:t>
      </w:r>
      <w:proofErr w:type="spellEnd"/>
      <w:r w:rsidR="0085521F" w:rsidRPr="009623BF">
        <w:rPr>
          <w:rFonts w:ascii="Times New Roman" w:hAnsi="Times New Roman"/>
        </w:rPr>
        <w:t>/ZnS QD-MoS</w:t>
      </w:r>
      <w:r w:rsidR="0085521F" w:rsidRPr="009623BF">
        <w:rPr>
          <w:rFonts w:ascii="Times New Roman" w:hAnsi="Times New Roman"/>
          <w:vertAlign w:val="subscript"/>
        </w:rPr>
        <w:t>2</w:t>
      </w:r>
      <w:r w:rsidR="0085521F" w:rsidRPr="009623BF">
        <w:rPr>
          <w:rFonts w:ascii="Times New Roman" w:hAnsi="Times New Roman"/>
        </w:rPr>
        <w:t xml:space="preserve"> devices. </w:t>
      </w:r>
    </w:p>
    <w:p w14:paraId="30BBAF48" w14:textId="42EF0E7F" w:rsidR="00B9698F" w:rsidRPr="009623BF" w:rsidRDefault="00A807F2" w:rsidP="00A807F2">
      <w:pPr>
        <w:pStyle w:val="TAMainText"/>
      </w:pPr>
      <w:r w:rsidRPr="009623BF">
        <w:t>Research aimed towards the application of semiconducting 2D materials in optoelectronic technologies has gained substantial momentum in recent years.</w:t>
      </w:r>
      <w:r w:rsidRPr="009623BF">
        <w:fldChar w:fldCharType="begin" w:fldLock="1"/>
      </w:r>
      <w:r w:rsidR="001F4C34" w:rsidRPr="009623BF">
        <w:instrText xml:space="preserve">ADDIN CSL_CITATION {"citationItems":[{"id":"ITEM-1","itemData":{"DOI":"10.1021/acs.nanolett.5b02559","ISBN":"1530-6984","ISSN":"15306992","PMID":"26501356","abstract":"Semiconducting, two-dimensional molybdenum disulfide (MoS2) is considered a promising new material for highly sensitive photodetection, because of its atomically thin profile and favorable bandgap. However, reported photodetectors to date show strong variation in performance due to the detrimental and uncontrollable effects of environmental adsorbates on devices due to large surface to volume ratio. Here, we report on highly stable and high-performance monolayer and bilayer MoS2 photodetectors encapsulated with atomic layer deposited hafnium oxide. The protected devices show enhanced electronic properties by isolating them from the ambience as strong n-type doping, vanishing hysteresis, and reduced device resistance. By controlling the gate voltage the responsivity and temporal response can be tuned by several orders of magnitude with R </w:instrText>
      </w:r>
      <w:r w:rsidR="001F4C34" w:rsidRPr="009623BF">
        <w:rPr>
          <w:rFonts w:ascii="Cambria Math" w:hAnsi="Cambria Math" w:cs="Cambria Math"/>
        </w:rPr>
        <w:instrText>∼</w:instrText>
      </w:r>
      <w:r w:rsidR="001F4C34" w:rsidRPr="009623BF">
        <w:instrText xml:space="preserve"> 10-10(4) A/W and t </w:instrText>
      </w:r>
      <w:r w:rsidR="001F4C34" w:rsidRPr="009623BF">
        <w:rPr>
          <w:rFonts w:ascii="Cambria Math" w:hAnsi="Cambria Math" w:cs="Cambria Math"/>
        </w:rPr>
        <w:instrText>∼</w:instrText>
      </w:r>
      <w:r w:rsidR="001F4C34" w:rsidRPr="009623BF">
        <w:instrText xml:space="preserve"> 10 ms to 10 s. At strong negative gate voltage, the detector is operated at higher speed and simultaneously exhibits a low-bound, record sensitivity of D* ≥ 7.7 × 10(11) Jones. Our results lead the way for future application of ultrathin, flexible, and high-performance MoS2 detectors and prompt for further investigation in encapsulated transition metal dichalcogenide optoelectronics.","author":[{"dropping-particle":"","family":"Kufer","given":"Dominik","non-dropping-particle":"","parse-names":false,"suffix":""},{"dropping-particle":"","family":"Konstantatos","given":"Gerasimos","non-dropping-particle":"","parse-names":false,"suffix":""}],"container-title":"Nano Letters","id":"ITEM-1","issue":"11","issued":{"date-parts":[["2015"]]},"page":"7307-7313","title":"Highly Sensitive, Encapsulated MoS2 Photodetector with Gate Controllable Gain and Speed","type":"article-journal","volume":"15"},"uris":["http://www.mendeley.com/documents/?uuid=c6eccf05-849a-4ee3-85bd-c1720fc72a59","http://www.mendeley.com/documents/?uuid=e911b52a-ecd8-448b-9959-4e1da86beca6"]},{"id":"ITEM-2","itemData":{"DOI":"10.1038/srep03826","ISBN":"2045-2322 (Electronic)\\r2045-2322 (Linking)","ISSN":"2045-2322","PMID":"24451916","abstract":"Due to its high carrier mobility, broadband absorption, and fast response time, the semi-metallic graphene is attractive for optoelectronics. Another two-dimensional semiconducting material molybdenum disulfide (MoS2) is also known as light- sensitive. Here we show that a large-area and continuous MoS2 monolayer is achievable using a CVD method and graphene is transferable onto MoS2. We demonstrate that a photodetector based on the graphene/MoS2 heterostructure is able to provide a high photogain greater than 10(8). Our experiments show that the electron-hole pairs are produced in the MoS2 layer after light absorption and subsequently separated across the layers. Contradictory to the expectation based on the conventional built-in electric field model for metal-semiconductor contacts, photoelectrons are injected into the graphene layer rather than trapped in MoS2 due to the presence of a perpendicular effective electric field caused by the combination of the built-in electric field, the applied electrostatic field, and charged impurities or adsorbates, resulting in a tuneable photoresponsivity.","author":[{"dropping-particle":"","family":"Zhang","given":"Wenjing","non-dropping-particle":"","parse-names":false,"suffix":""},{"dropping-particle":"","family":"Chuu","given":"Chih-Piao","non-dropping-particle":"","parse-names":false,"suffix":""},{"dropping-particle":"","family":"Huang","given":"Jing-Kai","non-dropping-particle":"","parse-names":false,"suffix":""},{"dropping-particle":"","family":"Chen","given":"Chang-Hsiao","non-dropping-particle":"","parse-names":false,"suffix":""},{"dropping-particle":"","family":"Tsai","given":"Meng-Lin","non-dropping-particle":"","parse-names":false,"suffix":""},{"dropping-particle":"","family":"Chang","given":"Yung-Huang","non-dropping-particle":"","parse-names":false,"suffix":""},{"dropping-particle":"","family":"Liang","given":"Chi-Te","non-dropping-particle":"","parse-names":false,"suffix":""},{"dropping-particle":"","family":"Chen","given":"Yu-Ze","non-dropping-particle":"","parse-names":false,"suffix":""},{"dropping-particle":"","family":"Chueh","given":"Yu-Lun","non-dropping-particle":"","parse-names":false,"suffix":""},{"dropping-particle":"","family":"He","given":"Jr-Hau","non-dropping-particle":"","parse-names":false,"suffix":""},{"dropping-particle":"","family":"Chou","given":"Mei-Yin","non-dropping-particle":"","parse-names":false,"suffix":""},{"dropping-particle":"","family":"Li","given":"Lain-Jong","non-dropping-particle":"","parse-names":false,"suffix":""}],"container-title":"Scientific reports","id":"ITEM-2","issued":{"date-parts":[["2014"]]},"page":"3826","title":"Ultrahigh-gain photodetectors based on atomically thin graphene-MoS2 heterostructures.","type":"article-journal","volume":"4"},"uris":["http://www.mendeley.com/documents/?uuid=02695e58-b4d0-435e-9d48-44c9f1f25c7d","http://www.mendeley.com/documents/?uuid=30bfe7a4-f757-4d1f-90d0-19956e29eff1"]}],"mendeley":{"formattedCitation":"&lt;sup&gt;1,2&lt;/sup&gt;","plainTextFormattedCitation":"1,2","previouslyFormattedCitation":"&lt;sup&gt;1,2&lt;/sup&gt;"},"properties":{"noteIndex":0},"schema":"https://github.com/citation-style-language/schema/raw/master/csl-citation.json"}</w:instrText>
      </w:r>
      <w:r w:rsidRPr="009623BF">
        <w:fldChar w:fldCharType="separate"/>
      </w:r>
      <w:r w:rsidRPr="009623BF">
        <w:rPr>
          <w:noProof/>
          <w:vertAlign w:val="superscript"/>
        </w:rPr>
        <w:t>1,2</w:t>
      </w:r>
      <w:r w:rsidRPr="009623BF">
        <w:fldChar w:fldCharType="end"/>
      </w:r>
      <w:r w:rsidRPr="009623BF">
        <w:t xml:space="preserve"> </w:t>
      </w:r>
      <w:r w:rsidR="00366711" w:rsidRPr="009623BF">
        <w:t>Graphene, in particular</w:t>
      </w:r>
      <w:r w:rsidR="0067269D" w:rsidRPr="009623BF">
        <w:t>,</w:t>
      </w:r>
      <w:r w:rsidR="00366711" w:rsidRPr="009623BF">
        <w:t xml:space="preserve"> </w:t>
      </w:r>
      <w:r w:rsidR="0067269D" w:rsidRPr="009623BF">
        <w:t>has been</w:t>
      </w:r>
      <w:r w:rsidR="00366711" w:rsidRPr="009623BF">
        <w:t xml:space="preserve"> the subject of intense study due to</w:t>
      </w:r>
      <w:r w:rsidRPr="009623BF">
        <w:t xml:space="preserve"> </w:t>
      </w:r>
      <w:r w:rsidR="0094386B" w:rsidRPr="009623BF">
        <w:t>it</w:t>
      </w:r>
      <w:r w:rsidRPr="009623BF">
        <w:t>s extremely high mobility</w:t>
      </w:r>
      <w:r w:rsidR="0067269D" w:rsidRPr="009623BF">
        <w:t xml:space="preserve"> at room temperature (~10000 cm</w:t>
      </w:r>
      <w:r w:rsidR="0067269D" w:rsidRPr="009623BF">
        <w:rPr>
          <w:vertAlign w:val="superscript"/>
        </w:rPr>
        <w:t>2</w:t>
      </w:r>
      <w:r w:rsidR="0067269D" w:rsidRPr="009623BF">
        <w:t>/Vs)</w:t>
      </w:r>
      <w:r w:rsidRPr="009623BF">
        <w:fldChar w:fldCharType="begin" w:fldLock="1"/>
      </w:r>
      <w:r w:rsidR="001F4C34" w:rsidRPr="009623BF">
        <w:instrText>ADDIN CSL_CITATION {"citationItems":[{"id":"ITEM-1","itemData":{"author":[{"dropping-particle":"","family":"Raimond","given":"J M","non-dropping-particle":"","parse-names":false,"suffix":""},{"dropping-particle":"","family":"Brune","given":"M","non-dropping-particle":"","parse-names":false,"suffix":""},{"dropping-particle":"","family":"Computation","given":"Quantum","non-dropping-particle":"","parse-names":false,"suffix":""},{"dropping-particle":"De","family":"Martini","given":"F","non-dropping-particle":"","parse-names":false,"suffix":""},{"dropping-particle":"","family":"Monroe","given":"C","non-dropping-particle":"","parse-names":false,"suffix":""},{"dropping-particle":"","family":"Moehring","given":"D L","non-dropping-particle":"","parse-names":false,"suffix":""},{"dropping-particle":"","family":"Monroe","given":"C","non-dropping-particle":"","parse-names":false,"suffix":""},{"dropping-particle":"","family":"Knight","given":"P L","non-dropping-particle":"","parse-names":false,"suffix":""},{"dropping-particle":"","family":"Plenio","given":"M B","non-dropping-particle":"","parse-names":false,"suffix":""},{"dropping-particle":"","family":"Vedral","given":"V","non-dropping-particle":"","parse-names":false,"suffix":""},{"dropping-particle":"","family":"Polzik","given":"E S","non-dropping-particle":"","parse-names":false,"suffix":""},{"dropping-particle":"","family":"Variables","given":"Continuous","non-dropping-particle":"","parse-names":false,"suffix":""},{"dropping-particle":"","family":"Braunstein","given":"S L","non-dropping-particle":"","parse-names":false,"suffix":""},{"dropping-particle":"","family":"Pati","given":"A K","non-dropping-particle":"","parse-names":false,"suffix":""},{"dropping-particle":"","family":"Lukin","given":"M D","non-dropping-particle":"","parse-names":false,"suffix":""},{"dropping-particle":"","family":"Cirac","given":"I J","non-dropping-particle":"","parse-names":false,"suffix":""},{"dropping-particle":"","family":"Zoller","given":"P","non-dropping-particle":"","parse-names":false,"suffix":""},{"dropping-particle":"","family":"Han","given":"C","non-dropping-particle":"","parse-names":false,"suffix":""},{"dropping-particle":"","family":"Xue","given":"P","non-dropping-particle":"","parse-names":false,"suffix":""},{"dropping-particle":"","family":"Guo","given":"G C","non-dropping-particle":"","parse-names":false,"suffix":""},{"dropping-particle":"V","family":"Polyakov","given":"S","non-dropping-particle":"","parse-names":false,"suffix":""},{"dropping-particle":"","family":"Kuzmich","given":"A","non-dropping-particle":"","parse-names":false,"suffix":""},{"dropping-particle":"","family":"Kimble","given":"H J","non-dropping-particle":"","parse-names":false,"suffix":""},{"dropping-particle":"","family":"Cirac","given":"J I","non-dropping-particle":"","parse-names":false,"suffix":""},{"dropping-particle":"","family":"Zoller","given":"P","non-dropping-particle":"","parse-names":false,"suffix":""},{"dropping-particle":"","family":"Kennedy","given":"T A B","non-dropping-particle":"","parse-names":false,"suffix":""},{"dropping-particle":"","family":"Horodecki","given":"P","non-dropping-particle":"","parse-names":false,"suffix":""},{"dropping-particle":"","family":"Horodecki","given":"R","non-dropping-particle":"","parse-names":false,"suffix":""},{"dropping-particle":"","family":"Divincenzo","given":"D P","non-dropping-particle":"","parse-names":false,"suffix":""},{"dropping-particle":"","family":"Smolin","given":"J A","non-dropping-particle":"","parse-names":false,"suffix":""},{"dropping-particle":"","family":"Beige","given":"A","non-dropping-particle":"","parse-names":false,"suffix":""},{"dropping-particle":"","family":"Kwek","given":"L C","non-dropping-particle":"","parse-names":false,"suffix":""},{"dropping-particle":"","family":"Kok","given":"P","non-dropping-particle":"","parse-names":false,"suffix":""},{"dropping-particle":"","family":"Sauer","given":"J A","non-dropping-particle":"","parse-names":false,"suffix":""},{"dropping-particle":"","family":"You","given":"L","non-dropping-particle":"","parse-names":false,"suffix":""},{"dropping-particle":"","family":"Zangwill","given":"A","non-dropping-particle":"","parse-names":false,"suffix":""},{"dropping-particle":"","family":"Chapman","given":"M S","non-dropping-particle":"","parse-names":false,"suffix":""},{"dropping-particle":"","family":"Nielsen","given":"M","non-dropping-particle":"","parse-names":false,"suffix":""},{"dropping-particle":"","family":"Computation","given":"Quantum","non-dropping-particle":"","parse-names":false,"suffix":""}],"id":"ITEM-1","issued":{"date-parts":[["0"]]},"title":"Electric Field Effect in Atomically Thin Carbon Films","type":"article-journal"},"uris":["http://www.mendeley.com/documents/?uuid=f5bf7e4c-990d-4f64-bc2a-fda19f3d8daa"]}],"mendeley":{"formattedCitation":"&lt;sup&gt;3&lt;/sup&gt;","plainTextFormattedCitation":"3","previouslyFormattedCitation":"&lt;sup&gt;3&lt;/sup&gt;"},"properties":{"noteIndex":0},"schema":"https://github.com/citation-style-language/schema/raw/master/csl-citation.json"}</w:instrText>
      </w:r>
      <w:r w:rsidRPr="009623BF">
        <w:fldChar w:fldCharType="separate"/>
      </w:r>
      <w:r w:rsidRPr="009623BF">
        <w:rPr>
          <w:noProof/>
          <w:vertAlign w:val="superscript"/>
        </w:rPr>
        <w:t>3</w:t>
      </w:r>
      <w:r w:rsidRPr="009623BF">
        <w:fldChar w:fldCharType="end"/>
      </w:r>
      <w:r w:rsidRPr="009623BF">
        <w:t xml:space="preserve"> and fast photoresponse.</w:t>
      </w:r>
      <w:r w:rsidRPr="009623BF">
        <w:fldChar w:fldCharType="begin" w:fldLock="1"/>
      </w:r>
      <w:r w:rsidR="001F4C34" w:rsidRPr="009623BF">
        <w:instrText>ADDIN CSL_CITATION {"citationItems":[{"id":"ITEM-1","itemData":{"DOI":"10.1038/ncomms2830","ISBN":"2041-1723 (Electronic)\\r2041-1723 (Linking)","ISSN":"2041-1723","PMID":"23651999","abstract":"Nature Communications 4, 1811 (2013). doi:10.1038/ncomms2830","author":[{"dropping-particle":"","family":"Zhang","given":"By Yongzhe","non-dropping-particle":"","parse-names":false,"suffix":""},{"dropping-particle":"","family":"Liu","given":"Tao","non-dropping-particle":"","parse-names":false,"suffix":""},{"dropping-particle":"","family":"Meng","given":"Bo","non-dropping-particle":"","parse-names":false,"suffix":""},{"dropping-particle":"","family":"Li","given":"Xiaohui","non-dropping-particle":"","parse-names":false,"suffix":""},{"dropping-particle":"","family":"Liang","given":"Guozhen","non-dropping-particle":"","parse-names":false,"suffix":""},{"dropping-particle":"","family":"Hu","given":"Xiaonan","non-dropping-particle":"","parse-names":false,"suffix":""},{"dropping-particle":"","family":"Wang","given":"Qi Jie","non-dropping-particle":"","parse-names":false,"suffix":""}],"container-title":"Nature Communications","id":"ITEM-1","issue":"May","issued":{"date-parts":[["2013","5"]]},"page":"1811","publisher":"Nature Publishing Group","title":"Broadband high photoresponse from pure monolayer graphene photodetector","type":"article-journal","volume":"4"},"uris":["http://www.mendeley.com/documents/?uuid=299f7285-a546-4e08-96c2-e6a89a323bfd","http://www.mendeley.com/documents/?uuid=880623cf-e7cc-46f6-b9cc-1f5717ce806d"]}],"mendeley":{"formattedCitation":"&lt;sup&gt;4&lt;/sup&gt;","plainTextFormattedCitation":"4","previouslyFormattedCitation":"&lt;sup&gt;4&lt;/sup&gt;"},"properties":{"noteIndex":0},"schema":"https://github.com/citation-style-language/schema/raw/master/csl-citation.json"}</w:instrText>
      </w:r>
      <w:r w:rsidRPr="009623BF">
        <w:fldChar w:fldCharType="separate"/>
      </w:r>
      <w:r w:rsidRPr="009623BF">
        <w:rPr>
          <w:noProof/>
          <w:vertAlign w:val="superscript"/>
        </w:rPr>
        <w:t>4</w:t>
      </w:r>
      <w:r w:rsidRPr="009623BF">
        <w:fldChar w:fldCharType="end"/>
      </w:r>
      <w:r w:rsidRPr="009623BF">
        <w:t xml:space="preserve"> </w:t>
      </w:r>
      <w:r w:rsidR="0067269D" w:rsidRPr="009623BF">
        <w:rPr>
          <w:rFonts w:ascii="Times New Roman" w:hAnsi="Times New Roman"/>
        </w:rPr>
        <w:t>However, the lack of a direct optical bandgap in graphene, due to its semi-metal character, and the high dark currents which arise due to these characteristics, limit its applicability in many optoelectronic devices</w:t>
      </w:r>
      <w:r w:rsidRPr="009623BF">
        <w:t>.</w:t>
      </w:r>
      <w:r w:rsidR="001F4C34" w:rsidRPr="009623BF">
        <w:fldChar w:fldCharType="begin" w:fldLock="1"/>
      </w:r>
      <w:r w:rsidR="001F4C34" w:rsidRPr="009623BF">
        <w:instrText>ADDIN CSL_CITATION {"citationItems":[{"id":"ITEM-1","itemData":{"DOI":"10.1038/natrevmats.2016.52","ISBN":"2058-8437","ISSN":"20588437","PMID":"1733499","abstract":"In the quest for higher performance, the dimensions of field-effect transistors (FETs) continue to decrease. However, the reduction in size of FETs comprising 3D semiconductors is limited by the rate at which heat, generated from static power, is dissipated. The increase in static power and the leakage of current between the source and drain electrodes that causes this increase, are referred to as short-channel effects. In FETs with channels made from 2D semiconductors, leakage current is almost eliminated because all electrons are confined in atomically thin channels and, hence, are uniformly influenced by the gate voltage. In this Review, we provide a mathematical framework to evaluate the performance of FETs and describe the challenges for improving the performances of short-channel FETs in relation to the properties of 2D materials, including graphene, transition metal dichalcogenides, phosphorene and silicene. We also describe tunnelling FETs that possess extremely low-power switching behaviour and explain how they can be realized using heterostructures of 2D semiconductors.","author":[{"dropping-particle":"","family":"Chhowalla","given":"Manish","non-dropping-particle":"","parse-names":false,"suffix":""},{"dropping-particle":"","family":"Jena","given":"Debdeep","non-dropping-particle":"","parse-names":false,"suffix":""},{"dropping-particle":"","family":"Zhang","given":"Hua","non-dropping-particle":"","parse-names":false,"suffix":""}],"container-title":"Nature Reviews Materials","id":"ITEM-1","issue":"11","issued":{"date-parts":[["2016"]]},"page":"1-15","publisher":"Macmillan Publishers Limited","title":"Two-dimensional semiconductors for transistors","type":"article-journal","volume":"1"},"uris":["http://www.mendeley.com/documents/?uuid=0bea7f2b-846e-421a-80d2-7a793021c8e9"]}],"mendeley":{"formattedCitation":"&lt;sup&gt;5&lt;/sup&gt;","plainTextFormattedCitation":"5","previouslyFormattedCitation":"&lt;sup&gt;5&lt;/sup&gt;"},"properties":{"noteIndex":0},"schema":"https://github.com/citation-style-language/schema/raw/master/csl-citation.json"}</w:instrText>
      </w:r>
      <w:r w:rsidR="001F4C34" w:rsidRPr="009623BF">
        <w:fldChar w:fldCharType="separate"/>
      </w:r>
      <w:r w:rsidR="001F4C34" w:rsidRPr="009623BF">
        <w:rPr>
          <w:noProof/>
          <w:vertAlign w:val="superscript"/>
        </w:rPr>
        <w:t>5</w:t>
      </w:r>
      <w:r w:rsidR="001F4C34" w:rsidRPr="009623BF">
        <w:fldChar w:fldCharType="end"/>
      </w:r>
      <w:r w:rsidRPr="009623BF">
        <w:t xml:space="preserve"> Transition metal dichalcogenides (TMDs)</w:t>
      </w:r>
      <w:r w:rsidR="000C5F32" w:rsidRPr="009623BF">
        <w:t xml:space="preserve"> such as MoS</w:t>
      </w:r>
      <w:r w:rsidR="000C5F32" w:rsidRPr="009623BF">
        <w:rPr>
          <w:vertAlign w:val="subscript"/>
        </w:rPr>
        <w:t>2</w:t>
      </w:r>
      <w:r w:rsidR="000C5F32" w:rsidRPr="009623BF">
        <w:t>,</w:t>
      </w:r>
      <w:r w:rsidRPr="009623BF">
        <w:t xml:space="preserve"> on the other hand, possess the striking ability to transition from an indirect bandgap at few-layer thicknesses to a direct bandgap material at monolayer thicknesses.</w:t>
      </w:r>
      <w:r w:rsidRPr="009623BF">
        <w:fldChar w:fldCharType="begin" w:fldLock="1"/>
      </w:r>
      <w:r w:rsidR="001F4C34" w:rsidRPr="009623BF">
        <w:instrText>ADDIN CSL_CITATION {"citationItems":[{"id":"ITEM-1","itemData":{"DOI":"10.1103/PhysRevLett.105.136805","ISSN":"0031-9007","author":[{"dropping-particle":"","family":"Mak","given":"Kin Fai","non-dropping-particle":"","parse-names":false,"suffix":""},{"dropping-particle":"","family":"Lee","given":"Changgu","non-dropping-particle":"","parse-names":false,"suffix":""},{"dropping-particle":"","family":"Hone","given":"James","non-dropping-particle":"","parse-names":false,"suffix":""},{"dropping-particle":"","family":"Shan","given":"Jie","non-dropping-particle":"","parse-names":false,"suffix":""},{"dropping-particle":"","family":"Heinz","given":"Tony F.","non-dropping-particle":"","parse-names":false,"suffix":""}],"container-title":"Physical Review Letters","id":"ITEM-1","issue":"13","issued":{"date-parts":[["2010","9"]]},"page":"136805","title":"Atomically Thin MoS_{2}: A New Direct-Gap Semiconductor","type":"article-journal","volume":"105"},"uris":["http://www.mendeley.com/documents/?uuid=e17a109b-1e75-4f62-8095-f6990773c404"]},{"id":"ITEM-2","itemData":{"DOI":"10.1021/nl201874w","ISSN":"1530-6992","PMID":"22035145","abstract":"A two-dimensional crystal of molybdenum disulfide (MoS2) monolayer is a photoluminescent direct gap semiconductor in striking contrast to its bulk counterpart. Exfoliation of bulk MoS2 via Li intercalation is an attractive route to large-scale synthesis of monolayer crystals. However, this method results in loss of pristine semiconducting properties of MoS2 due to structural changes that occur during Li intercalation. Here, we report structural and electronic properties of chemically exfoliated MoS2. The metastable metallic phase that emerges from Li intercalation was found to dominate the properties of as-exfoliated material, but mild annealing leads to gradual restoration of the semiconducting phase. Above an annealing temperature of 300 °C, chemically exfoliated MoS2 exhibit prominent band gap photoluminescence, similar to mechanically exfoliated monolayers, indicating that their semiconducting properties are largely restored.","author":[{"dropping-particle":"","family":"Eda","given":"Goki","non-dropping-particle":"","parse-names":false,"suffix":""},{"dropping-particle":"","family":"Yamaguchi","given":"Hisato","non-dropping-particle":"","parse-names":false,"suffix":""},{"dropping-particle":"","family":"Voiry","given":"Damien","non-dropping-particle":"","parse-names":false,"suffix":""},{"dropping-particle":"","family":"Fujita","given":"Takeshi","non-dropping-particle":"","parse-names":false,"suffix":""},{"dropping-particle":"","family":"Chen","given":"Mingwei","non-dropping-particle":"","parse-names":false,"suffix":""},{"dropping-particle":"","family":"Chhowalla","given":"Manish","non-dropping-particle":"","parse-names":false,"suffix":""}],"container-title":"Nano letters","id":"ITEM-2","issue":"12","issued":{"date-parts":[["2011","12","14"]]},"page":"5111-6","title":"Photoluminescence from chemically exfoliated MoS2.","type":"article-journal","volume":"11"},"uris":["http://www.mendeley.com/documents/?uuid=9b114963-ccda-45b9-9883-799c1832b2f1"]},{"id":"ITEM-3","itemData":{"DOI":"10.1021/nl903868w","ISSN":"1530-6992","PMID":"20229981","abstract":"Novel physical phenomena can emerge in low-dimensional nanomaterials. Bulk MoS(2), a prototypical metal dichalcogenide, is an indirect bandgap semiconductor with negligible photoluminescence. When the MoS(2) crystal is thinned to monolayer, however, a strong photoluminescence emerges, indicating an indirect to direct bandgap transition in this d-electron system. This observation shows that quantum confinement in layered d-electron materials like MoS(2) provides new opportunities for engineering the electronic structure of matter at the nanoscale.","author":[{"dropping-particle":"","family":"Splendiani","given":"Andrea","non-dropping-particle":"","parse-names":false,"suffix":""},{"dropping-particle":"","family":"Sun","given":"Liang","non-dropping-particle":"","parse-names":false,"suffix":""},{"dropping-particle":"","family":"Zhang","given":"Yuanbo","non-dropping-particle":"","parse-names":false,"suffix":""},{"dropping-particle":"","family":"Li","given":"Tianshu","non-dropping-particle":"","parse-names":false,"suffix":""},{"dropping-particle":"","family":"Kim","given":"Jonghwan","non-dropping-particle":"","parse-names":false,"suffix":""},{"dropping-particle":"","family":"Chim","given":"Chi-Yung","non-dropping-particle":"","parse-names":false,"suffix":""},{"dropping-particle":"","family":"Galli","given":"Giulia","non-dropping-particle":"","parse-names":false,"suffix":""},{"dropping-particle":"","family":"Wang","given":"Feng","non-dropping-particle":"","parse-names":false,"suffix":""}],"container-title":"Nano letters","id":"ITEM-3","issue":"4","issued":{"date-parts":[["2010","4","14"]]},"page":"1271-5","title":"Emerging photoluminescence in monolayer MoS2.","type":"article-journal","volume":"10"},"uris":["http://www.mendeley.com/documents/?uuid=168622af-01cc-4d5e-ad63-f0468a32478a"]}],"mendeley":{"formattedCitation":"&lt;sup&gt;6–8&lt;/sup&gt;","plainTextFormattedCitation":"6–8","previouslyFormattedCitation":"&lt;sup&gt;6–8&lt;/sup&gt;"},"properties":{"noteIndex":0},"schema":"https://github.com/citation-style-language/schema/raw/master/csl-citation.json"}</w:instrText>
      </w:r>
      <w:r w:rsidRPr="009623BF">
        <w:fldChar w:fldCharType="separate"/>
      </w:r>
      <w:r w:rsidR="001F4C34" w:rsidRPr="009623BF">
        <w:rPr>
          <w:noProof/>
          <w:vertAlign w:val="superscript"/>
        </w:rPr>
        <w:t>6–8</w:t>
      </w:r>
      <w:r w:rsidRPr="009623BF">
        <w:fldChar w:fldCharType="end"/>
      </w:r>
      <w:r w:rsidRPr="009623BF">
        <w:t xml:space="preserve"> </w:t>
      </w:r>
      <w:r w:rsidR="00B22BC8" w:rsidRPr="009623BF">
        <w:rPr>
          <w:rFonts w:ascii="Times New Roman" w:hAnsi="Times New Roman"/>
        </w:rPr>
        <w:t>While sensitized photodetector devices consisting of graphene are known to display higher responsivity (~1 x10</w:t>
      </w:r>
      <w:r w:rsidR="00B22BC8" w:rsidRPr="009623BF">
        <w:rPr>
          <w:rFonts w:ascii="Times New Roman" w:hAnsi="Times New Roman"/>
          <w:vertAlign w:val="superscript"/>
        </w:rPr>
        <w:t xml:space="preserve">8 </w:t>
      </w:r>
      <w:r w:rsidR="00B22BC8" w:rsidRPr="009623BF">
        <w:rPr>
          <w:rFonts w:ascii="Times New Roman" w:hAnsi="Times New Roman"/>
        </w:rPr>
        <w:t>A/W)</w:t>
      </w:r>
      <w:r w:rsidR="00B22BC8" w:rsidRPr="009623BF">
        <w:rPr>
          <w:rFonts w:ascii="Times New Roman" w:hAnsi="Times New Roman"/>
        </w:rPr>
        <w:fldChar w:fldCharType="begin" w:fldLock="1"/>
      </w:r>
      <w:r w:rsidR="001F4C34" w:rsidRPr="009623BF">
        <w:rPr>
          <w:rFonts w:ascii="Times New Roman" w:hAnsi="Times New Roman"/>
        </w:rPr>
        <w:instrText xml:space="preserve">ADDIN CSL_CITATION {"citationItems":[{"id":"ITEM-1","itemData":{"DOI":"10.1038/nnano.2012.60","ISSN":"1748-3395","PMID":"22562036","abstract":"Graphene is an attractive material for optoelectronics and photodetection applications because it offers a broad spectral bandwidth and fast response times. However, weak light absorption and the absence of a gain mechanism that can generate multiple charge carriers from one incident photon have limited the responsivity of graphene-based photodetectors to </w:instrText>
      </w:r>
      <w:r w:rsidR="001F4C34" w:rsidRPr="009623BF">
        <w:rPr>
          <w:rFonts w:ascii="Cambria Math" w:hAnsi="Cambria Math" w:cs="Cambria Math"/>
        </w:rPr>
        <w:instrText>∼</w:instrText>
      </w:r>
      <w:r w:rsidR="001F4C34" w:rsidRPr="009623BF">
        <w:rPr>
          <w:rFonts w:ascii="Times New Roman" w:hAnsi="Times New Roman"/>
        </w:rPr>
        <w:instrText xml:space="preserve">10(-2) A W(-1). Here, we demonstrate a gain of </w:instrText>
      </w:r>
      <w:r w:rsidR="001F4C34" w:rsidRPr="009623BF">
        <w:rPr>
          <w:rFonts w:ascii="Cambria Math" w:hAnsi="Cambria Math" w:cs="Cambria Math"/>
        </w:rPr>
        <w:instrText>∼</w:instrText>
      </w:r>
      <w:r w:rsidR="001F4C34" w:rsidRPr="009623BF">
        <w:rPr>
          <w:rFonts w:ascii="Times New Roman" w:hAnsi="Times New Roman"/>
        </w:rPr>
        <w:instrText xml:space="preserve">10(8) electrons per photon and a responsivity of </w:instrText>
      </w:r>
      <w:r w:rsidR="001F4C34" w:rsidRPr="009623BF">
        <w:rPr>
          <w:rFonts w:ascii="Cambria Math" w:hAnsi="Cambria Math" w:cs="Cambria Math"/>
        </w:rPr>
        <w:instrText>∼</w:instrText>
      </w:r>
      <w:r w:rsidR="001F4C34" w:rsidRPr="009623BF">
        <w:rPr>
          <w:rFonts w:ascii="Times New Roman" w:hAnsi="Times New Roman"/>
        </w:rPr>
        <w:instrText>10(7) A W(-1) in a hybrid photodetector that consists of monolayer or bilayer graphene covered with a thin film of colloidal quantum dots. Strong and tunable light absorption in the quantum-dot layer creates electric charges that are transferred to the graphene, where they recirculate many times due to the high charge mobility of graphene and long trapped-charge lifetimes in the quantum-dot layer. The device, with a specific detectivity of 7 × 10(13) Jones, benefits from gate-tunable sensitivity and speed, spectral selectivity from the short-wavelength infrared to the visible, and compatibility with current circuit technologies.","author":[{"dropping-particle":"","family":"Konstantatos","given":"Gerasimos","non-dropping-particle":"","parse-names":false,"suffix":""},{"dropping-particle":"","family":"Badioli","given":"Michela","non-dropping-particle":"","parse-names":false,"suffix":""},{"dropping-particle":"","family":"Gaudreau","given":"Louis","non-dropping-particle":"","parse-names":false,"suffix":""},{"dropping-particle":"","family":"Osmond","given":"Johann","non-dropping-particle":"","parse-names":false,"suffix":""},{"dropping-particle":"","family":"Bernechea","given":"Maria","non-dropping-particle":"","parse-names":false,"suffix":""},{"dropping-particle":"","family":"Garcia de Arquer","given":"F Pelayo","non-dropping-particle":"","parse-names":false,"suffix":""},{"dropping-particle":"","family":"Gatti","given":"Fabio","non-dropping-particle":"","parse-names":false,"suffix":""},{"dropping-particle":"","family":"Koppens","given":"Frank H L","non-dropping-particle":"","parse-names":false,"suffix":""}],"container-title":"Nature nanotechnology","id":"ITEM-1","issue":"6","issued":{"date-parts":[["2012","6"]]},"page":"363-8","publisher":"Nature Publishing Group","title":"Hybrid graphene-quantum dot phototransistors with ultrahigh gain.","type":"article-journal","volume":"7"},"uris":["http://www.mendeley.com/documents/?uuid=e7d098b7-4bc7-4fd0-9b44-a8050ea20b59"]}],"mendeley":{"formattedCitation":"&lt;sup&gt;9&lt;/sup&gt;","plainTextFormattedCitation":"9","previouslyFormattedCitation":"&lt;sup&gt;9&lt;/sup&gt;"},"properties":{"noteIndex":0},"schema":"https://github.com/citation-style-language/schema/raw/master/csl-citation.json"}</w:instrText>
      </w:r>
      <w:r w:rsidR="00B22BC8" w:rsidRPr="009623BF">
        <w:rPr>
          <w:rFonts w:ascii="Times New Roman" w:hAnsi="Times New Roman"/>
        </w:rPr>
        <w:fldChar w:fldCharType="separate"/>
      </w:r>
      <w:r w:rsidR="001F4C34" w:rsidRPr="009623BF">
        <w:rPr>
          <w:rFonts w:ascii="Times New Roman" w:hAnsi="Times New Roman"/>
          <w:noProof/>
          <w:vertAlign w:val="superscript"/>
        </w:rPr>
        <w:t>9</w:t>
      </w:r>
      <w:r w:rsidR="00B22BC8" w:rsidRPr="009623BF">
        <w:rPr>
          <w:rFonts w:ascii="Times New Roman" w:hAnsi="Times New Roman"/>
        </w:rPr>
        <w:fldChar w:fldCharType="end"/>
      </w:r>
      <w:r w:rsidR="00B22BC8" w:rsidRPr="009623BF">
        <w:rPr>
          <w:rFonts w:ascii="Times New Roman" w:hAnsi="Times New Roman"/>
        </w:rPr>
        <w:t xml:space="preserve"> than those consisting of TMDs such as MoS</w:t>
      </w:r>
      <w:r w:rsidR="00B22BC8" w:rsidRPr="009623BF">
        <w:rPr>
          <w:rFonts w:ascii="Times New Roman" w:hAnsi="Times New Roman"/>
          <w:vertAlign w:val="subscript"/>
        </w:rPr>
        <w:t>2</w:t>
      </w:r>
      <w:r w:rsidR="00B22BC8" w:rsidRPr="009623BF">
        <w:rPr>
          <w:rFonts w:ascii="Times New Roman" w:hAnsi="Times New Roman"/>
          <w:vertAlign w:val="superscript"/>
        </w:rPr>
        <w:t xml:space="preserve"> </w:t>
      </w:r>
      <w:r w:rsidR="00B22BC8" w:rsidRPr="009623BF">
        <w:rPr>
          <w:rFonts w:ascii="Times New Roman" w:hAnsi="Times New Roman"/>
        </w:rPr>
        <w:t>(1 x10</w:t>
      </w:r>
      <w:r w:rsidR="00B22BC8" w:rsidRPr="009623BF">
        <w:rPr>
          <w:rFonts w:ascii="Times New Roman" w:hAnsi="Times New Roman"/>
          <w:vertAlign w:val="superscript"/>
        </w:rPr>
        <w:t>4</w:t>
      </w:r>
      <w:r w:rsidR="00B22BC8" w:rsidRPr="009623BF">
        <w:rPr>
          <w:rFonts w:ascii="Times New Roman" w:hAnsi="Times New Roman"/>
        </w:rPr>
        <w:t xml:space="preserve"> A/W)</w:t>
      </w:r>
      <w:r w:rsidR="00B22BC8" w:rsidRPr="009623BF">
        <w:rPr>
          <w:rFonts w:ascii="Times New Roman" w:hAnsi="Times New Roman"/>
        </w:rPr>
        <w:fldChar w:fldCharType="begin" w:fldLock="1"/>
      </w:r>
      <w:r w:rsidR="001F4C34" w:rsidRPr="009623BF">
        <w:rPr>
          <w:rFonts w:ascii="Times New Roman" w:hAnsi="Times New Roman"/>
        </w:rPr>
        <w:instrText xml:space="preserve">ADDIN CSL_CITATION {"citationItems":[{"id":"ITEM-1","itemData":{"DOI":"10.1039/C7TC03476H","ISSN":"2050-7526","abstract":"&lt;p&gt; Our proposed sensitized monolayer MoS &lt;sub&gt;2&lt;/sub&gt; phototransistor exhibits a very high responsivity of </w:instrText>
      </w:r>
      <w:r w:rsidR="001F4C34" w:rsidRPr="009623BF">
        <w:rPr>
          <w:rFonts w:ascii="Cambria Math" w:hAnsi="Cambria Math" w:cs="Cambria Math"/>
        </w:rPr>
        <w:instrText>∼</w:instrText>
      </w:r>
      <w:r w:rsidR="001F4C34" w:rsidRPr="009623BF">
        <w:rPr>
          <w:rFonts w:ascii="Times New Roman" w:hAnsi="Times New Roman"/>
        </w:rPr>
        <w:instrText xml:space="preserve">10 &lt;sup&gt;6&lt;/sup&gt; A W &lt;sup&gt;−1&lt;/sup&gt; enabling high sensitivity of </w:instrText>
      </w:r>
      <w:r w:rsidR="001F4C34" w:rsidRPr="009623BF">
        <w:rPr>
          <w:rFonts w:ascii="Cambria Math" w:hAnsi="Cambria Math" w:cs="Cambria Math"/>
        </w:rPr>
        <w:instrText>∼</w:instrText>
      </w:r>
      <w:r w:rsidR="001F4C34" w:rsidRPr="009623BF">
        <w:rPr>
          <w:rFonts w:ascii="Times New Roman" w:hAnsi="Times New Roman"/>
        </w:rPr>
        <w:instrText>10 &lt;sup&gt;13&lt;/sup&gt; Jones. &lt;/p&gt;","author":[{"dropping-particle":"","family":"Yang","given":"Yujue","non-dropping-particle":"","parse-names":false,"suffix":""},{"dropping-particle":"","family":"Huo","given":"Nengjie","non-dropping-particle":"","parse-names":false,"suffix":""},{"dropping-particle":"","family":"Li","given":"Jingbo","non-dropping-particle":"","parse-names":false,"suffix":""}],"container-title":"Journal of Materials Chemistry C","id":"ITEM-1","issue":"44","issued":{"date-parts":[["2017"]]},"page":"11614-11619","publisher":"Royal Society of Chemistry","title":"Sensitized monolayer MoS &lt;sub&gt;2&lt;/sub&gt; phototransistors with ultrahigh responsivity","type":"article-journal","volume":"5"},"uris":["http://www.mendeley.com/documents/?uuid=dfcba0f4-00f6-4fe2-948d-65c8627835c9"]}],"mendeley":{"formattedCitation":"&lt;sup&gt;10&lt;/sup&gt;","plainTextFormattedCitation":"10","previouslyFormattedCitation":"&lt;sup&gt;10&lt;/sup&gt;"},"properties":{"noteIndex":0},"schema":"https://github.com/citation-style-language/schema/raw/master/csl-citation.json"}</w:instrText>
      </w:r>
      <w:r w:rsidR="00B22BC8" w:rsidRPr="009623BF">
        <w:rPr>
          <w:rFonts w:ascii="Times New Roman" w:hAnsi="Times New Roman"/>
        </w:rPr>
        <w:fldChar w:fldCharType="separate"/>
      </w:r>
      <w:r w:rsidR="001F4C34" w:rsidRPr="009623BF">
        <w:rPr>
          <w:rFonts w:ascii="Times New Roman" w:hAnsi="Times New Roman"/>
          <w:noProof/>
          <w:vertAlign w:val="superscript"/>
        </w:rPr>
        <w:t>10</w:t>
      </w:r>
      <w:r w:rsidR="00B22BC8" w:rsidRPr="009623BF">
        <w:rPr>
          <w:rFonts w:ascii="Times New Roman" w:hAnsi="Times New Roman"/>
        </w:rPr>
        <w:fldChar w:fldCharType="end"/>
      </w:r>
      <w:r w:rsidR="00B22BC8" w:rsidRPr="009623BF">
        <w:rPr>
          <w:rFonts w:ascii="Times New Roman" w:hAnsi="Times New Roman"/>
        </w:rPr>
        <w:t>, TMDs can be advantageous for applications that require a stronger light absorption</w:t>
      </w:r>
      <w:r w:rsidR="001F4C34" w:rsidRPr="009623BF">
        <w:rPr>
          <w:rFonts w:ascii="Times New Roman" w:hAnsi="Times New Roman"/>
        </w:rPr>
        <w:fldChar w:fldCharType="begin" w:fldLock="1"/>
      </w:r>
      <w:r w:rsidR="001F4C34" w:rsidRPr="009623BF">
        <w:rPr>
          <w:rFonts w:ascii="Times New Roman" w:hAnsi="Times New Roman"/>
        </w:rPr>
        <w:instrText>ADDIN CSL_CITATION {"citationItems":[{"id":"ITEM-1","itemData":{"DOI":"10.3390/electronics5010013","ISBN":"2079-9292","ISSN":"2079-9292","abstract":"This article reviews optoelectronic devices based on graphene and related two-dimensional (2D) materials. The review includes basic considerations of process technology, including demonstrations of 2D heterostructure growth, and comments on the scalability and manufacturability of the growth methods. We then assess the potential of graphene-based transparent conducting electrodes. A major part of the review describes photodetectors based on lateral graphene p-n junctions and Schottky diodes. Finally, the progress in vertical devices made from 2D/3D heterojunctions, as well as all-2D heterostructures is discussed.","author":[{"dropping-particle":"","family":"Bablich","given":"Andreas","non-dropping-particle":"","parse-names":false,"suffix":""},{"dropping-particle":"","family":"Kataria","given":"Satender","non-dropping-particle":"","parse-names":false,"suffix":""},{"dropping-particle":"","family":"Lemme","given":"Max","non-dropping-particle":"","parse-names":false,"suffix":""}],"container-title":"Electronics","id":"ITEM-1","issue":"1","issued":{"date-parts":[["2016"]]},"page":"13","title":"Graphene and Two-Dimensional Materials for Optoelectronic Applications","type":"article-journal","volume":"5"},"uris":["http://www.mendeley.com/documents/?uuid=880072a4-093a-42c6-9adc-efe6fc4a8cec"]}],"mendeley":{"formattedCitation":"&lt;sup&gt;11&lt;/sup&gt;","plainTextFormattedCitation":"11","previouslyFormattedCitation":"&lt;sup&gt;11&lt;/sup&gt;"},"properties":{"noteIndex":0},"schema":"https://github.com/citation-style-language/schema/raw/master/csl-citation.json"}</w:instrText>
      </w:r>
      <w:r w:rsidR="001F4C34" w:rsidRPr="009623BF">
        <w:rPr>
          <w:rFonts w:ascii="Times New Roman" w:hAnsi="Times New Roman"/>
        </w:rPr>
        <w:fldChar w:fldCharType="separate"/>
      </w:r>
      <w:r w:rsidR="001F4C34" w:rsidRPr="009623BF">
        <w:rPr>
          <w:rFonts w:ascii="Times New Roman" w:hAnsi="Times New Roman"/>
          <w:noProof/>
          <w:vertAlign w:val="superscript"/>
        </w:rPr>
        <w:t>11</w:t>
      </w:r>
      <w:r w:rsidR="001F4C34" w:rsidRPr="009623BF">
        <w:rPr>
          <w:rFonts w:ascii="Times New Roman" w:hAnsi="Times New Roman"/>
        </w:rPr>
        <w:fldChar w:fldCharType="end"/>
      </w:r>
      <w:r w:rsidR="00B22BC8" w:rsidRPr="009623BF">
        <w:rPr>
          <w:rFonts w:ascii="Times New Roman" w:hAnsi="Times New Roman"/>
        </w:rPr>
        <w:t xml:space="preserve"> </w:t>
      </w:r>
      <w:r w:rsidR="00B22BC8" w:rsidRPr="009623BF">
        <w:t>and lower dark currents.</w:t>
      </w:r>
      <w:r w:rsidR="001F4C34" w:rsidRPr="009623BF">
        <w:fldChar w:fldCharType="begin" w:fldLock="1"/>
      </w:r>
      <w:r w:rsidR="001F4C34" w:rsidRPr="009623BF">
        <w:instrText>ADDIN CSL_CITATION {"citationItems":[{"id":"ITEM-1","itemData":{"DOI":"10.3390/app6030078","ISSN":"2076-3417","abstract":"We review the application of atomically thin transition metal dichalcogenides in optoelectronic devices. First, a brief overview of the optical properties of two-dimensional layered semiconductors is given and the role of excitons and valley dichroism in these materials are discussed. The following sections review and compare different concepts of photodetecting and light emitting devices, nanoscale lasers, single photon emitters, valleytronics devices, as well as photovoltaic cells. Lateral and vertical device layouts and different operation mechanisms are compared. An insight into the emerging field of valley-based optoelectronics is given. We conclude with a critical evaluation of the research area, where we discuss potential future applications and remaining challenges.","author":[{"dropping-particle":"","family":"Pospischil","given":"Andreas","non-dropping-particle":"","parse-names":false,"suffix":""},{"dropping-particle":"","family":"Mueller","given":"Thomas","non-dropping-particle":"","parse-names":false,"suffix":""}],"container-title":"Applied Sciences","id":"ITEM-1","issue":"3","issued":{"date-parts":[["2016","3","10"]]},"page":"78","title":"Optoelectronic Devices Based on Atomically Thin Transition Metal Dichalcogenides","type":"article-journal","volume":"6"},"uris":["http://www.mendeley.com/documents/?uuid=2c7859a7-8141-4760-9705-969a566254bb"]},{"id":"ITEM-2","itemData":{"DOI":"10.1002/adma.201402471","ISSN":"1521-4095","PMID":"25400160","abstract":"A hybrid phototransistor consisting of colloidal PbS quantum dots and few layers of MoS2 (≥2 layers) is demonstrated. The hybrid benefits from tailored light absorption in the quantum dots throughout the visible/near infrared region, efficient charge-carrier separation at the p-n interface, and fast carrier transport through the MoS2 channel. It shows responsivity of up to 10(6) A W(-1) and backgate-dependent sensitivity.","author":[{"dropping-particle":"","family":"Kufer","given":"Dominik","non-dropping-particle":"","parse-names":false,"suffix":""},{"dropping-particle":"","family":"Nikitskiy","given":"Ivan","non-dropping-particle":"","parse-names":false,"suffix":""},{"dropping-particle":"","family":"Lasanta","given":"Tania","non-dropping-particle":"","parse-names":false,"suffix":""},{"dropping-particle":"","family":"Navickaite","given":"Gabriele","non-dropping-particle":"","parse-names":false,"suffix":""},{"dropping-particle":"","family":"Koppens","given":"Frank H L","non-dropping-particle":"","parse-names":false,"suffix":""},{"dropping-particle":"","family":"Konstantatos","given":"Gerasimos","non-dropping-particle":"","parse-names":false,"suffix":""}],"container-title":"Advanced materials (Deerfield Beach, Fla.)","id":"ITEM-2","issue":"1","issued":{"date-parts":[["2015","1","7"]]},"page":"176-80","title":"Hybrid 2D-0D MoS2 -PbS quantum dot photodetectors.","type":"article-journal","volume":"27"},"uris":["http://www.mendeley.com/documents/?uuid=d5e8eaad-bca0-4abd-ab76-ee25df3ad2af"]}],"mendeley":{"formattedCitation":"&lt;sup&gt;12,13&lt;/sup&gt;","plainTextFormattedCitation":"12,13"},"properties":{"noteIndex":0},"schema":"https://github.com/citation-style-language/schema/raw/master/csl-citation.json"}</w:instrText>
      </w:r>
      <w:r w:rsidR="001F4C34" w:rsidRPr="009623BF">
        <w:fldChar w:fldCharType="separate"/>
      </w:r>
      <w:r w:rsidR="001F4C34" w:rsidRPr="009623BF">
        <w:rPr>
          <w:noProof/>
          <w:vertAlign w:val="superscript"/>
        </w:rPr>
        <w:t>12,13</w:t>
      </w:r>
      <w:r w:rsidR="001F4C34" w:rsidRPr="009623BF">
        <w:fldChar w:fldCharType="end"/>
      </w:r>
      <w:r w:rsidR="008A2807" w:rsidRPr="009623BF">
        <w:rPr>
          <w:rFonts w:ascii="Times New Roman" w:hAnsi="Times New Roman"/>
        </w:rPr>
        <w:t xml:space="preserve"> </w:t>
      </w:r>
      <w:r w:rsidR="00B22BC8" w:rsidRPr="009623BF">
        <w:t xml:space="preserve"> TMDs are also of interest for electroluminescent light emitting devices.</w:t>
      </w:r>
      <w:r w:rsidR="001F4C34" w:rsidRPr="009623BF">
        <w:rPr>
          <w:rFonts w:ascii="Times New Roman" w:hAnsi="Times New Roman"/>
        </w:rPr>
        <w:fldChar w:fldCharType="begin" w:fldLock="1"/>
      </w:r>
      <w:r w:rsidR="001F4C34" w:rsidRPr="009623BF">
        <w:rPr>
          <w:rFonts w:ascii="Times New Roman" w:hAnsi="Times New Roman"/>
        </w:rPr>
        <w:instrText>ADDIN CSL_CITATION {"citationItems":[{"id":"ITEM-1","itemData":{"DOI":"10.1038/nnano.2014.215","ISBN":"1748-3395 (Electronic)\\n1748-3387 (Linking)","ISSN":"1748-3387","PMID":"25286273","abstract":"Nature Nanotechnology 9, 780 (2014). doi:10.1038/nnano.2014.215","author":[{"dropping-particle":"","family":"Koppens","given":"F. H. L.","non-dropping-particle":"","parse-names":false,"suffix":""},{"dropping-particle":"","family":"Mueller","given":"T.","non-dropping-particle":"","parse-names":false,"suffix":""},{"dropping-particle":"","family":"Avouris","given":"Ph.","non-dropping-particle":"","parse-names":false,"suffix":""},{"dropping-particle":"","family":"Ferrari","given":"A. C.","non-dropping-particle":"","parse-names":false,"suffix":""},{"dropping-particle":"","family":"Vitiello","given":"M. S.","non-dropping-particle":"","parse-names":false,"suffix":""},{"dropping-particle":"","family":"Polini","given":"M.","non-dropping-particle":"","parse-names":false,"suffix":""}],"container-title":"Nature Nanotechnology","id":"ITEM-1","issue":"10","issued":{"date-parts":[["2014"]]},"page":"780-793","publisher":"Nature Publishing Group","title":"Photodetectors based on graphene, other two-dimensional materials and hybrid systems","type":"article-journal","volume":"9"},"uris":["http://www.mendeley.com/documents/?uuid=b246521b-a3dc-4303-a763-300cb06c437a"]}],"mendeley":{"formattedCitation":"&lt;sup&gt;14&lt;/sup&gt;","plainTextFormattedCitation":"14","previouslyFormattedCitation":"&lt;sup&gt;12&lt;/sup&gt;"},"properties":{"noteIndex":0},"schema":"https://github.com/citation-style-language/schema/raw/master/csl-citation.json"}</w:instrText>
      </w:r>
      <w:r w:rsidR="001F4C34" w:rsidRPr="009623BF">
        <w:rPr>
          <w:rFonts w:ascii="Times New Roman" w:hAnsi="Times New Roman"/>
        </w:rPr>
        <w:fldChar w:fldCharType="separate"/>
      </w:r>
      <w:r w:rsidR="001F4C34" w:rsidRPr="009623BF">
        <w:rPr>
          <w:rFonts w:ascii="Times New Roman" w:hAnsi="Times New Roman"/>
          <w:noProof/>
          <w:vertAlign w:val="superscript"/>
        </w:rPr>
        <w:t>14</w:t>
      </w:r>
      <w:r w:rsidR="001F4C34" w:rsidRPr="009623BF">
        <w:rPr>
          <w:rFonts w:ascii="Times New Roman" w:hAnsi="Times New Roman"/>
        </w:rPr>
        <w:fldChar w:fldCharType="end"/>
      </w:r>
      <w:r w:rsidR="00B22BC8" w:rsidRPr="009623BF">
        <w:rPr>
          <w:rFonts w:ascii="Times New Roman" w:hAnsi="Times New Roman"/>
        </w:rPr>
        <w:t xml:space="preserve"> </w:t>
      </w:r>
    </w:p>
    <w:p w14:paraId="566E6A21" w14:textId="77777777" w:rsidR="00B9698F" w:rsidRPr="009623BF" w:rsidRDefault="00B9698F" w:rsidP="00A807F2">
      <w:pPr>
        <w:pStyle w:val="TAMainText"/>
      </w:pPr>
    </w:p>
    <w:p w14:paraId="66E1DAD3" w14:textId="388E907D" w:rsidR="00A807F2" w:rsidRPr="009623BF" w:rsidRDefault="00A807F2" w:rsidP="00A807F2">
      <w:pPr>
        <w:pStyle w:val="TAMainText"/>
      </w:pPr>
      <w:r w:rsidRPr="009623BF">
        <w:t xml:space="preserve">Photodetectors with broadband optical absorption across the visible range are of interest for many applications. </w:t>
      </w:r>
      <w:r w:rsidR="0067269D" w:rsidRPr="009623BF">
        <w:rPr>
          <w:rFonts w:ascii="Times New Roman" w:hAnsi="Times New Roman"/>
        </w:rPr>
        <w:t>However, a significant drawback of TMDs is that the monolayer thickness limits the absorption of incoming light, and consequently, limits the overall device performance and efficiency.</w:t>
      </w:r>
      <w:r w:rsidRPr="009623BF">
        <w:t xml:space="preserve"> A straightforward and scalable method to overcome low absorption of incident light in these 2D materials is the addition of a sensitizing layer on top of the 2D material, most commonly organic dyes</w:t>
      </w:r>
      <w:r w:rsidRPr="009623BF">
        <w:fldChar w:fldCharType="begin" w:fldLock="1"/>
      </w:r>
      <w:r w:rsidR="001F4C34" w:rsidRPr="009623BF">
        <w:instrText>ADDIN CSL_CITATION {"citationItems":[{"id":"ITEM-1","itemData":{"author":[{"dropping-particle":"","family":"Yu","given":"Seong Hun","non-dropping-particle":"","parse-names":false,"suffix":""},{"dropping-particle":"","family":"Lee","given":"X Youngbin","non-dropping-particle":"","parse-names":false,"suffix":""},{"dropping-particle":"","family":"Jang","given":"X Sung Kyu","non-dropping-particle":"","parse-names":false,"suffix":""},{"dropping-particle":"","family":"Kang","given":"X Jinyeong","non-dropping-particle":"","parse-names":false,"suffix":""},{"dropping-particle":"","family":"Jeon","given":"Jiwon","non-dropping-particle":"","parse-names":false,"suffix":""},{"dropping-particle":"","family":"Lee","given":"Changgu","non-dropping-particle":"","parse-names":false,"suffix":""}],"id":"ITEM-1","issue":"8","issued":{"date-parts":[["2014"]]},"page":"8285-8291","title":"Dye-Sensitized MoS 2 Photodetector with Enhanced Spectral Photoresponse","type":"article-journal"},"uris":["http://www.mendeley.com/documents/?uuid=f4530223-610c-434f-b9c8-1f51cd869004"]}],"mendeley":{"formattedCitation":"&lt;sup&gt;15&lt;/sup&gt;","plainTextFormattedCitation":"15","previouslyFormattedCitation":"&lt;sup&gt;13&lt;/sup&gt;"},"properties":{"noteIndex":0},"schema":"https://github.com/citation-style-language/schema/raw/master/csl-citation.json"}</w:instrText>
      </w:r>
      <w:r w:rsidRPr="009623BF">
        <w:fldChar w:fldCharType="separate"/>
      </w:r>
      <w:r w:rsidR="001F4C34" w:rsidRPr="009623BF">
        <w:rPr>
          <w:noProof/>
          <w:vertAlign w:val="superscript"/>
        </w:rPr>
        <w:t>15</w:t>
      </w:r>
      <w:r w:rsidRPr="009623BF">
        <w:fldChar w:fldCharType="end"/>
      </w:r>
      <w:r w:rsidRPr="009623BF">
        <w:t xml:space="preserve"> or quantum dots (QDs),</w:t>
      </w:r>
      <w:r w:rsidRPr="009623BF">
        <w:fldChar w:fldCharType="begin" w:fldLock="1"/>
      </w:r>
      <w:r w:rsidR="001F4C34" w:rsidRPr="009623BF">
        <w:instrText>ADDIN CSL_CITATION {"citationItems":[{"id":"ITEM-1","itemData":{"DOI":"10.1002/adma.201402471","ISSN":"1521-4095","PMID":"25400160","abstract":"A hybrid phototransistor consisting of colloidal PbS quantum dots and few layers of MoS2 (≥2 layers) is demonstrated. The hybrid benefits from tailored light absorption in the quantum dots throughout the visible/near infrared region, efficient charge-carrier separation at the p-n interface, and fast carrier transport through the MoS2 channel. It shows responsivity of up to 10(6) A W(-1) and backgate-dependent sensitivity.","author":[{"dropping-particle":"","family":"Kufer","given":"Dominik","non-dropping-particle":"","parse-names":false,"suffix":""},{"dropping-particle":"","family":"Nikitskiy","given":"Ivan","non-dropping-particle":"","parse-names":false,"suffix":""},{"dropping-particle":"","family":"Lasanta","given":"Tania","non-dropping-particle":"","parse-names":false,"suffix":""},{"dropping-particle":"","family":"Navickaite","given":"Gabriele","non-dropping-particle":"","parse-names":false,"suffix":""},{"dropping-particle":"","family":"Koppens","given":"Frank H L","non-dropping-particle":"","parse-names":false,"suffix":""},{"dropping-particle":"","family":"Konstantatos","given":"Gerasimos","non-dropping-particle":"","parse-names":false,"suffix":""}],"container-title":"Advanced materials (Deerfield Beach, Fla.)","id":"ITEM-1","issue":"1","issued":{"date-parts":[["2015","1","7"]]},"page":"176-80","title":"Hybrid 2D-0D MoS2 -PbS quantum dot photodetectors.","type":"article-journal","volume":"27"},"uris":["http://www.mendeley.com/documents/?uuid=d5e8eaad-bca0-4abd-ab76-ee25df3ad2af"]},{"id":"ITEM-2","itemData":{"DOI":"10.1021/acsphotonics.6b00299","ISSN":"2330-4022","author":[{"dropping-particle":"","family":"Kufer","given":"Dominik","non-dropping-particle":"","parse-names":false,"suffix":""},{"dropping-particle":"","family":"Lasanta","given":"Tania","non-dropping-particle":"","parse-names":false,"suffix":""},{"dropping-particle":"","family":"Bernechea","given":"Maria","non-dropping-particle":"","parse-names":false,"suffix":""},{"dropping-particle":"","family":"Koppens","given":"Frank H. L.","non-dropping-particle":"","parse-names":false,"suffix":""},{"dropping-particle":"","family":"Konstantatos","given":"Gerasimos","non-dropping-particle":"","parse-names":false,"suffix":""}],"container-title":"ACS Photonics","id":"ITEM-2","issued":{"date-parts":[["2016","6","10"]]},"page":"acsphotonics.6b00299","title":"Interface Engineering in Hybrid Quantum Dot–2D Phototransistors","type":"article-journal"},"uris":["http://www.mendeley.com/documents/?uuid=32c4134c-d5da-479d-8c3c-0088aa110893"]},{"id":"ITEM-3","itemData":{"DOI":"10.1002/adfm.201706149","ISSN":"1616301X","abstract":"© 2018 WILEY-VCH Verlag GmbH &amp; Co. KGaA, Weinheim. This report demonstrates highly efficient nonradiative energy transfer (NRET) from alloyed CdSeS/ZnS semiconductor nanocrystal quantum dots (QDs) to MoS 2 films of varying layer thicknesses, including pristine monolayers, mixed monolayer/bilayer, polycrystalline bilayers, and bulk-like thicknesses, with NRET efficiencies of over 90%. Large-area MoS 2 films are grown on Si/SiO 2 substrates by chemical vapor deposition. Despite the ultrahigh NRET efficiencies there is no distinct increase in the MoS 2 photoluminescence intensity. However, by studying the optoelectronic properties of the MoS 2 devices before and after adding the QD sensitizing layer photocurrent enhancements as large as ≈14-fold for pristine monolayer devices are observed, with enhancements on the order of ≈2-fold for MoS 2 devices of mixed monolayer and bilayer thicknesses. For the polycrystalline bilayer and bulk-like MoS 2 devices there is almost no increase in the photocurrent after adding the QDs. Industrially scalable techniques are specifically utilized to fabricate the samples studied in this report, demonstrating the viability of this hybrid structure for commercial photodetector or light harvesting applications.","author":[{"dropping-particle":"","family":"Gough","given":"John J.","non-dropping-particle":"","parse-names":false,"suffix":""},{"dropping-particle":"","family":"McEvoy","given":"Niall","non-dropping-particle":"","parse-names":false,"suffix":""},{"dropping-particle":"","family":"O'Brien","given":"Maria","non-dropping-particle":"","parse-names":false,"suffix":""},{"dropping-particle":"","family":"Bell","given":"Alan P.","non-dropping-particle":"","parse-names":false,"suffix":""},{"dropping-particle":"","family":"McCloskey","given":"David","non-dropping-particle":"","parse-names":false,"suffix":""},{"dropping-particle":"","family":"Boland","given":"John B.","non-dropping-particle":"","parse-names":false,"suffix":""},{"dropping-particle":"","family":"Coleman","given":"Jonathan N.","non-dropping-particle":"","parse-names":false,"suffix":""},{"dropping-particle":"","family":"Duesberg","given":"Georg S.","non-dropping-particle":"","parse-names":false,"suffix":""},{"dropping-particle":"","family":"Bradley","given":"A. Louise","non-dropping-particle":"","parse-names":false,"suffix":""}],"container-title":"Advanced Functional Materials","id":"ITEM-3","issued":{"date-parts":[["2018","1"]]},"page":"1706149","title":"Dependence of Photocurrent Enhancements in Quantum Dot (QD)-Sensitized MoS 2 Devices on MoS 2 Film Properties","type":"article-journal","volume":"1706149"},"uris":["http://www.mendeley.com/documents/?uuid=e072b561-4c73-413e-ae65-256034f6943b","http://www.mendeley.com/documents/?uuid=e7ae747c-5ebc-4853-a113-0c1ca4f6921d"]}],"mendeley":{"formattedCitation":"&lt;sup&gt;13,16,17&lt;/sup&gt;","plainTextFormattedCitation":"13,16,17","previouslyFormattedCitation":"&lt;sup&gt;14–16&lt;/sup&gt;"},"properties":{"noteIndex":0},"schema":"https://github.com/citation-style-language/schema/raw/master/csl-citation.json"}</w:instrText>
      </w:r>
      <w:r w:rsidRPr="009623BF">
        <w:fldChar w:fldCharType="separate"/>
      </w:r>
      <w:r w:rsidR="001F4C34" w:rsidRPr="009623BF">
        <w:rPr>
          <w:noProof/>
          <w:vertAlign w:val="superscript"/>
        </w:rPr>
        <w:t>13,16,17</w:t>
      </w:r>
      <w:r w:rsidRPr="009623BF">
        <w:fldChar w:fldCharType="end"/>
      </w:r>
      <w:r w:rsidRPr="009623BF">
        <w:t xml:space="preserve">. However, several factors must be </w:t>
      </w:r>
      <w:proofErr w:type="gramStart"/>
      <w:r w:rsidRPr="009623BF">
        <w:t>taken into account</w:t>
      </w:r>
      <w:proofErr w:type="gramEnd"/>
      <w:r w:rsidRPr="009623BF">
        <w:t xml:space="preserve"> when selecting a sensitizing species including the sensitizer’s quantum yield, photostability and the spectral location of the optical absorption band. In terms of </w:t>
      </w:r>
      <w:r w:rsidR="0094386B" w:rsidRPr="009623BF">
        <w:t xml:space="preserve">the </w:t>
      </w:r>
      <w:r w:rsidRPr="009623BF">
        <w:t>aforementioned factors, QDs present many advantages over organic dye molecules including high quantum yields, improved photostability, broadband optical absorption and the ability to tune the emission profiles using the size or chemical composition dependence of the QDs.</w:t>
      </w:r>
      <w:r w:rsidRPr="009623BF">
        <w:fldChar w:fldCharType="begin" w:fldLock="1"/>
      </w:r>
      <w:r w:rsidR="001F4C34" w:rsidRPr="009623BF">
        <w:instrText>ADDIN CSL_CITATION {"citationItems":[{"id":"ITEM-1","itemData":{"DOI":"10.1002/cphc.200500217","ISSN":"1439-4235","PMID":"16370019","abstract":"Förster resonance energy transfer (FRET), which involves the nonradiative transfer of excitation energy from an excited donor fluorophore to a proximal ground-state acceptor fluorophore, is a well-characterized photophysical tool. It is very sensitive to nanometer-scale changes in donor-acceptor separation distance and their relative dipole orientations. It has found a wide range of applications in analytical chemistry, protein conformation studies, and biological assays. Luminescent semiconductor nanocrystals (quantum dots, QDs) are inorganic fluorophores with unique optical and spectroscopic properties that could enhance FRET as an analytical tool, due to broad excitation spectra and tunable narrow and symmetric photoemission. Recently, there have been several FRET investigations using luminescent QDs that focused on addressing basic fundamental questions, as well as developing targeted applications with potential use in biology, including sensor design and protein conformation studies. Herein, we provide a critical review of those developments. We discuss some of the basic aspects of FRET applied to QDs as both donors and acceptors, and highlight some of the advantages offered (and limitations encountered) by QDs as energy donors and acceptors compared to conventional dyes. We also review the recent developments made in using QD bioreceptor conjugates to design FRET-based assays.","author":[{"dropping-particle":"","family":"Clapp","given":"Aaron R","non-dropping-particle":"","parse-names":false,"suffix":""},{"dropping-particle":"","family":"Medintz","given":"Igor L","non-dropping-particle":"","parse-names":false,"suffix":""},{"dropping-particle":"","family":"Mattoussi","given":"Hedi","non-dropping-particle":"","parse-names":false,"suffix":""}],"container-title":"Chemphyschem : a European journal of chemical physics and physical chemistry","id":"ITEM-1","issue":"1","issued":{"date-parts":[["2006","1","16"]]},"page":"47-57","title":"Förster resonance energy transfer investigations using quantum-dot fluorophores.","type":"article-journal","volume":"7"},"uris":["http://www.mendeley.com/documents/?uuid=f19e3c55-df5e-41cf-a9d8-d6486cbc96f4"]},{"id":"ITEM-2","itemData":{"DOI":"10.1038/NMETH.1248","author":[{"dropping-particle":"","family":"Resch-genger","given":"Ute","non-dropping-particle":"","parse-names":false,"suffix":""},{"dropping-particle":"","family":"Grabolle","given":"Markus","non-dropping-particle":"","parse-names":false,"suffix":""},{"dropping-particle":"","family":"Cavaliere-jaricot","given":"Sara","non-dropping-particle":"","parse-names":false,"suffix":""},{"dropping-particle":"","family":"Nitschke","given":"Roland","non-dropping-particle":"","parse-names":false,"suffix":""},{"dropping-particle":"","family":"Nann","given":"Thomas","non-dropping-particle":"","parse-names":false,"suffix":""}],"id":"ITEM-2","issue":"9","issued":{"date-parts":[["2008"]]},"page":"763-775","title":"Quantum dots versus organic dyes as fluorescent labels","type":"article-journal","volume":"5"},"uris":["http://www.mendeley.com/documents/?uuid=6e36fee4-7cd8-477c-8fd0-94973493d9b9"]},{"id":"ITEM-3","itemData":{"DOI":"10.1021/acs.jpcc.5b03603","ISSN":"1932-7447","abstract":"Spherical CdS&lt;inf&gt;x&lt;/inf&gt;Se&lt;inf&gt;1-x&lt;/inf&gt; alloy semiconductor QDs are receiving incredible research interest due to their composition-dependent optical tunability and charge carrier behavior. These highly luminescent alloy QDs can be used in several applications due to their very long excited state lifetime. Herein, we describe synthesis and characterization of highly luminescent CdSSe alloy QD using XRD, EDX, and HRTEM techniques. Steady state optical absorption and photoluminescence (PL) measurements show the nonlinear behavior of the alloy QDs with changing chalcogenide composition. Time-resolved photoluminescence (PL) measurements suggest CdS&lt;inf&gt;0.7&lt;/inf&gt;Se&lt;inf&gt;0.3&lt;/inf&gt; alloy QD has much higher emission quantum yield (70percent) and long radiative lifetime (24 ns) as compared to both CdS (&lt;inf&gt;CdS&lt;/inf&gt; = 24percent, tau&lt;inf&gt;CdS&lt;/inf&gt; = 9.5 ns) and CdSe (&lt;inf&gt;CdSe&lt;/inf&gt; = 34percent, tau&lt;inf&gt;CdSe&lt;/inf&gt; = 13.3 ns) QDs. Femtosecond transient absorption measurement has been carried out to unravel charge carrier dynamics in early and late time scale. Electron cooling time for CdS&lt;inf&gt;0.7&lt;/inf&gt;Se&lt;inf&gt;0.3&lt;/inf&gt; alloy QD found to be extremely slow (tau&lt;inf&gt;cooling&lt;/inf&gt; = 8 ps) in contrast to both pure CdS (tau&lt;inf&gt;cooling&lt;/inf&gt; &lt; 100 fs) as well as pure CdSe QD (tau&lt;inf&gt;cooling&lt;/inf&gt; = 600 fs) due to specially decoupled electron and hole in quasi type II core-shell structure. Charge recombination reaction found to be slowest in alloy QDs as compared to both CdS and CdSe QDs.","author":[{"dropping-particle":"","family":"Maity","given":"Partha","non-dropping-particle":"","parse-names":false,"suffix":""},{"dropping-particle":"","family":"Debnath","given":"Tushar","non-dropping-particle":"","parse-names":false,"suffix":""},{"dropping-particle":"","family":"Ghosh","given":"Hirendra N.","non-dropping-particle":"","parse-names":false,"suffix":""}],"container-title":"The Journal of Physical Chemistry C","id":"ITEM-3","issue":"19","issued":{"date-parts":[["2015","5"]]},"page":"10785-10792","title":"Slow Electron Cooling Dynamics Mediated by Electron–Hole Decoupling in Highly Luminescent CdS x Se 1– x Alloy Quantum Dots","type":"article-journal","volume":"119"},"uris":["http://www.mendeley.com/documents/?uuid=b45ae96f-786d-4938-8dbd-ea983614e15a","http://www.mendeley.com/documents/?uuid=70c0fd94-e7c6-4c2f-adf6-3c866d6c85f1"]}],"mendeley":{"formattedCitation":"&lt;sup&gt;18–20&lt;/sup&gt;","plainTextFormattedCitation":"18–20","previouslyFormattedCitation":"&lt;sup&gt;17–19&lt;/sup&gt;"},"properties":{"noteIndex":0},"schema":"https://github.com/citation-style-language/schema/raw/master/csl-citation.json"}</w:instrText>
      </w:r>
      <w:r w:rsidRPr="009623BF">
        <w:fldChar w:fldCharType="separate"/>
      </w:r>
      <w:r w:rsidR="001F4C34" w:rsidRPr="009623BF">
        <w:rPr>
          <w:noProof/>
          <w:vertAlign w:val="superscript"/>
        </w:rPr>
        <w:t>18–20</w:t>
      </w:r>
      <w:r w:rsidRPr="009623BF">
        <w:fldChar w:fldCharType="end"/>
      </w:r>
      <w:r w:rsidRPr="009623BF">
        <w:t xml:space="preserve"> The broadband optical absorption associated with QDs is a particular advantage for light harvesting or photodetection devices operating across a larger optical bandwidth. </w:t>
      </w:r>
    </w:p>
    <w:p w14:paraId="27E1DD57" w14:textId="5AC1C15A" w:rsidR="00A807F2" w:rsidRPr="009623BF" w:rsidRDefault="000C5F32" w:rsidP="00A807F2">
      <w:pPr>
        <w:pStyle w:val="TAMainText"/>
        <w:rPr>
          <w:lang w:val="en-GB"/>
        </w:rPr>
      </w:pPr>
      <w:r w:rsidRPr="009623BF">
        <w:rPr>
          <w:lang w:val="en-GB"/>
        </w:rPr>
        <w:t>A</w:t>
      </w:r>
      <w:r w:rsidR="00A807F2" w:rsidRPr="009623BF">
        <w:rPr>
          <w:lang w:val="en-GB"/>
        </w:rPr>
        <w:t xml:space="preserve"> close proximity between the sensitizing species (donor) and the active material (acceptor) in the device allow</w:t>
      </w:r>
      <w:r w:rsidR="00AE77AF" w:rsidRPr="009623BF">
        <w:rPr>
          <w:lang w:val="en-GB"/>
        </w:rPr>
        <w:t>s</w:t>
      </w:r>
      <w:r w:rsidR="00A807F2" w:rsidRPr="009623BF">
        <w:rPr>
          <w:lang w:val="en-GB"/>
        </w:rPr>
        <w:t xml:space="preserve"> for the optical energy to be transferred to the acceptor through nonradiative pathways.</w:t>
      </w:r>
      <w:r w:rsidR="00A807F2" w:rsidRPr="009623BF">
        <w:rPr>
          <w:lang w:val="en-GB"/>
        </w:rPr>
        <w:fldChar w:fldCharType="begin" w:fldLock="1"/>
      </w:r>
      <w:r w:rsidR="001F4C34" w:rsidRPr="009623BF">
        <w:rPr>
          <w:lang w:val="en-GB"/>
        </w:rPr>
        <w:instrText>ADDIN CSL_CITATION {"citationItems":[{"id":"ITEM-1","itemData":{"author":[{"dropping-particle":"","family":"Yu","given":"Seong Hun","non-dropping-particle":"","parse-names":false,"suffix":""},{"dropping-particle":"","family":"Lee","given":"X Youngbin","non-dropping-particle":"","parse-names":false,"suffix":""},{"dropping-particle":"","family":"Jang","given":"X Sung Kyu","non-dropping-particle":"","parse-names":false,"suffix":""},{"dropping-particle":"","family":"Kang","given":"X Jinyeong","non-dropping-particle":"","parse-names":false,"suffix":""},{"dropping-particle":"","family":"Jeon","given":"Jiwon","non-dropping-particle":"","parse-names":false,"suffix":""},{"dropping-particle":"","family":"Lee","given":"Changgu","non-dropping-particle":"","parse-names":false,"suffix":""}],"id":"ITEM-1","issue":"8","issued":{"date-parts":[["2014"]]},"page":"8285-8291","title":"Dye-Sensitized MoS 2 Photodetector with Enhanced Spectral Photoresponse","type":"article-journal"},"uris":["http://www.mendeley.com/documents/?uuid=f4530223-610c-434f-b9c8-1f51cd869004"]},{"id":"ITEM-2","itemData":{"DOI":"10.1002/adma.201402471","ISSN":"1521-4095","PMID":"25400160","abstract":"A hybrid phototransistor consisting of colloidal PbS quantum dots and few layers of MoS2 (≥2 layers) is demonstrated. The hybrid benefits from tailored light absorption in the quantum dots throughout the visible/near infrared region, efficient charge-carrier separation at the p-n interface, and fast carrier transport through the MoS2 channel. It shows responsivity of up to 10(6) A W(-1) and backgate-dependent sensitivity.","author":[{"dropping-particle":"","family":"Kufer","given":"Dominik","non-dropping-particle":"","parse-names":false,"suffix":""},{"dropping-particle":"","family":"Nikitskiy","given":"Ivan","non-dropping-particle":"","parse-names":false,"suffix":""},{"dropping-particle":"","family":"Lasanta","given":"Tania","non-dropping-particle":"","parse-names":false,"suffix":""},{"dropping-particle":"","family":"Navickaite","given":"Gabriele","non-dropping-particle":"","parse-names":false,"suffix":""},{"dropping-particle":"","family":"Koppens","given":"Frank H L","non-dropping-particle":"","parse-names":false,"suffix":""},{"dropping-particle":"","family":"Konstantatos","given":"Gerasimos","non-dropping-particle":"","parse-names":false,"suffix":""}],"container-title":"Advanced materials (Deerfield Beach, Fla.)","id":"ITEM-2","issue":"1","issued":{"date-parts":[["2015","1","7"]]},"page":"176-80","title":"Hybrid 2D-0D MoS2 -PbS quantum dot photodetectors.","type":"article-journal","volume":"27"},"uris":["http://www.mendeley.com/documents/?uuid=d5e8eaad-bca0-4abd-ab76-ee25df3ad2af"]},{"id":"ITEM-3","itemData":{"DOI":"10.1021/acsphotonics.6b00299","ISSN":"2330-4022","author":[{"dropping-particle":"","family":"Kufer","given":"Dominik","non-dropping-particle":"","parse-names":false,"suffix":""},{"dropping-particle":"","family":"Lasanta","given":"Tania","non-dropping-particle":"","parse-names":false,"suffix":""},{"dropping-particle":"","family":"Bernechea","given":"Maria","non-dropping-particle":"","parse-names":false,"suffix":""},{"dropping-particle":"","family":"Koppens","given":"Frank H. L.","non-dropping-particle":"","parse-names":false,"suffix":""},{"dropping-particle":"","family":"Konstantatos","given":"Gerasimos","non-dropping-particle":"","parse-names":false,"suffix":""}],"container-title":"ACS Photonics","id":"ITEM-3","issued":{"date-parts":[["2016","6","10"]]},"page":"acsphotonics.6b00299","title":"Interface Engineering in Hybrid Quantum Dot–2D Phototransistors","type":"article-journal"},"uris":["http://www.mendeley.com/documents/?uuid=32c4134c-d5da-479d-8c3c-0088aa110893"]}],"mendeley":{"formattedCitation":"&lt;sup&gt;13,15,16&lt;/sup&gt;","plainTextFormattedCitation":"13,15,16","previouslyFormattedCitation":"&lt;sup&gt;13–15&lt;/sup&gt;"},"properties":{"noteIndex":0},"schema":"https://github.com/citation-style-language/schema/raw/master/csl-citation.json"}</w:instrText>
      </w:r>
      <w:r w:rsidR="00A807F2" w:rsidRPr="009623BF">
        <w:rPr>
          <w:lang w:val="en-GB"/>
        </w:rPr>
        <w:fldChar w:fldCharType="separate"/>
      </w:r>
      <w:r w:rsidR="001F4C34" w:rsidRPr="009623BF">
        <w:rPr>
          <w:noProof/>
          <w:vertAlign w:val="superscript"/>
          <w:lang w:val="en-GB"/>
        </w:rPr>
        <w:t>13,15,16</w:t>
      </w:r>
      <w:r w:rsidR="00A807F2" w:rsidRPr="009623BF">
        <w:fldChar w:fldCharType="end"/>
      </w:r>
      <w:r w:rsidR="00A807F2" w:rsidRPr="009623BF">
        <w:rPr>
          <w:lang w:val="en-GB"/>
        </w:rPr>
        <w:t xml:space="preserve"> These nonradiative energy transfer pathways include charge transfer, at centre-to-centre distances between the donor and acceptor of &lt;2 nm, and </w:t>
      </w:r>
      <w:proofErr w:type="spellStart"/>
      <w:r w:rsidR="00A807F2" w:rsidRPr="009623BF">
        <w:rPr>
          <w:lang w:val="en-GB"/>
        </w:rPr>
        <w:t>Förster</w:t>
      </w:r>
      <w:proofErr w:type="spellEnd"/>
      <w:r w:rsidR="00A807F2" w:rsidRPr="009623BF">
        <w:rPr>
          <w:lang w:val="en-GB"/>
        </w:rPr>
        <w:t>-type nonradiative energy transfer (NRET), for separations as large as ~15 nm.</w:t>
      </w:r>
      <w:r w:rsidR="00A807F2" w:rsidRPr="009623BF">
        <w:rPr>
          <w:lang w:val="en-GB"/>
        </w:rPr>
        <w:fldChar w:fldCharType="begin" w:fldLock="1"/>
      </w:r>
      <w:r w:rsidR="001F4C34" w:rsidRPr="009623BF">
        <w:rPr>
          <w:lang w:val="en-GB"/>
        </w:rPr>
        <w:instrText>ADDIN CSL_CITATION {"citationItems":[{"id":"ITEM-1","itemData":{"DOI":"10.1063/1.1699044","author":[{"dropping-particle":"","family":"Dexter","given":"D L","non-dropping-particle":"","parse-names":false,"suffix":""}],"id":"ITEM-1","issue":"May 2012","issued":{"date-parts":[["1953"]]},"title":"A Theory of Sensitized Luminescence in Solids","type":"article-journal","volume":"836"},"uris":["http://www.mendeley.com/documents/?uuid=bd38caea-078f-484d-aafa-8e1db89c8453"]},{"id":"ITEM-2","itemData":{"DOI":"10.1007/978-0-387-46312-4","ISBN":"978-0-387-31278-1","ISSN":"10643745","PMID":"7633532","abstract":"The third edition of this established classic text reference builds upon the strengths of its very popular predecessors. Organized as a broadly useful textbook Principles of Fluorescence Spectroscopy, 3rd edition maintains its emphasis on basics, while updating the examples to include recent results from the scientific literature. The third edition includes new chapters on single molecule detection, fluorescence correlation spectroscopy, novel probes and radiative decay engineering. Includes a link to Springer Extras to download files reproducing all book artwork, for easy use in lecture slides. This is an essential volume for students, researchers, and industry professionals in biophysics, biochemistry, biotechnology, bioengineering, biology and medicine.","author":[{"dropping-particle":"","family":"Lakowicz","given":"Joseph R.","non-dropping-particle":"","parse-names":false,"suffix":""}],"container-title":"Principles of fluorescence spectroscopy, Springer, New York, USA, 3rd edn, 2006.","editor":[{"dropping-particle":"","family":"Lakowicz","given":"Joseph R.","non-dropping-particle":"","parse-names":false,"suffix":""}],"id":"ITEM-2","issued":{"date-parts":[["2006"]]},"number-of-pages":"362","publisher":"Springer US","publisher-place":"Boston, MA","title":"Principles of Fluorescence Spectroscopy","type":"book"},"uris":["http://www.mendeley.com/documents/?uuid=8c2f5097-9ec5-4354-8d9a-69af50bda8f8","http://www.mendeley.com/documents/?uuid=be9beaca-149c-44b8-8013-60fb89c59d61"]},{"id":"ITEM-3","itemData":{"DOI":"10.1002/9783527656028","ISBN":"9783527656028","abstract":"This chapter contains sections titled:\\n\\n\\n*\\nIntroduction\\n\\n\\n*\\nPre-Föorster\\n\\n\\n*\\nBottom Line\\n\\n\\n*\\n9000-Form, 9-Form, and Practical Expressions of the R60 Equation\\n\\n\\n*\\nOverlap Integral\\n\\n\\n*\\nZones\\n\\n\\n*\\nTransfer Mechanisms\\n\\n\\n*\\nKappa-Squared Basics\\n\\n\\n*\\nIdeal Dipole Approximation\\n\\n\\n*\\nResonance as an All-or-Nothing Effect\\n\\n\\n*\\nDetails About the All-or-Nothing Approximation of Resonance\\n\\n\\n*\\nClassical Theory Completed\\n\\n\\n*\\nOscillator Strength–Emission Spectrum Relation for the Donor\\n\\n\\n*\\nOscillator Strength–Absorption Spectrum Relation for the Acceptor\\n\\n\\n*\\nQuantum Mechanical Theory\\n\\n\\n*\\nTransfer in a Random System\\n\\n\\n*\\nDetails for Transfer in a Random System\\n\\n\\n*\\nConcentration Depolarization\\n\\n\\n*\\nFRET Theory 1965–2012","author":[{"dropping-particle":"","family":"Meer","given":"B. Wieb","non-dropping-particle":"van der","parse-names":false,"suffix":""}],"container-title":"FRET - Forster Resonance Energy Transfer","editor":[{"dropping-particle":"","family":"Medintz","given":"Igor","non-dropping-particle":"","parse-names":false,"suffix":""},{"dropping-particle":"","family":"Hildebrandt","given":"Niko","non-dropping-particle":"","parse-names":false,"suffix":""}],"id":"ITEM-3","issued":{"date-parts":[["2013","11"]]},"number-of-pages":"23-62","publisher":"Wiley-VCH Verlag GmbH &amp; Co. KGaA","publisher-place":"Weinheim, Germany","title":"FRET - Förster Resonance Energy Transfer","type":"book"},"uris":["http://www.mendeley.com/documents/?uuid=d5647ebd-8c1b-48d2-ac13-ba1d25b38fc2","http://www.mendeley.com/documents/?uuid=c7d48b6b-50e6-4a79-bdcb-89bb83c79372"]}],"mendeley":{"formattedCitation":"&lt;sup&gt;21–23&lt;/sup&gt;","plainTextFormattedCitation":"21–23","previouslyFormattedCitation":"&lt;sup&gt;20–22&lt;/sup&gt;"},"properties":{"noteIndex":0},"schema":"https://github.com/citation-style-language/schema/raw/master/csl-citation.json"}</w:instrText>
      </w:r>
      <w:r w:rsidR="00A807F2" w:rsidRPr="009623BF">
        <w:rPr>
          <w:lang w:val="en-GB"/>
        </w:rPr>
        <w:fldChar w:fldCharType="separate"/>
      </w:r>
      <w:r w:rsidR="001F4C34" w:rsidRPr="009623BF">
        <w:rPr>
          <w:noProof/>
          <w:vertAlign w:val="superscript"/>
          <w:lang w:val="en-GB"/>
        </w:rPr>
        <w:t>21–23</w:t>
      </w:r>
      <w:r w:rsidR="00A807F2" w:rsidRPr="009623BF">
        <w:fldChar w:fldCharType="end"/>
      </w:r>
      <w:r w:rsidR="00A807F2" w:rsidRPr="009623BF">
        <w:rPr>
          <w:lang w:val="en-GB"/>
        </w:rPr>
        <w:t xml:space="preserve"> Charge transfer relies on the overlap of the donor and acceptor charge wavefunctions, which can only be achieved over extremely short distances.</w:t>
      </w:r>
      <w:r w:rsidR="00A807F2" w:rsidRPr="009623BF">
        <w:rPr>
          <w:lang w:val="en-GB"/>
        </w:rPr>
        <w:fldChar w:fldCharType="begin" w:fldLock="1"/>
      </w:r>
      <w:r w:rsidR="001F4C34" w:rsidRPr="009623BF">
        <w:rPr>
          <w:lang w:val="en-GB"/>
        </w:rPr>
        <w:instrText>ADDIN CSL_CITATION {"citationItems":[{"id":"ITEM-1","itemData":{"DOI":"10.1063/1.1699044","author":[{"dropping-particle":"","family":"Dexter","given":"D L","non-dropping-particle":"","parse-names":false,"suffix":""}],"id":"ITEM-1","issue":"May 2012","issued":{"date-parts":[["1953"]]},"title":"A Theory of Sensitized Luminescence in Solids","type":"article-journal","volume":"836"},"uris":["http://www.mendeley.com/documents/?uuid=bd38caea-078f-484d-aafa-8e1db89c8453"]}],"mendeley":{"formattedCitation":"&lt;sup&gt;21&lt;/sup&gt;","plainTextFormattedCitation":"21","previouslyFormattedCitation":"&lt;sup&gt;20&lt;/sup&gt;"},"properties":{"noteIndex":0},"schema":"https://github.com/citation-style-language/schema/raw/master/csl-citation.json"}</w:instrText>
      </w:r>
      <w:r w:rsidR="00A807F2" w:rsidRPr="009623BF">
        <w:rPr>
          <w:lang w:val="en-GB"/>
        </w:rPr>
        <w:fldChar w:fldCharType="separate"/>
      </w:r>
      <w:r w:rsidR="001F4C34" w:rsidRPr="009623BF">
        <w:rPr>
          <w:noProof/>
          <w:vertAlign w:val="superscript"/>
          <w:lang w:val="en-GB"/>
        </w:rPr>
        <w:t>21</w:t>
      </w:r>
      <w:r w:rsidR="00A807F2" w:rsidRPr="009623BF">
        <w:fldChar w:fldCharType="end"/>
      </w:r>
      <w:r w:rsidR="00A807F2" w:rsidRPr="009623BF">
        <w:rPr>
          <w:lang w:val="en-GB"/>
        </w:rPr>
        <w:t xml:space="preserve"> Similarly, the rate of charge transfer has no reliance on the spectral overlap between the donor emission and the acceptor absorption.</w:t>
      </w:r>
      <w:r w:rsidR="00A807F2" w:rsidRPr="009623BF">
        <w:rPr>
          <w:lang w:val="en-GB"/>
        </w:rPr>
        <w:fldChar w:fldCharType="begin" w:fldLock="1"/>
      </w:r>
      <w:r w:rsidR="001F4C34" w:rsidRPr="009623BF">
        <w:rPr>
          <w:lang w:val="en-GB"/>
        </w:rPr>
        <w:instrText>ADDIN CSL_CITATION {"citationItems":[{"id":"ITEM-1","itemData":{"DOI":"10.1021/jp0268462","author":[{"dropping-particle":"","family":"Adams","given":"David M","non-dropping-particle":"","parse-names":false,"suffix":""},{"dropping-particle":"","family":"Brus","given":"Louis","non-dropping-particle":"","parse-names":false,"suffix":""},{"dropping-particle":"","family":"Chidsey","given":"Christopher E D","non-dropping-particle":"","parse-names":false,"suffix":""},{"dropping-particle":"","family":"Creager","given":"Stephen","non-dropping-particle":"","parse-names":false,"suffix":""},{"dropping-particle":"","family":"Creutz","given":"Carol","non-dropping-particle":"","parse-names":false,"suffix":""},{"dropping-particle":"","family":"Kagan","given":"Cherie R","non-dropping-particle":"","parse-names":false,"suffix":""},{"dropping-particle":"V","family":"Kamat","given":"Prashant","non-dropping-particle":"","parse-names":false,"suffix":""},{"dropping-particle":"","family":"Lieberman","given":"X Marya","non-dropping-particle":"","parse-names":false,"suffix":""},{"dropping-particle":"","family":"Lindsay","given":"O Stuart","non-dropping-particle":"","parse-names":false,"suffix":""},{"dropping-particle":"","family":"Marcus","given":"Rudolph A","non-dropping-particle":"","parse-names":false,"suffix":""},{"dropping-particle":"","family":"Metzger","given":"Robert M","non-dropping-particle":"","parse-names":false,"suffix":""},{"dropping-particle":"","family":"Miller","given":"John R","non-dropping-particle":"","parse-names":false,"suffix":""},{"dropping-particle":"","family":"Newton","given":"Marshall D","non-dropping-particle":"","parse-names":false,"suffix":""},{"dropping-particle":"","family":"Rolison","given":"Debra R","non-dropping-particle":"","parse-names":false,"suffix":""},{"dropping-particle":"","family":"Sankey","given":"Otto","non-dropping-particle":"","parse-names":false,"suffix":""},{"dropping-particle":"","family":"Schanze","given":"Kirk S","non-dropping-particle":"","parse-names":false,"suffix":""},{"dropping-particle":"","family":"Yardley","given":"James","non-dropping-particle":"","parse-names":false,"suffix":""}],"id":"ITEM-1","issued":{"date-parts":[["2003"]]},"page":"6668-6697","title":"Charge Transfer on the Nanoscale : Current Status","type":"article-journal"},"uris":["http://www.mendeley.com/documents/?uuid=5199fab9-2dba-4832-94b4-678afaee549e"]}],"mendeley":{"formattedCitation":"&lt;sup&gt;24&lt;/sup&gt;","plainTextFormattedCitation":"24","previouslyFormattedCitation":"&lt;sup&gt;23&lt;/sup&gt;"},"properties":{"noteIndex":0},"schema":"https://github.com/citation-style-language/schema/raw/master/csl-citation.json"}</w:instrText>
      </w:r>
      <w:r w:rsidR="00A807F2" w:rsidRPr="009623BF">
        <w:rPr>
          <w:lang w:val="en-GB"/>
        </w:rPr>
        <w:fldChar w:fldCharType="separate"/>
      </w:r>
      <w:r w:rsidR="001F4C34" w:rsidRPr="009623BF">
        <w:rPr>
          <w:noProof/>
          <w:vertAlign w:val="superscript"/>
          <w:lang w:val="en-GB"/>
        </w:rPr>
        <w:t>24</w:t>
      </w:r>
      <w:r w:rsidR="00A807F2" w:rsidRPr="009623BF">
        <w:fldChar w:fldCharType="end"/>
      </w:r>
      <w:r w:rsidR="00A807F2" w:rsidRPr="009623BF">
        <w:rPr>
          <w:lang w:val="en-GB"/>
        </w:rPr>
        <w:t xml:space="preserve"> In contrast to the charge transfer process, the efficiency and rate of </w:t>
      </w:r>
      <w:proofErr w:type="spellStart"/>
      <w:r w:rsidR="00A807F2" w:rsidRPr="009623BF">
        <w:rPr>
          <w:lang w:val="en-GB"/>
        </w:rPr>
        <w:t>Förster</w:t>
      </w:r>
      <w:proofErr w:type="spellEnd"/>
      <w:r w:rsidR="00A807F2" w:rsidRPr="009623BF">
        <w:rPr>
          <w:lang w:val="en-GB"/>
        </w:rPr>
        <w:t xml:space="preserve">-type NRET between donor and acceptor pairs is governed by the </w:t>
      </w:r>
      <w:r w:rsidR="00A807F2" w:rsidRPr="009623BF">
        <w:rPr>
          <w:lang w:val="en-GB"/>
        </w:rPr>
        <w:lastRenderedPageBreak/>
        <w:t>spectral overlap between the donor emission spectrum and the acceptor absorption spectrum, the donor quantum yield and the centre-to-centre separation between the donor and acceptor species.</w:t>
      </w:r>
      <w:r w:rsidR="00A807F2" w:rsidRPr="009623BF">
        <w:rPr>
          <w:lang w:val="en-GB"/>
        </w:rPr>
        <w:fldChar w:fldCharType="begin" w:fldLock="1"/>
      </w:r>
      <w:r w:rsidR="001F4C34" w:rsidRPr="009623BF">
        <w:rPr>
          <w:lang w:val="en-GB"/>
        </w:rPr>
        <w:instrText>ADDIN CSL_CITATION {"citationItems":[{"id":"ITEM-1","itemData":{"author":[{"dropping-particle":"","family":"Ludwig","given":"Pedro","non-dropping-particle":"","parse-names":false,"suffix":""},{"dropping-particle":"","family":"Govorov","given":"Alexander O","non-dropping-particle":"","parse-names":false,"suffix":""},{"dropping-particle":"","family":"Demir","given":"Hilmi Volkan","non-dropping-particle":"","parse-names":false,"suffix":""}],"id":"ITEM-1","issued":{"date-parts":[["2013"]]},"title":"Generalized Theory of Fo ̈ rster-Type Nonradiative Energy Transfer in Nanostructures with Mixed Dimensionality","type":"article-journal"},"uris":["http://www.mendeley.com/documents/?uuid=dcfe2763-1635-4924-9f46-c8bddcc5c5e0"]}],"mendeley":{"formattedCitation":"&lt;sup&gt;25&lt;/sup&gt;","plainTextFormattedCitation":"25","previouslyFormattedCitation":"&lt;sup&gt;24&lt;/sup&gt;"},"properties":{"noteIndex":0},"schema":"https://github.com/citation-style-language/schema/raw/master/csl-citation.json"}</w:instrText>
      </w:r>
      <w:r w:rsidR="00A807F2" w:rsidRPr="009623BF">
        <w:rPr>
          <w:lang w:val="en-GB"/>
        </w:rPr>
        <w:fldChar w:fldCharType="separate"/>
      </w:r>
      <w:r w:rsidR="001F4C34" w:rsidRPr="009623BF">
        <w:rPr>
          <w:noProof/>
          <w:vertAlign w:val="superscript"/>
          <w:lang w:val="en-GB"/>
        </w:rPr>
        <w:t>25</w:t>
      </w:r>
      <w:r w:rsidR="00A807F2" w:rsidRPr="009623BF">
        <w:fldChar w:fldCharType="end"/>
      </w:r>
      <w:r w:rsidR="00A807F2" w:rsidRPr="009623BF">
        <w:rPr>
          <w:lang w:val="en-GB"/>
        </w:rPr>
        <w:t xml:space="preserve"> The </w:t>
      </w:r>
      <w:r w:rsidR="00AE77AF" w:rsidRPr="009623BF">
        <w:rPr>
          <w:lang w:val="en-GB"/>
        </w:rPr>
        <w:t>donor species</w:t>
      </w:r>
      <w:r w:rsidR="00A807F2" w:rsidRPr="009623BF">
        <w:rPr>
          <w:lang w:val="en-GB"/>
        </w:rPr>
        <w:t xml:space="preserve"> used in this work were alloyed </w:t>
      </w:r>
      <w:proofErr w:type="spellStart"/>
      <w:r w:rsidR="00A807F2" w:rsidRPr="009623BF">
        <w:rPr>
          <w:lang w:val="en-GB"/>
        </w:rPr>
        <w:t>CdSeS</w:t>
      </w:r>
      <w:proofErr w:type="spellEnd"/>
      <w:r w:rsidR="00A807F2" w:rsidRPr="009623BF">
        <w:rPr>
          <w:lang w:val="en-GB"/>
        </w:rPr>
        <w:t>/ZnS core/shell type</w:t>
      </w:r>
      <w:r w:rsidR="00CA7172" w:rsidRPr="009623BF">
        <w:rPr>
          <w:lang w:val="en-GB"/>
        </w:rPr>
        <w:t xml:space="preserve"> QDs</w:t>
      </w:r>
      <w:r w:rsidR="00A807F2" w:rsidRPr="009623BF">
        <w:rPr>
          <w:lang w:val="en-GB"/>
        </w:rPr>
        <w:t xml:space="preserve"> </w:t>
      </w:r>
      <w:r w:rsidR="00AE77AF" w:rsidRPr="009623BF">
        <w:rPr>
          <w:lang w:val="en-GB"/>
        </w:rPr>
        <w:t>in which</w:t>
      </w:r>
      <w:r w:rsidR="00A807F2" w:rsidRPr="009623BF">
        <w:rPr>
          <w:lang w:val="en-GB"/>
        </w:rPr>
        <w:t xml:space="preserve"> the excitons are tightly conf</w:t>
      </w:r>
      <w:r w:rsidR="0094386B" w:rsidRPr="009623BF">
        <w:rPr>
          <w:lang w:val="en-GB"/>
        </w:rPr>
        <w:t>ined to the core. These QDs</w:t>
      </w:r>
      <w:r w:rsidR="00A807F2" w:rsidRPr="009623BF">
        <w:rPr>
          <w:lang w:val="en-GB"/>
        </w:rPr>
        <w:t xml:space="preserve"> have average diame</w:t>
      </w:r>
      <w:r w:rsidR="00970DE5" w:rsidRPr="009623BF">
        <w:rPr>
          <w:lang w:val="en-GB"/>
        </w:rPr>
        <w:t>ters of (6.0 ± 0.8 nm) (See Figure</w:t>
      </w:r>
      <w:r w:rsidR="00A807F2" w:rsidRPr="009623BF">
        <w:rPr>
          <w:lang w:val="en-GB"/>
        </w:rPr>
        <w:t xml:space="preserve"> S1 in the Supporting Information) with an additional surface ligand. This gives an approximate centre-to-surface distance of 3 – 4 nm between the QDs and the MoS</w:t>
      </w:r>
      <w:r w:rsidR="00A807F2" w:rsidRPr="009623BF">
        <w:rPr>
          <w:vertAlign w:val="subscript"/>
          <w:lang w:val="en-GB"/>
        </w:rPr>
        <w:t>2</w:t>
      </w:r>
      <w:r w:rsidR="00A807F2" w:rsidRPr="009623BF">
        <w:rPr>
          <w:lang w:val="en-GB"/>
        </w:rPr>
        <w:t xml:space="preserve">, </w:t>
      </w:r>
      <w:proofErr w:type="gramStart"/>
      <w:r w:rsidR="00A807F2" w:rsidRPr="009623BF">
        <w:rPr>
          <w:lang w:val="en-GB"/>
        </w:rPr>
        <w:t>assuming that</w:t>
      </w:r>
      <w:proofErr w:type="gramEnd"/>
      <w:r w:rsidR="00A807F2" w:rsidRPr="009623BF">
        <w:rPr>
          <w:lang w:val="en-GB"/>
        </w:rPr>
        <w:t xml:space="preserve"> the QDs are in direct contact with the MoS</w:t>
      </w:r>
      <w:r w:rsidR="00A807F2" w:rsidRPr="009623BF">
        <w:rPr>
          <w:vertAlign w:val="subscript"/>
          <w:lang w:val="en-GB"/>
        </w:rPr>
        <w:t>2</w:t>
      </w:r>
      <w:r w:rsidR="00A807F2" w:rsidRPr="009623BF">
        <w:rPr>
          <w:lang w:val="en-GB"/>
        </w:rPr>
        <w:t xml:space="preserve"> surface. This distance is larger than the interaction distance over which charge transfer can occur, which is typically 1- 2 nm.</w:t>
      </w:r>
      <w:r w:rsidR="00A807F2" w:rsidRPr="009623BF">
        <w:rPr>
          <w:lang w:val="en-GB"/>
        </w:rPr>
        <w:fldChar w:fldCharType="begin" w:fldLock="1"/>
      </w:r>
      <w:r w:rsidR="001F4C34" w:rsidRPr="009623BF">
        <w:rPr>
          <w:lang w:val="en-GB"/>
        </w:rPr>
        <w:instrText>ADDIN CSL_CITATION {"citationItems":[{"id":"ITEM-1","itemData":{"DOI":"10.1063/1.1699044","author":[{"dropping-particle":"","family":"Dexter","given":"D L","non-dropping-particle":"","parse-names":false,"suffix":""}],"id":"ITEM-1","issue":"May 2012","issued":{"date-parts":[["1953"]]},"title":"A Theory of Sensitized Luminescence in Solids","type":"article-journal","volume":"836"},"uris":["http://www.mendeley.com/documents/?uuid=bd38caea-078f-484d-aafa-8e1db89c8453"]},{"id":"ITEM-2","itemData":{"DOI":"10.1002/ADFM.201603311","ISSN":"1616-3028","author":[{"dropping-particle":"","family":"Guzelturk","given":"Burak","non-dropping-particle":"","parse-names":false,"suffix":""},{"dropping-particle":"","family":"Demir","given":"Hilmi Volkan","non-dropping-particle":"","parse-names":false,"suffix":""}],"container-title":"Advanced Functional Materials","id":"ITEM-2","issued":{"date-parts":[["2016"]]},"title":"Near</w:instrText>
      </w:r>
      <w:r w:rsidR="001F4C34" w:rsidRPr="009623BF">
        <w:rPr>
          <w:rFonts w:ascii="Cambria Math" w:hAnsi="Cambria Math" w:cs="Cambria Math"/>
          <w:lang w:val="en-GB"/>
        </w:rPr>
        <w:instrText>‐</w:instrText>
      </w:r>
      <w:r w:rsidR="001F4C34" w:rsidRPr="009623BF">
        <w:rPr>
          <w:lang w:val="en-GB"/>
        </w:rPr>
        <w:instrText>Field Energy Transfer Using Nanoemitters For Optoelectronics","type":"article-journal"},"uris":["http://www.mendeley.com/documents/?uuid=ba50f337-6fc7-4a5f-8a9a-6e9fb0fb073b"]},{"id":"ITEM-3","itemData":{"DOI":"10.1021/jp0268462","author":[{"dropping-particle":"","family":"Adams","given":"David M","non-dropping-particle":"","parse-names":false,"suffix":""},{"dropping-particle":"","family":"Brus","given":"Louis","non-dropping-particle":"","parse-names":false,"suffix":""},{"dropping-particle":"","family":"Chidsey","given":"Christopher E D","non-dropping-particle":"","parse-names":false,"suffix":""},{"dropping-particle":"","family":"Creager","given":"Stephen","non-dropping-particle":"","parse-names":false,"suffix":""},{"dropping-particle":"","family":"Creutz","given":"Carol","non-dropping-particle":"","parse-names":false,"suffix":""},{"dropping-particle":"","family":"Kagan","given":"Cherie R","non-dropping-particle":"","parse-names":false,"suffix":""},{"dropping-particle":"V","family":"Kamat","given":"Prashant","non-dropping-particle":"","parse-names":false,"suffix":""},{"dropping-particle":"","family":"Lieberman","given":"X Marya","non-dropping-particle":"","parse-names":false,"suffix":""},{"dropping-particle":"","family":"Lindsay","given":"O Stuart","non-dropping-particle":"","parse-names":false,"suffix":""},{"dropping-particle":"","family":"Marcus","given":"Rudolph A","non-dropping-particle":"","parse-names":false,"suffix":""},{"dropping-particle":"","family":"Metzger","given":"Robert M","non-dropping-particle":"","parse-names":false,"suffix":""},{"dropping-particle":"","family":"Miller","given":"John R","non-dropping-particle":"","parse-names":false,"suffix":""},{"dropping-particle":"","family":"Newton","given":"Marshall D","non-dropping-particle":"","parse-names":false,"suffix":""},{"dropping-particle":"","family":"Rolison","given":"Debra R","non-dropping-particle":"","parse-names":false,"suffix":""},{"dropping-particle":"","family":"Sankey","given":"Otto","non-dropping-particle":"","parse-names":false,"suffix":""},{"dropping-particle":"","family":"Schanze","given":"Kirk S","non-dropping-particle":"","parse-names":false,"suffix":""},{"dropping-particle":"","family":"Yardley","given":"James","non-dropping-particle":"","parse-names":false,"suffix":""}],"id":"ITEM-3","issued":{"date-parts":[["2003"]]},"page":"6668-6697","title":"Charge Transfer on the Nanoscale : Current Status","type":"article-journal"},"uris":["http://www.mendeley.com/documents/?uuid=5199fab9-2dba-4832-94b4-678afaee549e"]}],"mendeley":{"formattedCitation":"&lt;sup&gt;21,24,26&lt;/sup&gt;","plainTextFormattedCitation":"21,24,26","previouslyFormattedCitation":"&lt;sup&gt;20,23,25&lt;/sup&gt;"},"properties":{"noteIndex":0},"schema":"https://github.com/citation-style-language/schema/raw/master/csl-citation.json"}</w:instrText>
      </w:r>
      <w:r w:rsidR="00A807F2" w:rsidRPr="009623BF">
        <w:rPr>
          <w:lang w:val="en-GB"/>
        </w:rPr>
        <w:fldChar w:fldCharType="separate"/>
      </w:r>
      <w:r w:rsidR="001F4C34" w:rsidRPr="009623BF">
        <w:rPr>
          <w:noProof/>
          <w:vertAlign w:val="superscript"/>
          <w:lang w:val="en-GB"/>
        </w:rPr>
        <w:t>21,24,26</w:t>
      </w:r>
      <w:r w:rsidR="00A807F2" w:rsidRPr="009623BF">
        <w:rPr>
          <w:lang w:val="en-GB"/>
        </w:rPr>
        <w:fldChar w:fldCharType="end"/>
      </w:r>
      <w:r w:rsidR="00A807F2" w:rsidRPr="009623BF">
        <w:rPr>
          <w:lang w:val="en-GB"/>
        </w:rPr>
        <w:t xml:space="preserve"> The mechanism of the energy transfer process in this system will be discussed in more detail within the paper.</w:t>
      </w:r>
    </w:p>
    <w:p w14:paraId="1EF51CDD" w14:textId="713C4675" w:rsidR="00A807F2" w:rsidRPr="009623BF" w:rsidRDefault="00A807F2" w:rsidP="00A807F2">
      <w:pPr>
        <w:pStyle w:val="TAMainText"/>
      </w:pPr>
      <w:r w:rsidRPr="009623BF">
        <w:t>Recent studies of hybrid QD-MoS</w:t>
      </w:r>
      <w:r w:rsidRPr="009623BF">
        <w:rPr>
          <w:vertAlign w:val="subscript"/>
        </w:rPr>
        <w:t>2</w:t>
      </w:r>
      <w:r w:rsidRPr="009623BF">
        <w:t xml:space="preserve"> devices consisting of MoS</w:t>
      </w:r>
      <w:r w:rsidRPr="009623BF">
        <w:rPr>
          <w:vertAlign w:val="subscript"/>
        </w:rPr>
        <w:t>2</w:t>
      </w:r>
      <w:r w:rsidRPr="009623BF">
        <w:t xml:space="preserve"> films of monolayer, mixed monolayer-bilayer and polycrystalline structure revealed the importance of monolayer MoS</w:t>
      </w:r>
      <w:r w:rsidRPr="009623BF">
        <w:rPr>
          <w:vertAlign w:val="subscript"/>
        </w:rPr>
        <w:t>2</w:t>
      </w:r>
      <w:r w:rsidRPr="009623BF">
        <w:t xml:space="preserve"> for large photocurrent enhancements in the hybrid system.</w:t>
      </w:r>
      <w:r w:rsidRPr="009623BF">
        <w:fldChar w:fldCharType="begin" w:fldLock="1"/>
      </w:r>
      <w:r w:rsidR="001F4C34" w:rsidRPr="009623BF">
        <w:instrText>ADDIN CSL_CITATION {"citationItems":[{"id":"ITEM-1","itemData":{"DOI":"10.1002/adfm.201706149","ISSN":"1616301X","abstract":"© 2018 WILEY-VCH Verlag GmbH &amp; Co. KGaA, Weinheim. This report demonstrates highly efficient nonradiative energy transfer (NRET) from alloyed CdSeS/ZnS semiconductor nanocrystal quantum dots (QDs) to MoS 2 films of varying layer thicknesses, including pristine monolayers, mixed monolayer/bilayer, polycrystalline bilayers, and bulk-like thicknesses, with NRET efficiencies of over 90%. Large-area MoS 2 films are grown on Si/SiO 2 substrates by chemical vapor deposition. Despite the ultrahigh NRET efficiencies there is no distinct increase in the MoS 2 photoluminescence intensity. However, by studying the optoelectronic properties of the MoS 2 devices before and after adding the QD sensitizing layer photocurrent enhancements as large as ≈14-fold for pristine monolayer devices are observed, with enhancements on the order of ≈2-fold for MoS 2 devices of mixed monolayer and bilayer thicknesses. For the polycrystalline bilayer and bulk-like MoS 2 devices there is almost no increase in the photocurrent after adding the QDs. Industrially scalable techniques are specifically utilized to fabricate the samples studied in this report, demonstrating the viability of this hybrid structure for commercial photodetector or light harvesting applications.","author":[{"dropping-particle":"","family":"Gough","given":"John J.","non-dropping-particle":"","parse-names":false,"suffix":""},{"dropping-particle":"","family":"McEvoy","given":"Niall","non-dropping-particle":"","parse-names":false,"suffix":""},{"dropping-particle":"","family":"O'Brien","given":"Maria","non-dropping-particle":"","parse-names":false,"suffix":""},{"dropping-particle":"","family":"Bell","given":"Alan P.","non-dropping-particle":"","parse-names":false,"suffix":""},{"dropping-particle":"","family":"McCloskey","given":"David","non-dropping-particle":"","parse-names":false,"suffix":""},{"dropping-particle":"","family":"Boland","given":"John B.","non-dropping-particle":"","parse-names":false,"suffix":""},{"dropping-particle":"","family":"Coleman","given":"Jonathan N.","non-dropping-particle":"","parse-names":false,"suffix":""},{"dropping-particle":"","family":"Duesberg","given":"Georg S.","non-dropping-particle":"","parse-names":false,"suffix":""},{"dropping-particle":"","family":"Bradley","given":"A. Louise","non-dropping-particle":"","parse-names":false,"suffix":""}],"container-title":"Advanced Functional Materials","id":"ITEM-1","issued":{"date-parts":[["2018","1"]]},"page":"1706149","title":"Dependence of Photocurrent Enhancements in Quantum Dot (QD)-Sensitized MoS 2 Devices on MoS 2 Film Properties","type":"article-journal","volume":"1706149"},"uris":["http://www.mendeley.com/documents/?uuid=e7ae747c-5ebc-4853-a113-0c1ca4f6921d","http://www.mendeley.com/documents/?uuid=e072b561-4c73-413e-ae65-256034f6943b"]}],"mendeley":{"formattedCitation":"&lt;sup&gt;17&lt;/sup&gt;","plainTextFormattedCitation":"17","previouslyFormattedCitation":"&lt;sup&gt;16&lt;/sup&gt;"},"properties":{"noteIndex":0},"schema":"https://github.com/citation-style-language/schema/raw/master/csl-citation.json"}</w:instrText>
      </w:r>
      <w:r w:rsidRPr="009623BF">
        <w:fldChar w:fldCharType="separate"/>
      </w:r>
      <w:r w:rsidR="001F4C34" w:rsidRPr="009623BF">
        <w:rPr>
          <w:noProof/>
          <w:vertAlign w:val="superscript"/>
        </w:rPr>
        <w:t>17</w:t>
      </w:r>
      <w:r w:rsidRPr="009623BF">
        <w:rPr>
          <w:lang w:val="en-GB"/>
        </w:rPr>
        <w:fldChar w:fldCharType="end"/>
      </w:r>
      <w:r w:rsidRPr="009623BF">
        <w:t xml:space="preserve"> Herein we investigate the spectral dependence of photocurrent enhancements using three alloyed </w:t>
      </w:r>
      <w:proofErr w:type="spellStart"/>
      <w:r w:rsidRPr="009623BF">
        <w:t>CdSeS</w:t>
      </w:r>
      <w:proofErr w:type="spellEnd"/>
      <w:r w:rsidRPr="009623BF">
        <w:t>/ZnS QDs with peak emission wavelengths of 450 nm, 530 nm and 630 nm, spanning the visible spectrum. These alloyed core/shell QDs are ideal for a spectral dependent study as spectral tuning is achieved by varying the chemical composition and not the size of the QD.</w:t>
      </w:r>
      <w:r w:rsidRPr="009623BF">
        <w:fldChar w:fldCharType="begin" w:fldLock="1"/>
      </w:r>
      <w:r w:rsidR="001F4C34" w:rsidRPr="009623BF">
        <w:instrText>ADDIN CSL_CITATION {"citationItems":[{"id":"ITEM-1","itemData":{"author":[{"dropping-particle":"","family":"Swafford","given":"Laura A","non-dropping-particle":"","parse-names":false,"suffix":""},{"dropping-particle":"","family":"Weigand","given":"Lauren A","non-dropping-particle":"","parse-names":false,"suffix":""},{"dropping-particle":"","family":"Ii","given":"Michael J Bowers","non-dropping-particle":"","parse-names":false,"suffix":""},{"dropping-particle":"","family":"Mcbride","given":"James R","non-dropping-particle":"","parse-names":false,"suffix":""},{"dropping-particle":"","family":"Rapaport","given":"Jason L","non-dropping-particle":"","parse-names":false,"suffix":""},{"dropping-particle":"","family":"Watt","given":"Tony L","non-dropping-particle":"","parse-names":false,"suffix":""},{"dropping-particle":"","family":"Dixit","given":"Sriram K","non-dropping-particle":"","parse-names":false,"suffix":""},{"dropping-particle":"","family":"Feldman","given":"Leonard C","non-dropping-particle":"","parse-names":false,"suffix":""},{"dropping-particle":"","family":"Rosenthal","given":"Sandra J","non-dropping-particle":"","parse-names":false,"suffix":""}],"id":"ITEM-1","issue":"22","issued":{"date-parts":[["2006"]]},"page":"12299-12306","title":"Homogeneously Alloyed CdS x Se 1 - x Nanocrystals : Synthesis , Characterization , and Composition / Size-Dependent Band Gap","type":"article-journal"},"uris":["http://www.mendeley.com/documents/?uuid=fe322da8-45f1-401f-99b9-c5afa76c1be1"]},{"id":"ITEM-2","itemData":{"DOI":"10.1021/acs.jpcc.5b03603","ISSN":"1932-7447","abstract":"Spherical CdS&lt;inf&gt;x&lt;/inf&gt;Se&lt;inf&gt;1-x&lt;/inf&gt; alloy semiconductor QDs are receiving incredible research interest due to their composition-dependent optical tunability and charge carrier behavior. These highly luminescent alloy QDs can be used in several applications due to their very long excited state lifetime. Herein, we describe synthesis and characterization of highly luminescent CdSSe alloy QD using XRD, EDX, and HRTEM techniques. Steady state optical absorption and photoluminescence (PL) measurements show the nonlinear behavior of the alloy QDs with changing chalcogenide composition. Time-resolved photoluminescence (PL) measurements suggest CdS&lt;inf&gt;0.7&lt;/inf&gt;Se&lt;inf&gt;0.3&lt;/inf&gt; alloy QD has much higher emission quantum yield (70percent) and long radiative lifetime (24 ns) as compared to both CdS (&lt;inf&gt;CdS&lt;/inf&gt; = 24percent, tau&lt;inf&gt;CdS&lt;/inf&gt; = 9.5 ns) and CdSe (&lt;inf&gt;CdSe&lt;/inf&gt; = 34percent, tau&lt;inf&gt;CdSe&lt;/inf&gt; = 13.3 ns) QDs. Femtosecond transient absorption measurement has been carried out to unravel charge carrier dynamics in early and late time scale. Electron cooling time for CdS&lt;inf&gt;0.7&lt;/inf&gt;Se&lt;inf&gt;0.3&lt;/inf&gt; alloy QD found to be extremely slow (tau&lt;inf&gt;cooling&lt;/inf&gt; = 8 ps) in contrast to both pure CdS (tau&lt;inf&gt;cooling&lt;/inf&gt; &lt; 100 fs) as well as pure CdSe QD (tau&lt;inf&gt;cooling&lt;/inf&gt; = 600 fs) due to specially decoupled electron and hole in quasi type II core-shell structure. Charge recombination reaction found to be slowest in alloy QDs as compared to both CdS and CdSe QDs.","author":[{"dropping-particle":"","family":"Maity","given":"Partha","non-dropping-particle":"","parse-names":false,"suffix":""},{"dropping-particle":"","family":"Debnath","given":"Tushar","non-dropping-particle":"","parse-names":false,"suffix":""},{"dropping-particle":"","family":"Ghosh","given":"Hirendra N.","non-dropping-particle":"","parse-names":false,"suffix":""}],"container-title":"The Journal of Physical Chemistry C","id":"ITEM-2","issue":"19","issued":{"date-parts":[["2015","5"]]},"page":"10785-10792","title":"Slow Electron Cooling Dynamics Mediated by Electron–Hole Decoupling in Highly Luminescent CdS x Se 1– x Alloy Quantum Dots","type":"article-journal","volume":"119"},"uris":["http://www.mendeley.com/documents/?uuid=70c0fd94-e7c6-4c2f-adf6-3c866d6c85f1","http://www.mendeley.com/documents/?uuid=b45ae96f-786d-4938-8dbd-ea983614e15a"]}],"mendeley":{"formattedCitation":"&lt;sup&gt;20,27&lt;/sup&gt;","plainTextFormattedCitation":"20,27","previouslyFormattedCitation":"&lt;sup&gt;19,26&lt;/sup&gt;"},"properties":{"noteIndex":0},"schema":"https://github.com/citation-style-language/schema/raw/master/csl-citation.json"}</w:instrText>
      </w:r>
      <w:r w:rsidRPr="009623BF">
        <w:fldChar w:fldCharType="separate"/>
      </w:r>
      <w:r w:rsidR="001F4C34" w:rsidRPr="009623BF">
        <w:rPr>
          <w:noProof/>
          <w:vertAlign w:val="superscript"/>
        </w:rPr>
        <w:t>20,27</w:t>
      </w:r>
      <w:r w:rsidRPr="009623BF">
        <w:rPr>
          <w:lang w:val="en-GB"/>
        </w:rPr>
        <w:fldChar w:fldCharType="end"/>
      </w:r>
      <w:r w:rsidRPr="009623BF">
        <w:t xml:space="preserve"> Having the alloyed QDs of th</w:t>
      </w:r>
      <w:r w:rsidR="0094386B" w:rsidRPr="009623BF">
        <w:t>e same diameter, (6.0 ± 0.8) nm</w:t>
      </w:r>
      <w:r w:rsidRPr="009623BF">
        <w:t xml:space="preserve"> allows for similar photoluminescence (PL) quantum yields</w:t>
      </w:r>
      <w:r w:rsidRPr="009623BF">
        <w:fldChar w:fldCharType="begin" w:fldLock="1"/>
      </w:r>
      <w:r w:rsidR="001F4C34" w:rsidRPr="009623BF">
        <w:instrText>ADDIN CSL_CITATION {"citationItems":[{"id":"ITEM-1","itemData":{"DOI":"10.1021/acs.jpcc.5b03603","ISSN":"1932-7447","abstract":"Spherical CdS&lt;inf&gt;x&lt;/inf&gt;Se&lt;inf&gt;1-x&lt;/inf&gt; alloy semiconductor QDs are receiving incredible research interest due to their composition-dependent optical tunability and charge carrier behavior. These highly luminescent alloy QDs can be used in several applications due to their very long excited state lifetime. Herein, we describe synthesis and characterization of highly luminescent CdSSe alloy QD using XRD, EDX, and HRTEM techniques. Steady state optical absorption and photoluminescence (PL) measurements show the nonlinear behavior of the alloy QDs with changing chalcogenide composition. Time-resolved photoluminescence (PL) measurements suggest CdS&lt;inf&gt;0.7&lt;/inf&gt;Se&lt;inf&gt;0.3&lt;/inf&gt; alloy QD has much higher emission quantum yield (70percent) and long radiative lifetime (24 ns) as compared to both CdS (&lt;inf&gt;CdS&lt;/inf&gt; = 24percent, tau&lt;inf&gt;CdS&lt;/inf&gt; = 9.5 ns) and CdSe (&lt;inf&gt;CdSe&lt;/inf&gt; = 34percent, tau&lt;inf&gt;CdSe&lt;/inf&gt; = 13.3 ns) QDs. Femtosecond transient absorption measurement has been carried out to unravel charge carrier dynamics in early and late time scale. Electron cooling time for CdS&lt;inf&gt;0.7&lt;/inf&gt;Se&lt;inf&gt;0.3&lt;/inf&gt; alloy QD found to be extremely slow (tau&lt;inf&gt;cooling&lt;/inf&gt; = 8 ps) in contrast to both pure CdS (tau&lt;inf&gt;cooling&lt;/inf&gt; &lt; 100 fs) as well as pure CdSe QD (tau&lt;inf&gt;cooling&lt;/inf&gt; = 600 fs) due to specially decoupled electron and hole in quasi type II core-shell structure. Charge recombination reaction found to be slowest in alloy QDs as compared to both CdS and CdSe QDs.","author":[{"dropping-particle":"","family":"Maity","given":"Partha","non-dropping-particle":"","parse-names":false,"suffix":""},{"dropping-particle":"","family":"Debnath","given":"Tushar","non-dropping-particle":"","parse-names":false,"suffix":""},{"dropping-particle":"","family":"Ghosh","given":"Hirendra N.","non-dropping-particle":"","parse-names":false,"suffix":""}],"container-title":"The Journal of Physical Chemistry C","id":"ITEM-1","issue":"19","issued":{"date-parts":[["2015","5"]]},"page":"10785-10792","title":"Slow Electron Cooling Dynamics Mediated by Electron–Hole Decoupling in Highly Luminescent CdS x Se 1– x Alloy Quantum Dots","type":"article-journal","volume":"119"},"uris":["http://www.mendeley.com/documents/?uuid=70c0fd94-e7c6-4c2f-adf6-3c866d6c85f1","http://www.mendeley.com/documents/?uuid=b45ae96f-786d-4938-8dbd-ea983614e15a"]}],"mendeley":{"formattedCitation":"&lt;sup&gt;20&lt;/sup&gt;","plainTextFormattedCitation":"20","previouslyFormattedCitation":"&lt;sup&gt;19&lt;/sup&gt;"},"properties":{"noteIndex":0},"schema":"https://github.com/citation-style-language/schema/raw/master/csl-citation.json"}</w:instrText>
      </w:r>
      <w:r w:rsidRPr="009623BF">
        <w:fldChar w:fldCharType="separate"/>
      </w:r>
      <w:r w:rsidR="001F4C34" w:rsidRPr="009623BF">
        <w:rPr>
          <w:noProof/>
          <w:vertAlign w:val="superscript"/>
        </w:rPr>
        <w:t>20</w:t>
      </w:r>
      <w:r w:rsidRPr="009623BF">
        <w:rPr>
          <w:lang w:val="en-GB"/>
        </w:rPr>
        <w:fldChar w:fldCharType="end"/>
      </w:r>
      <w:r w:rsidRPr="009623BF">
        <w:t xml:space="preserve"> across the three QD samples (50 ± 5% for these QDs in particular) and avoids any variation in the </w:t>
      </w:r>
      <w:proofErr w:type="spellStart"/>
      <w:r w:rsidRPr="009623BF">
        <w:t>centre</w:t>
      </w:r>
      <w:proofErr w:type="spellEnd"/>
      <w:r w:rsidRPr="009623BF">
        <w:t>-to-</w:t>
      </w:r>
      <w:proofErr w:type="spellStart"/>
      <w:r w:rsidRPr="009623BF">
        <w:t>centre</w:t>
      </w:r>
      <w:proofErr w:type="spellEnd"/>
      <w:r w:rsidRPr="009623BF">
        <w:t xml:space="preserve"> distance influencing the measurements. The latter is a particularly important factor when probing the NRET mechanism, given the strong distance dependence of </w:t>
      </w:r>
      <w:proofErr w:type="spellStart"/>
      <w:r w:rsidRPr="009623BF">
        <w:t>Förster</w:t>
      </w:r>
      <w:proofErr w:type="spellEnd"/>
      <w:r w:rsidRPr="009623BF">
        <w:t xml:space="preserve">-type NRET. </w:t>
      </w:r>
    </w:p>
    <w:p w14:paraId="26EFE09E" w14:textId="3C60FDFC" w:rsidR="002E5335" w:rsidRPr="009623BF" w:rsidRDefault="00A807F2" w:rsidP="00A807F2">
      <w:pPr>
        <w:pStyle w:val="TAMainText"/>
      </w:pPr>
      <w:r w:rsidRPr="009623BF">
        <w:t>The uniformity and monolayer thickness of the MoS</w:t>
      </w:r>
      <w:r w:rsidRPr="009623BF">
        <w:rPr>
          <w:vertAlign w:val="subscript"/>
        </w:rPr>
        <w:t>2</w:t>
      </w:r>
      <w:r w:rsidRPr="009623BF">
        <w:t xml:space="preserve"> was verified using Raman mapping and Raman spectroscopy, respectively. The efficiency of the NRET was investigated using time-resolved photoluminescence (TRPL) measurements. The enhancement of the photocurrent for the </w:t>
      </w:r>
      <w:r w:rsidRPr="009623BF">
        <w:lastRenderedPageBreak/>
        <w:t>hybrid devices was investigated by measuring the photocurrent before and after adding the QD sensitizing layers, over a broad range of optical excitation powers. Enhancement of the photocurrent on each hybrid QD-MoS</w:t>
      </w:r>
      <w:r w:rsidRPr="009623BF">
        <w:rPr>
          <w:vertAlign w:val="subscript"/>
        </w:rPr>
        <w:t>2</w:t>
      </w:r>
      <w:r w:rsidRPr="009623BF">
        <w:t xml:space="preserve"> device was observed, and the largest photocurrent enhancement and the largest NRET efficiency are found for the 630 nm QD-MoS</w:t>
      </w:r>
      <w:r w:rsidRPr="009623BF">
        <w:rPr>
          <w:vertAlign w:val="subscript"/>
        </w:rPr>
        <w:t>2</w:t>
      </w:r>
      <w:r w:rsidRPr="009623BF">
        <w:t xml:space="preserve"> device. Similar trends are found between the NRET efficiencies, photocurrent enhancements and the spectral overlap as a function of QD emission wavelength. To the best of the authors’ knowledge this is the first spectral dependence study of NRET from QDs to monolayer MoS</w:t>
      </w:r>
      <w:r w:rsidRPr="009623BF">
        <w:rPr>
          <w:vertAlign w:val="subscript"/>
        </w:rPr>
        <w:t>2,</w:t>
      </w:r>
      <w:r w:rsidRPr="009623BF">
        <w:t xml:space="preserve"> and, similarly, the first spectral dependence study of photocurrent enhancement in QD-MoS</w:t>
      </w:r>
      <w:r w:rsidRPr="009623BF">
        <w:rPr>
          <w:vertAlign w:val="subscript"/>
        </w:rPr>
        <w:t>2</w:t>
      </w:r>
      <w:r w:rsidRPr="009623BF">
        <w:t xml:space="preserve"> hybrid devices. The measurements provide evidence for </w:t>
      </w:r>
      <w:proofErr w:type="spellStart"/>
      <w:r w:rsidRPr="009623BF">
        <w:t>Förster</w:t>
      </w:r>
      <w:proofErr w:type="spellEnd"/>
      <w:r w:rsidRPr="009623BF">
        <w:t>-type NRET mechanism and we believe that the findings from this study provide significant insight for the optimization of future QD sensitized hybrid devices for optoelectronic applications.</w:t>
      </w:r>
    </w:p>
    <w:p w14:paraId="7583B39B" w14:textId="77777777" w:rsidR="00CB0652" w:rsidRPr="009623BF" w:rsidRDefault="00CB0652" w:rsidP="00294AD0">
      <w:pPr>
        <w:pStyle w:val="TESupportingInformation"/>
        <w:spacing w:after="240"/>
        <w:ind w:firstLine="0"/>
        <w:jc w:val="left"/>
      </w:pPr>
    </w:p>
    <w:p w14:paraId="76C6207D" w14:textId="111E0471" w:rsidR="00294AD0" w:rsidRPr="009623BF" w:rsidRDefault="00294AD0" w:rsidP="00294AD0">
      <w:pPr>
        <w:pStyle w:val="TESupportingInformation"/>
        <w:spacing w:after="240"/>
        <w:ind w:firstLine="0"/>
        <w:jc w:val="left"/>
      </w:pPr>
      <w:r w:rsidRPr="009623BF">
        <w:t>RESULTS AND DISCUSSION</w:t>
      </w:r>
    </w:p>
    <w:p w14:paraId="5706A840" w14:textId="7D4D060A" w:rsidR="00A807F2" w:rsidRPr="009623BF" w:rsidRDefault="00A807F2" w:rsidP="00A807F2">
      <w:pPr>
        <w:pStyle w:val="TAMainText"/>
      </w:pPr>
      <w:r w:rsidRPr="009623BF">
        <w:t>The MoS</w:t>
      </w:r>
      <w:r w:rsidRPr="009623BF">
        <w:rPr>
          <w:vertAlign w:val="subscript"/>
        </w:rPr>
        <w:t>2</w:t>
      </w:r>
      <w:r w:rsidRPr="009623BF">
        <w:t xml:space="preserve"> exti</w:t>
      </w:r>
      <w:r w:rsidR="0053284D" w:rsidRPr="009623BF">
        <w:t>nction and QD PL spectra in Figure</w:t>
      </w:r>
      <w:r w:rsidRPr="009623BF">
        <w:t xml:space="preserve"> 1(a) show the overlap between each of the QD emission spectra and the MoS</w:t>
      </w:r>
      <w:r w:rsidRPr="009623BF">
        <w:rPr>
          <w:vertAlign w:val="subscript"/>
        </w:rPr>
        <w:t>2</w:t>
      </w:r>
      <w:r w:rsidRPr="009623BF">
        <w:t xml:space="preserve"> extinction spectra. The 630 nm QDs are on-resonance with the B exciton of the MoS</w:t>
      </w:r>
      <w:r w:rsidRPr="009623BF">
        <w:rPr>
          <w:vertAlign w:val="subscript"/>
        </w:rPr>
        <w:t>2</w:t>
      </w:r>
      <w:r w:rsidRPr="009623BF">
        <w:t xml:space="preserve"> and the 450 nm QDs are slightly off-resonance with the C exciton. The 530 nm QDs were chosen as they do not overlap with any of the MoS</w:t>
      </w:r>
      <w:r w:rsidRPr="009623BF">
        <w:rPr>
          <w:vertAlign w:val="subscript"/>
        </w:rPr>
        <w:t>2</w:t>
      </w:r>
      <w:r w:rsidRPr="009623BF">
        <w:t xml:space="preserve"> exciton absorption peaks and therefore provide an off-resonance reference. Recent studies of NRET from QDs to MoS</w:t>
      </w:r>
      <w:r w:rsidRPr="009623BF">
        <w:rPr>
          <w:vertAlign w:val="subscript"/>
        </w:rPr>
        <w:t>2</w:t>
      </w:r>
      <w:r w:rsidRPr="009623BF">
        <w:t xml:space="preserve"> have primarily focused on QDs with emission wavelengths located close to the A and B excitons,</w:t>
      </w:r>
      <w:r w:rsidRPr="009623BF">
        <w:fldChar w:fldCharType="begin" w:fldLock="1"/>
      </w:r>
      <w:r w:rsidR="001F4C34" w:rsidRPr="009623BF">
        <w:instrText>ADDIN CSL_CITATION {"citationItems":[{"id":"ITEM-1","itemData":{"DOI":"10.1021/acs.nanolett.5b00514","ISSN":"1530-6992","PMID":"26027714","abstract":"We investigate near-field energy transfer between chemically synthesized quantum dots (QDs) and two-dimensional semiconductors. We fabricate devices in which electrostatically gated semiconducting monolayer molybdenum disulfide (MoS2) is placed atop a homogeneous self-assembled layer of core-shell CdSSe QDs. We demonstrate efficient nonradiative Förster resonant energy transfer (FRET) from QDs into MoS2 and prove that modest gate-induced variation in the excitonic absorption of MoS2 leads to large (</w:instrText>
      </w:r>
      <w:r w:rsidR="001F4C34" w:rsidRPr="009623BF">
        <w:rPr>
          <w:rFonts w:ascii="Cambria Math" w:hAnsi="Cambria Math" w:cs="Cambria Math"/>
        </w:rPr>
        <w:instrText>∼</w:instrText>
      </w:r>
      <w:r w:rsidR="001F4C34" w:rsidRPr="009623BF">
        <w:instrText xml:space="preserve">500%) changes in the FRET rate. This in turn allows for up to </w:instrText>
      </w:r>
      <w:r w:rsidR="001F4C34" w:rsidRPr="009623BF">
        <w:rPr>
          <w:rFonts w:ascii="Cambria Math" w:hAnsi="Cambria Math" w:cs="Cambria Math"/>
        </w:rPr>
        <w:instrText>∼</w:instrText>
      </w:r>
      <w:r w:rsidR="001F4C34" w:rsidRPr="009623BF">
        <w:instrText>75% electrical modulation of QD photoluminescence intensity. The hybrid QD/MoS2 devices operate within a small voltage range, allow for continuous modification of the QD photoluminescence intensity, and can be used for selective tuning of QDs emitting in the visible-IR range.","author":[{"dropping-particle":"","family":"Prasai","given":"Dhiraj","non-dropping-particle":"","parse-names":false,"suffix":""},{"dropping-particle":"","family":"Klots","given":"Andrey R","non-dropping-particle":"","parse-names":false,"suffix":""},{"dropping-particle":"","family":"Newaz","given":"a K M","non-dropping-particle":"","parse-names":false,"suffix":""},{"dropping-particle":"","family":"Niezgoda","given":"J Scott","non-dropping-particle":"","parse-names":false,"suffix":""},{"dropping-particle":"","family":"Orfield","given":"Noah J","non-dropping-particle":"","parse-names":false,"suffix":""},{"dropping-particle":"","family":"Escobar","given":"Carlos a","non-dropping-particle":"","parse-names":false,"suffix":""},{"dropping-particle":"","family":"Wynn","given":"Alex","non-dropping-particle":"","parse-names":false,"suffix":""},{"dropping-particle":"","family":"Efimov","given":"Anatoly","non-dropping-particle":"","parse-names":false,"suffix":""},{"dropping-particle":"","family":"Jennings","given":"G Kane","non-dropping-particle":"","parse-names":false,"suffix":""},{"dropping-particle":"","family":"Rosenthal","given":"Sandra J","non-dropping-particle":"","parse-names":false,"suffix":""},{"dropping-particle":"","family":"Bolotin","given":"Kirill I","non-dropping-particle":"","parse-names":false,"suffix":""}],"container-title":"Nano letters","id":"ITEM-1","issue":"7","issued":{"date-parts":[["2015","7","8"]]},"page":"4374-80","title":"Electrical Control of near-Field Energy Transfer between Quantum Dots and Two-Dimensional Semiconductors.","type":"article-journal","volume":"15"},"uris":["http://www.mendeley.com/documents/?uuid=03fe485d-e9f4-4a4a-96aa-38fea1b06d74"]},{"id":"ITEM-2","itemData":{"author":[{"dropping-particle":"","family":"Mos","given":"Few-layer","non-dropping-particle":"","parse-names":false,"suffix":""},{"dropping-particle":"","family":"Prins","given":"Ferry","non-dropping-particle":"","parse-names":false,"suffix":""},{"dropping-particle":"","family":"Goodman","given":"Aaron J","non-dropping-particle":"","parse-names":false,"suffix":""},{"dropping-particle":"","family":"Tisdale","given":"William A","non-dropping-particle":"","parse-names":false,"suffix":""}],"id":"ITEM-2","issued":{"date-parts":[["2014"]]},"title":"Reduced Dielectric Screening and Enhanced Energy Transfer in Single- and Few-Layer MoS 2","type":"article-journal"},"uris":["http://www.mendeley.com/documents/?uuid=ab012cc0-78e7-4ee0-8db1-219eabeb01d6"]},{"id":"ITEM-3","itemData":{"DOI":"10.1021/acs.nanolett.5b05012","ISSN":"1530-6992","PMID":"26928675","abstract":"We report efficient non-radiative energy transfer (NRET) from core-shell, semiconducting quantum dots to adjacent two-dimensional sheets of graphene and MoS2 crystals of single- and few-layer thickness. We observe quenching of the photoluminescence (PL) from individual quantum dots and enhanced PL decay rates in time-resolved PL, corresponding to energy transfer rates of 1-10 ns(-1). Our measurements reveal contrasting trends in the NRET rate from the quantum dot to the van der Waals material as a function of thickness. The rate increases significantly with increasing layer thickness of graphene, but decreases with increasing thickness of MoS2 layers. A classical electromagnetic theory accounts for both the trends and absolute rates observed for the NRET. The countervailing trends arise from the competition between screening and absorption of the electric field of the quantum dot dipole inside the acceptor layers. We extend our analysis to predict the type of NRET behavior for the near-field coupling of a chromophore to a range of semiconducting and metallic thin film materials.","author":[{"dropping-particle":"","family":"Raja","given":"Archana","non-dropping-particle":"","parse-names":false,"suffix":""},{"dropping-particle":"","family":"Montoya-Castillo","given":"Andrés","non-dropping-particle":"","parse-names":false,"suffix":""},{"dropping-particle":"","family":"Zultak","given":"Johanna","non-dropping-particle":"","parse-names":false,"suffix":""},{"dropping-particle":"","family":"Zhang","given":"Xiao-Xiao","non-dropping-particle":"","parse-names":false,"suffix":""},{"dropping-particle":"","family":"Ye","given":"Ziliang","non-dropping-particle":"","parse-names":false,"suffix":""},{"dropping-particle":"","family":"Roquelet","given":"Cyrielle","non-dropping-particle":"","parse-names":false,"suffix":""},{"dropping-particle":"","family":"Chenet","given":"Daniel a","non-dropping-particle":"","parse-names":false,"suffix":""},{"dropping-particle":"","family":"Zande","given":"Arend M","non-dropping-particle":"van der","parse-names":false,"suffix":""},{"dropping-particle":"","family":"Huang","given":"Pinshane","non-dropping-particle":"","parse-names":false,"suffix":""},{"dropping-particle":"","family":"Jockusch","given":"Steffen","non-dropping-particle":"","parse-names":false,"suffix":""},{"dropping-particle":"","family":"Hone","given":"James C","non-dropping-particle":"","parse-names":false,"suffix":""},{"dropping-particle":"","family":"Reichman","given":"David R","non-dropping-particle":"","parse-names":false,"suffix":""},{"dropping-particle":"","family":"Brus","given":"Louis E","non-dropping-particle":"","parse-names":false,"suffix":""},{"dropping-particle":"","family":"Heinz","given":"Tony F","non-dropping-particle":"","parse-names":false,"suffix":""}],"container-title":"Nano letters","id":"ITEM-3","issued":{"date-parts":[["2016","3","1"]]},"title":"Energy transfer from quantum dots to graphene and MoS2: The role of absorption and screening in two-dimensional materials.","type":"article-journal"},"uris":["http://www.mendeley.com/documents/?uuid=5eb8775f-187b-42d7-abc6-83f69287e9dd"]},{"id":"ITEM-4","itemData":{"DOI":"10.1021/acsphotonics.6b00088","ISSN":"2330-4022","author":[{"dropping-particle":"","family":"Sampat","given":"Siddharth","non-dropping-particle":"","parse-names":false,"suffix":""},{"dropping-particle":"","family":"Guo","given":"Tianle","non-dropping-particle":"","parse-names":false,"suffix":""},{"dropping-particle":"","family":"Zhang","given":"Kehao","non-dropping-particle":"","parse-names":false,"suffix":""},{"dropping-particle":"","family":"Robinson","given":"Joshua a.","non-dropping-particle":"","parse-names":false,"suffix":""},{"dropping-particle":"","family":"Ghosh","given":"Yagnaseni","non-dropping-particle":"","parse-names":false,"suffix":""},{"dropping-particle":"","family":"Acharya","given":"Krishna P.","non-dropping-particle":"","parse-names":false,"suffix":""},{"dropping-particle":"","family":"Htoon","given":"Han","non-dropping-particle":"","parse-names":false,"suffix":""},{"dropping-particle":"","family":"Hollingsworth","given":"Jennifer a.","non-dropping-particle":"","parse-names":false,"suffix":""},{"dropping-particle":"","family":"Gartstein","given":"Yuri N.","non-dropping-particle":"","parse-names":false,"suffix":""},{"dropping-particle":"V.","family":"Malko","given":"Anton","non-dropping-particle":"","parse-names":false,"suffix":""}],"container-title":"ACS Photonics","id":"ITEM-4","issue":"4","issued":{"date-parts":[["2016","4","20"]]},"page":"708-715","title":"Exciton and Trion Energy Transfer from Giant Semiconductor Nanocrystals to MoS 2 Monolayers","type":"article-journal","volume":"3"},"uris":["http://www.mendeley.com/documents/?uuid=7d2f8d7b-c7b0-468c-b031-8a9d9e8dc060"]}],"mendeley":{"formattedCitation":"&lt;sup&gt;28–31&lt;/sup&gt;","plainTextFormattedCitation":"28–31","previouslyFormattedCitation":"&lt;sup&gt;27–30&lt;/sup&gt;"},"properties":{"noteIndex":0},"schema":"https://github.com/citation-style-language/schema/raw/master/csl-citation.json"}</w:instrText>
      </w:r>
      <w:r w:rsidRPr="009623BF">
        <w:fldChar w:fldCharType="separate"/>
      </w:r>
      <w:r w:rsidR="001F4C34" w:rsidRPr="009623BF">
        <w:rPr>
          <w:noProof/>
          <w:vertAlign w:val="superscript"/>
        </w:rPr>
        <w:t>28–31</w:t>
      </w:r>
      <w:r w:rsidRPr="009623BF">
        <w:fldChar w:fldCharType="end"/>
      </w:r>
      <w:r w:rsidRPr="009623BF">
        <w:t xml:space="preserve"> however, when considering a light harvesting or photodetector type device it is important to assess the variation in the efficiency of NRET across a larger spectral bandwidth. Herein, the MoS</w:t>
      </w:r>
      <w:r w:rsidRPr="009623BF">
        <w:rPr>
          <w:vertAlign w:val="subscript"/>
        </w:rPr>
        <w:t>2</w:t>
      </w:r>
      <w:r w:rsidRPr="009623BF">
        <w:t xml:space="preserve"> devices sensitized with the 450 nm, 530 nm and 630 nm QDs will be labelled as D450, D530 and D630, respectively.</w:t>
      </w:r>
    </w:p>
    <w:p w14:paraId="48CD5938" w14:textId="77777777" w:rsidR="00DB51E0" w:rsidRDefault="00DB51E0" w:rsidP="00A807F2">
      <w:pPr>
        <w:pStyle w:val="TAMainText"/>
      </w:pPr>
    </w:p>
    <w:p w14:paraId="08E483E7" w14:textId="77777777" w:rsidR="00DB51E0" w:rsidRDefault="00DB51E0" w:rsidP="00A807F2">
      <w:pPr>
        <w:pStyle w:val="TAMainText"/>
      </w:pPr>
    </w:p>
    <w:p w14:paraId="41A4DE21" w14:textId="77777777" w:rsidR="00DB51E0" w:rsidRDefault="00DB51E0" w:rsidP="00A807F2">
      <w:pPr>
        <w:pStyle w:val="TAMainText"/>
      </w:pPr>
    </w:p>
    <w:p w14:paraId="45CB4865" w14:textId="770676AB" w:rsidR="0053284D" w:rsidRDefault="00A15A23" w:rsidP="0053284D">
      <w:pPr>
        <w:pStyle w:val="TAMainText"/>
        <w:ind w:firstLine="0"/>
      </w:pPr>
      <w:r>
        <w:rPr>
          <w:noProof/>
          <w:lang w:val="en-IE" w:eastAsia="en-IE"/>
        </w:rPr>
        <w:drawing>
          <wp:inline distT="0" distB="0" distL="0" distR="0" wp14:anchorId="4E0371A9" wp14:editId="5E272250">
            <wp:extent cx="6300000" cy="2193103"/>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1 - Revised.tif"/>
                    <pic:cNvPicPr/>
                  </pic:nvPicPr>
                  <pic:blipFill rotWithShape="1">
                    <a:blip r:embed="rId9">
                      <a:extLst>
                        <a:ext uri="{28A0092B-C50C-407E-A947-70E740481C1C}">
                          <a14:useLocalDpi xmlns:a14="http://schemas.microsoft.com/office/drawing/2010/main" val="0"/>
                        </a:ext>
                      </a:extLst>
                    </a:blip>
                    <a:srcRect l="1122" t="10733" r="1282" b="7999"/>
                    <a:stretch/>
                  </pic:blipFill>
                  <pic:spPr bwMode="auto">
                    <a:xfrm>
                      <a:off x="0" y="0"/>
                      <a:ext cx="6300000" cy="2193103"/>
                    </a:xfrm>
                    <a:prstGeom prst="rect">
                      <a:avLst/>
                    </a:prstGeom>
                    <a:ln>
                      <a:noFill/>
                    </a:ln>
                    <a:extLst>
                      <a:ext uri="{53640926-AAD7-44D8-BBD7-CCE9431645EC}">
                        <a14:shadowObscured xmlns:a14="http://schemas.microsoft.com/office/drawing/2010/main"/>
                      </a:ext>
                    </a:extLst>
                  </pic:spPr>
                </pic:pic>
              </a:graphicData>
            </a:graphic>
          </wp:inline>
        </w:drawing>
      </w:r>
    </w:p>
    <w:p w14:paraId="304BDD7E" w14:textId="099F8A3E" w:rsidR="00D64101" w:rsidRPr="00064FFA" w:rsidRDefault="00D64101" w:rsidP="00064FFA">
      <w:pPr>
        <w:pStyle w:val="VAFigureCaption"/>
      </w:pPr>
      <w:r w:rsidRPr="00064FFA">
        <w:rPr>
          <w:b/>
        </w:rPr>
        <w:t>Figure 1:</w:t>
      </w:r>
      <w:r w:rsidRPr="00064FFA">
        <w:t xml:space="preserve"> (a) Normalized extinction spectrum of monolayer MoS</w:t>
      </w:r>
      <w:r w:rsidRPr="0094386B">
        <w:rPr>
          <w:vertAlign w:val="subscript"/>
        </w:rPr>
        <w:t>2</w:t>
      </w:r>
      <w:r w:rsidRPr="00064FFA">
        <w:t xml:space="preserve"> (black), and scaled extinction spectra of the 450 nm QDs (blue dot), 530 nm QDs (green dot) and 630 nm QDs (red dot), and normalized PL spectra of 450 nm QDs (blue), 530 nm QDs (green) and 630 nm QDs (red). </w:t>
      </w:r>
      <w:r w:rsidR="008F2D8B">
        <w:t>Here t</w:t>
      </w:r>
      <w:r w:rsidRPr="00064FFA">
        <w:t xml:space="preserve">he QD extinction spectra are scaled to have the first absorption peak at the same intensity, for presentation purposes. </w:t>
      </w:r>
      <w:r w:rsidR="008F2D8B">
        <w:t xml:space="preserve">The extinction spectra are shown in </w:t>
      </w:r>
      <w:r w:rsidR="008F2D8B" w:rsidRPr="009623BF">
        <w:t>Figure S2 in the Supporting Information</w:t>
      </w:r>
      <w:r w:rsidR="008F2D8B">
        <w:t>. Fig</w:t>
      </w:r>
      <w:r w:rsidRPr="00064FFA">
        <w:t xml:space="preserve">(b) Schematic diagram of experimental devices.     </w:t>
      </w:r>
    </w:p>
    <w:p w14:paraId="35717F4F" w14:textId="6977B2C5" w:rsidR="00A807F2" w:rsidRPr="009623BF" w:rsidRDefault="00A807F2" w:rsidP="00A807F2">
      <w:pPr>
        <w:pStyle w:val="TAMainText"/>
      </w:pPr>
      <w:r w:rsidRPr="00A807F2">
        <w:rPr>
          <w:lang w:val="en-GB"/>
        </w:rPr>
        <w:tab/>
      </w:r>
      <w:r w:rsidRPr="009623BF">
        <w:t>Optical images of each of the devices, D450,</w:t>
      </w:r>
      <w:r w:rsidR="00970DE5" w:rsidRPr="009623BF">
        <w:t xml:space="preserve"> D530</w:t>
      </w:r>
      <w:r w:rsidR="0094386B" w:rsidRPr="009623BF">
        <w:t>,</w:t>
      </w:r>
      <w:r w:rsidR="00970DE5" w:rsidRPr="009623BF">
        <w:t xml:space="preserve"> and D630</w:t>
      </w:r>
      <w:r w:rsidR="0094386B" w:rsidRPr="009623BF">
        <w:t>,</w:t>
      </w:r>
      <w:r w:rsidR="00970DE5" w:rsidRPr="009623BF">
        <w:t xml:space="preserve"> are shown in Figure</w:t>
      </w:r>
      <w:r w:rsidRPr="009623BF">
        <w:t xml:space="preserve"> 2, panels a, b and c, respectively. Each of the MoS</w:t>
      </w:r>
      <w:r w:rsidRPr="009623BF">
        <w:rPr>
          <w:vertAlign w:val="subscript"/>
        </w:rPr>
        <w:t>2</w:t>
      </w:r>
      <w:r w:rsidRPr="009623BF">
        <w:t xml:space="preserve"> islands chosen for use as devices in this study are of triangular form with edge lengths &gt;20 µm. The monolayer thickness of the devices was verified using Raman spectroscopy. Raman maps of devices D450, D53</w:t>
      </w:r>
      <w:r w:rsidR="00970DE5" w:rsidRPr="009623BF">
        <w:t>0 and D630 are presented in Figure</w:t>
      </w:r>
      <w:r w:rsidRPr="009623BF">
        <w:t xml:space="preserve"> 2, panels d, e and f, respectively. These Raman maps plot the separation between the characteristic </w:t>
      </w:r>
      <m:oMath>
        <m:sSup>
          <m:sSupPr>
            <m:ctrlPr>
              <w:rPr>
                <w:rFonts w:ascii="Cambria Math" w:hAnsi="Cambria Math"/>
                <w:i/>
              </w:rPr>
            </m:ctrlPr>
          </m:sSupPr>
          <m:e>
            <m:r>
              <w:rPr>
                <w:rFonts w:ascii="Cambria Math" w:hAnsi="Cambria Math"/>
              </w:rPr>
              <m:t>E</m:t>
            </m:r>
          </m:e>
          <m:sup>
            <m:r>
              <w:rPr>
                <w:rFonts w:ascii="Cambria Math" w:hAnsi="Cambria Math"/>
              </w:rPr>
              <m:t>'</m:t>
            </m:r>
          </m:sup>
        </m:sSup>
      </m:oMath>
      <w:r w:rsidRPr="009623BF">
        <w:t xml:space="preserve"> and </w:t>
      </w:r>
      <m:oMath>
        <m:sSubSup>
          <m:sSubSupPr>
            <m:ctrlPr>
              <w:rPr>
                <w:rFonts w:ascii="Cambria Math" w:hAnsi="Cambria Math"/>
                <w:i/>
              </w:rPr>
            </m:ctrlPr>
          </m:sSubSupPr>
          <m:e>
            <m:r>
              <w:rPr>
                <w:rFonts w:ascii="Cambria Math" w:hAnsi="Cambria Math"/>
              </w:rPr>
              <m:t>A</m:t>
            </m:r>
          </m:e>
          <m:sub>
            <m:r>
              <w:rPr>
                <w:rFonts w:ascii="Cambria Math" w:hAnsi="Cambria Math"/>
              </w:rPr>
              <m:t>1</m:t>
            </m:r>
          </m:sub>
          <m:sup>
            <m:r>
              <w:rPr>
                <w:rFonts w:ascii="Cambria Math" w:hAnsi="Cambria Math"/>
              </w:rPr>
              <m:t>'</m:t>
            </m:r>
          </m:sup>
        </m:sSubSup>
      </m:oMath>
      <w:r w:rsidRPr="009623BF">
        <w:rPr>
          <w:i/>
        </w:rPr>
        <w:t xml:space="preserve"> </w:t>
      </w:r>
      <w:r w:rsidRPr="009623BF">
        <w:t>Raman peaks of the MoS</w:t>
      </w:r>
      <w:r w:rsidRPr="009623BF">
        <w:rPr>
          <w:vertAlign w:val="subscript"/>
        </w:rPr>
        <w:t>2</w:t>
      </w:r>
      <w:r w:rsidRPr="009623BF">
        <w:t xml:space="preserve"> Raman spectr</w:t>
      </w:r>
      <w:r w:rsidR="00970DE5" w:rsidRPr="009623BF">
        <w:t>um. Each of the Raman maps (Figure</w:t>
      </w:r>
      <w:r w:rsidRPr="009623BF">
        <w:t xml:space="preserve"> 2, panels d-f) show uniform regions in the device channels indicating that there is very </w:t>
      </w:r>
      <w:r w:rsidRPr="009623BF">
        <w:lastRenderedPageBreak/>
        <w:t>little variation in the separation between the characteristic Raman peaks. Device D530, however has a large nucleation point in the central channel (not used for measurements) which can be clearly</w:t>
      </w:r>
      <w:r w:rsidR="00970DE5" w:rsidRPr="009623BF">
        <w:t xml:space="preserve"> seen in the optical image (Figure 2b) and the Raman map (Figure</w:t>
      </w:r>
      <w:r w:rsidRPr="009623BF">
        <w:t xml:space="preserve"> 2e). Raman spectra were extracted from each of the Raman maps (averaged over the device channel area indicated</w:t>
      </w:r>
      <w:r w:rsidR="00970DE5" w:rsidRPr="009623BF">
        <w:t xml:space="preserve"> by the white dotted box in Figure</w:t>
      </w:r>
      <w:r w:rsidRPr="009623BF">
        <w:t xml:space="preserve"> 2, panels d-f) to identify the layer number of the MoS</w:t>
      </w:r>
      <w:r w:rsidRPr="009623BF">
        <w:rPr>
          <w:vertAlign w:val="subscript"/>
        </w:rPr>
        <w:t>2</w:t>
      </w:r>
      <w:r w:rsidRPr="009623BF">
        <w:t xml:space="preserve"> islands. The Raman spectra obtained from each of the device channels reveal separations of ~18 cm</w:t>
      </w:r>
      <w:r w:rsidRPr="009623BF">
        <w:rPr>
          <w:vertAlign w:val="superscript"/>
        </w:rPr>
        <w:t>-1</w:t>
      </w:r>
      <w:r w:rsidRPr="009623BF">
        <w:t xml:space="preserve"> between the </w:t>
      </w:r>
      <m:oMath>
        <m:sSup>
          <m:sSupPr>
            <m:ctrlPr>
              <w:rPr>
                <w:rFonts w:ascii="Cambria Math" w:hAnsi="Cambria Math"/>
                <w:i/>
              </w:rPr>
            </m:ctrlPr>
          </m:sSupPr>
          <m:e>
            <m:r>
              <w:rPr>
                <w:rFonts w:ascii="Cambria Math" w:hAnsi="Cambria Math"/>
              </w:rPr>
              <m:t>E</m:t>
            </m:r>
          </m:e>
          <m:sup>
            <m:r>
              <w:rPr>
                <w:rFonts w:ascii="Cambria Math" w:hAnsi="Cambria Math"/>
              </w:rPr>
              <m:t>'</m:t>
            </m:r>
          </m:sup>
        </m:sSup>
      </m:oMath>
      <w:r w:rsidRPr="009623BF">
        <w:rPr>
          <w:i/>
        </w:rPr>
        <w:t xml:space="preserve"> </w:t>
      </w:r>
      <w:r w:rsidRPr="009623BF">
        <w:t xml:space="preserve">and </w:t>
      </w:r>
      <m:oMath>
        <m:sSubSup>
          <m:sSubSupPr>
            <m:ctrlPr>
              <w:rPr>
                <w:rFonts w:ascii="Cambria Math" w:hAnsi="Cambria Math"/>
                <w:i/>
              </w:rPr>
            </m:ctrlPr>
          </m:sSubSupPr>
          <m:e>
            <m:r>
              <w:rPr>
                <w:rFonts w:ascii="Cambria Math" w:hAnsi="Cambria Math"/>
              </w:rPr>
              <m:t>A</m:t>
            </m:r>
          </m:e>
          <m:sub>
            <m:r>
              <w:rPr>
                <w:rFonts w:ascii="Cambria Math" w:hAnsi="Cambria Math"/>
              </w:rPr>
              <m:t>1</m:t>
            </m:r>
          </m:sub>
          <m:sup>
            <m:r>
              <w:rPr>
                <w:rFonts w:ascii="Cambria Math" w:hAnsi="Cambria Math"/>
              </w:rPr>
              <m:t>'</m:t>
            </m:r>
          </m:sup>
        </m:sSubSup>
      </m:oMath>
      <w:r w:rsidRPr="009623BF">
        <w:t xml:space="preserve"> Raman peaks on each of the device</w:t>
      </w:r>
      <w:r w:rsidR="00970DE5" w:rsidRPr="009623BF">
        <w:t>s (</w:t>
      </w:r>
      <w:r w:rsidR="008F2D8B">
        <w:t>See Figure S3</w:t>
      </w:r>
      <w:r w:rsidR="00876B30" w:rsidRPr="009623BF">
        <w:t xml:space="preserve"> in the Supporting Information</w:t>
      </w:r>
      <w:r w:rsidRPr="009623BF">
        <w:t>), verifying the monolayer thickness of the MoS</w:t>
      </w:r>
      <w:r w:rsidRPr="009623BF">
        <w:rPr>
          <w:vertAlign w:val="subscript"/>
        </w:rPr>
        <w:t>2</w:t>
      </w:r>
      <w:r w:rsidRPr="009623BF">
        <w:t xml:space="preserve"> in the devices.</w:t>
      </w:r>
      <w:r w:rsidRPr="009623BF">
        <w:fldChar w:fldCharType="begin" w:fldLock="1"/>
      </w:r>
      <w:r w:rsidR="001F4C34" w:rsidRPr="009623BF">
        <w:instrText>ADDIN CSL_CITATION {"citationItems":[{"id":"ITEM-1","itemData":{"DOI":"10.1002/adfm.201102111","ISSN":"1616301X","author":[{"dropping-particle":"","family":"Li","given":"Hong","non-dropping-particle":"","parse-names":false,"suffix":""},{"dropping-particle":"","family":"Zhang","given":"Qing","non-dropping-particle":"","parse-names":false,"suffix":""},{"dropping-particle":"","family":"Yap","given":"Chin Chong Ray","non-dropping-particle":"","parse-names":false,"suffix":""},{"dropping-particle":"","family":"Tay","given":"Beng Kang","non-dropping-particle":"","parse-names":false,"suffix":""},{"dropping-particle":"","family":"Edwin","given":"Teo Hang Tong","non-dropping-particle":"","parse-names":false,"suffix":""},{"dropping-particle":"","family":"Olivier","given":"Aurelien","non-dropping-particle":"","parse-names":false,"suffix":""},{"dropping-particle":"","family":"Baillargeat","given":"Dominique","non-dropping-particle":"","parse-names":false,"suffix":""}],"container-title":"Advanced Functional Materials","id":"ITEM-1","issue":"7","issued":{"date-parts":[["2012","4","10"]]},"page":"1385-1390","title":"From Bulk to Monolayer MoS2: Evolution of Raman Scattering","type":"article-journal","volume":"22"},"uris":["http://www.mendeley.com/documents/?uuid=3daf3ca0-4aa3-45a4-9a43-65df12a1cab0"]},{"id":"ITEM-2","itemData":{"author":[{"dropping-particle":"","family":"Mos","given":"Few-layer","non-dropping-particle":"","parse-names":false,"suffix":""},{"dropping-particle":"","family":"Lee","given":"Changgu","non-dropping-particle":"","parse-names":false,"suffix":""},{"dropping-particle":"","family":"Yan","given":"Hugen","non-dropping-particle":"","parse-names":false,"suffix":""},{"dropping-particle":"","family":"Brus","given":"Louis E","non-dropping-particle":"","parse-names":false,"suffix":""},{"dropping-particle":"","family":"Heinz","given":"Tony F","non-dropping-particle":"","parse-names":false,"suffix":""},{"dropping-particle":"","family":"Hone","given":"Ќ James","non-dropping-particle":"","parse-names":false,"suffix":""},{"dropping-particle":"","family":"Ryu","given":"Sunmin","non-dropping-particle":"","parse-names":false,"suffix":""}],"id":"ITEM-2","issue":"5","issued":{"date-parts":[["2010"]]},"page":"2695-2700","title":"Anomalous Lattice Vibrations of Single-","type":"article-journal","volume":"4"},"uris":["http://www.mendeley.com/documents/?uuid=c1becdb4-5643-4845-89d8-ee7c24f9ad93"]}],"mendeley":{"formattedCitation":"&lt;sup&gt;32,33&lt;/sup&gt;","plainTextFormattedCitation":"32,33","previouslyFormattedCitation":"&lt;sup&gt;31,32&lt;/sup&gt;"},"properties":{"noteIndex":0},"schema":"https://github.com/citation-style-language/schema/raw/master/csl-citation.json"}</w:instrText>
      </w:r>
      <w:r w:rsidRPr="009623BF">
        <w:fldChar w:fldCharType="separate"/>
      </w:r>
      <w:r w:rsidR="001F4C34" w:rsidRPr="009623BF">
        <w:rPr>
          <w:noProof/>
          <w:vertAlign w:val="superscript"/>
        </w:rPr>
        <w:t>32,33</w:t>
      </w:r>
      <w:r w:rsidRPr="009623BF">
        <w:fldChar w:fldCharType="end"/>
      </w:r>
      <w:r w:rsidRPr="009623BF">
        <w:t xml:space="preserve"> As mentioned above, previous reports in the literature regarding NRET from QDs to monolayer (and few-layer) MoS</w:t>
      </w:r>
      <w:r w:rsidRPr="009623BF">
        <w:rPr>
          <w:vertAlign w:val="subscript"/>
        </w:rPr>
        <w:t>2</w:t>
      </w:r>
      <w:r w:rsidRPr="009623BF">
        <w:t xml:space="preserve"> have utili</w:t>
      </w:r>
      <w:r w:rsidR="000500DC" w:rsidRPr="009623BF">
        <w:t>z</w:t>
      </w:r>
      <w:r w:rsidRPr="009623BF">
        <w:t>ed QDs with emission wavelengths located close to the MoS</w:t>
      </w:r>
      <w:r w:rsidRPr="009623BF">
        <w:rPr>
          <w:vertAlign w:val="subscript"/>
        </w:rPr>
        <w:t>2</w:t>
      </w:r>
      <w:r w:rsidRPr="009623BF">
        <w:t xml:space="preserve"> A and B excitons.</w:t>
      </w:r>
      <w:r w:rsidRPr="009623BF">
        <w:fldChar w:fldCharType="begin" w:fldLock="1"/>
      </w:r>
      <w:r w:rsidR="001F4C34" w:rsidRPr="009623BF">
        <w:instrText>ADDIN CSL_CITATION {"citationItems":[{"id":"ITEM-1","itemData":{"DOI":"10.1021/acs.nanolett.5b00514","ISSN":"1530-6992","PMID":"26027714","abstract":"We investigate near-field energy transfer between chemically synthesized quantum dots (QDs) and two-dimensional semiconductors. We fabricate devices in which electrostatically gated semiconducting monolayer molybdenum disulfide (MoS2) is placed atop a homogeneous self-assembled layer of core-shell CdSSe QDs. We demonstrate efficient nonradiative Förster resonant energy transfer (FRET) from QDs into MoS2 and prove that modest gate-induced variation in the excitonic absorption of MoS2 leads to large (</w:instrText>
      </w:r>
      <w:r w:rsidR="001F4C34" w:rsidRPr="009623BF">
        <w:rPr>
          <w:rFonts w:ascii="Cambria Math" w:hAnsi="Cambria Math" w:cs="Cambria Math"/>
        </w:rPr>
        <w:instrText>∼</w:instrText>
      </w:r>
      <w:r w:rsidR="001F4C34" w:rsidRPr="009623BF">
        <w:instrText xml:space="preserve">500%) changes in the FRET rate. This in turn allows for up to </w:instrText>
      </w:r>
      <w:r w:rsidR="001F4C34" w:rsidRPr="009623BF">
        <w:rPr>
          <w:rFonts w:ascii="Cambria Math" w:hAnsi="Cambria Math" w:cs="Cambria Math"/>
        </w:rPr>
        <w:instrText>∼</w:instrText>
      </w:r>
      <w:r w:rsidR="001F4C34" w:rsidRPr="009623BF">
        <w:instrText>75% electrical modulation of QD photoluminescence intensity. The hybrid QD/MoS2 devices operate within a small voltage range, allow for continuous modification of the QD photoluminescence intensity, and can be used for selective tuning of QDs emitting in the visible-IR range.","author":[{"dropping-particle":"","family":"Prasai","given":"Dhiraj","non-dropping-particle":"","parse-names":false,"suffix":""},{"dropping-particle":"","family":"Klots","given":"Andrey R","non-dropping-particle":"","parse-names":false,"suffix":""},{"dropping-particle":"","family":"Newaz","given":"a K M","non-dropping-particle":"","parse-names":false,"suffix":""},{"dropping-particle":"","family":"Niezgoda","given":"J Scott","non-dropping-particle":"","parse-names":false,"suffix":""},{"dropping-particle":"","family":"Orfield","given":"Noah J","non-dropping-particle":"","parse-names":false,"suffix":""},{"dropping-particle":"","family":"Escobar","given":"Carlos a","non-dropping-particle":"","parse-names":false,"suffix":""},{"dropping-particle":"","family":"Wynn","given":"Alex","non-dropping-particle":"","parse-names":false,"suffix":""},{"dropping-particle":"","family":"Efimov","given":"Anatoly","non-dropping-particle":"","parse-names":false,"suffix":""},{"dropping-particle":"","family":"Jennings","given":"G Kane","non-dropping-particle":"","parse-names":false,"suffix":""},{"dropping-particle":"","family":"Rosenthal","given":"Sandra J","non-dropping-particle":"","parse-names":false,"suffix":""},{"dropping-particle":"","family":"Bolotin","given":"Kirill I","non-dropping-particle":"","parse-names":false,"suffix":""}],"container-title":"Nano letters","id":"ITEM-1","issue":"7","issued":{"date-parts":[["2015","7","8"]]},"page":"4374-80","title":"Electrical Control of near-Field Energy Transfer between Quantum Dots and Two-Dimensional Semiconductors.","type":"article-journal","volume":"15"},"uris":["http://www.mendeley.com/documents/?uuid=03fe485d-e9f4-4a4a-96aa-38fea1b06d74"]},{"id":"ITEM-2","itemData":{"author":[{"dropping-particle":"","family":"Mos","given":"Few-layer","non-dropping-particle":"","parse-names":false,"suffix":""},{"dropping-particle":"","family":"Prins","given":"Ferry","non-dropping-particle":"","parse-names":false,"suffix":""},{"dropping-particle":"","family":"Goodman","given":"Aaron J","non-dropping-particle":"","parse-names":false,"suffix":""},{"dropping-particle":"","family":"Tisdale","given":"William A","non-dropping-particle":"","parse-names":false,"suffix":""}],"id":"ITEM-2","issued":{"date-parts":[["2014"]]},"title":"Reduced Dielectric Screening and Enhanced Energy Transfer in Single- and Few-Layer MoS 2","type":"article-journal"},"uris":["http://www.mendeley.com/documents/?uuid=ab012cc0-78e7-4ee0-8db1-219eabeb01d6"]},{"id":"ITEM-3","itemData":{"DOI":"10.1021/acs.nanolett.5b05012","ISSN":"1530-6992","PMID":"26928675","abstract":"We report efficient non-radiative energy transfer (NRET) from core-shell, semiconducting quantum dots to adjacent two-dimensional sheets of graphene and MoS2 crystals of single- and few-layer thickness. We observe quenching of the photoluminescence (PL) from individual quantum dots and enhanced PL decay rates in time-resolved PL, corresponding to energy transfer rates of 1-10 ns(-1). Our measurements reveal contrasting trends in the NRET rate from the quantum dot to the van der Waals material as a function of thickness. The rate increases significantly with increasing layer thickness of graphene, but decreases with increasing thickness of MoS2 layers. A classical electromagnetic theory accounts for both the trends and absolute rates observed for the NRET. The countervailing trends arise from the competition between screening and absorption of the electric field of the quantum dot dipole inside the acceptor layers. We extend our analysis to predict the type of NRET behavior for the near-field coupling of a chromophore to a range of semiconducting and metallic thin film materials.","author":[{"dropping-particle":"","family":"Raja","given":"Archana","non-dropping-particle":"","parse-names":false,"suffix":""},{"dropping-particle":"","family":"Montoya-Castillo","given":"Andrés","non-dropping-particle":"","parse-names":false,"suffix":""},{"dropping-particle":"","family":"Zultak","given":"Johanna","non-dropping-particle":"","parse-names":false,"suffix":""},{"dropping-particle":"","family":"Zhang","given":"Xiao-Xiao","non-dropping-particle":"","parse-names":false,"suffix":""},{"dropping-particle":"","family":"Ye","given":"Ziliang","non-dropping-particle":"","parse-names":false,"suffix":""},{"dropping-particle":"","family":"Roquelet","given":"Cyrielle","non-dropping-particle":"","parse-names":false,"suffix":""},{"dropping-particle":"","family":"Chenet","given":"Daniel a","non-dropping-particle":"","parse-names":false,"suffix":""},{"dropping-particle":"","family":"Zande","given":"Arend M","non-dropping-particle":"van der","parse-names":false,"suffix":""},{"dropping-particle":"","family":"Huang","given":"Pinshane","non-dropping-particle":"","parse-names":false,"suffix":""},{"dropping-particle":"","family":"Jockusch","given":"Steffen","non-dropping-particle":"","parse-names":false,"suffix":""},{"dropping-particle":"","family":"Hone","given":"James C","non-dropping-particle":"","parse-names":false,"suffix":""},{"dropping-particle":"","family":"Reichman","given":"David R","non-dropping-particle":"","parse-names":false,"suffix":""},{"dropping-particle":"","family":"Brus","given":"Louis E","non-dropping-particle":"","parse-names":false,"suffix":""},{"dropping-particle":"","family":"Heinz","given":"Tony F","non-dropping-particle":"","parse-names":false,"suffix":""}],"container-title":"Nano letters","id":"ITEM-3","issued":{"date-parts":[["2016","3","1"]]},"title":"Energy transfer from quantum dots to graphene and MoS2: The role of absorption and screening in two-dimensional materials.","type":"article-journal"},"uris":["http://www.mendeley.com/documents/?uuid=5eb8775f-187b-42d7-abc6-83f69287e9dd"]},{"id":"ITEM-4","itemData":{"DOI":"10.1021/acsphotonics.6b00088","ISSN":"2330-4022","author":[{"dropping-particle":"","family":"Sampat","given":"Siddharth","non-dropping-particle":"","parse-names":false,"suffix":""},{"dropping-particle":"","family":"Guo","given":"Tianle","non-dropping-particle":"","parse-names":false,"suffix":""},{"dropping-particle":"","family":"Zhang","given":"Kehao","non-dropping-particle":"","parse-names":false,"suffix":""},{"dropping-particle":"","family":"Robinson","given":"Joshua a.","non-dropping-particle":"","parse-names":false,"suffix":""},{"dropping-particle":"","family":"Ghosh","given":"Yagnaseni","non-dropping-particle":"","parse-names":false,"suffix":""},{"dropping-particle":"","family":"Acharya","given":"Krishna P.","non-dropping-particle":"","parse-names":false,"suffix":""},{"dropping-particle":"","family":"Htoon","given":"Han","non-dropping-particle":"","parse-names":false,"suffix":""},{"dropping-particle":"","family":"Hollingsworth","given":"Jennifer a.","non-dropping-particle":"","parse-names":false,"suffix":""},{"dropping-particle":"","family":"Gartstein","given":"Yuri N.","non-dropping-particle":"","parse-names":false,"suffix":""},{"dropping-particle":"V.","family":"Malko","given":"Anton","non-dropping-particle":"","parse-names":false,"suffix":""}],"container-title":"ACS Photonics","id":"ITEM-4","issue":"4","issued":{"date-parts":[["2016","4","20"]]},"page":"708-715","title":"Exciton and Trion Energy Transfer from Giant Semiconductor Nanocrystals to MoS 2 Monolayers","type":"article-journal","volume":"3"},"uris":["http://www.mendeley.com/documents/?uuid=7d2f8d7b-c7b0-468c-b031-8a9d9e8dc060"]}],"mendeley":{"formattedCitation":"&lt;sup&gt;28–31&lt;/sup&gt;","plainTextFormattedCitation":"28–31","previouslyFormattedCitation":"&lt;sup&gt;27–30&lt;/sup&gt;"},"properties":{"noteIndex":0},"schema":"https://github.com/citation-style-language/schema/raw/master/csl-citation.json"}</w:instrText>
      </w:r>
      <w:r w:rsidRPr="009623BF">
        <w:fldChar w:fldCharType="separate"/>
      </w:r>
      <w:r w:rsidR="001F4C34" w:rsidRPr="009623BF">
        <w:rPr>
          <w:noProof/>
          <w:vertAlign w:val="superscript"/>
        </w:rPr>
        <w:t>28–31</w:t>
      </w:r>
      <w:r w:rsidRPr="009623BF">
        <w:fldChar w:fldCharType="end"/>
      </w:r>
      <w:r w:rsidRPr="009623BF">
        <w:t xml:space="preserve"> However, a systematic spectral dependence has not been reported. The spectral dependence of NRET to monolayer MoS</w:t>
      </w:r>
      <w:r w:rsidRPr="009623BF">
        <w:rPr>
          <w:vertAlign w:val="subscript"/>
        </w:rPr>
        <w:t>2</w:t>
      </w:r>
      <w:r w:rsidRPr="009623BF">
        <w:t xml:space="preserve"> across the visible spectrum is a critical consideration for broadband applications and optimal spectral location of sensitizing species for use in a hybrid QD-MoS</w:t>
      </w:r>
      <w:r w:rsidRPr="009623BF">
        <w:rPr>
          <w:vertAlign w:val="subscript"/>
        </w:rPr>
        <w:t>2</w:t>
      </w:r>
      <w:r w:rsidRPr="009623BF">
        <w:t xml:space="preserve"> photodetector or light harvesting device.</w:t>
      </w:r>
    </w:p>
    <w:p w14:paraId="2E9B14F4" w14:textId="50AEB7ED" w:rsidR="00F908C6" w:rsidRDefault="00A15A23" w:rsidP="00F908C6">
      <w:pPr>
        <w:pStyle w:val="TAMainText"/>
        <w:ind w:firstLine="0"/>
      </w:pPr>
      <w:r>
        <w:rPr>
          <w:noProof/>
          <w:lang w:val="en-IE" w:eastAsia="en-IE"/>
        </w:rPr>
        <w:drawing>
          <wp:inline distT="0" distB="0" distL="0" distR="0" wp14:anchorId="59D2E812" wp14:editId="17FAC2C2">
            <wp:extent cx="6300000" cy="3254087"/>
            <wp:effectExtent l="0" t="0" r="571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 2 - Revised.tif"/>
                    <pic:cNvPicPr/>
                  </pic:nvPicPr>
                  <pic:blipFill rotWithShape="1">
                    <a:blip r:embed="rId10">
                      <a:extLst>
                        <a:ext uri="{28A0092B-C50C-407E-A947-70E740481C1C}">
                          <a14:useLocalDpi xmlns:a14="http://schemas.microsoft.com/office/drawing/2010/main" val="0"/>
                        </a:ext>
                      </a:extLst>
                    </a:blip>
                    <a:srcRect l="2723" t="3606" r="5129" b="7188"/>
                    <a:stretch/>
                  </pic:blipFill>
                  <pic:spPr bwMode="auto">
                    <a:xfrm>
                      <a:off x="0" y="0"/>
                      <a:ext cx="6300000" cy="3254087"/>
                    </a:xfrm>
                    <a:prstGeom prst="rect">
                      <a:avLst/>
                    </a:prstGeom>
                    <a:ln>
                      <a:noFill/>
                    </a:ln>
                    <a:extLst>
                      <a:ext uri="{53640926-AAD7-44D8-BBD7-CCE9431645EC}">
                        <a14:shadowObscured xmlns:a14="http://schemas.microsoft.com/office/drawing/2010/main"/>
                      </a:ext>
                    </a:extLst>
                  </pic:spPr>
                </pic:pic>
              </a:graphicData>
            </a:graphic>
          </wp:inline>
        </w:drawing>
      </w:r>
    </w:p>
    <w:p w14:paraId="598AEB66" w14:textId="1FE7FCBD" w:rsidR="00F908C6" w:rsidRPr="00064FFA" w:rsidRDefault="00F908C6" w:rsidP="00064FFA">
      <w:pPr>
        <w:pStyle w:val="VAFigureCaption"/>
      </w:pPr>
      <w:r w:rsidRPr="00064FFA">
        <w:rPr>
          <w:b/>
        </w:rPr>
        <w:lastRenderedPageBreak/>
        <w:t xml:space="preserve">Figure 2: </w:t>
      </w:r>
      <w:r w:rsidRPr="00064FFA">
        <w:t xml:space="preserve">(a-c) Optical images of the devices. (d-f) Raman maps of the devices in (a-c) plotting the separation between the </w:t>
      </w:r>
      <m:oMath>
        <m:sSup>
          <m:sSupPr>
            <m:ctrlPr>
              <w:rPr>
                <w:rFonts w:ascii="Cambria Math" w:hAnsi="Cambria Math"/>
                <w:i/>
              </w:rPr>
            </m:ctrlPr>
          </m:sSupPr>
          <m:e>
            <m:r>
              <w:rPr>
                <w:rFonts w:ascii="Cambria Math" w:hAnsi="Cambria Math"/>
              </w:rPr>
              <m:t>E</m:t>
            </m:r>
          </m:e>
          <m:sup>
            <m:r>
              <w:rPr>
                <w:rFonts w:ascii="Cambria Math" w:hAnsi="Cambria Math"/>
              </w:rPr>
              <m:t>'</m:t>
            </m:r>
          </m:sup>
        </m:sSup>
      </m:oMath>
      <w:r w:rsidR="0094386B">
        <w:t xml:space="preserve"> </w:t>
      </w:r>
      <w:r w:rsidRPr="00064FFA">
        <w:t xml:space="preserve">and </w:t>
      </w:r>
      <m:oMath>
        <m:sSubSup>
          <m:sSubSupPr>
            <m:ctrlPr>
              <w:rPr>
                <w:rFonts w:ascii="Cambria Math" w:hAnsi="Cambria Math"/>
                <w:i/>
              </w:rPr>
            </m:ctrlPr>
          </m:sSubSupPr>
          <m:e>
            <m:r>
              <w:rPr>
                <w:rFonts w:ascii="Cambria Math" w:hAnsi="Cambria Math"/>
              </w:rPr>
              <m:t>A</m:t>
            </m:r>
          </m:e>
          <m:sub>
            <m:r>
              <w:rPr>
                <w:rFonts w:ascii="Cambria Math" w:hAnsi="Cambria Math"/>
              </w:rPr>
              <m:t>1</m:t>
            </m:r>
          </m:sub>
          <m:sup>
            <m:r>
              <w:rPr>
                <w:rFonts w:ascii="Cambria Math" w:hAnsi="Cambria Math"/>
              </w:rPr>
              <m:t>'</m:t>
            </m:r>
          </m:sup>
        </m:sSubSup>
      </m:oMath>
      <w:r w:rsidRPr="00064FFA">
        <w:t xml:space="preserve"> peaks in the Raman spectrum.</w:t>
      </w:r>
      <w:r w:rsidR="0094386B">
        <w:t xml:space="preserve"> </w:t>
      </w:r>
    </w:p>
    <w:p w14:paraId="0727B40F" w14:textId="52706CF6" w:rsidR="00A807F2" w:rsidRDefault="00A807F2" w:rsidP="00A807F2">
      <w:pPr>
        <w:pStyle w:val="TAMainText"/>
        <w:rPr>
          <w:lang w:val="en-GB"/>
        </w:rPr>
      </w:pPr>
      <w:r w:rsidRPr="00A807F2">
        <w:rPr>
          <w:lang w:val="en-GB"/>
        </w:rPr>
        <w:t>The strength of the energy transfer between the QDs and the MoS</w:t>
      </w:r>
      <w:r w:rsidRPr="00A807F2">
        <w:rPr>
          <w:vertAlign w:val="subscript"/>
          <w:lang w:val="en-GB"/>
        </w:rPr>
        <w:t>2</w:t>
      </w:r>
      <w:r w:rsidRPr="00A807F2">
        <w:rPr>
          <w:lang w:val="en-GB"/>
        </w:rPr>
        <w:t xml:space="preserve"> devices was quantified using TRPL measurements. The PL decays were recorded over 3 µm x 3µm areas in the device channel (QD-MoS</w:t>
      </w:r>
      <w:r w:rsidRPr="00A807F2">
        <w:rPr>
          <w:vertAlign w:val="subscript"/>
          <w:lang w:val="en-GB"/>
        </w:rPr>
        <w:t>2</w:t>
      </w:r>
      <w:r w:rsidRPr="00A807F2">
        <w:rPr>
          <w:lang w:val="en-GB"/>
        </w:rPr>
        <w:t>) and 3 µm x 3µm areas close to the device containing no MoS</w:t>
      </w:r>
      <w:r w:rsidRPr="00A807F2">
        <w:rPr>
          <w:vertAlign w:val="subscript"/>
          <w:lang w:val="en-GB"/>
        </w:rPr>
        <w:t>2</w:t>
      </w:r>
      <w:r w:rsidRPr="00A807F2">
        <w:rPr>
          <w:lang w:val="en-GB"/>
        </w:rPr>
        <w:t xml:space="preserve"> (QDs).</w:t>
      </w:r>
      <w:r w:rsidR="00970DE5">
        <w:rPr>
          <w:lang w:val="en-GB"/>
        </w:rPr>
        <w:t xml:space="preserve"> The PL decays presented in Figure</w:t>
      </w:r>
      <w:r w:rsidRPr="00A807F2">
        <w:rPr>
          <w:lang w:val="en-GB"/>
        </w:rPr>
        <w:t xml:space="preserve"> 3 reveal the strong interaction between the QDs and the monolayer MoS</w:t>
      </w:r>
      <w:r w:rsidRPr="00A807F2">
        <w:rPr>
          <w:vertAlign w:val="subscript"/>
          <w:lang w:val="en-GB"/>
        </w:rPr>
        <w:t>2</w:t>
      </w:r>
      <w:r w:rsidRPr="00A807F2">
        <w:rPr>
          <w:lang w:val="en-GB"/>
        </w:rPr>
        <w:t xml:space="preserve"> through the significant decrease in the QD PL decay on the MoS</w:t>
      </w:r>
      <w:r w:rsidRPr="00A807F2">
        <w:rPr>
          <w:vertAlign w:val="subscript"/>
          <w:lang w:val="en-GB"/>
        </w:rPr>
        <w:t>2</w:t>
      </w:r>
      <w:r w:rsidRPr="00A807F2">
        <w:rPr>
          <w:lang w:val="en-GB"/>
        </w:rPr>
        <w:t>. The decrease in the QD lifetime is a characteristic signature of NRET. The PL decays were fitted with a bi-exponential fitting curve and the intensity weighted average lifetime was calculated using the fitting parameters (see section S</w:t>
      </w:r>
      <w:r w:rsidR="008F2D8B">
        <w:rPr>
          <w:lang w:val="en-GB"/>
        </w:rPr>
        <w:t>4</w:t>
      </w:r>
      <w:r w:rsidRPr="00A807F2">
        <w:rPr>
          <w:lang w:val="en-GB"/>
        </w:rPr>
        <w:t xml:space="preserve"> in the Supporting Information for details). All lifetime values referred to in the text correspond to the average lifetime.  The QD lifetime is reduced from ~20 ns to ~1 ns on each of the devices.</w:t>
      </w:r>
      <w:r w:rsidRPr="00A807F2">
        <w:rPr>
          <w:lang w:val="en-IE"/>
        </w:rPr>
        <w:t xml:space="preserve"> The QD lifetime measured from a position close to the MoS</w:t>
      </w:r>
      <w:r w:rsidRPr="00A807F2">
        <w:rPr>
          <w:vertAlign w:val="subscript"/>
          <w:lang w:val="en-IE"/>
        </w:rPr>
        <w:t>2</w:t>
      </w:r>
      <w:r w:rsidRPr="00A807F2">
        <w:rPr>
          <w:lang w:val="en-IE"/>
        </w:rPr>
        <w:t xml:space="preserve"> devices containing no MoS</w:t>
      </w:r>
      <w:r w:rsidRPr="00A807F2">
        <w:rPr>
          <w:vertAlign w:val="subscript"/>
          <w:lang w:val="en-IE"/>
        </w:rPr>
        <w:t>2</w:t>
      </w:r>
      <w:r w:rsidRPr="00A807F2">
        <w:rPr>
          <w:lang w:val="en-IE"/>
        </w:rPr>
        <w:t xml:space="preserve"> is representative of the QD total spontaneous emission lifetime, </w:t>
      </w:r>
      <m:oMath>
        <m:sSub>
          <m:sSubPr>
            <m:ctrlPr>
              <w:rPr>
                <w:rFonts w:ascii="Cambria Math" w:hAnsi="Cambria Math"/>
                <w:i/>
                <w:lang w:val="en-IE"/>
              </w:rPr>
            </m:ctrlPr>
          </m:sSubPr>
          <m:e>
            <m:r>
              <w:rPr>
                <w:rFonts w:ascii="Cambria Math" w:hAnsi="Cambria Math"/>
                <w:lang w:val="en-IE"/>
              </w:rPr>
              <m:t>τ</m:t>
            </m:r>
          </m:e>
          <m:sub>
            <m:r>
              <w:rPr>
                <w:rFonts w:ascii="Cambria Math" w:hAnsi="Cambria Math"/>
                <w:lang w:val="en-IE"/>
              </w:rPr>
              <m:t>QD</m:t>
            </m:r>
          </m:sub>
        </m:sSub>
        <m:r>
          <w:rPr>
            <w:rFonts w:ascii="Cambria Math" w:hAnsi="Cambria Math"/>
            <w:lang w:val="en-IE"/>
          </w:rPr>
          <m:t>=</m:t>
        </m:r>
        <m:sSup>
          <m:sSupPr>
            <m:ctrlPr>
              <w:rPr>
                <w:rFonts w:ascii="Cambria Math" w:hAnsi="Cambria Math"/>
                <w:i/>
                <w:lang w:val="en-IE"/>
              </w:rPr>
            </m:ctrlPr>
          </m:sSupPr>
          <m:e>
            <m:r>
              <w:rPr>
                <w:rFonts w:ascii="Cambria Math" w:hAnsi="Cambria Math"/>
                <w:lang w:val="en-IE"/>
              </w:rPr>
              <m:t>(</m:t>
            </m:r>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r</m:t>
                </m:r>
              </m:sub>
            </m:sSub>
            <m:r>
              <w:rPr>
                <w:rFonts w:ascii="Cambria Math" w:hAnsi="Cambria Math"/>
                <w:lang w:val="en-IE"/>
              </w:rPr>
              <m:t>+</m:t>
            </m:r>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nr</m:t>
                </m:r>
              </m:sub>
            </m:sSub>
            <m:r>
              <w:rPr>
                <w:rFonts w:ascii="Cambria Math" w:hAnsi="Cambria Math"/>
                <w:lang w:val="en-IE"/>
              </w:rPr>
              <m:t>)</m:t>
            </m:r>
          </m:e>
          <m:sup>
            <m:r>
              <w:rPr>
                <w:rFonts w:ascii="Cambria Math" w:hAnsi="Cambria Math"/>
                <w:lang w:val="en-IE"/>
              </w:rPr>
              <m:t>-1</m:t>
            </m:r>
          </m:sup>
        </m:sSup>
      </m:oMath>
      <w:r w:rsidRPr="00A807F2">
        <w:rPr>
          <w:lang w:val="en-IE"/>
        </w:rPr>
        <w:t xml:space="preserve">, where </w:t>
      </w:r>
      <m:oMath>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r</m:t>
            </m:r>
          </m:sub>
        </m:sSub>
      </m:oMath>
      <w:r w:rsidRPr="00A807F2">
        <w:rPr>
          <w:lang w:val="en-IE"/>
        </w:rPr>
        <w:t xml:space="preserve"> and </w:t>
      </w:r>
      <m:oMath>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nr</m:t>
            </m:r>
          </m:sub>
        </m:sSub>
      </m:oMath>
      <w:r w:rsidRPr="00A807F2">
        <w:rPr>
          <w:lang w:val="en-IE"/>
        </w:rPr>
        <w:t xml:space="preserve"> are the radiative and nonradiative decay rates, respectively. The lifetime of the QDs on the MoS</w:t>
      </w:r>
      <w:r w:rsidRPr="00A807F2">
        <w:rPr>
          <w:vertAlign w:val="subscript"/>
          <w:lang w:val="en-IE"/>
        </w:rPr>
        <w:t>2</w:t>
      </w:r>
      <w:r w:rsidRPr="00A807F2">
        <w:rPr>
          <w:lang w:val="en-IE"/>
        </w:rPr>
        <w:t xml:space="preserve"> devices is </w:t>
      </w:r>
      <m:oMath>
        <m:sSub>
          <m:sSubPr>
            <m:ctrlPr>
              <w:rPr>
                <w:rFonts w:ascii="Cambria Math" w:hAnsi="Cambria Math"/>
                <w:i/>
                <w:lang w:val="en-IE"/>
              </w:rPr>
            </m:ctrlPr>
          </m:sSubPr>
          <m:e>
            <m:r>
              <w:rPr>
                <w:rFonts w:ascii="Cambria Math" w:hAnsi="Cambria Math"/>
                <w:lang w:val="en-IE"/>
              </w:rPr>
              <m:t>τ</m:t>
            </m:r>
          </m:e>
          <m:sub>
            <m:sSub>
              <m:sSubPr>
                <m:ctrlPr>
                  <w:rPr>
                    <w:rFonts w:ascii="Cambria Math" w:hAnsi="Cambria Math"/>
                    <w:i/>
                    <w:lang w:val="en-IE"/>
                  </w:rPr>
                </m:ctrlPr>
              </m:sSubPr>
              <m:e>
                <m:r>
                  <w:rPr>
                    <w:rFonts w:ascii="Cambria Math" w:hAnsi="Cambria Math"/>
                    <w:lang w:val="en-IE"/>
                  </w:rPr>
                  <m:t>QD-MoS</m:t>
                </m:r>
              </m:e>
              <m:sub>
                <m:r>
                  <w:rPr>
                    <w:rFonts w:ascii="Cambria Math" w:hAnsi="Cambria Math"/>
                    <w:lang w:val="en-IE"/>
                  </w:rPr>
                  <m:t>2</m:t>
                </m:r>
              </m:sub>
            </m:sSub>
          </m:sub>
        </m:sSub>
        <m:r>
          <w:rPr>
            <w:rFonts w:ascii="Cambria Math" w:hAnsi="Cambria Math"/>
            <w:lang w:val="en-IE"/>
          </w:rPr>
          <m:t>=</m:t>
        </m:r>
        <m:sSup>
          <m:sSupPr>
            <m:ctrlPr>
              <w:rPr>
                <w:rFonts w:ascii="Cambria Math" w:hAnsi="Cambria Math"/>
                <w:i/>
                <w:lang w:val="en-IE"/>
              </w:rPr>
            </m:ctrlPr>
          </m:sSupPr>
          <m:e>
            <m:d>
              <m:dPr>
                <m:ctrlPr>
                  <w:rPr>
                    <w:rFonts w:ascii="Cambria Math" w:hAnsi="Cambria Math"/>
                    <w:i/>
                    <w:lang w:val="en-IE"/>
                  </w:rPr>
                </m:ctrlPr>
              </m:dPr>
              <m:e>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r</m:t>
                    </m:r>
                  </m:sub>
                </m:sSub>
                <m:r>
                  <w:rPr>
                    <w:rFonts w:ascii="Cambria Math" w:hAnsi="Cambria Math"/>
                    <w:lang w:val="en-IE"/>
                  </w:rPr>
                  <m:t>+</m:t>
                </m:r>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nr</m:t>
                    </m:r>
                  </m:sub>
                </m:sSub>
                <m:r>
                  <w:rPr>
                    <w:rFonts w:ascii="Cambria Math" w:hAnsi="Cambria Math"/>
                    <w:lang w:val="en-IE"/>
                  </w:rPr>
                  <m:t>+</m:t>
                </m:r>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NRET</m:t>
                    </m:r>
                  </m:sub>
                </m:sSub>
              </m:e>
            </m:d>
          </m:e>
          <m:sup>
            <m:r>
              <w:rPr>
                <w:rFonts w:ascii="Cambria Math" w:hAnsi="Cambria Math"/>
                <w:lang w:val="en-IE"/>
              </w:rPr>
              <m:t>-1</m:t>
            </m:r>
          </m:sup>
        </m:sSup>
      </m:oMath>
      <w:r w:rsidRPr="00A807F2">
        <w:rPr>
          <w:lang w:val="en-IE"/>
        </w:rPr>
        <w:t xml:space="preserve">, where </w:t>
      </w:r>
      <m:oMath>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r</m:t>
            </m:r>
          </m:sub>
        </m:sSub>
      </m:oMath>
      <w:r w:rsidRPr="00A807F2">
        <w:rPr>
          <w:lang w:val="en-IE"/>
        </w:rPr>
        <w:t xml:space="preserve"> and </w:t>
      </w:r>
      <m:oMath>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nr</m:t>
            </m:r>
          </m:sub>
        </m:sSub>
      </m:oMath>
      <w:r w:rsidRPr="00A807F2">
        <w:rPr>
          <w:lang w:val="en-IE"/>
        </w:rPr>
        <w:t xml:space="preserve"> are the same radiative and nonradiative decay rates as measured from the QDs off the MoS</w:t>
      </w:r>
      <w:r w:rsidRPr="00A807F2">
        <w:rPr>
          <w:vertAlign w:val="subscript"/>
          <w:lang w:val="en-IE"/>
        </w:rPr>
        <w:t>2</w:t>
      </w:r>
      <w:r w:rsidRPr="00A807F2">
        <w:rPr>
          <w:lang w:val="en-IE"/>
        </w:rPr>
        <w:t xml:space="preserve"> devices and </w:t>
      </w:r>
      <m:oMath>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NRET</m:t>
            </m:r>
          </m:sub>
        </m:sSub>
      </m:oMath>
      <w:r w:rsidRPr="00A807F2">
        <w:rPr>
          <w:lang w:val="en-IE"/>
        </w:rPr>
        <w:t xml:space="preserve"> is the rate of NRET from the QDs to the MoS</w:t>
      </w:r>
      <w:r w:rsidRPr="00A807F2">
        <w:rPr>
          <w:vertAlign w:val="subscript"/>
          <w:lang w:val="en-IE"/>
        </w:rPr>
        <w:t>2</w:t>
      </w:r>
      <w:r w:rsidRPr="00A807F2">
        <w:rPr>
          <w:lang w:val="en-IE"/>
        </w:rPr>
        <w:t xml:space="preserve"> devices.  Therefore, the NRET rate can be calculated as </w:t>
      </w:r>
      <m:oMath>
        <m:sSub>
          <m:sSubPr>
            <m:ctrlPr>
              <w:rPr>
                <w:rFonts w:ascii="Cambria Math" w:hAnsi="Cambria Math"/>
                <w:i/>
                <w:lang w:val="en-GB"/>
              </w:rPr>
            </m:ctrlPr>
          </m:sSubPr>
          <m:e>
            <m:r>
              <w:rPr>
                <w:rFonts w:ascii="Cambria Math" w:hAnsi="Cambria Math"/>
                <w:lang w:val="en-IE"/>
              </w:rPr>
              <m:t>k</m:t>
            </m:r>
          </m:e>
          <m:sub>
            <m:r>
              <w:rPr>
                <w:rFonts w:ascii="Cambria Math" w:hAnsi="Cambria Math"/>
                <w:lang w:val="en-IE"/>
              </w:rPr>
              <m:t>NRET</m:t>
            </m:r>
          </m:sub>
        </m:sSub>
        <m:r>
          <w:rPr>
            <w:rFonts w:ascii="Cambria Math" w:hAnsi="Cambria Math"/>
            <w:lang w:val="en-IE"/>
          </w:rPr>
          <m:t>=</m:t>
        </m:r>
        <m:sSubSup>
          <m:sSubSupPr>
            <m:ctrlPr>
              <w:rPr>
                <w:rFonts w:ascii="Cambria Math" w:hAnsi="Cambria Math"/>
                <w:i/>
                <w:lang w:val="en-GB"/>
              </w:rPr>
            </m:ctrlPr>
          </m:sSubSupPr>
          <m:e>
            <m:r>
              <w:rPr>
                <w:rFonts w:ascii="Cambria Math" w:hAnsi="Cambria Math"/>
                <w:lang w:val="en-IE"/>
              </w:rPr>
              <m:t>τ</m:t>
            </m:r>
          </m:e>
          <m:sub>
            <m:r>
              <w:rPr>
                <w:rFonts w:ascii="Cambria Math" w:hAnsi="Cambria Math"/>
                <w:lang w:val="en-IE"/>
              </w:rPr>
              <m:t>QD-</m:t>
            </m:r>
            <m:sSub>
              <m:sSubPr>
                <m:ctrlPr>
                  <w:rPr>
                    <w:rFonts w:ascii="Cambria Math" w:hAnsi="Cambria Math"/>
                    <w:i/>
                    <w:lang w:val="en-GB"/>
                  </w:rPr>
                </m:ctrlPr>
              </m:sSubPr>
              <m:e>
                <m:r>
                  <w:rPr>
                    <w:rFonts w:ascii="Cambria Math" w:hAnsi="Cambria Math"/>
                    <w:lang w:val="en-IE"/>
                  </w:rPr>
                  <m:t>MoS</m:t>
                </m:r>
              </m:e>
              <m:sub>
                <m:r>
                  <w:rPr>
                    <w:rFonts w:ascii="Cambria Math" w:hAnsi="Cambria Math"/>
                    <w:lang w:val="en-IE"/>
                  </w:rPr>
                  <m:t>2</m:t>
                </m:r>
              </m:sub>
            </m:sSub>
          </m:sub>
          <m:sup>
            <m:r>
              <w:rPr>
                <w:rFonts w:ascii="Cambria Math" w:hAnsi="Cambria Math"/>
                <w:lang w:val="en-IE"/>
              </w:rPr>
              <m:t>-1</m:t>
            </m:r>
          </m:sup>
        </m:sSubSup>
        <m:r>
          <w:rPr>
            <w:rFonts w:ascii="Cambria Math" w:hAnsi="Cambria Math"/>
            <w:lang w:val="en-IE"/>
          </w:rPr>
          <m:t>-</m:t>
        </m:r>
        <m:sSubSup>
          <m:sSubSupPr>
            <m:ctrlPr>
              <w:rPr>
                <w:rFonts w:ascii="Cambria Math" w:hAnsi="Cambria Math"/>
                <w:i/>
                <w:lang w:val="en-GB"/>
              </w:rPr>
            </m:ctrlPr>
          </m:sSubSupPr>
          <m:e>
            <m:r>
              <w:rPr>
                <w:rFonts w:ascii="Cambria Math" w:hAnsi="Cambria Math"/>
                <w:lang w:val="en-IE"/>
              </w:rPr>
              <m:t>τ</m:t>
            </m:r>
          </m:e>
          <m:sub>
            <m:r>
              <w:rPr>
                <w:rFonts w:ascii="Cambria Math" w:hAnsi="Cambria Math"/>
                <w:lang w:val="en-IE"/>
              </w:rPr>
              <m:t>QD</m:t>
            </m:r>
          </m:sub>
          <m:sup>
            <m:r>
              <w:rPr>
                <w:rFonts w:ascii="Cambria Math" w:hAnsi="Cambria Math"/>
                <w:lang w:val="en-IE"/>
              </w:rPr>
              <m:t>-1</m:t>
            </m:r>
          </m:sup>
        </m:sSubSup>
      </m:oMath>
      <w:r w:rsidRPr="00A807F2">
        <w:rPr>
          <w:lang w:val="en-IE"/>
        </w:rPr>
        <w:t xml:space="preserve"> and t</w:t>
      </w:r>
      <w:r w:rsidRPr="00A807F2">
        <w:rPr>
          <w:lang w:val="en-GB"/>
        </w:rPr>
        <w:t xml:space="preserve">he NRET efficiency is then </w:t>
      </w:r>
      <m:oMath>
        <m:sSub>
          <m:sSubPr>
            <m:ctrlPr>
              <w:rPr>
                <w:rFonts w:ascii="Cambria Math" w:hAnsi="Cambria Math"/>
                <w:i/>
                <w:lang w:val="en-GB"/>
              </w:rPr>
            </m:ctrlPr>
          </m:sSubPr>
          <m:e>
            <m:r>
              <w:rPr>
                <w:rFonts w:ascii="Cambria Math" w:hAnsi="Cambria Math"/>
                <w:lang w:val="en-GB"/>
              </w:rPr>
              <m:t>η</m:t>
            </m:r>
          </m:e>
          <m:sub>
            <m:r>
              <w:rPr>
                <w:rFonts w:ascii="Cambria Math" w:hAnsi="Cambria Math"/>
                <w:lang w:val="en-GB"/>
              </w:rPr>
              <m:t>NRET</m:t>
            </m:r>
          </m:sub>
        </m:sSub>
        <m:r>
          <w:rPr>
            <w:rFonts w:ascii="Cambria Math" w:hAnsi="Cambria Math"/>
            <w:lang w:val="en-GB"/>
          </w:rPr>
          <m:t>=1-</m:t>
        </m:r>
        <m:d>
          <m:dPr>
            <m:ctrlPr>
              <w:rPr>
                <w:rFonts w:ascii="Cambria Math" w:hAnsi="Cambria Math"/>
                <w:i/>
                <w:lang w:val="en-GB"/>
              </w:rPr>
            </m:ctrlPr>
          </m:dPr>
          <m:e>
            <m:f>
              <m:fPr>
                <m:type m:val="lin"/>
                <m:ctrlPr>
                  <w:rPr>
                    <w:rFonts w:ascii="Cambria Math" w:hAnsi="Cambria Math"/>
                    <w:i/>
                    <w:lang w:val="en-GB"/>
                  </w:rPr>
                </m:ctrlPr>
              </m:fPr>
              <m:num>
                <m:sSub>
                  <m:sSubPr>
                    <m:ctrlPr>
                      <w:rPr>
                        <w:rFonts w:ascii="Cambria Math" w:hAnsi="Cambria Math"/>
                        <w:i/>
                        <w:lang w:val="en-GB"/>
                      </w:rPr>
                    </m:ctrlPr>
                  </m:sSubPr>
                  <m:e>
                    <m:r>
                      <w:rPr>
                        <w:rFonts w:ascii="Cambria Math" w:hAnsi="Cambria Math"/>
                        <w:lang w:val="en-GB"/>
                      </w:rPr>
                      <m:t>τ</m:t>
                    </m:r>
                  </m:e>
                  <m:sub>
                    <m:sSub>
                      <m:sSubPr>
                        <m:ctrlPr>
                          <w:rPr>
                            <w:rFonts w:ascii="Cambria Math" w:hAnsi="Cambria Math"/>
                            <w:i/>
                            <w:lang w:val="en-GB"/>
                          </w:rPr>
                        </m:ctrlPr>
                      </m:sSubPr>
                      <m:e>
                        <m:r>
                          <w:rPr>
                            <w:rFonts w:ascii="Cambria Math" w:hAnsi="Cambria Math"/>
                            <w:lang w:val="en-GB"/>
                          </w:rPr>
                          <m:t>QD-MoS</m:t>
                        </m:r>
                      </m:e>
                      <m:sub>
                        <m:r>
                          <w:rPr>
                            <w:rFonts w:ascii="Cambria Math" w:hAnsi="Cambria Math"/>
                            <w:lang w:val="en-GB"/>
                          </w:rPr>
                          <m:t>2</m:t>
                        </m:r>
                      </m:sub>
                    </m:sSub>
                  </m:sub>
                </m:sSub>
              </m:num>
              <m:den>
                <m:sSub>
                  <m:sSubPr>
                    <m:ctrlPr>
                      <w:rPr>
                        <w:rFonts w:ascii="Cambria Math" w:hAnsi="Cambria Math"/>
                        <w:i/>
                        <w:lang w:val="en-GB"/>
                      </w:rPr>
                    </m:ctrlPr>
                  </m:sSubPr>
                  <m:e>
                    <m:r>
                      <w:rPr>
                        <w:rFonts w:ascii="Cambria Math" w:hAnsi="Cambria Math"/>
                        <w:lang w:val="en-GB"/>
                      </w:rPr>
                      <m:t>τ</m:t>
                    </m:r>
                  </m:e>
                  <m:sub>
                    <m:r>
                      <w:rPr>
                        <w:rFonts w:ascii="Cambria Math" w:hAnsi="Cambria Math"/>
                        <w:lang w:val="en-GB"/>
                      </w:rPr>
                      <m:t>QD</m:t>
                    </m:r>
                  </m:sub>
                </m:sSub>
              </m:den>
            </m:f>
          </m:e>
        </m:d>
      </m:oMath>
      <w:r w:rsidRPr="00A807F2">
        <w:rPr>
          <w:lang w:val="en-GB"/>
        </w:rPr>
        <w:t xml:space="preserve">, where </w:t>
      </w:r>
      <m:oMath>
        <m:sSub>
          <m:sSubPr>
            <m:ctrlPr>
              <w:rPr>
                <w:rFonts w:ascii="Cambria Math" w:hAnsi="Cambria Math"/>
                <w:i/>
                <w:lang w:val="en-GB"/>
              </w:rPr>
            </m:ctrlPr>
          </m:sSubPr>
          <m:e>
            <m:r>
              <w:rPr>
                <w:rFonts w:ascii="Cambria Math" w:hAnsi="Cambria Math"/>
                <w:lang w:val="en-GB"/>
              </w:rPr>
              <m:t>τ</m:t>
            </m:r>
          </m:e>
          <m:sub>
            <m:r>
              <w:rPr>
                <w:rFonts w:ascii="Cambria Math" w:hAnsi="Cambria Math"/>
                <w:lang w:val="en-GB"/>
              </w:rPr>
              <m:t>QD</m:t>
            </m:r>
            <m:sSub>
              <m:sSubPr>
                <m:ctrlPr>
                  <w:rPr>
                    <w:rFonts w:ascii="Cambria Math" w:hAnsi="Cambria Math"/>
                    <w:i/>
                    <w:lang w:val="en-GB"/>
                  </w:rPr>
                </m:ctrlPr>
              </m:sSubPr>
              <m:e>
                <m:r>
                  <w:rPr>
                    <w:rFonts w:ascii="Cambria Math" w:hAnsi="Cambria Math"/>
                    <w:lang w:val="en-GB"/>
                  </w:rPr>
                  <m:t>-MoS</m:t>
                </m:r>
              </m:e>
              <m:sub>
                <m:r>
                  <w:rPr>
                    <w:rFonts w:ascii="Cambria Math" w:hAnsi="Cambria Math"/>
                    <w:lang w:val="en-GB"/>
                  </w:rPr>
                  <m:t>2</m:t>
                </m:r>
              </m:sub>
            </m:sSub>
          </m:sub>
        </m:sSub>
      </m:oMath>
      <w:r w:rsidRPr="00A807F2">
        <w:rPr>
          <w:lang w:val="en-GB"/>
        </w:rPr>
        <w:t xml:space="preserve">and </w:t>
      </w:r>
      <m:oMath>
        <m:sSub>
          <m:sSubPr>
            <m:ctrlPr>
              <w:rPr>
                <w:rFonts w:ascii="Cambria Math" w:hAnsi="Cambria Math"/>
                <w:i/>
                <w:lang w:val="en-GB"/>
              </w:rPr>
            </m:ctrlPr>
          </m:sSubPr>
          <m:e>
            <m:r>
              <w:rPr>
                <w:rFonts w:ascii="Cambria Math" w:hAnsi="Cambria Math"/>
                <w:lang w:val="en-GB"/>
              </w:rPr>
              <m:t>τ</m:t>
            </m:r>
          </m:e>
          <m:sub>
            <m:r>
              <w:rPr>
                <w:rFonts w:ascii="Cambria Math" w:hAnsi="Cambria Math"/>
                <w:lang w:val="en-GB"/>
              </w:rPr>
              <m:t>QD</m:t>
            </m:r>
          </m:sub>
        </m:sSub>
      </m:oMath>
      <w:r w:rsidRPr="00A807F2">
        <w:rPr>
          <w:lang w:val="en-GB"/>
        </w:rPr>
        <w:t xml:space="preserve"> are the intensity w</w:t>
      </w:r>
      <w:proofErr w:type="spellStart"/>
      <w:r w:rsidRPr="00A807F2">
        <w:rPr>
          <w:lang w:val="en-GB"/>
        </w:rPr>
        <w:t>eighted</w:t>
      </w:r>
      <w:proofErr w:type="spellEnd"/>
      <w:r w:rsidRPr="00A807F2">
        <w:rPr>
          <w:lang w:val="en-GB"/>
        </w:rPr>
        <w:t xml:space="preserve"> average lifetimes of the QDs on the monolayer MoS</w:t>
      </w:r>
      <w:r w:rsidRPr="00A807F2">
        <w:rPr>
          <w:vertAlign w:val="subscript"/>
          <w:lang w:val="en-GB"/>
        </w:rPr>
        <w:t>2</w:t>
      </w:r>
      <w:r w:rsidRPr="00A807F2">
        <w:rPr>
          <w:lang w:val="en-GB"/>
        </w:rPr>
        <w:t xml:space="preserve"> and the lifetime of the QDs alone, respectively. The NRET efficiencies are (94 ± </w:t>
      </w:r>
      <w:proofErr w:type="gramStart"/>
      <w:r w:rsidRPr="00A807F2">
        <w:rPr>
          <w:lang w:val="en-GB"/>
        </w:rPr>
        <w:t>7)%</w:t>
      </w:r>
      <w:proofErr w:type="gramEnd"/>
      <w:r>
        <w:rPr>
          <w:lang w:val="en-GB"/>
        </w:rPr>
        <w:t xml:space="preserve"> </w:t>
      </w:r>
      <w:r w:rsidRPr="00A807F2">
        <w:rPr>
          <w:lang w:val="en-GB"/>
        </w:rPr>
        <w:t>for the 450 nm QDs on device D450, (92 ± 4)% for the 530 nm QDs on device D530, and (96 ± 6)% for the 630 nm QDs on device D630. Fluorescence lifetime maps were also recorded to further illustrate the strong quenching of the QD emission on</w:t>
      </w:r>
      <w:r>
        <w:rPr>
          <w:lang w:val="en-GB"/>
        </w:rPr>
        <w:t xml:space="preserve"> </w:t>
      </w:r>
      <w:r w:rsidRPr="00A807F2">
        <w:rPr>
          <w:lang w:val="en-GB"/>
        </w:rPr>
        <w:t>the monolayer MoS</w:t>
      </w:r>
      <w:r w:rsidRPr="00A807F2">
        <w:rPr>
          <w:vertAlign w:val="subscript"/>
          <w:lang w:val="en-GB"/>
        </w:rPr>
        <w:t>2</w:t>
      </w:r>
      <w:r w:rsidR="00970DE5">
        <w:rPr>
          <w:lang w:val="en-GB"/>
        </w:rPr>
        <w:t xml:space="preserve"> triangles (see Figure</w:t>
      </w:r>
      <w:r w:rsidRPr="00A807F2">
        <w:rPr>
          <w:lang w:val="en-GB"/>
        </w:rPr>
        <w:t xml:space="preserve"> S</w:t>
      </w:r>
      <w:r w:rsidR="008F2D8B">
        <w:rPr>
          <w:lang w:val="en-GB"/>
        </w:rPr>
        <w:t>4</w:t>
      </w:r>
      <w:r w:rsidRPr="00A807F2">
        <w:rPr>
          <w:lang w:val="en-GB"/>
        </w:rPr>
        <w:t xml:space="preserve"> in </w:t>
      </w:r>
      <w:r w:rsidRPr="00A807F2">
        <w:rPr>
          <w:lang w:val="en-GB"/>
        </w:rPr>
        <w:lastRenderedPageBreak/>
        <w:t>Supporting Information). It should also be noted that in contrast to the highly efficient NRET process in this hybrid system, we observe no measurable enhancement of the MoS</w:t>
      </w:r>
      <w:r w:rsidRPr="00A807F2">
        <w:rPr>
          <w:vertAlign w:val="subscript"/>
          <w:lang w:val="en-GB"/>
        </w:rPr>
        <w:t>2</w:t>
      </w:r>
      <w:r w:rsidRPr="00A807F2">
        <w:rPr>
          <w:lang w:val="en-GB"/>
        </w:rPr>
        <w:t xml:space="preserve"> PL intensity, due to the nonradiative recombination of excitons at defect sites in the MoS</w:t>
      </w:r>
      <w:r w:rsidRPr="00A807F2">
        <w:rPr>
          <w:vertAlign w:val="subscript"/>
          <w:lang w:val="en-GB"/>
        </w:rPr>
        <w:t>2</w:t>
      </w:r>
      <w:r w:rsidRPr="00A807F2">
        <w:rPr>
          <w:lang w:val="en-GB"/>
        </w:rPr>
        <w:t>, as previously reported.</w:t>
      </w:r>
      <w:r w:rsidRPr="00A807F2">
        <w:rPr>
          <w:lang w:val="en-GB"/>
        </w:rPr>
        <w:fldChar w:fldCharType="begin" w:fldLock="1"/>
      </w:r>
      <w:r w:rsidR="001F4C34">
        <w:rPr>
          <w:lang w:val="en-GB"/>
        </w:rPr>
        <w:instrText>ADDIN CSL_CITATION {"citationItems":[{"id":"ITEM-1","itemData":{"DOI":"10.1002/adfm.201706149","ISSN":"1616301X","abstract":"© 2018 WILEY-VCH Verlag GmbH &amp; Co. KGaA, Weinheim. This report demonstrates highly efficient nonradiative energy transfer (NRET) from alloyed CdSeS/ZnS semiconductor nanocrystal quantum dots (QDs) to MoS 2 films of varying layer thicknesses, including pristine monolayers, mixed monolayer/bilayer, polycrystalline bilayers, and bulk-like thicknesses, with NRET efficiencies of over 90%. Large-area MoS 2 films are grown on Si/SiO 2 substrates by chemical vapor deposition. Despite the ultrahigh NRET efficiencies there is no distinct increase in the MoS 2 photoluminescence intensity. However, by studying the optoelectronic properties of the MoS 2 devices before and after adding the QD sensitizing layer photocurrent enhancements as large as ≈14-fold for pristine monolayer devices are observed, with enhancements on the order of ≈2-fold for MoS 2 devices of mixed monolayer and bilayer thicknesses. For the polycrystalline bilayer and bulk-like MoS 2 devices there is almost no increase in the photocurrent after adding the QDs. Industrially scalable techniques are specifically utilized to fabricate the samples studied in this report, demonstrating the viability of this hybrid structure for commercial photodetector or light harvesting applications.","author":[{"dropping-particle":"","family":"Gough","given":"John J.","non-dropping-particle":"","parse-names":false,"suffix":""},{"dropping-particle":"","family":"McEvoy","given":"Niall","non-dropping-particle":"","parse-names":false,"suffix":""},{"dropping-particle":"","family":"O'Brien","given":"Maria","non-dropping-particle":"","parse-names":false,"suffix":""},{"dropping-particle":"","family":"Bell","given":"Alan P.","non-dropping-particle":"","parse-names":false,"suffix":""},{"dropping-particle":"","family":"McCloskey","given":"David","non-dropping-particle":"","parse-names":false,"suffix":""},{"dropping-particle":"","family":"Boland","given":"John B.","non-dropping-particle":"","parse-names":false,"suffix":""},{"dropping-particle":"","family":"Coleman","given":"Jonathan N.","non-dropping-particle":"","parse-names":false,"suffix":""},{"dropping-particle":"","family":"Duesberg","given":"Georg S.","non-dropping-particle":"","parse-names":false,"suffix":""},{"dropping-particle":"","family":"Bradley","given":"A. Louise","non-dropping-particle":"","parse-names":false,"suffix":""}],"container-title":"Advanced Functional Materials","id":"ITEM-1","issued":{"date-parts":[["2018","1"]]},"page":"1706149","title":"Dependence of Photocurrent Enhancements in Quantum Dot (QD)-Sensitized MoS 2 Devices on MoS 2 Film Properties","type":"article-journal","volume":"1706149"},"uris":["http://www.mendeley.com/documents/?uuid=e7ae747c-5ebc-4853-a113-0c1ca4f6921d","http://www.mendeley.com/documents/?uuid=e072b561-4c73-413e-ae65-256034f6943b"]}],"mendeley":{"formattedCitation":"&lt;sup&gt;17&lt;/sup&gt;","plainTextFormattedCitation":"17","previouslyFormattedCitation":"&lt;sup&gt;16&lt;/sup&gt;"},"properties":{"noteIndex":0},"schema":"https://github.com/citation-style-language/schema/raw/master/csl-citation.json"}</w:instrText>
      </w:r>
      <w:r w:rsidRPr="00A807F2">
        <w:rPr>
          <w:lang w:val="en-GB"/>
        </w:rPr>
        <w:fldChar w:fldCharType="separate"/>
      </w:r>
      <w:r w:rsidR="001F4C34" w:rsidRPr="001F4C34">
        <w:rPr>
          <w:noProof/>
          <w:vertAlign w:val="superscript"/>
          <w:lang w:val="en-GB"/>
        </w:rPr>
        <w:t>17</w:t>
      </w:r>
      <w:r w:rsidRPr="00A807F2">
        <w:rPr>
          <w:lang w:val="en-GB"/>
        </w:rPr>
        <w:fldChar w:fldCharType="end"/>
      </w:r>
    </w:p>
    <w:p w14:paraId="49D43FA3" w14:textId="143BB2BB" w:rsidR="004118A1" w:rsidRDefault="00A15A23" w:rsidP="004118A1">
      <w:pPr>
        <w:pStyle w:val="TAMainText"/>
        <w:ind w:firstLine="0"/>
        <w:rPr>
          <w:lang w:val="en-GB"/>
        </w:rPr>
      </w:pPr>
      <w:r>
        <w:rPr>
          <w:noProof/>
          <w:lang w:val="en-IE" w:eastAsia="en-IE"/>
        </w:rPr>
        <w:drawing>
          <wp:inline distT="0" distB="0" distL="0" distR="0" wp14:anchorId="51446236" wp14:editId="0617E83E">
            <wp:extent cx="6300000" cy="1897590"/>
            <wp:effectExtent l="0" t="0" r="571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3 - Revised.tif"/>
                    <pic:cNvPicPr/>
                  </pic:nvPicPr>
                  <pic:blipFill rotWithShape="1">
                    <a:blip r:embed="rId11">
                      <a:extLst>
                        <a:ext uri="{28A0092B-C50C-407E-A947-70E740481C1C}">
                          <a14:useLocalDpi xmlns:a14="http://schemas.microsoft.com/office/drawing/2010/main" val="0"/>
                        </a:ext>
                      </a:extLst>
                    </a:blip>
                    <a:srcRect l="2404" t="7445" r="4487" b="5692"/>
                    <a:stretch/>
                  </pic:blipFill>
                  <pic:spPr bwMode="auto">
                    <a:xfrm>
                      <a:off x="0" y="0"/>
                      <a:ext cx="6300000" cy="1897590"/>
                    </a:xfrm>
                    <a:prstGeom prst="rect">
                      <a:avLst/>
                    </a:prstGeom>
                    <a:ln>
                      <a:noFill/>
                    </a:ln>
                    <a:extLst>
                      <a:ext uri="{53640926-AAD7-44D8-BBD7-CCE9431645EC}">
                        <a14:shadowObscured xmlns:a14="http://schemas.microsoft.com/office/drawing/2010/main"/>
                      </a:ext>
                    </a:extLst>
                  </pic:spPr>
                </pic:pic>
              </a:graphicData>
            </a:graphic>
          </wp:inline>
        </w:drawing>
      </w:r>
    </w:p>
    <w:p w14:paraId="461D01C1" w14:textId="3A85AD11" w:rsidR="004118A1" w:rsidRPr="00064FFA" w:rsidRDefault="004118A1" w:rsidP="00064FFA">
      <w:pPr>
        <w:pStyle w:val="VAFigureCaption"/>
      </w:pPr>
      <w:r w:rsidRPr="00064FFA">
        <w:rPr>
          <w:b/>
        </w:rPr>
        <w:t>Figure 3:</w:t>
      </w:r>
      <w:r w:rsidRPr="00064FFA">
        <w:t xml:space="preserve"> PL decays of (a) 450 nm QDs alone (blue) and on MoS</w:t>
      </w:r>
      <w:r w:rsidRPr="0094386B">
        <w:rPr>
          <w:vertAlign w:val="subscript"/>
        </w:rPr>
        <w:t>2</w:t>
      </w:r>
      <w:r w:rsidRPr="00064FFA">
        <w:t xml:space="preserve"> device D450 (black), (b) 530 nm QDs alone (green) and on MoS</w:t>
      </w:r>
      <w:r w:rsidRPr="0094386B">
        <w:rPr>
          <w:vertAlign w:val="subscript"/>
        </w:rPr>
        <w:t>2</w:t>
      </w:r>
      <w:r w:rsidRPr="00064FFA">
        <w:t xml:space="preserve"> device D530 (black), and (c) 630 nm QDs alone (red) and on MoS</w:t>
      </w:r>
      <w:r w:rsidRPr="0094386B">
        <w:rPr>
          <w:vertAlign w:val="subscript"/>
        </w:rPr>
        <w:t>2</w:t>
      </w:r>
      <w:r w:rsidRPr="00064FFA">
        <w:t xml:space="preserve"> device D630 (black).</w:t>
      </w:r>
      <w:r w:rsidR="00A15A23">
        <w:t xml:space="preserve"> The dashed lines in each of the panels show the bi-exponential fits to the experimental data.</w:t>
      </w:r>
    </w:p>
    <w:p w14:paraId="0D1564AD" w14:textId="3AB606B9" w:rsidR="00A807F2" w:rsidRDefault="00970DE5" w:rsidP="00A807F2">
      <w:pPr>
        <w:pStyle w:val="TAMainText"/>
      </w:pPr>
      <w:r>
        <w:t>Figure</w:t>
      </w:r>
      <w:r w:rsidR="00A807F2" w:rsidRPr="00A807F2">
        <w:t xml:space="preserve"> 4, panels a-c, show the photocurrent, </w:t>
      </w:r>
      <m:oMath>
        <m:sSup>
          <m:sSupPr>
            <m:ctrlPr>
              <w:rPr>
                <w:rFonts w:ascii="Cambria Math" w:hAnsi="Cambria Math"/>
                <w:i/>
              </w:rPr>
            </m:ctrlPr>
          </m:sSupPr>
          <m:e>
            <m:r>
              <w:rPr>
                <w:rFonts w:ascii="Cambria Math" w:hAnsi="Cambria Math"/>
              </w:rPr>
              <m:t>I</m:t>
            </m:r>
          </m:e>
          <m:sup>
            <m:r>
              <w:rPr>
                <w:rFonts w:ascii="Cambria Math" w:hAnsi="Cambria Math"/>
              </w:rPr>
              <m:t>Ph</m:t>
            </m:r>
          </m:sup>
        </m:sSup>
      </m:oMath>
      <w:r w:rsidR="00A807F2" w:rsidRPr="00A807F2">
        <w:t xml:space="preserve">, measured from each device, with and without the QD sensitizing layers, as a function of optical excitation power at a voltage of +1 V, and the respective fits to the experimental data (dotted lines). </w:t>
      </w:r>
      <w:proofErr w:type="gramStart"/>
      <w:r w:rsidR="00A807F2" w:rsidRPr="00A807F2">
        <w:t>It should be pointed out that an</w:t>
      </w:r>
      <w:proofErr w:type="gramEnd"/>
      <w:r w:rsidR="00A807F2" w:rsidRPr="00A807F2">
        <w:t xml:space="preserve"> excitation wavelength of 405 nm was used for the TRPL measurements, photocurrent measurements, and the PL measurements used to calculate the spectral overla</w:t>
      </w:r>
      <w:r>
        <w:t xml:space="preserve">p. The </w:t>
      </w:r>
      <w:r w:rsidR="000E29B0">
        <w:t xml:space="preserve">open </w:t>
      </w:r>
      <w:r>
        <w:t>black data points in Figure</w:t>
      </w:r>
      <w:r w:rsidR="00A807F2" w:rsidRPr="00A807F2">
        <w:t xml:space="preserve"> 4, panels a-c, show the photocurrent obtained from the MoS</w:t>
      </w:r>
      <w:r w:rsidR="00A807F2" w:rsidRPr="00A807F2">
        <w:rPr>
          <w:vertAlign w:val="subscript"/>
        </w:rPr>
        <w:t>2</w:t>
      </w:r>
      <w:r w:rsidR="00A807F2" w:rsidRPr="00A807F2">
        <w:t xml:space="preserve"> devices before adding the QD sensitizing layers. The </w:t>
      </w:r>
      <w:r w:rsidR="000E29B0">
        <w:t xml:space="preserve">solid </w:t>
      </w:r>
      <w:r w:rsidR="00A807F2" w:rsidRPr="00A807F2">
        <w:t>blue, g</w:t>
      </w:r>
      <w:r>
        <w:t>reen and red data points in Figure</w:t>
      </w:r>
      <w:r w:rsidR="00A807F2" w:rsidRPr="00A807F2">
        <w:t xml:space="preserve"> 4, panels a, b and c, are photocurrent values obtained after the addition of the 450 nm, 530 nm and 630 nm QD sensitizing layers, respectively. There is a clear enhancement of the generated photocurrent across the full </w:t>
      </w:r>
      <w:r w:rsidR="00A807F2" w:rsidRPr="00A807F2">
        <w:lastRenderedPageBreak/>
        <w:t>excitation power range for each of the QD-MoS</w:t>
      </w:r>
      <w:r w:rsidR="00A807F2" w:rsidRPr="00A807F2">
        <w:rPr>
          <w:vertAlign w:val="subscript"/>
        </w:rPr>
        <w:t>2</w:t>
      </w:r>
      <w:r>
        <w:t xml:space="preserve"> hybrid devices (Figure</w:t>
      </w:r>
      <w:r w:rsidR="00A807F2" w:rsidRPr="00A807F2">
        <w:t xml:space="preserve"> 4, panels a-c). The curves maintain similar dependences of photocurrent on the excitation power after the addition of the QD sensitizing layers. The photocurrent measured from each device exhibits a sub-linear dependence at low excitation powers which transitions to a linear dependence at mid-range</w:t>
      </w:r>
      <w:r w:rsidR="00A807F2">
        <w:t xml:space="preserve"> </w:t>
      </w:r>
      <w:r w:rsidR="00A807F2" w:rsidRPr="00A807F2">
        <w:t>powers and finally transitions to a super-linear dependence at the higher powers. While linear and sub-linear dependences of photocurrent on the optical excitation power are widely documented in the literature,</w:t>
      </w:r>
      <w:r w:rsidR="00A807F2" w:rsidRPr="00A807F2">
        <w:fldChar w:fldCharType="begin" w:fldLock="1"/>
      </w:r>
      <w:r w:rsidR="001F4C34">
        <w:instrText>ADDIN CSL_CITATION {"citationItems":[{"id":"ITEM-1","itemData":{"author":[{"dropping-particle":"","family":"Phototransistors","given":"Single-layer Mos","non-dropping-particle":"","parse-names":false,"suffix":""}],"id":"ITEM-1","issue":"1","issued":{"date-parts":[["2012"]]},"page":"74-80","title":"Single-Layer MoS 2 Phototransistors","type":"article-journal"},"uris":["http://www.mendeley.com/documents/?uuid=ece733eb-e278-48e5-8a84-38a209ad87ab"]},{"id":"ITEM-2","itemData":{"DOI":"10.1002/adma.201301244","ISSN":"1521-4095","PMID":"23703933","abstract":"A phototransistor based on a chemical vapor deposited (CVD) MoS2 monolayer exhibits a high photoresponsivity (2200 A W(-1) ) and an excellent photogain (5000). The presence of shallow traps contributes to the persistent photoconductivity. Ambient adsorbates act as p-dopants to MoS2 , decreasing the carrier mobility, photoresponsivity, and photogain.","author":[{"dropping-particle":"","family":"Zhang","given":"Wenjing","non-dropping-particle":"","parse-names":false,"suffix":""},{"dropping-particle":"","family":"Huang","given":"Jing-Kai","non-dropping-particle":"","parse-names":false,"suffix":""},{"dropping-particle":"","family":"Chen","given":"Chang-Hsiao","non-dropping-particle":"","parse-names":false,"suffix":""},{"dropping-particle":"","family":"Chang","given":"Yung-Huang","non-dropping-particle":"","parse-names":false,"suffix":""},{"dropping-particle":"","family":"Cheng","given":"Yuh-Jen","non-dropping-particle":"","parse-names":false,"suffix":""},{"dropping-particle":"","family":"Li","given":"Lain-Jong","non-dropping-particle":"","parse-names":false,"suffix":""}],"container-title":"Advanced materials (Deerfield Beach, Fla.)","id":"ITEM-2","issue":"25","issued":{"date-parts":[["2013","7","5"]]},"page":"3456-61","title":"High-gain phototransistors based on a CVD MoS</w:instrText>
      </w:r>
      <w:r w:rsidR="001F4C34">
        <w:rPr>
          <w:rFonts w:ascii="Cambria Math" w:hAnsi="Cambria Math" w:cs="Cambria Math"/>
        </w:rPr>
        <w:instrText>₂</w:instrText>
      </w:r>
      <w:r w:rsidR="001F4C34">
        <w:instrText xml:space="preserve"> monolayer.","type":"article-journal","volume":"25"},"uris":["http://www.mendeley.com/documents/?uuid=afde05a1-cdb5-4765-81cd-5b26e27a0c29"]},{"id":"ITEM-3","itemData":{"DOI":"10.1038/nnano.2013.100","ISSN":"1748-3395","PMID":"23748194","abstract":"Two-dimensional materials are an emerging class of new materials with a wide range of electrical properties and potential practical applications. Although graphene is the most well-studied two-dimensional material, single layers of other materials, such as insulating BN (ref. 2) and semiconducting MoS2 (refs 3, 4) or WSe2 (refs 5, 6), are gaining increasing attention as promising gate insulators and channel materials for field-effect transistors. Because monolayer MoS2 is a direct-bandgap semiconductor due to quantum-mechanical confinement, it could be suitable for applications in optoelectronic devices where the direct bandgap would allow a high absorption coefficient and efficient electron-hole pair generation under photoexcitation. Here, we demonstrate ultrasensitive monolayer MoS2 phototransistors with improved device mobility and ON current. Our devices show a maximum external photoresponsivity of 880 A W(-1) at a wavelength of 561 nm and a photoresponse in the 400-680 nm range. With recent developments in large-scale production techniques such as liquid-scale exfoliation and chemical vapour deposition-like growth, MoS2 shows important potential for applications in MoS2-based integrated optoelectronic circuits, light sensing, biomedical imaging, video recording and spectroscopy.","author":[{"dropping-particle":"","family":"Lopez-Sanchez","given":"Oriol","non-dropping-particle":"","parse-names":false,"suffix":""},{"dropping-particle":"","family":"Lembke","given":"Dominik","non-dropping-particle":"","parse-names":false,"suffix":""},{"dropping-particle":"","family":"Kayci","given":"Metin","non-dropping-particle":"","parse-names":false,"suffix":""},{"dropping-particle":"","family":"Radenovic","given":"Aleksandra","non-dropping-particle":"","parse-names":false,"suffix":""},{"dropping-particle":"","family":"Kis","given":"Andras","non-dropping-particle":"","parse-names":false,"suffix":""}],"container-title":"Nature nanotechnology","id":"ITEM-3","issue":"7","issued":{"date-parts":[["2013","7"]]},"page":"497-501","publisher":"Nature Publishing Group","title":"Ultrasensitive photodetectors based on monolayer MoS2.","type":"article-journal","volume":"8"},"uris":["http://www.mendeley.com/documents/?uuid=c4614c31-50b9-44ea-ae56-a3bb2664a61b"]},{"id":"ITEM-4","itemData":{"DOI":"10.1021/jz401199x","ISBN":"1948-7185","ISSN":"19487185","abstract":"The mechanisms underlying the intrinsic photoresponse of few-layer (FL) molybdenum disulfide (MoS2) field-effect transistors are investigated via scanning photocurrent microscopy. We attribute the locally enhanced photocurrent to band-bending-assisted separation of photoexcited carriers at the MoS2/Au interface. The wavelength-dependent photocurrents of FL MoS2 transistors qualitatively follow the optical absorption spectra of MoS2, providing direct evidence of interband photoexcitation. Time and spectrally resolved photocurrent measurements at varying external electric fields and carrier concentrations establish that drift-diffusion currents dominate photothermoelectric currents in devices under bias.\\nThe mechanisms underlying the intrinsic photoresponse of few-layer (FL) molybdenum disulfide (MoS2) field-effect transistors are investigated via scanning photocurrent microscopy. We attribute the locally enhanced photocurrent to band-bending-assisted separation of photoexcited carriers at the MoS2/Au interface. The wavelength-dependent photocurrents of FL MoS2 transistors qualitatively follow the optical absorption spectra of MoS2, providing direct evidence of interband photoexcitation. Time and spectrally resolved photocurrent measurements at varying external electric fields and carrier concentrations establish that drift-diffusion currents dominate photothermoelectric currents in devices under bias.","author":[{"dropping-particle":"","family":"Wu","given":"Chung Chiang","non-dropping-particle":"","parse-names":false,"suffix":""},{"dropping-particle":"","family":"Jariwala","given":"Deep","non-dropping-particle":"","parse-names":false,"suffix":""},{"dropping-particle":"","family":"Sangwan","given":"Vinod K.","non-dropping-particle":"","parse-names":false,"suffix":""},{"dropping-particle":"","family":"Marks","given":"Tobin J.","non-dropping-particle":"","parse-names":false,"suffix":""},{"dropping-particle":"","family":"Hersam","given":"Mark C.","non-dropping-particle":"","parse-names":false,"suffix":""},{"dropping-particle":"","family":"Lauhon","given":"Lincoln J.","non-dropping-particle":"","parse-names":false,"suffix":""}],"container-title":"Journal of Physical Chemistry Letters","id":"ITEM-4","issue":"15","issued":{"date-parts":[["2013"]]},"page":"2508-2513","title":"Elucidating the photoresponse of ultrathin MoS2 field-effect transistors by scanning photocurrent microscopy","type":"article-journal","volume":"4"},"uris":["http://www.mendeley.com/documents/?uuid=94b25ae0-6040-42d2-89e0-fafbd9bf0dd6","http://www.mendeley.com/documents/?uuid=da0377a8-5992-448b-b9e4-c920aa8c5443"]},{"id":"ITEM-5","itemData":{"DOI":"10.1088/2053-1583/1/1/011004","ISBN":"doi:10.1088/2053-1583/1/1/011004","ISSN":"2053-1583","PMID":"9940851","abstract":"We report the fabrication of a photosensor based on as-grown single crystal monolayers of MoS2 synthesized by chemical vapor deposition (CVD). The measurements were performed using Au/Ti leads in a two terminal configuration on CVD-grown MoS2 on a SiO2/Si substrate. The device was operated in air at room temperature at low bias voltages ranging from −2 V to 2 V and its sensing capabilities were tested for two different excitation wavelengths (514.5 nm and 488 nm). The responsivity reached 1.1 mA W−1 when excited with a 514.5 nm laser at a bias of 1.5 V. This responsivity is one order of magnitude larger than that reported from photo devices fabricated using CVD-grown multilayered WS2. A rectifying-effect was observed for the optically excited current, which was four times larger in the direct polarization bias when compared to the reverse bias photocurrent. Such rectifying behavior can be attributed to the asymmetric electrode placement on the triangular MoS2 monocrystal. It is envisioned that these components could eventually be used as efficient and low cost photosensors based on CVD-grown transition metal dichalcogenide monolayers.","author":[{"dropping-particle":"","family":"Perea-López","given":"Néstor","non-dropping-particle":"","parse-names":false,"suffix":""},{"dropping-particle":"","family":"Lin","given":"Zhong","non-dropping-particle":"","parse-names":false,"suffix":""},{"dropping-particle":"","family":"Pradhan","given":"Nihar R","non-dropping-particle":"","parse-names":false,"suffix":""},{"dropping-particle":"","family":"Iñiguez-Rábago","given":"Agustín","non-dropping-particle":"","parse-names":false,"suffix":""},{"dropping-particle":"","family":"Laura Elías","given":"Ana","non-dropping-particle":"","parse-names":false,"suffix":""},{"dropping-particle":"","family":"McCreary","given":"Amber","non-dropping-particle":"","parse-names":false,"suffix":""},{"dropping-particle":"","family":"Lou","given":"Jun","non-dropping-particle":"","parse-names":false,"suffix":""},{"dropping-particle":"","family":"Ajayan","given":"Pulickel M","non-dropping-particle":"","parse-names":false,"suffix":""},{"dropping-particle":"","family":"Terrones","given":"Humberto","non-dropping-particle":"","parse-names":false,"suffix":""},{"dropping-particle":"","family":"Balicas","given":"Luis","non-dropping-particle":"","parse-names":false,"suffix":""},{"dropping-particle":"","family":"Terrones","given":"Mauricio","non-dropping-particle":"","parse-names":false,"suffix":""}],"container-title":"2D Materials","id":"ITEM-5","issue":"1","issued":{"date-parts":[["2014"]]},"page":"011004","publisher":"IOP Publishing","title":"CVD-grown monolayered MoS &lt;sub&gt;2&lt;/sub&gt; as an effective photosensor operating at low-voltage","type":"article-journal","volume":"1"},"uris":["http://www.mendeley.com/documents/?uuid=fddb6b51-d67c-4a0c-b936-9eb4755641db","http://www.mendeley.com/documents/?uuid=3e3fc0a3-f111-4339-b44d-6d5729a49e52"]}],"mendeley":{"formattedCitation":"&lt;sup&gt;34–38&lt;/sup&gt;","plainTextFormattedCitation":"34–38","previouslyFormattedCitation":"&lt;sup&gt;33–37&lt;/sup&gt;"},"properties":{"noteIndex":0},"schema":"https://github.com/citation-style-language/schema/raw/master/csl-citation.json"}</w:instrText>
      </w:r>
      <w:r w:rsidR="00A807F2" w:rsidRPr="00A807F2">
        <w:fldChar w:fldCharType="separate"/>
      </w:r>
      <w:r w:rsidR="001F4C34" w:rsidRPr="001F4C34">
        <w:rPr>
          <w:noProof/>
          <w:vertAlign w:val="superscript"/>
        </w:rPr>
        <w:t>34–38</w:t>
      </w:r>
      <w:r w:rsidR="00A807F2" w:rsidRPr="00A807F2">
        <w:fldChar w:fldCharType="end"/>
      </w:r>
      <w:r w:rsidR="00A807F2" w:rsidRPr="00A807F2">
        <w:t xml:space="preserve"> super-linear dependences are less reported.</w:t>
      </w:r>
      <w:r w:rsidR="00A807F2" w:rsidRPr="00A807F2">
        <w:fldChar w:fldCharType="begin" w:fldLock="1"/>
      </w:r>
      <w:r w:rsidR="001F4C34">
        <w:instrText>ADDIN CSL_CITATION {"citationItems":[{"id":"ITEM-1","itemData":{"DOI":"10.1021/acs.nanolett.5b00190","ISBN":"1530-6984","ISSN":"1530-6984","PMID":"25723259","abstract":"Transition metal dichalcogenides (TMDs) have emerged as a new class of two-dimensional materials that are promising for electronics and photonics. To date, optoelectronic measurements in these materials have shown the conventional behavior expected from photoconductors such as a linear or sublinear dependence of the photocurrent on light intensity. Here, we report the observation of a new regime of operation where the photocurrent depends superlinearly on light intensity. We use spatially resolved photocurrent measurements on devices consisting of CVD-grown monolayers of TMD alloys spanning MoS2 to MoSe2 to show the photoconductive nature of the photoresponse, with the photocurrent dominated by recombination and field-induced carrier separation in the channel. Time-dependent photoconductivity measurements show the presence of persistent photoconductivity for the S-rich alloys, while photocurrent measurements at fixed wavelength for devices of different alloy compositions show a systematic decrease of the responsivity with increasing Se content associated with increased linearity of the current?voltage characteristics. A model based on the presence of different types of recombination centers is presented to explain the origin of the superlinear dependence on light intensity, which emerges when the nonequilibrium occupancy of initially empty fast recombination centers becomes comparable to that of slow recombination centers.","author":[{"dropping-particle":"","family":"Klee","given":"Velveth","non-dropping-particle":"","parse-names":false,"suffix":""},{"dropping-particle":"","family":"Preciado","given":"Edwin","non-dropping-particle":"","parse-names":false,"suffix":""},{"dropping-particle":"","family":"Barroso","given":"David","non-dropping-particle":"","parse-names":false,"suffix":""},{"dropping-particle":"","family":"Nguyen","given":"Ariana E","non-dropping-particle":"","parse-names":false,"suffix":""},{"dropping-particle":"","family":"Lee","given":"Chris","non-dropping-particle":"","parse-names":false,"suffix":""},{"dropping-particle":"","family":"Erickson","given":"Kristopher J","non-dropping-particle":"","parse-names":false,"suffix":""},{"dropping-particle":"","family":"Triplett","given":"Mark","non-dropping-particle":"","parse-names":false,"suffix":""},{"dropping-particle":"","family":"Davis","given":"Brandon","non-dropping-particle":"","parse-names":false,"suffix":""},{"dropping-particle":"","family":"Lu","given":"I-hsi","non-dropping-particle":"","parse-names":false,"suffix":""},{"dropping-particle":"","family":"Bobek","given":"Sarah","non-dropping-particle":"","parse-names":false,"suffix":""},{"dropping-particle":"","family":"McKinley","given":"Jessica","non-dropping-particle":"","parse-names":false,"suffix":""},{"dropping-particle":"","family":"Martinez","given":"Joseph P","non-dropping-particle":"","parse-names":false,"suffix":""},{"dropping-particle":"","family":"Mann","given":"John","non-dropping-particle":"","parse-names":false,"suffix":""},{"dropping-particle":"","family":"Talin","given":"A Alec","non-dropping-particle":"","parse-names":false,"suffix":""},{"dropping-particle":"","family":"Bartels","given":"Ludwig","non-dropping-particle":"","parse-names":false,"suffix":""},{"dropping-particle":"","family":"Léonard","given":"François","non-dropping-particle":"","parse-names":false,"suffix":""}],"container-title":"Nano Letters","id":"ITEM-1","issue":"4","issued":{"date-parts":[["2015"]]},"page":"2612-2619","title":"Superlinear Composition-Dependent Photocurrent in CVD-Grown Monolayer MoS 2(1– x ) Se 2 x Alloy Devices","type":"article-journal","volume":"15"},"uris":["http://www.mendeley.com/documents/?uuid=1188d349-8577-4fe9-af8e-d2227bdfa319","http://www.mendeley.com/documents/?uuid=69bbd89e-c5af-40a6-9a23-d7b735ca3d89"]},{"id":"ITEM-2","itemData":{"DOI":"10.1039/C5NR03400K","ISBN":"2040-3364","ISSN":"2040-3364","PMID":"26489362","abstract":"&lt;p&gt; We investigate the photocurrent generation mechanisms at a vertical p–n heterojunction between black phosphorus (BP) and molybdenum disulfide (MoS &lt;sub&gt;2&lt;/sub&gt; ) flakes through polarization-, wavelength-, and gate-dependent scanning photocurrent measurements. &lt;/p&gt;","author":[{"dropping-particle":"","family":"Hong","given":"Tu","non-dropping-particle":"","parse-names":false,"suffix":""},{"dropping-particle":"","family":"Chamlagain","given":"Bhim","non-dropping-particle":"","parse-names":false,"suffix":""},{"dropping-particle":"","family":"Wang","given":"Tianjiao","non-dropping-particle":"","parse-names":false,"suffix":""},{"dropping-particle":"","family":"Chuang","given":"Hsun-Jen","non-dropping-particle":"","parse-names":false,"suffix":""},{"dropping-particle":"","family":"Zhou","given":"Zhixian","non-dropping-particle":"","parse-names":false,"suffix":""},{"dropping-particle":"","family":"Xu","given":"Ya-Qiong","non-dropping-particle":"","parse-names":false,"suffix":""}],"container-title":"Nanoscale","id":"ITEM-2","issue":"44","issued":{"date-parts":[["2015"]]},"page":"18537-18541","publisher":"Royal Society of Chemistry","title":"Anisotropic photocurrent response at black phosphorus–MoS &lt;sub&gt;2&lt;/sub&gt; p–n heterojunctions","type":"article-journal","volume":"7"},"uris":["http://www.mendeley.com/documents/?uuid=8d07b6d8-892b-401a-b940-0f2bf2915f0e","http://www.mendeley.com/documents/?uuid=c4c8927b-4b56-4622-8b64-e2820c329a59"]},{"id":"ITEM-3","itemData":{"DOI":"10.1038/ncomms9063","ISBN":"2041-1723","ISSN":"20411723","PMID":"26333531","abstract":"The photocurrent conversions of transition metal dichalcogenide nanosheets are unprecedentedly impressive, making them great candidates for visible range photodetectors. Here we demonstrate a method for fabricating micron-thick, flexible films consisting of a variety of highly separated transition metal dichalcogenide nanosheets for excellent band-selective photodetection. Our method is based on the non-destructive modification of transition metal dichalcogenide sheets with amine-terminated polymers. The universal interaction between amine and transition metal resulted in scalable, stable and high concentration dispersions of a single to a few layers of numerous transition metal dichalcogenides. Our MoSe2 and MoS2 composites are highly photoconductive even at bending radii as low as 200 μm on illumination of near infrared and visible light, respectively. More interestingly, simple solution mixing of MoSe2 and MoS2 gives rise to blended composite films in which the photodetection properties were controllable. The MoS2/MoSe2 (5:5) film showed broad range photodetection suitable for both visible and near infrared spectra.","author":[{"dropping-particle":"","family":"Velusamy","given":"Dhinesh Babu","non-dropping-particle":"","parse-names":false,"suffix":""},{"dropping-particle":"","family":"Kim","given":"Richard Hahnkee","non-dropping-particle":"","parse-names":false,"suffix":""},{"dropping-particle":"","family":"Cha","given":"Soonyoung","non-dropping-particle":"","parse-names":false,"suffix":""},{"dropping-particle":"","family":"Huh","given":"June","non-dropping-particle":"","parse-names":false,"suffix":""},{"dropping-particle":"","family":"Khazaeinezhad","given":"Reza","non-dropping-particle":"","parse-names":false,"suffix":""},{"dropping-particle":"","family":"Kassani","given":"Sahar Hosseinzadeh","non-dropping-particle":"","parse-names":false,"suffix":""},{"dropping-particle":"","family":"Song","given":"Giyoung","non-dropping-particle":"","parse-names":false,"suffix":""},{"dropping-particle":"","family":"Cho","given":"Suk Man","non-dropping-particle":"","parse-names":false,"suffix":""},{"dropping-particle":"","family":"Cho","given":"Sung Hwan","non-dropping-particle":"","parse-names":false,"suffix":""},{"dropping-particle":"","family":"Hwang","given":"Ihn","non-dropping-particle":"","parse-names":false,"suffix":""},{"dropping-particle":"","family":"Lee","given":"Jinseong","non-dropping-particle":"","parse-names":false,"suffix":""},{"dropping-particle":"","family":"Oh","given":"Kyunghwan","non-dropping-particle":"","parse-names":false,"suffix":""},{"dropping-particle":"","family":"Choi","given":"Hyunyoug","non-dropping-particle":"","parse-names":false,"suffix":""},{"dropping-particle":"","family":"Park","given":"Cheolmin","non-dropping-particle":"","parse-names":false,"suffix":""}],"container-title":"Nature Communications","id":"ITEM-3","issued":{"date-parts":[["2015"]]},"page":"1-11","publisher":"Nature Publishing Group","title":"Flexible transition metal dichalcogenide nanosheets for band-selective photodetection","type":"article-journal","volume":"6"},"uris":["http://www.mendeley.com/documents/?uuid=79e1cdd6-6ccd-4ea8-90ea-cf81233fb3b3"]}],"mendeley":{"formattedCitation":"&lt;sup&gt;39–41&lt;/sup&gt;","plainTextFormattedCitation":"39–41","previouslyFormattedCitation":"&lt;sup&gt;38–40&lt;/sup&gt;"},"properties":{"noteIndex":0},"schema":"https://github.com/citation-style-language/schema/raw/master/csl-citation.json"}</w:instrText>
      </w:r>
      <w:r w:rsidR="00A807F2" w:rsidRPr="00A807F2">
        <w:fldChar w:fldCharType="separate"/>
      </w:r>
      <w:r w:rsidR="001F4C34" w:rsidRPr="001F4C34">
        <w:rPr>
          <w:noProof/>
          <w:vertAlign w:val="superscript"/>
        </w:rPr>
        <w:t>39–41</w:t>
      </w:r>
      <w:r w:rsidR="00A807F2" w:rsidRPr="00A807F2">
        <w:fldChar w:fldCharType="end"/>
      </w:r>
      <w:r w:rsidR="00A807F2" w:rsidRPr="00A807F2">
        <w:t xml:space="preserve"> This super-linear dependence of photocurrent on the optical excitation power has been explained by multi-</w:t>
      </w:r>
      <w:proofErr w:type="spellStart"/>
      <w:r w:rsidR="00A807F2" w:rsidRPr="00A807F2">
        <w:t>centre</w:t>
      </w:r>
      <w:proofErr w:type="spellEnd"/>
      <w:r w:rsidR="00A807F2" w:rsidRPr="00A807F2">
        <w:t xml:space="preserve"> recombination models.</w:t>
      </w:r>
      <w:r w:rsidR="00A807F2" w:rsidRPr="00A807F2">
        <w:fldChar w:fldCharType="begin" w:fldLock="1"/>
      </w:r>
      <w:r w:rsidR="001F4C34">
        <w:instrText>ADDIN CSL_CITATION {"citationItems":[{"id":"ITEM-1","itemData":{"DOI":"10.1021/acs.nanolett.5b00190","ISBN":"1530-6984","ISSN":"1530-6984","PMID":"25723259","abstract":"Transition metal dichalcogenides (TMDs) have emerged as a new class of two-dimensional materials that are promising for electronics and photonics. To date, optoelectronic measurements in these materials have shown the conventional behavior expected from photoconductors such as a linear or sublinear dependence of the photocurrent on light intensity. Here, we report the observation of a new regime of operation where the photocurrent depends superlinearly on light intensity. We use spatially resolved photocurrent measurements on devices consisting of CVD-grown monolayers of TMD alloys spanning MoS2 to MoSe2 to show the photoconductive nature of the photoresponse, with the photocurrent dominated by recombination and field-induced carrier separation in the channel. Time-dependent photoconductivity measurements show the presence of persistent photoconductivity for the S-rich alloys, while photocurrent measurements at fixed wavelength for devices of different alloy compositions show a systematic decrease of the responsivity with increasing Se content associated with increased linearity of the current?voltage characteristics. A model based on the presence of different types of recombination centers is presented to explain the origin of the superlinear dependence on light intensity, which emerges when the nonequilibrium occupancy of initially empty fast recombination centers becomes comparable to that of slow recombination centers.","author":[{"dropping-particle":"","family":"Klee","given":"Velveth","non-dropping-particle":"","parse-names":false,"suffix":""},{"dropping-particle":"","family":"Preciado","given":"Edwin","non-dropping-particle":"","parse-names":false,"suffix":""},{"dropping-particle":"","family":"Barroso","given":"David","non-dropping-particle":"","parse-names":false,"suffix":""},{"dropping-particle":"","family":"Nguyen","given":"Ariana E","non-dropping-particle":"","parse-names":false,"suffix":""},{"dropping-particle":"","family":"Lee","given":"Chris","non-dropping-particle":"","parse-names":false,"suffix":""},{"dropping-particle":"","family":"Erickson","given":"Kristopher J","non-dropping-particle":"","parse-names":false,"suffix":""},{"dropping-particle":"","family":"Triplett","given":"Mark","non-dropping-particle":"","parse-names":false,"suffix":""},{"dropping-particle":"","family":"Davis","given":"Brandon","non-dropping-particle":"","parse-names":false,"suffix":""},{"dropping-particle":"","family":"Lu","given":"I-hsi","non-dropping-particle":"","parse-names":false,"suffix":""},{"dropping-particle":"","family":"Bobek","given":"Sarah","non-dropping-particle":"","parse-names":false,"suffix":""},{"dropping-particle":"","family":"McKinley","given":"Jessica","non-dropping-particle":"","parse-names":false,"suffix":""},{"dropping-particle":"","family":"Martinez","given":"Joseph P","non-dropping-particle":"","parse-names":false,"suffix":""},{"dropping-particle":"","family":"Mann","given":"John","non-dropping-particle":"","parse-names":false,"suffix":""},{"dropping-particle":"","family":"Talin","given":"A Alec","non-dropping-particle":"","parse-names":false,"suffix":""},{"dropping-particle":"","family":"Bartels","given":"Ludwig","non-dropping-particle":"","parse-names":false,"suffix":""},{"dropping-particle":"","family":"Léonard","given":"François","non-dropping-particle":"","parse-names":false,"suffix":""}],"container-title":"Nano Letters","id":"ITEM-1","issue":"4","issued":{"date-parts":[["2015"]]},"page":"2612-2619","title":"Superlinear Composition-Dependent Photocurrent in CVD-Grown Monolayer MoS 2(1– x ) Se 2 x Alloy Devices","type":"article-journal","volume":"15"},"uris":["http://www.mendeley.com/documents/?uuid=69bbd89e-c5af-40a6-9a23-d7b735ca3d89","http://www.mendeley.com/documents/?uuid=1188d349-8577-4fe9-af8e-d2227bdfa319"]}],"mendeley":{"formattedCitation":"&lt;sup&gt;39&lt;/sup&gt;","plainTextFormattedCitation":"39","previouslyFormattedCitation":"&lt;sup&gt;38&lt;/sup&gt;"},"properties":{"noteIndex":0},"schema":"https://github.com/citation-style-language/schema/raw/master/csl-citation.json"}</w:instrText>
      </w:r>
      <w:r w:rsidR="00A807F2" w:rsidRPr="00A807F2">
        <w:fldChar w:fldCharType="separate"/>
      </w:r>
      <w:r w:rsidR="001F4C34" w:rsidRPr="001F4C34">
        <w:rPr>
          <w:noProof/>
          <w:vertAlign w:val="superscript"/>
        </w:rPr>
        <w:t>39</w:t>
      </w:r>
      <w:r w:rsidR="00A807F2" w:rsidRPr="00A807F2">
        <w:fldChar w:fldCharType="end"/>
      </w:r>
      <w:r w:rsidR="00A807F2" w:rsidRPr="00A807F2">
        <w:t xml:space="preserve"> Given the monolayer thickness of the MoS</w:t>
      </w:r>
      <w:r w:rsidR="00A807F2" w:rsidRPr="00A807F2">
        <w:rPr>
          <w:vertAlign w:val="subscript"/>
        </w:rPr>
        <w:t>2</w:t>
      </w:r>
      <w:r w:rsidR="00A807F2" w:rsidRPr="00A807F2">
        <w:t>, a variety of recombination centers can be present due to imperfections including surface</w:t>
      </w:r>
      <w:r w:rsidR="00A807F2">
        <w:t xml:space="preserve"> </w:t>
      </w:r>
      <w:r w:rsidR="00A807F2" w:rsidRPr="00A807F2">
        <w:t>defects, edge states at grain boundaries and dangling bonds at the MoS</w:t>
      </w:r>
      <w:r w:rsidR="00A807F2" w:rsidRPr="00A807F2">
        <w:rPr>
          <w:vertAlign w:val="subscript"/>
        </w:rPr>
        <w:t>2</w:t>
      </w:r>
      <w:r w:rsidR="00A807F2" w:rsidRPr="00A807F2">
        <w:t xml:space="preserve"> surface, which could all contribute to the super-linear behavior.</w:t>
      </w:r>
      <w:r w:rsidR="00A807F2" w:rsidRPr="00A807F2">
        <w:fldChar w:fldCharType="begin" w:fldLock="1"/>
      </w:r>
      <w:r w:rsidR="001F4C34">
        <w:instrText>ADDIN CSL_CITATION {"citationItems":[{"id":"ITEM-1","itemData":{"DOI":"10.1063/1.355310","ISSN":"00218979","author":[{"dropping-particle":"","family":"Bube","given":"Richard H","non-dropping-particle":"","parse-names":false,"suffix":""}],"container-title":"Journal of Applied Physics","id":"ITEM-1","issue":"8","issued":{"date-parts":[["1993"]]},"page":"5138-5143","title":"A new mechanism for superlinear photoconductivity with relevance to amorphous silicon","type":"article-journal","volume":"74"},"uris":["http://www.mendeley.com/documents/?uuid=d5d7bfe9-6499-463d-a6e2-0347d92fa7ef","http://www.mendeley.com/documents/?uuid=e33c1bbd-15cf-4849-9422-11abf7c36ba6"]},{"id":"ITEM-2","itemData":{"DOI":"10.1103/PhysRevLett.87.196803","ISBN":"0031-9007 (Print)\\r0031-9007 (Linking)","ISSN":"0031-9007","PMID":"11690441","abstract":"By the use of density functional calculations it is shown that the edges of a two-dimensional slab of insulating MoS2 exhibit several metallic states. These edge states can be viewed as one-dimensional conducting wires, and we show that they can be observed directly using scanning tunneling microscopy for single-layer MoS2 nanoparticles grown on a support.","author":[{"dropping-particle":"V.","family":"Bollinger","given":"M.","non-dropping-particle":"","parse-names":false,"suffix":""},{"dropping-particle":"V.","family":"Lauritsen","given":"J.","non-dropping-particle":"","parse-names":false,"suffix":""},{"dropping-particle":"","family":"Jacobsen","given":"K. W.","non-dropping-particle":"","parse-names":false,"suffix":""},{"dropping-particle":"","family":"Nørskov","given":"J. K.","non-dropping-particle":"","parse-names":false,"suffix":""},{"dropping-particle":"","family":"Helveg","given":"S.","non-dropping-particle":"","parse-names":false,"suffix":""},{"dropping-particle":"","family":"Besenbacher","given":"F.","non-dropping-particle":"","parse-names":false,"suffix":""}],"container-title":"Physical Review Letters","id":"ITEM-2","issue":"19","issued":{"date-parts":[["2001","10"]]},"page":"196803","title":"One-Dimensional Metallic Edge States in MoS2","type":"article-journal","volume":"87"},"uris":["http://www.mendeley.com/documents/?uuid=af743c26-5dca-4420-b549-64f6630a023b","http://www.mendeley.com/documents/?uuid=0d2d817f-700f-455c-b707-56383063ea21"]},{"id":"ITEM-3","itemData":{"DOI":"10.1021/nl4007479","ISSN":"1530-6984","author":[{"dropping-particle":"","family":"Zhou","given":"Wu","non-dropping-particle":"","parse-names":false,"suffix":""},{"dropping-particle":"","family":"Zou","given":"Xiaolong","non-dropping-particle":"","parse-names":false,"suffix":""},{"dropping-particle":"","family":"Najmaei","given":"Sina","non-dropping-particle":"","parse-names":false,"suffix":""},{"dropping-particle":"","family":"Liu","given":"Zheng","non-dropping-particle":"","parse-names":false,"suffix":""},{"dropping-particle":"","family":"Shi","given":"Yumeng","non-dropping-particle":"","parse-names":false,"suffix":""},{"dropping-particle":"","family":"Kong","given":"Jing","non-dropping-particle":"","parse-names":false,"suffix":""},{"dropping-particle":"","family":"Lou","given":"Jun","non-dropping-particle":"","parse-names":false,"suffix":""},{"dropping-particle":"","family":"Ajayan","given":"Pulickel M.","non-dropping-particle":"","parse-names":false,"suffix":""},{"dropping-particle":"","family":"Yakobson","given":"Boris I.","non-dropping-particle":"","parse-names":false,"suffix":""},{"dropping-particle":"","family":"Idrobo","given":"Juan-Carlos","non-dropping-particle":"","parse-names":false,"suffix":""}],"container-title":"Nano Letters","id":"ITEM-3","issue":"6","issued":{"date-parts":[["2013","6"]]},"page":"2615-2622","title":"Intrinsic Structural Defects in Monolayer Molybdenum Disulfide","type":"article-journal","volume":"13"},"uris":["http://www.mendeley.com/documents/?uuid=c387939d-6d8d-4c3e-8e85-73431637cbdf","http://www.mendeley.com/documents/?uuid=6350b11f-143c-452f-ad31-57ab63b36d46"]},{"id":"ITEM-4","itemData":{"DOI":"10.1038/srep02657","ISBN":"2045-2322","ISSN":"2045-2322","PMID":"24029823","abstract":"Point defects in semiconductors can trap free charge carriers and localize excitons. The interaction between these defects and charge carriers becomes stronger at reduced dimensionalities, and is expected to greatly influence physical properties of the hosting material. We investigated effects of anion vacancies in monolayer transition metal dichalcogenides as two-dimensional (2D) semiconductors where the vacancies density is controlled by α-particle irradiation or thermal-annealing. We found a new, sub-bandgap emission peak as well as increase in overall photoluminescence intensity as a result of the vacancy generation. Interestingly, these effects are absent when measured in vacuum. We conclude that in opposite to conventional wisdom, optical quality at room temperature cannot be used as criteria to assess crystal quality of the 2D semiconductors. Our results not only shed light on defect and exciton physics of 2D semiconductors, but also offer a new route toward tailoring optical properties of 2D semiconductors by defect engineering.","author":[{"dropping-particle":"","family":"Tongay","given":"Sefaattin","non-dropping-particle":"","parse-names":false,"suffix":""},{"dropping-particle":"","family":"Suh","given":"Joonki","non-dropping-particle":"","parse-names":false,"suffix":""},{"dropping-particle":"","family":"Ataca","given":"Can","non-dropping-particle":"","parse-names":false,"suffix":""},{"dropping-particle":"","family":"Fan","given":"Wen","non-dropping-particle":"","parse-names":false,"suffix":""},{"dropping-particle":"","family":"Luce","given":"Alexander","non-dropping-particle":"","parse-names":false,"suffix":""},{"dropping-particle":"","family":"Kang","given":"Jeong Seuk","non-dropping-particle":"","parse-names":false,"suffix":""},{"dropping-particle":"","family":"Liu","given":"Jonathan","non-dropping-particle":"","parse-names":false,"suffix":""},{"dropping-particle":"","family":"Ko","given":"Changhyun","non-dropping-particle":"","parse-names":false,"suffix":""},{"dropping-particle":"","family":"Raghunathanan","given":"Rajamani","non-dropping-particle":"","parse-names":false,"suffix":""},{"dropping-particle":"","family":"Zhou","given":"Jian","non-dropping-particle":"","parse-names":false,"suffix":""},{"dropping-particle":"","family":"Ogletree","given":"Frank","non-dropping-particle":"","parse-names":false,"suffix":""},{"dropping-particle":"","family":"Li","given":"Jingbo","non-dropping-particle":"","parse-names":false,"suffix":""},{"dropping-particle":"","family":"Grossman","given":"Jeffrey C.","non-dropping-particle":"","parse-names":false,"suffix":""},{"dropping-particle":"","family":"Wu","given":"Junqiao","non-dropping-particle":"","parse-names":false,"suffix":""}],"container-title":"Scientific Reports","id":"ITEM-4","issue":"1","issued":{"date-parts":[["2013"]]},"page":"2657","title":"Defects activated photoluminescence in two-dimensional semiconductors: interplay between bound, charged, and free excitons","type":"article-journal","volume":"3"},"uris":["http://www.mendeley.com/documents/?uuid=2062d5a9-7f51-4447-ba49-d9f7420987b6","http://www.mendeley.com/documents/?uuid=e4017a7a-d9a4-494d-9390-c66a9cc2b2b3"]},{"id":"ITEM-5","itemData":{"DOI":"10.1021/acs.nanolett.5b00190","ISBN":"1530-6984","ISSN":"1530-6984","PMID":"25723259","abstract":"Transition metal dichalcogenides (TMDs) have emerged as a new class of two-dimensional materials that are promising for electronics and photonics. To date, optoelectronic measurements in these materials have shown the conventional behavior expected from photoconductors such as a linear or sublinear dependence of the photocurrent on light intensity. Here, we report the observation of a new regime of operation where the photocurrent depends superlinearly on light intensity. We use spatially resolved photocurrent measurements on devices consisting of CVD-grown monolayers of TMD alloys spanning MoS2 to MoSe2 to show the photoconductive nature of the photoresponse, with the photocurrent dominated by recombination and field-induced carrier separation in the channel. Time-dependent photoconductivity measurements show the presence of persistent photoconductivity for the S-rich alloys, while photocurrent measurements at fixed wavelength for devices of different alloy compositions show a systematic decrease of the responsivity with increasing Se content associated with increased linearity of the current?voltage characteristics. A model based on the presence of different types of recombination centers is presented to explain the origin of the superlinear dependence on light intensity, which emerges when the nonequilibrium occupancy of initially empty fast recombination centers becomes comparable to that of slow recombination centers.","author":[{"dropping-particle":"","family":"Klee","given":"Velveth","non-dropping-particle":"","parse-names":false,"suffix":""},{"dropping-particle":"","family":"Preciado","given":"Edwin","non-dropping-particle":"","parse-names":false,"suffix":""},{"dropping-particle":"","family":"Barroso","given":"David","non-dropping-particle":"","parse-names":false,"suffix":""},{"dropping-particle":"","family":"Nguyen","given":"Ariana E","non-dropping-particle":"","parse-names":false,"suffix":""},{"dropping-particle":"","family":"Lee","given":"Chris","non-dropping-particle":"","parse-names":false,"suffix":""},{"dropping-particle":"","family":"Erickson","given":"Kristopher J","non-dropping-particle":"","parse-names":false,"suffix":""},{"dropping-particle":"","family":"Triplett","given":"Mark","non-dropping-particle":"","parse-names":false,"suffix":""},{"dropping-particle":"","family":"Davis","given":"Brandon","non-dropping-particle":"","parse-names":false,"suffix":""},{"dropping-particle":"","family":"Lu","given":"I-hsi","non-dropping-particle":"","parse-names":false,"suffix":""},{"dropping-particle":"","family":"Bobek","given":"Sarah","non-dropping-particle":"","parse-names":false,"suffix":""},{"dropping-particle":"","family":"McKinley","given":"Jessica","non-dropping-particle":"","parse-names":false,"suffix":""},{"dropping-particle":"","family":"Martinez","given":"Joseph P","non-dropping-particle":"","parse-names":false,"suffix":""},{"dropping-particle":"","family":"Mann","given":"John","non-dropping-particle":"","parse-names":false,"suffix":""},{"dropping-particle":"","family":"Talin","given":"A Alec","non-dropping-particle":"","parse-names":false,"suffix":""},{"dropping-particle":"","family":"Bartels","given":"Ludwig","non-dropping-particle":"","parse-names":false,"suffix":""},{"dropping-particle":"","family":"Léonard","given":"François","non-dropping-particle":"","parse-names":false,"suffix":""}],"container-title":"Nano Letters","id":"ITEM-5","issue":"4","issued":{"date-parts":[["2015"]]},"page":"2612-2619","title":"Superlinear Composition-Dependent Photocurrent in CVD-Grown Monolayer MoS 2(1– x ) Se 2 x Alloy Devices","type":"article-journal","volume":"15"},"uris":["http://www.mendeley.com/documents/?uuid=69bbd89e-c5af-40a6-9a23-d7b735ca3d89","http://www.mendeley.com/documents/?uuid=1188d349-8577-4fe9-af8e-d2227bdfa319"]}],"mendeley":{"formattedCitation":"&lt;sup&gt;39,42–45&lt;/sup&gt;","plainTextFormattedCitation":"39,42–45","previouslyFormattedCitation":"&lt;sup&gt;38,41–44&lt;/sup&gt;"},"properties":{"noteIndex":0},"schema":"https://github.com/citation-style-language/schema/raw/master/csl-citation.json"}</w:instrText>
      </w:r>
      <w:r w:rsidR="00A807F2" w:rsidRPr="00A807F2">
        <w:fldChar w:fldCharType="separate"/>
      </w:r>
      <w:r w:rsidR="001F4C34" w:rsidRPr="001F4C34">
        <w:rPr>
          <w:noProof/>
          <w:vertAlign w:val="superscript"/>
        </w:rPr>
        <w:t>39,42–45</w:t>
      </w:r>
      <w:r w:rsidR="00A807F2" w:rsidRPr="00A807F2">
        <w:fldChar w:fldCharType="end"/>
      </w:r>
    </w:p>
    <w:p w14:paraId="7033275D" w14:textId="77777777" w:rsidR="004118A1" w:rsidRDefault="004118A1" w:rsidP="00A807F2">
      <w:pPr>
        <w:pStyle w:val="TAMainText"/>
      </w:pPr>
    </w:p>
    <w:p w14:paraId="757A20E7" w14:textId="77777777" w:rsidR="004118A1" w:rsidRDefault="004118A1" w:rsidP="00A807F2">
      <w:pPr>
        <w:pStyle w:val="TAMainText"/>
      </w:pPr>
    </w:p>
    <w:p w14:paraId="5D40135D" w14:textId="2DAEED13" w:rsidR="004118A1" w:rsidRDefault="00A15A23" w:rsidP="004118A1">
      <w:pPr>
        <w:pStyle w:val="TAMainText"/>
        <w:ind w:firstLine="0"/>
      </w:pPr>
      <w:r>
        <w:rPr>
          <w:noProof/>
          <w:lang w:val="en-IE" w:eastAsia="en-IE"/>
        </w:rPr>
        <w:lastRenderedPageBreak/>
        <w:drawing>
          <wp:inline distT="0" distB="0" distL="0" distR="0" wp14:anchorId="2AC9C41A" wp14:editId="4FF0B6E5">
            <wp:extent cx="6300000" cy="5579376"/>
            <wp:effectExtent l="0" t="0" r="571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 4 - Revised.tif"/>
                    <pic:cNvPicPr/>
                  </pic:nvPicPr>
                  <pic:blipFill rotWithShape="1">
                    <a:blip r:embed="rId12">
                      <a:extLst>
                        <a:ext uri="{28A0092B-C50C-407E-A947-70E740481C1C}">
                          <a14:useLocalDpi xmlns:a14="http://schemas.microsoft.com/office/drawing/2010/main" val="0"/>
                        </a:ext>
                      </a:extLst>
                    </a:blip>
                    <a:srcRect l="2885" t="2241" r="4647" b="2329"/>
                    <a:stretch/>
                  </pic:blipFill>
                  <pic:spPr bwMode="auto">
                    <a:xfrm>
                      <a:off x="0" y="0"/>
                      <a:ext cx="6300000" cy="5579376"/>
                    </a:xfrm>
                    <a:prstGeom prst="rect">
                      <a:avLst/>
                    </a:prstGeom>
                    <a:ln>
                      <a:noFill/>
                    </a:ln>
                    <a:extLst>
                      <a:ext uri="{53640926-AAD7-44D8-BBD7-CCE9431645EC}">
                        <a14:shadowObscured xmlns:a14="http://schemas.microsoft.com/office/drawing/2010/main"/>
                      </a:ext>
                    </a:extLst>
                  </pic:spPr>
                </pic:pic>
              </a:graphicData>
            </a:graphic>
          </wp:inline>
        </w:drawing>
      </w:r>
    </w:p>
    <w:p w14:paraId="48D99CDE" w14:textId="00D056BC" w:rsidR="004118A1" w:rsidRPr="004118A1" w:rsidRDefault="004118A1" w:rsidP="00064FFA">
      <w:pPr>
        <w:pStyle w:val="VAFigureCaption"/>
        <w:rPr>
          <w:lang w:val="en-GB"/>
        </w:rPr>
      </w:pPr>
      <w:r>
        <w:rPr>
          <w:b/>
          <w:lang w:val="en-GB"/>
        </w:rPr>
        <w:t>Figure</w:t>
      </w:r>
      <w:r w:rsidRPr="004118A1">
        <w:rPr>
          <w:b/>
          <w:lang w:val="en-GB"/>
        </w:rPr>
        <w:t xml:space="preserve"> 4: </w:t>
      </w:r>
      <w:r w:rsidRPr="004118A1">
        <w:rPr>
          <w:lang w:val="en-GB"/>
        </w:rPr>
        <w:t>(a-c) Photocurrent measured from MoS</w:t>
      </w:r>
      <w:r w:rsidRPr="004118A1">
        <w:rPr>
          <w:vertAlign w:val="subscript"/>
          <w:lang w:val="en-GB"/>
        </w:rPr>
        <w:t xml:space="preserve">2 </w:t>
      </w:r>
      <w:r w:rsidRPr="004118A1">
        <w:rPr>
          <w:lang w:val="en-GB"/>
        </w:rPr>
        <w:t>devices as a function of laser excitation power before (</w:t>
      </w:r>
      <w:r w:rsidR="000E29B0">
        <w:rPr>
          <w:lang w:val="en-GB"/>
        </w:rPr>
        <w:t xml:space="preserve">open </w:t>
      </w:r>
      <w:r w:rsidRPr="004118A1">
        <w:rPr>
          <w:lang w:val="en-GB"/>
        </w:rPr>
        <w:t xml:space="preserve">black </w:t>
      </w:r>
      <w:r w:rsidR="00A4417B">
        <w:rPr>
          <w:lang w:val="en-GB"/>
        </w:rPr>
        <w:t>triangles</w:t>
      </w:r>
      <w:r w:rsidRPr="004118A1">
        <w:rPr>
          <w:lang w:val="en-GB"/>
        </w:rPr>
        <w:t>) and after the addition of the QD sensitizing layers</w:t>
      </w:r>
      <w:r w:rsidR="000E29B0">
        <w:rPr>
          <w:lang w:val="en-GB"/>
        </w:rPr>
        <w:t xml:space="preserve"> (</w:t>
      </w:r>
      <w:r w:rsidR="00A4417B">
        <w:rPr>
          <w:lang w:val="en-GB"/>
        </w:rPr>
        <w:t>filled triangles</w:t>
      </w:r>
      <w:r w:rsidR="000E29B0">
        <w:rPr>
          <w:lang w:val="en-GB"/>
        </w:rPr>
        <w:t>)</w:t>
      </w:r>
      <w:r w:rsidRPr="004118A1">
        <w:rPr>
          <w:lang w:val="en-GB"/>
        </w:rPr>
        <w:t>. Dotted lines in a-c are fits to the experimental data. (d-f) Photocurrent enhancement of MoS</w:t>
      </w:r>
      <w:r w:rsidRPr="004118A1">
        <w:rPr>
          <w:vertAlign w:val="subscript"/>
          <w:lang w:val="en-GB"/>
        </w:rPr>
        <w:t>2</w:t>
      </w:r>
      <w:r w:rsidRPr="004118A1">
        <w:rPr>
          <w:lang w:val="en-GB"/>
        </w:rPr>
        <w:t xml:space="preserve">, </w:t>
      </w:r>
      <m:oMath>
        <m:sSub>
          <m:sSubPr>
            <m:ctrlPr>
              <w:rPr>
                <w:rFonts w:ascii="Cambria Math" w:hAnsi="Cambria Math"/>
                <w:i/>
              </w:rPr>
            </m:ctrlPr>
          </m:sSubPr>
          <m:e>
            <m:r>
              <w:rPr>
                <w:rFonts w:ascii="Cambria Math" w:hAnsi="Cambria Math"/>
              </w:rPr>
              <m:t>E</m:t>
            </m:r>
          </m:e>
          <m:sub>
            <m:r>
              <w:rPr>
                <w:rFonts w:ascii="Cambria Math" w:hAnsi="Cambria Math"/>
              </w:rPr>
              <m:t>Acc</m:t>
            </m:r>
          </m:sub>
        </m:sSub>
      </m:oMath>
      <w:r w:rsidRPr="004118A1">
        <w:rPr>
          <w:lang w:val="en-GB"/>
        </w:rPr>
        <w:t>, due to the presence of the QD sensitizing layers as a function of laser excitation power. (g-i) Photoresponsivity as a function of optical excitation power for each of the MoS</w:t>
      </w:r>
      <w:r w:rsidRPr="004118A1">
        <w:rPr>
          <w:vertAlign w:val="subscript"/>
          <w:lang w:val="en-GB"/>
        </w:rPr>
        <w:t>2</w:t>
      </w:r>
      <w:r w:rsidRPr="004118A1">
        <w:rPr>
          <w:lang w:val="en-GB"/>
        </w:rPr>
        <w:t xml:space="preserve"> devices before (</w:t>
      </w:r>
      <w:r w:rsidR="008E354C">
        <w:rPr>
          <w:lang w:val="en-GB"/>
        </w:rPr>
        <w:t xml:space="preserve">open </w:t>
      </w:r>
      <w:r w:rsidRPr="004118A1">
        <w:rPr>
          <w:lang w:val="en-GB"/>
        </w:rPr>
        <w:t xml:space="preserve">black </w:t>
      </w:r>
      <w:r w:rsidR="00A4417B">
        <w:rPr>
          <w:lang w:val="en-GB"/>
        </w:rPr>
        <w:t>squares</w:t>
      </w:r>
      <w:r w:rsidRPr="004118A1">
        <w:rPr>
          <w:lang w:val="en-GB"/>
        </w:rPr>
        <w:t xml:space="preserve">) and after the addition of the QD sensitizing layers (450 nm QDs blue </w:t>
      </w:r>
      <w:r w:rsidR="00A4417B">
        <w:rPr>
          <w:lang w:val="en-GB"/>
        </w:rPr>
        <w:t>squares</w:t>
      </w:r>
      <w:r w:rsidRPr="004118A1">
        <w:rPr>
          <w:lang w:val="en-GB"/>
        </w:rPr>
        <w:t xml:space="preserve"> in g, 530 </w:t>
      </w:r>
      <w:r w:rsidR="0094386B">
        <w:rPr>
          <w:lang w:val="en-GB"/>
        </w:rPr>
        <w:t xml:space="preserve">nm </w:t>
      </w:r>
      <w:r w:rsidRPr="004118A1">
        <w:rPr>
          <w:lang w:val="en-GB"/>
        </w:rPr>
        <w:t xml:space="preserve">QDs green </w:t>
      </w:r>
      <w:r w:rsidR="00A4417B">
        <w:rPr>
          <w:lang w:val="en-GB"/>
        </w:rPr>
        <w:t>squares</w:t>
      </w:r>
      <w:r w:rsidRPr="004118A1">
        <w:rPr>
          <w:lang w:val="en-GB"/>
        </w:rPr>
        <w:t xml:space="preserve"> in h, 630 </w:t>
      </w:r>
      <w:r w:rsidR="0094386B">
        <w:rPr>
          <w:lang w:val="en-GB"/>
        </w:rPr>
        <w:t xml:space="preserve">nm </w:t>
      </w:r>
      <w:r w:rsidRPr="004118A1">
        <w:rPr>
          <w:lang w:val="en-GB"/>
        </w:rPr>
        <w:t xml:space="preserve">QDs red </w:t>
      </w:r>
      <w:r w:rsidR="00A4417B">
        <w:rPr>
          <w:lang w:val="en-GB"/>
        </w:rPr>
        <w:t>squares</w:t>
      </w:r>
      <w:r w:rsidRPr="004118A1">
        <w:rPr>
          <w:lang w:val="en-GB"/>
        </w:rPr>
        <w:t xml:space="preserve"> in </w:t>
      </w:r>
      <w:proofErr w:type="spellStart"/>
      <w:r w:rsidRPr="004118A1">
        <w:rPr>
          <w:lang w:val="en-GB"/>
        </w:rPr>
        <w:t>i</w:t>
      </w:r>
      <w:proofErr w:type="spellEnd"/>
      <w:r w:rsidRPr="004118A1">
        <w:rPr>
          <w:lang w:val="en-GB"/>
        </w:rPr>
        <w:t>).</w:t>
      </w:r>
    </w:p>
    <w:p w14:paraId="08C3FD05" w14:textId="77777777" w:rsidR="00A807F2" w:rsidRPr="00A807F2" w:rsidRDefault="00A807F2" w:rsidP="00A807F2">
      <w:pPr>
        <w:pStyle w:val="TAMainText"/>
      </w:pPr>
      <w:r w:rsidRPr="00A807F2">
        <w:lastRenderedPageBreak/>
        <w:t>A polynomial of the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
        <w:gridCol w:w="8386"/>
        <w:gridCol w:w="698"/>
      </w:tblGrid>
      <w:tr w:rsidR="00A807F2" w:rsidRPr="00A807F2" w14:paraId="53F26AFE" w14:textId="77777777" w:rsidTr="004118A1">
        <w:tc>
          <w:tcPr>
            <w:tcW w:w="276" w:type="dxa"/>
            <w:vAlign w:val="center"/>
          </w:tcPr>
          <w:p w14:paraId="43E5A45C" w14:textId="77777777" w:rsidR="00A807F2" w:rsidRPr="00A807F2" w:rsidRDefault="00A807F2" w:rsidP="00A807F2">
            <w:pPr>
              <w:pStyle w:val="TAMainText"/>
            </w:pPr>
          </w:p>
        </w:tc>
        <w:tc>
          <w:tcPr>
            <w:tcW w:w="8386" w:type="dxa"/>
            <w:vAlign w:val="center"/>
          </w:tcPr>
          <w:p w14:paraId="5BDF30BE" w14:textId="748ABAB7" w:rsidR="00A807F2" w:rsidRPr="00A807F2" w:rsidRDefault="00F6410F" w:rsidP="00A807F2">
            <w:pPr>
              <w:pStyle w:val="TAMainText"/>
            </w:pPr>
            <m:oMathPara>
              <m:oMath>
                <m:sSubSup>
                  <m:sSubSupPr>
                    <m:ctrlPr>
                      <w:rPr>
                        <w:rFonts w:ascii="Cambria Math" w:hAnsi="Cambria Math"/>
                        <w:i/>
                      </w:rPr>
                    </m:ctrlPr>
                  </m:sSubSupPr>
                  <m:e>
                    <m:sSup>
                      <m:sSupPr>
                        <m:ctrlPr>
                          <w:rPr>
                            <w:rFonts w:ascii="Cambria Math" w:hAnsi="Cambria Math"/>
                            <w:i/>
                          </w:rPr>
                        </m:ctrlPr>
                      </m:sSupPr>
                      <m:e>
                        <m:r>
                          <w:rPr>
                            <w:rFonts w:ascii="Cambria Math" w:hAnsi="Cambria Math"/>
                          </w:rPr>
                          <m:t>I</m:t>
                        </m:r>
                      </m:e>
                      <m:sup>
                        <m:r>
                          <w:rPr>
                            <w:rFonts w:ascii="Cambria Math" w:hAnsi="Cambria Math"/>
                          </w:rPr>
                          <m:t>Ph</m:t>
                        </m:r>
                      </m:sup>
                    </m:sSup>
                    <m:r>
                      <w:rPr>
                        <w:rFonts w:ascii="Cambria Math" w:hAnsi="Cambria Math"/>
                      </w:rPr>
                      <m:t>=AP</m:t>
                    </m:r>
                  </m:e>
                  <m:sub>
                    <m:r>
                      <w:rPr>
                        <w:rFonts w:ascii="Cambria Math" w:hAnsi="Cambria Math"/>
                      </w:rPr>
                      <m:t>ex</m:t>
                    </m:r>
                  </m:sub>
                  <m:sup>
                    <m:r>
                      <w:rPr>
                        <w:rFonts w:ascii="Cambria Math" w:hAnsi="Cambria Math"/>
                      </w:rPr>
                      <m:t>0.5</m:t>
                    </m:r>
                  </m:sup>
                </m:sSubSup>
                <m:r>
                  <w:rPr>
                    <w:rFonts w:ascii="Cambria Math" w:hAnsi="Cambria Math"/>
                  </w:rPr>
                  <m:t>+</m:t>
                </m:r>
                <m:sSub>
                  <m:sSubPr>
                    <m:ctrlPr>
                      <w:rPr>
                        <w:rFonts w:ascii="Cambria Math" w:hAnsi="Cambria Math"/>
                        <w:i/>
                      </w:rPr>
                    </m:ctrlPr>
                  </m:sSubPr>
                  <m:e>
                    <m:r>
                      <w:rPr>
                        <w:rFonts w:ascii="Cambria Math" w:hAnsi="Cambria Math"/>
                      </w:rPr>
                      <m:t>BP</m:t>
                    </m:r>
                  </m:e>
                  <m:sub>
                    <m:r>
                      <w:rPr>
                        <w:rFonts w:ascii="Cambria Math" w:hAnsi="Cambria Math"/>
                      </w:rPr>
                      <m:t>Ex</m:t>
                    </m:r>
                  </m:sub>
                </m:sSub>
                <m:r>
                  <w:rPr>
                    <w:rFonts w:ascii="Cambria Math" w:hAnsi="Cambria Math"/>
                  </w:rPr>
                  <m:t>+</m:t>
                </m:r>
                <m:sSubSup>
                  <m:sSubSupPr>
                    <m:ctrlPr>
                      <w:rPr>
                        <w:rFonts w:ascii="Cambria Math" w:hAnsi="Cambria Math"/>
                        <w:i/>
                      </w:rPr>
                    </m:ctrlPr>
                  </m:sSubSupPr>
                  <m:e>
                    <m:r>
                      <w:rPr>
                        <w:rFonts w:ascii="Cambria Math" w:hAnsi="Cambria Math"/>
                      </w:rPr>
                      <m:t>CP</m:t>
                    </m:r>
                  </m:e>
                  <m:sub>
                    <m:r>
                      <w:rPr>
                        <w:rFonts w:ascii="Cambria Math" w:hAnsi="Cambria Math"/>
                      </w:rPr>
                      <m:t>Ex</m:t>
                    </m:r>
                  </m:sub>
                  <m:sup>
                    <m:r>
                      <w:rPr>
                        <w:rFonts w:ascii="Cambria Math" w:hAnsi="Cambria Math"/>
                      </w:rPr>
                      <m:t>2</m:t>
                    </m:r>
                  </m:sup>
                </m:sSubSup>
              </m:oMath>
            </m:oMathPara>
          </w:p>
        </w:tc>
        <w:tc>
          <w:tcPr>
            <w:tcW w:w="698" w:type="dxa"/>
            <w:vAlign w:val="center"/>
          </w:tcPr>
          <w:p w14:paraId="1C5DC244" w14:textId="77777777" w:rsidR="00A807F2" w:rsidRPr="00A807F2" w:rsidRDefault="00A807F2" w:rsidP="00A807F2">
            <w:pPr>
              <w:pStyle w:val="TAMainText"/>
            </w:pPr>
            <w:r w:rsidRPr="00A807F2">
              <w:t>(1)</w:t>
            </w:r>
            <w:r w:rsidRPr="00A807F2">
              <w:rPr>
                <w:lang w:val="en-IE"/>
              </w:rPr>
              <w:t xml:space="preserve"> </w:t>
            </w:r>
          </w:p>
        </w:tc>
      </w:tr>
    </w:tbl>
    <w:p w14:paraId="0203304C" w14:textId="2F097D6D" w:rsidR="00A807F2" w:rsidRPr="00A807F2" w:rsidRDefault="00A807F2" w:rsidP="00A807F2">
      <w:pPr>
        <w:pStyle w:val="TAMainText"/>
      </w:pPr>
      <w:r w:rsidRPr="00A807F2">
        <w:t>is found to fit photocurrent data measured from the devices before and after adding the QD sensitizin</w:t>
      </w:r>
      <w:r w:rsidR="00970DE5">
        <w:t>g layers, as can be seen in Figure</w:t>
      </w:r>
      <w:r w:rsidRPr="00A807F2">
        <w:t xml:space="preserve"> 4, panels a-c. </w:t>
      </w:r>
      <m:oMath>
        <m:r>
          <w:rPr>
            <w:rFonts w:ascii="Cambria Math" w:hAnsi="Cambria Math"/>
          </w:rPr>
          <m:t>A</m:t>
        </m:r>
      </m:oMath>
      <w:r w:rsidRPr="00A807F2">
        <w:t xml:space="preserve">, </w:t>
      </w:r>
      <m:oMath>
        <m:r>
          <w:rPr>
            <w:rFonts w:ascii="Cambria Math" w:hAnsi="Cambria Math"/>
          </w:rPr>
          <m:t>B</m:t>
        </m:r>
      </m:oMath>
      <w:r w:rsidRPr="00A807F2">
        <w:t>, and</w:t>
      </w:r>
      <w:r w:rsidRPr="00A807F2">
        <w:rPr>
          <w:i/>
        </w:rPr>
        <w:t xml:space="preserve"> </w:t>
      </w:r>
      <m:oMath>
        <m:r>
          <w:rPr>
            <w:rFonts w:ascii="Cambria Math" w:hAnsi="Cambria Math"/>
          </w:rPr>
          <m:t>C</m:t>
        </m:r>
      </m:oMath>
      <w:r w:rsidRPr="00A807F2">
        <w:t xml:space="preserve"> are fitting coefficients corresponding to sub-linear, linear and super-linear regimes, respectively. </w:t>
      </w:r>
    </w:p>
    <w:p w14:paraId="4F60952C" w14:textId="7BB2FAC3" w:rsidR="00A807F2" w:rsidRPr="00A807F2" w:rsidRDefault="00A807F2" w:rsidP="00A807F2">
      <w:pPr>
        <w:pStyle w:val="TAMainText"/>
      </w:pPr>
      <w:r w:rsidRPr="00A807F2">
        <w:t>The coefficients extracted from the fits usi</w:t>
      </w:r>
      <w:r w:rsidR="00970DE5">
        <w:t xml:space="preserve">ng </w:t>
      </w:r>
      <w:proofErr w:type="spellStart"/>
      <w:r w:rsidR="00970DE5">
        <w:t>eqn</w:t>
      </w:r>
      <w:proofErr w:type="spellEnd"/>
      <w:r w:rsidR="00970DE5">
        <w:t xml:space="preserve"> (1) are presented in Figure</w:t>
      </w:r>
      <w:r w:rsidRPr="00A807F2">
        <w:t xml:space="preserve"> 4, panels a-c. To quantify the average enhancement of photocurrent across the full excitation power range in the MoS</w:t>
      </w:r>
      <w:r w:rsidRPr="00A807F2">
        <w:rPr>
          <w:vertAlign w:val="subscript"/>
        </w:rPr>
        <w:t>2</w:t>
      </w:r>
      <w:r w:rsidRPr="00A807F2">
        <w:t xml:space="preserve"> devices due to the inclusion of the QD sensitizing layers, the average photocurrent ratio, </w:t>
      </w:r>
      <m:oMath>
        <m:d>
          <m:dPr>
            <m:begChr m:val="〈"/>
            <m:endChr m:val="〉"/>
            <m:ctrlPr>
              <w:rPr>
                <w:rFonts w:ascii="Cambria Math" w:hAnsi="Cambria Math"/>
                <w:i/>
              </w:rPr>
            </m:ctrlPr>
          </m:dPr>
          <m:e>
            <m:r>
              <w:rPr>
                <w:rFonts w:ascii="Cambria Math" w:hAnsi="Cambria Math"/>
              </w:rPr>
              <m:t>E</m:t>
            </m:r>
          </m:e>
        </m:d>
      </m:oMath>
      <w:r w:rsidRPr="00A807F2">
        <w:t>, was considered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
        <w:gridCol w:w="8386"/>
        <w:gridCol w:w="698"/>
      </w:tblGrid>
      <w:tr w:rsidR="00A807F2" w:rsidRPr="00A807F2" w14:paraId="437E7D08" w14:textId="77777777" w:rsidTr="004118A1">
        <w:tc>
          <w:tcPr>
            <w:tcW w:w="276" w:type="dxa"/>
            <w:vAlign w:val="center"/>
          </w:tcPr>
          <w:p w14:paraId="1F79B599" w14:textId="77777777" w:rsidR="00A807F2" w:rsidRPr="00A807F2" w:rsidRDefault="00A807F2" w:rsidP="00A807F2">
            <w:pPr>
              <w:pStyle w:val="TAMainText"/>
            </w:pPr>
          </w:p>
        </w:tc>
        <w:tc>
          <w:tcPr>
            <w:tcW w:w="8386" w:type="dxa"/>
            <w:vAlign w:val="center"/>
          </w:tcPr>
          <w:p w14:paraId="1B386D73" w14:textId="1102AE5D" w:rsidR="00A807F2" w:rsidRPr="00A807F2" w:rsidRDefault="00F6410F" w:rsidP="00A807F2">
            <w:pPr>
              <w:pStyle w:val="TAMainText"/>
            </w:pPr>
            <m:oMathPara>
              <m:oMath>
                <m:d>
                  <m:dPr>
                    <m:begChr m:val="〈"/>
                    <m:endChr m:val="〉"/>
                    <m:ctrlPr>
                      <w:rPr>
                        <w:rFonts w:ascii="Cambria Math" w:hAnsi="Cambria Math"/>
                        <w:i/>
                      </w:rPr>
                    </m:ctrlPr>
                  </m:dPr>
                  <m:e>
                    <m:r>
                      <w:rPr>
                        <w:rFonts w:ascii="Cambria Math" w:hAnsi="Cambria Math"/>
                      </w:rPr>
                      <m:t>E</m:t>
                    </m:r>
                  </m:e>
                </m:d>
                <m:r>
                  <w:rPr>
                    <w:rFonts w:ascii="Cambria Math" w:hAnsi="Cambria Math"/>
                  </w:rPr>
                  <m:t>=</m:t>
                </m:r>
                <m:f>
                  <m:fPr>
                    <m:ctrlPr>
                      <w:rPr>
                        <w:rFonts w:ascii="Cambria Math" w:hAnsi="Cambria Math"/>
                        <w:i/>
                      </w:rPr>
                    </m:ctrlPr>
                  </m:fPr>
                  <m:num>
                    <m:d>
                      <m:dPr>
                        <m:begChr m:val="〈"/>
                        <m:endChr m:val="〉"/>
                        <m:ctrlPr>
                          <w:rPr>
                            <w:rFonts w:ascii="Cambria Math" w:hAnsi="Cambria Math"/>
                            <w:i/>
                          </w:rPr>
                        </m:ctrlPr>
                      </m:dPr>
                      <m:e>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r>
                              <w:rPr>
                                <w:rFonts w:ascii="Cambria Math" w:hAnsi="Cambria Math"/>
                              </w:rPr>
                              <m:t>-QD</m:t>
                            </m:r>
                          </m:sub>
                          <m:sup>
                            <m:r>
                              <w:rPr>
                                <w:rFonts w:ascii="Cambria Math" w:hAnsi="Cambria Math"/>
                              </w:rPr>
                              <m:t>Ph</m:t>
                            </m:r>
                          </m:sup>
                        </m:sSubSup>
                      </m:e>
                    </m:d>
                  </m:num>
                  <m:den>
                    <m:d>
                      <m:dPr>
                        <m:begChr m:val="〈"/>
                        <m:endChr m:val="〉"/>
                        <m:ctrlPr>
                          <w:rPr>
                            <w:rFonts w:ascii="Cambria Math" w:hAnsi="Cambria Math"/>
                            <w:i/>
                          </w:rPr>
                        </m:ctrlPr>
                      </m:dPr>
                      <m:e>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sub>
                          <m:sup>
                            <m:r>
                              <w:rPr>
                                <w:rFonts w:ascii="Cambria Math" w:hAnsi="Cambria Math"/>
                              </w:rPr>
                              <m:t>Ph</m:t>
                            </m:r>
                          </m:sup>
                        </m:sSubSup>
                      </m:e>
                    </m:d>
                  </m:den>
                </m:f>
              </m:oMath>
            </m:oMathPara>
          </w:p>
        </w:tc>
        <w:tc>
          <w:tcPr>
            <w:tcW w:w="698" w:type="dxa"/>
            <w:vAlign w:val="center"/>
          </w:tcPr>
          <w:p w14:paraId="5ECB9776" w14:textId="77777777" w:rsidR="00A807F2" w:rsidRPr="00A807F2" w:rsidRDefault="00A807F2" w:rsidP="00A807F2">
            <w:pPr>
              <w:pStyle w:val="TAMainText"/>
            </w:pPr>
            <w:r w:rsidRPr="00A807F2">
              <w:t>(2)</w:t>
            </w:r>
          </w:p>
        </w:tc>
      </w:tr>
    </w:tbl>
    <w:p w14:paraId="29B04608" w14:textId="5772F7BE" w:rsidR="00A807F2" w:rsidRPr="00A807F2" w:rsidRDefault="00A807F2" w:rsidP="00A807F2">
      <w:pPr>
        <w:pStyle w:val="TAMainText"/>
      </w:pPr>
      <w:r w:rsidRPr="00A807F2">
        <w:t xml:space="preserve">where </w:t>
      </w:r>
      <m:oMath>
        <m:d>
          <m:dPr>
            <m:begChr m:val="〈"/>
            <m:endChr m:val="〉"/>
            <m:ctrlPr>
              <w:rPr>
                <w:rFonts w:ascii="Cambria Math" w:hAnsi="Cambria Math"/>
                <w:i/>
              </w:rPr>
            </m:ctrlPr>
          </m:dPr>
          <m:e>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r>
                  <w:rPr>
                    <w:rFonts w:ascii="Cambria Math" w:hAnsi="Cambria Math"/>
                  </w:rPr>
                  <m:t>-QD</m:t>
                </m:r>
              </m:sub>
              <m:sup>
                <m:r>
                  <w:rPr>
                    <w:rFonts w:ascii="Cambria Math" w:hAnsi="Cambria Math"/>
                  </w:rPr>
                  <m:t>Ph</m:t>
                </m:r>
              </m:sup>
            </m:sSubSup>
          </m:e>
        </m:d>
      </m:oMath>
      <w:r w:rsidRPr="00A807F2">
        <w:t xml:space="preserve"> is the average photocurrent measured from the QD-sensitized devices and </w:t>
      </w:r>
      <m:oMath>
        <m:d>
          <m:dPr>
            <m:begChr m:val="〈"/>
            <m:endChr m:val="〉"/>
            <m:ctrlPr>
              <w:rPr>
                <w:rFonts w:ascii="Cambria Math" w:hAnsi="Cambria Math"/>
                <w:i/>
              </w:rPr>
            </m:ctrlPr>
          </m:dPr>
          <m:e>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sub>
              <m:sup>
                <m:r>
                  <w:rPr>
                    <w:rFonts w:ascii="Cambria Math" w:hAnsi="Cambria Math"/>
                  </w:rPr>
                  <m:t>Ph</m:t>
                </m:r>
              </m:sup>
            </m:sSubSup>
          </m:e>
        </m:d>
      </m:oMath>
      <w:r w:rsidRPr="00A807F2">
        <w:t xml:space="preserve"> is the average photocurrent measured from the same devices without the QD sensitizing layer. The average is taken over the full excitation power range. The average ratio, </w:t>
      </w:r>
      <m:oMath>
        <m:d>
          <m:dPr>
            <m:begChr m:val="〈"/>
            <m:endChr m:val="〉"/>
            <m:ctrlPr>
              <w:rPr>
                <w:rFonts w:ascii="Cambria Math" w:hAnsi="Cambria Math"/>
                <w:i/>
              </w:rPr>
            </m:ctrlPr>
          </m:dPr>
          <m:e>
            <m:r>
              <w:rPr>
                <w:rFonts w:ascii="Cambria Math" w:hAnsi="Cambria Math"/>
              </w:rPr>
              <m:t>E</m:t>
            </m:r>
          </m:e>
        </m:d>
      </m:oMath>
      <w:r w:rsidRPr="00A807F2">
        <w:t xml:space="preserve">, is 4 ± </w:t>
      </w:r>
      <w:r w:rsidR="008E354C">
        <w:t>1</w:t>
      </w:r>
      <w:r w:rsidRPr="00A807F2">
        <w:t xml:space="preserve">, 4 ± 1 and </w:t>
      </w:r>
      <w:r w:rsidR="008E354C">
        <w:t>7</w:t>
      </w:r>
      <w:r w:rsidRPr="00A807F2">
        <w:t xml:space="preserve"> ± </w:t>
      </w:r>
      <w:r w:rsidR="008E354C">
        <w:t>2</w:t>
      </w:r>
      <w:r w:rsidRPr="00A807F2">
        <w:t xml:space="preserve"> for device D450, D530 and D630, respectively. </w:t>
      </w:r>
      <w:proofErr w:type="gramStart"/>
      <w:r w:rsidRPr="00A807F2">
        <w:t>Similar to</w:t>
      </w:r>
      <w:proofErr w:type="gramEnd"/>
      <w:r w:rsidRPr="00A807F2">
        <w:t xml:space="preserve"> the NRET efficiencies measured from the QD lifetimes on each of the devices, we find the largest average increase on device, D630 and the lowest average increase on device D530.</w:t>
      </w:r>
    </w:p>
    <w:p w14:paraId="6A7B7AAB" w14:textId="3B158255" w:rsidR="00A807F2" w:rsidRPr="00A807F2" w:rsidRDefault="00A807F2" w:rsidP="00A807F2">
      <w:pPr>
        <w:pStyle w:val="TAMainText"/>
      </w:pPr>
      <w:r w:rsidRPr="00A807F2">
        <w:t>As was mentioned earlier, the 450 nm QDs are close to resonance with the MoS</w:t>
      </w:r>
      <w:r w:rsidRPr="00A807F2">
        <w:rPr>
          <w:vertAlign w:val="subscript"/>
        </w:rPr>
        <w:t>2</w:t>
      </w:r>
      <w:r w:rsidRPr="00A807F2">
        <w:t xml:space="preserve"> C exciton and the 630 nm QDs are on-resonance with the MoS</w:t>
      </w:r>
      <w:r w:rsidRPr="00A807F2">
        <w:rPr>
          <w:vertAlign w:val="subscript"/>
        </w:rPr>
        <w:t>2</w:t>
      </w:r>
      <w:r w:rsidRPr="00A807F2">
        <w:t xml:space="preserve"> B exciton, while the 530 nm QDs provide </w:t>
      </w:r>
      <w:r w:rsidR="00970DE5">
        <w:t>an off-resonance reference (Figure</w:t>
      </w:r>
      <w:r w:rsidRPr="00A807F2">
        <w:t xml:space="preserve"> 1a). The NRET efficiency and rate depends strongly on the spectral overlap between the QD PL spectrum and the MoS</w:t>
      </w:r>
      <w:r w:rsidRPr="00A807F2">
        <w:rPr>
          <w:vertAlign w:val="subscript"/>
        </w:rPr>
        <w:t>2</w:t>
      </w:r>
      <w:r w:rsidRPr="00A807F2">
        <w:t xml:space="preserve"> absorption spectrum, and it will be shown later that the spectral dependence of the photocurrent displays the same trend as the NRET </w:t>
      </w:r>
      <w:r w:rsidR="008E354C">
        <w:t>efficiency</w:t>
      </w:r>
      <w:r w:rsidRPr="00A807F2">
        <w:t xml:space="preserve">. </w:t>
      </w:r>
    </w:p>
    <w:p w14:paraId="1E1DE331" w14:textId="77777777" w:rsidR="00A807F2" w:rsidRDefault="00A807F2" w:rsidP="00A807F2">
      <w:pPr>
        <w:pStyle w:val="TAMainText"/>
      </w:pPr>
      <w:r w:rsidRPr="00A807F2">
        <w:lastRenderedPageBreak/>
        <w:t>The photocurrent enhancement in the MoS</w:t>
      </w:r>
      <w:r w:rsidRPr="00A807F2">
        <w:rPr>
          <w:vertAlign w:val="subscript"/>
        </w:rPr>
        <w:t xml:space="preserve">2 </w:t>
      </w:r>
      <w:r w:rsidRPr="00A807F2">
        <w:t xml:space="preserve">energy acceptor due to the NRET from the QDs, is defined as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
        <w:gridCol w:w="8384"/>
        <w:gridCol w:w="698"/>
      </w:tblGrid>
      <w:tr w:rsidR="00B17CE8" w:rsidRPr="00A807F2" w14:paraId="58BF7ED6" w14:textId="77777777" w:rsidTr="00B17CE8">
        <w:tc>
          <w:tcPr>
            <w:tcW w:w="278" w:type="dxa"/>
            <w:vAlign w:val="center"/>
          </w:tcPr>
          <w:p w14:paraId="21EE013D" w14:textId="77777777" w:rsidR="00B17CE8" w:rsidRPr="00A807F2" w:rsidRDefault="00B17CE8" w:rsidP="00A15A23">
            <w:pPr>
              <w:pStyle w:val="TAMainText"/>
            </w:pPr>
          </w:p>
        </w:tc>
        <w:tc>
          <w:tcPr>
            <w:tcW w:w="8384" w:type="dxa"/>
            <w:vAlign w:val="center"/>
          </w:tcPr>
          <w:p w14:paraId="42B233F6" w14:textId="193009C0" w:rsidR="00B17CE8" w:rsidRPr="00A807F2" w:rsidRDefault="00F6410F" w:rsidP="00A15A23">
            <w:pPr>
              <w:pStyle w:val="TAMainText"/>
            </w:pPr>
            <m:oMathPara>
              <m:oMath>
                <m:sSub>
                  <m:sSubPr>
                    <m:ctrlPr>
                      <w:rPr>
                        <w:rFonts w:ascii="Cambria Math" w:hAnsi="Cambria Math"/>
                        <w:i/>
                      </w:rPr>
                    </m:ctrlPr>
                  </m:sSubPr>
                  <m:e>
                    <m:r>
                      <w:rPr>
                        <w:rFonts w:ascii="Cambria Math" w:hAnsi="Cambria Math"/>
                      </w:rPr>
                      <m:t>E</m:t>
                    </m:r>
                  </m:e>
                  <m:sub>
                    <m:r>
                      <w:rPr>
                        <w:rFonts w:ascii="Cambria Math" w:hAnsi="Cambria Math"/>
                      </w:rPr>
                      <m:t>Acc</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r>
                          <w:rPr>
                            <w:rFonts w:ascii="Cambria Math" w:hAnsi="Cambria Math"/>
                          </w:rPr>
                          <m:t>-QD</m:t>
                        </m:r>
                      </m:sub>
                      <m:sup>
                        <m:r>
                          <w:rPr>
                            <w:rFonts w:ascii="Cambria Math" w:hAnsi="Cambria Math"/>
                          </w:rPr>
                          <m:t>Ph</m:t>
                        </m:r>
                      </m:sup>
                    </m:sSubSup>
                    <m:r>
                      <w:rPr>
                        <w:rFonts w:ascii="Cambria Math" w:hAnsi="Cambria Math"/>
                      </w:rPr>
                      <m:t>-</m:t>
                    </m:r>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sub>
                      <m:sup>
                        <m:r>
                          <w:rPr>
                            <w:rFonts w:ascii="Cambria Math" w:hAnsi="Cambria Math"/>
                          </w:rPr>
                          <m:t>Ph</m:t>
                        </m:r>
                      </m:sup>
                    </m:sSubSup>
                  </m:num>
                  <m:den>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sub>
                      <m:sup>
                        <m:r>
                          <w:rPr>
                            <w:rFonts w:ascii="Cambria Math" w:hAnsi="Cambria Math"/>
                          </w:rPr>
                          <m:t>Ph</m:t>
                        </m:r>
                      </m:sup>
                    </m:sSubSup>
                  </m:den>
                </m:f>
              </m:oMath>
            </m:oMathPara>
          </w:p>
        </w:tc>
        <w:tc>
          <w:tcPr>
            <w:tcW w:w="698" w:type="dxa"/>
            <w:vAlign w:val="center"/>
          </w:tcPr>
          <w:p w14:paraId="4980440D" w14:textId="19BFB779" w:rsidR="00B17CE8" w:rsidRPr="00A807F2" w:rsidRDefault="00B17CE8" w:rsidP="00B17CE8">
            <w:pPr>
              <w:pStyle w:val="TAMainText"/>
            </w:pPr>
            <w:r w:rsidRPr="00A807F2">
              <w:t>(</w:t>
            </w:r>
            <w:r>
              <w:t>3</w:t>
            </w:r>
            <w:r w:rsidRPr="00A807F2">
              <w:t>)</w:t>
            </w:r>
          </w:p>
        </w:tc>
      </w:tr>
    </w:tbl>
    <w:p w14:paraId="543B6052" w14:textId="3970368A" w:rsidR="00A807F2" w:rsidRPr="00A807F2" w:rsidRDefault="00A807F2" w:rsidP="00A807F2">
      <w:pPr>
        <w:pStyle w:val="TAMainText"/>
      </w:pPr>
      <w:r w:rsidRPr="00A807F2">
        <w:t xml:space="preserve">where </w:t>
      </w:r>
      <m:oMath>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r>
              <w:rPr>
                <w:rFonts w:ascii="Cambria Math" w:hAnsi="Cambria Math"/>
              </w:rPr>
              <m:t>-QD</m:t>
            </m:r>
          </m:sub>
          <m:sup>
            <m:r>
              <w:rPr>
                <w:rFonts w:ascii="Cambria Math" w:hAnsi="Cambria Math"/>
              </w:rPr>
              <m:t>Ph</m:t>
            </m:r>
          </m:sup>
        </m:sSubSup>
      </m:oMath>
      <w:r w:rsidRPr="00A807F2">
        <w:t xml:space="preserve"> and </w:t>
      </w:r>
      <m:oMath>
        <m:sSubSup>
          <m:sSubSupPr>
            <m:ctrlPr>
              <w:rPr>
                <w:rFonts w:ascii="Cambria Math" w:hAnsi="Cambria Math"/>
                <w:i/>
              </w:rPr>
            </m:ctrlPr>
          </m:sSubSupPr>
          <m:e>
            <m:r>
              <w:rPr>
                <w:rFonts w:ascii="Cambria Math" w:hAnsi="Cambria Math"/>
              </w:rPr>
              <m:t>I</m:t>
            </m:r>
          </m:e>
          <m:sub>
            <m:sSub>
              <m:sSubPr>
                <m:ctrlPr>
                  <w:rPr>
                    <w:rFonts w:ascii="Cambria Math" w:hAnsi="Cambria Math"/>
                    <w:i/>
                  </w:rPr>
                </m:ctrlPr>
              </m:sSubPr>
              <m:e>
                <m:r>
                  <w:rPr>
                    <w:rFonts w:ascii="Cambria Math" w:hAnsi="Cambria Math"/>
                  </w:rPr>
                  <m:t>MoS</m:t>
                </m:r>
              </m:e>
              <m:sub>
                <m:r>
                  <w:rPr>
                    <w:rFonts w:ascii="Cambria Math" w:hAnsi="Cambria Math"/>
                  </w:rPr>
                  <m:t>2</m:t>
                </m:r>
              </m:sub>
            </m:sSub>
          </m:sub>
          <m:sup>
            <m:r>
              <w:rPr>
                <w:rFonts w:ascii="Cambria Math" w:hAnsi="Cambria Math"/>
              </w:rPr>
              <m:t>Ph</m:t>
            </m:r>
          </m:sup>
        </m:sSubSup>
      </m:oMath>
      <w:r w:rsidRPr="00A807F2">
        <w:rPr>
          <w:i/>
        </w:rPr>
        <w:t xml:space="preserve"> </w:t>
      </w:r>
      <w:r w:rsidRPr="00A807F2">
        <w:t>are the photocurrent values of the QD-MoS</w:t>
      </w:r>
      <w:r w:rsidRPr="00A807F2">
        <w:rPr>
          <w:vertAlign w:val="subscript"/>
        </w:rPr>
        <w:t>2</w:t>
      </w:r>
      <w:r w:rsidRPr="00A807F2">
        <w:t xml:space="preserve"> (donor-acceptor) hybrids and the MoS</w:t>
      </w:r>
      <w:r w:rsidRPr="00A807F2">
        <w:rPr>
          <w:vertAlign w:val="subscript"/>
        </w:rPr>
        <w:t>2</w:t>
      </w:r>
      <w:r w:rsidRPr="00A807F2">
        <w:t xml:space="preserve"> only (acceptor) devices, respectively. For each of the QD-MoS</w:t>
      </w:r>
      <w:r w:rsidRPr="00A807F2">
        <w:rPr>
          <w:vertAlign w:val="subscript"/>
        </w:rPr>
        <w:t>2</w:t>
      </w:r>
      <w:r w:rsidRPr="00A807F2">
        <w:t xml:space="preserve"> hybrid devices in </w:t>
      </w:r>
      <w:r w:rsidR="00970DE5">
        <w:t>Figure</w:t>
      </w:r>
      <w:r w:rsidRPr="00A807F2">
        <w:t xml:space="preserve"> 4, panels d-f, there is a step-like increase in the photocurrent enhancement, </w:t>
      </w:r>
      <m:oMath>
        <m:sSub>
          <m:sSubPr>
            <m:ctrlPr>
              <w:rPr>
                <w:rFonts w:ascii="Cambria Math" w:hAnsi="Cambria Math"/>
                <w:i/>
              </w:rPr>
            </m:ctrlPr>
          </m:sSubPr>
          <m:e>
            <m:r>
              <w:rPr>
                <w:rFonts w:ascii="Cambria Math" w:hAnsi="Cambria Math"/>
              </w:rPr>
              <m:t>E</m:t>
            </m:r>
          </m:e>
          <m:sub>
            <m:r>
              <w:rPr>
                <w:rFonts w:ascii="Cambria Math" w:hAnsi="Cambria Math"/>
              </w:rPr>
              <m:t>Acc</m:t>
            </m:r>
          </m:sub>
        </m:sSub>
      </m:oMath>
      <w:r w:rsidRPr="00A807F2">
        <w:t>, as the excitation power increases, while the enhancement appears to saturate and remain constant at higher excitation powers. In terms of the optimal excitation power range, the largest photocurrent enhancements are found at the higher excitation powers in the super-linear regime. The 630 nm QD sensitizing layer gives the largest acceptor enhancement, of 7.0 ± 0.7 at the maximum excitation power of ~140 µW. The 450 nm and 530 nm QD sensitizing layers lead to acceptor enhancements of 4.4 ± 0.4 and 5.0 ± 0.5, respectively, at the same excitation power. The fact that the 630 nm QDs give the largest enhancement of the MoS</w:t>
      </w:r>
      <w:r w:rsidRPr="00A807F2">
        <w:rPr>
          <w:vertAlign w:val="subscript"/>
        </w:rPr>
        <w:t>2</w:t>
      </w:r>
      <w:r w:rsidRPr="00A807F2">
        <w:t xml:space="preserve"> photocurrent is beneficial also in terms of maximizing the absorption of white light as the 630 nm QDs absorb over a larger spectral region of the visible spectrum compared to</w:t>
      </w:r>
      <w:r w:rsidR="00970DE5">
        <w:t xml:space="preserve"> the 530 nm and 450 nm QDs (Figure</w:t>
      </w:r>
      <w:r w:rsidRPr="00A807F2">
        <w:t xml:space="preserve"> 1a). </w:t>
      </w:r>
    </w:p>
    <w:p w14:paraId="7499584A" w14:textId="28AAF26D" w:rsidR="00A807F2" w:rsidRPr="00A807F2" w:rsidRDefault="00A807F2" w:rsidP="00A807F2">
      <w:pPr>
        <w:pStyle w:val="TAMainText"/>
        <w:rPr>
          <w:lang w:val="en-IE"/>
        </w:rPr>
      </w:pPr>
      <w:r w:rsidRPr="00A807F2">
        <w:rPr>
          <w:lang w:val="en-IE"/>
        </w:rPr>
        <w:t xml:space="preserve">The photoresponsivity, </w:t>
      </w:r>
      <m:oMath>
        <m:r>
          <w:rPr>
            <w:rFonts w:ascii="Cambria Math" w:hAnsi="Cambria Math"/>
            <w:lang w:val="en-IE"/>
          </w:rPr>
          <m:t>R</m:t>
        </m:r>
      </m:oMath>
      <w:r w:rsidRPr="00A807F2">
        <w:rPr>
          <w:lang w:val="en-IE"/>
        </w:rPr>
        <w:t xml:space="preserve">, is a measure of a device’s output current as a function of optical excitation power. </w:t>
      </w:r>
      <m:oMath>
        <m:r>
          <w:rPr>
            <w:rFonts w:ascii="Cambria Math" w:hAnsi="Cambria Math"/>
            <w:lang w:val="en-IE"/>
          </w:rPr>
          <m:t>R=</m:t>
        </m:r>
        <m:sSup>
          <m:sSupPr>
            <m:ctrlPr>
              <w:rPr>
                <w:rFonts w:ascii="Cambria Math" w:hAnsi="Cambria Math"/>
                <w:i/>
                <w:lang w:val="en-IE"/>
              </w:rPr>
            </m:ctrlPr>
          </m:sSupPr>
          <m:e>
            <m:r>
              <w:rPr>
                <w:rFonts w:ascii="Cambria Math" w:hAnsi="Cambria Math"/>
                <w:lang w:val="en-IE"/>
              </w:rPr>
              <m:t>I</m:t>
            </m:r>
          </m:e>
          <m:sup>
            <m:r>
              <w:rPr>
                <w:rFonts w:ascii="Cambria Math" w:hAnsi="Cambria Math"/>
                <w:lang w:val="en-IE"/>
              </w:rPr>
              <m:t>Ph</m:t>
            </m:r>
          </m:sup>
        </m:sSup>
        <m:r>
          <w:rPr>
            <w:rFonts w:ascii="Cambria Math" w:hAnsi="Cambria Math"/>
            <w:lang w:val="en-IE"/>
          </w:rPr>
          <m:t>/</m:t>
        </m:r>
        <m:sSub>
          <m:sSubPr>
            <m:ctrlPr>
              <w:rPr>
                <w:rFonts w:ascii="Cambria Math" w:hAnsi="Cambria Math"/>
                <w:i/>
                <w:lang w:val="en-IE"/>
              </w:rPr>
            </m:ctrlPr>
          </m:sSubPr>
          <m:e>
            <m:r>
              <w:rPr>
                <w:rFonts w:ascii="Cambria Math" w:hAnsi="Cambria Math"/>
                <w:lang w:val="en-IE"/>
              </w:rPr>
              <m:t>P</m:t>
            </m:r>
          </m:e>
          <m:sub>
            <m:r>
              <w:rPr>
                <w:rFonts w:ascii="Cambria Math" w:hAnsi="Cambria Math"/>
                <w:lang w:val="en-IE"/>
              </w:rPr>
              <m:t>ex</m:t>
            </m:r>
          </m:sub>
        </m:sSub>
      </m:oMath>
      <w:r w:rsidRPr="00A807F2">
        <w:rPr>
          <w:lang w:val="en-IE"/>
        </w:rPr>
        <w:t xml:space="preserve">, where </w:t>
      </w:r>
      <m:oMath>
        <m:sSub>
          <m:sSubPr>
            <m:ctrlPr>
              <w:rPr>
                <w:rFonts w:ascii="Cambria Math" w:hAnsi="Cambria Math"/>
                <w:i/>
                <w:lang w:val="en-IE"/>
              </w:rPr>
            </m:ctrlPr>
          </m:sSubPr>
          <m:e>
            <m:r>
              <w:rPr>
                <w:rFonts w:ascii="Cambria Math" w:hAnsi="Cambria Math"/>
                <w:lang w:val="en-IE"/>
              </w:rPr>
              <m:t>P</m:t>
            </m:r>
          </m:e>
          <m:sub>
            <m:r>
              <w:rPr>
                <w:rFonts w:ascii="Cambria Math" w:hAnsi="Cambria Math"/>
                <w:lang w:val="en-IE"/>
              </w:rPr>
              <m:t>ex</m:t>
            </m:r>
          </m:sub>
        </m:sSub>
      </m:oMath>
      <w:r w:rsidRPr="00A807F2">
        <w:rPr>
          <w:lang w:val="en-IE"/>
        </w:rPr>
        <w:t xml:space="preserve"> is the optical excitation power. The photoresponsivity curves for the hybrid 450 nm, 530 nm and 630 nm QD-MoS</w:t>
      </w:r>
      <w:r w:rsidRPr="00A807F2">
        <w:rPr>
          <w:vertAlign w:val="subscript"/>
          <w:lang w:val="en-IE"/>
        </w:rPr>
        <w:t>2</w:t>
      </w:r>
      <w:r w:rsidR="00970DE5">
        <w:rPr>
          <w:lang w:val="en-IE"/>
        </w:rPr>
        <w:t xml:space="preserve"> devices are presented in Figure</w:t>
      </w:r>
      <w:r w:rsidRPr="00A807F2">
        <w:rPr>
          <w:lang w:val="en-IE"/>
        </w:rPr>
        <w:t xml:space="preserve"> 4, panels g, h and </w:t>
      </w:r>
      <w:proofErr w:type="spellStart"/>
      <w:r w:rsidRPr="00A807F2">
        <w:rPr>
          <w:lang w:val="en-IE"/>
        </w:rPr>
        <w:t>i</w:t>
      </w:r>
      <w:proofErr w:type="spellEnd"/>
      <w:r w:rsidRPr="00A807F2">
        <w:rPr>
          <w:lang w:val="en-IE"/>
        </w:rPr>
        <w:t>, respectively. Each curve (with and without the QD sensitizing layer) shows a decreasing trend in the photoresponsivity as the</w:t>
      </w:r>
      <w:r>
        <w:rPr>
          <w:lang w:val="en-IE"/>
        </w:rPr>
        <w:t xml:space="preserve"> </w:t>
      </w:r>
      <w:r w:rsidRPr="00A807F2">
        <w:rPr>
          <w:lang w:val="en-IE"/>
        </w:rPr>
        <w:t>excitation power increases at low powers (~1-10 µW). This decrease in the photoresponsivity corresponds to a sub-linear dependence of photocurrent on the optical excitation power.</w:t>
      </w:r>
      <w:r>
        <w:rPr>
          <w:lang w:val="en-IE"/>
        </w:rPr>
        <w:t xml:space="preserve"> </w:t>
      </w:r>
      <w:r w:rsidRPr="00A807F2">
        <w:rPr>
          <w:lang w:val="en-IE"/>
        </w:rPr>
        <w:t>When the optical excitation power reaches tens of µ</w:t>
      </w:r>
      <w:proofErr w:type="spellStart"/>
      <w:r w:rsidRPr="00A807F2">
        <w:rPr>
          <w:lang w:val="en-IE"/>
        </w:rPr>
        <w:t>Ws</w:t>
      </w:r>
      <w:proofErr w:type="spellEnd"/>
      <w:r w:rsidRPr="00A807F2">
        <w:rPr>
          <w:lang w:val="en-IE"/>
        </w:rPr>
        <w:t xml:space="preserve"> (depending on the device), the photoresponsivity begins to level off and remains constant </w:t>
      </w:r>
      <w:r w:rsidRPr="00A807F2">
        <w:rPr>
          <w:lang w:val="en-IE"/>
        </w:rPr>
        <w:lastRenderedPageBreak/>
        <w:t xml:space="preserve">over a small intermediate power range. This constant photoresponsivity is the result of a linear dependence of the generated photocurrent, </w:t>
      </w:r>
      <m:oMath>
        <m:sSup>
          <m:sSupPr>
            <m:ctrlPr>
              <w:rPr>
                <w:rFonts w:ascii="Cambria Math" w:hAnsi="Cambria Math"/>
                <w:i/>
                <w:lang w:val="en-IE"/>
              </w:rPr>
            </m:ctrlPr>
          </m:sSupPr>
          <m:e>
            <m:r>
              <w:rPr>
                <w:rFonts w:ascii="Cambria Math" w:hAnsi="Cambria Math"/>
                <w:lang w:val="en-IE"/>
              </w:rPr>
              <m:t>I</m:t>
            </m:r>
          </m:e>
          <m:sup>
            <m:r>
              <w:rPr>
                <w:rFonts w:ascii="Cambria Math" w:hAnsi="Cambria Math"/>
                <w:lang w:val="en-IE"/>
              </w:rPr>
              <m:t>Ph</m:t>
            </m:r>
          </m:sup>
        </m:sSup>
      </m:oMath>
      <w:r w:rsidRPr="00A807F2">
        <w:rPr>
          <w:lang w:val="en-IE"/>
        </w:rPr>
        <w:t xml:space="preserve">, on the optical excitation power, </w:t>
      </w:r>
      <m:oMath>
        <m:sSub>
          <m:sSubPr>
            <m:ctrlPr>
              <w:rPr>
                <w:rFonts w:ascii="Cambria Math" w:hAnsi="Cambria Math"/>
                <w:i/>
                <w:lang w:val="en-IE"/>
              </w:rPr>
            </m:ctrlPr>
          </m:sSubPr>
          <m:e>
            <m:r>
              <w:rPr>
                <w:rFonts w:ascii="Cambria Math" w:hAnsi="Cambria Math"/>
                <w:lang w:val="en-IE"/>
              </w:rPr>
              <m:t>P</m:t>
            </m:r>
          </m:e>
          <m:sub>
            <m:r>
              <w:rPr>
                <w:rFonts w:ascii="Cambria Math" w:hAnsi="Cambria Math"/>
                <w:lang w:val="en-IE"/>
              </w:rPr>
              <m:t>ex</m:t>
            </m:r>
          </m:sub>
        </m:sSub>
      </m:oMath>
      <w:r w:rsidRPr="00A807F2">
        <w:rPr>
          <w:lang w:val="en-IE"/>
        </w:rPr>
        <w:t>. With a further increase in the optical excitation power, the photoresponsivity begins to rise, as a result of the super-linear dependence of generated photocurrent on the optical excitation power. This behavior is observed for each of the devices presented in this study, both with and without the QD sensitizing layers.</w:t>
      </w:r>
    </w:p>
    <w:p w14:paraId="02A475E1" w14:textId="40A1CAE7" w:rsidR="004118A1" w:rsidRDefault="00A4417B" w:rsidP="004118A1">
      <w:pPr>
        <w:pStyle w:val="TAMainText"/>
        <w:ind w:firstLine="0"/>
        <w:rPr>
          <w:lang w:val="en-IE"/>
        </w:rPr>
      </w:pPr>
      <w:r>
        <w:rPr>
          <w:noProof/>
          <w:lang w:val="en-IE" w:eastAsia="en-IE"/>
        </w:rPr>
        <w:drawing>
          <wp:inline distT="0" distB="0" distL="0" distR="0" wp14:anchorId="19F1E287" wp14:editId="530AB3C7">
            <wp:extent cx="6300000" cy="1743463"/>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e 5 - Revised.tif"/>
                    <pic:cNvPicPr/>
                  </pic:nvPicPr>
                  <pic:blipFill rotWithShape="1">
                    <a:blip r:embed="rId13">
                      <a:extLst>
                        <a:ext uri="{28A0092B-C50C-407E-A947-70E740481C1C}">
                          <a14:useLocalDpi xmlns:a14="http://schemas.microsoft.com/office/drawing/2010/main" val="0"/>
                        </a:ext>
                      </a:extLst>
                    </a:blip>
                    <a:srcRect l="2244" t="9193" r="3365" b="15876"/>
                    <a:stretch/>
                  </pic:blipFill>
                  <pic:spPr bwMode="auto">
                    <a:xfrm>
                      <a:off x="0" y="0"/>
                      <a:ext cx="6300000" cy="1743463"/>
                    </a:xfrm>
                    <a:prstGeom prst="rect">
                      <a:avLst/>
                    </a:prstGeom>
                    <a:ln>
                      <a:noFill/>
                    </a:ln>
                    <a:extLst>
                      <a:ext uri="{53640926-AAD7-44D8-BBD7-CCE9431645EC}">
                        <a14:shadowObscured xmlns:a14="http://schemas.microsoft.com/office/drawing/2010/main"/>
                      </a:ext>
                    </a:extLst>
                  </pic:spPr>
                </pic:pic>
              </a:graphicData>
            </a:graphic>
          </wp:inline>
        </w:drawing>
      </w:r>
    </w:p>
    <w:p w14:paraId="1D824BC2" w14:textId="230EB064" w:rsidR="004118A1" w:rsidRPr="004118A1" w:rsidRDefault="004118A1" w:rsidP="004118A1">
      <w:pPr>
        <w:pStyle w:val="VAFigureCaption"/>
      </w:pPr>
      <w:r w:rsidRPr="004118A1">
        <w:rPr>
          <w:b/>
        </w:rPr>
        <w:t>Figure 5</w:t>
      </w:r>
      <w:r w:rsidRPr="00970DE5">
        <w:rPr>
          <w:b/>
        </w:rPr>
        <w:t>:</w:t>
      </w:r>
      <w:r w:rsidRPr="004118A1">
        <w:t xml:space="preserve"> Looping I-V curves for each of the devices before adding the QDs (black) and after adding the (a) 450 nm QDs (blue), (b) 530 nm QDs (green), and (c) 630 nm QDs (red). </w:t>
      </w:r>
    </w:p>
    <w:p w14:paraId="39DD118F" w14:textId="258408D7" w:rsidR="00A807F2" w:rsidRPr="00A807F2" w:rsidRDefault="00A807F2" w:rsidP="00A807F2">
      <w:pPr>
        <w:pStyle w:val="TAMainText"/>
      </w:pPr>
      <w:r w:rsidRPr="00A807F2">
        <w:rPr>
          <w:lang w:val="en-IE"/>
        </w:rPr>
        <w:t>The measured current-voltage (I-V) characteristics of the MoS</w:t>
      </w:r>
      <w:r w:rsidRPr="00A807F2">
        <w:rPr>
          <w:vertAlign w:val="subscript"/>
          <w:lang w:val="en-IE"/>
        </w:rPr>
        <w:t>2</w:t>
      </w:r>
      <w:r w:rsidRPr="00A807F2">
        <w:rPr>
          <w:lang w:val="en-IE"/>
        </w:rPr>
        <w:t xml:space="preserve"> and the hybrid QD-MoS</w:t>
      </w:r>
      <w:r w:rsidRPr="00A807F2">
        <w:rPr>
          <w:vertAlign w:val="subscript"/>
          <w:lang w:val="en-IE"/>
        </w:rPr>
        <w:t>2</w:t>
      </w:r>
      <w:r w:rsidRPr="00A807F2">
        <w:rPr>
          <w:lang w:val="en-IE"/>
        </w:rPr>
        <w:t xml:space="preserve"> devices are </w:t>
      </w:r>
      <w:r w:rsidR="00970DE5">
        <w:rPr>
          <w:lang w:val="en-IE"/>
        </w:rPr>
        <w:t>presented in Figure</w:t>
      </w:r>
      <w:r w:rsidRPr="00A807F2">
        <w:rPr>
          <w:lang w:val="en-IE"/>
        </w:rPr>
        <w:t xml:space="preserve"> 5. These I-V curves were measured at an excitation power of 100 </w:t>
      </w:r>
      <w:proofErr w:type="spellStart"/>
      <w:r w:rsidRPr="00A807F2">
        <w:rPr>
          <w:lang w:val="en-IE"/>
        </w:rPr>
        <w:t>μW</w:t>
      </w:r>
      <w:proofErr w:type="spellEnd"/>
      <w:r w:rsidRPr="00A807F2">
        <w:rPr>
          <w:lang w:val="en-IE"/>
        </w:rPr>
        <w:t xml:space="preserve">. There is a clear enhancement in the photocurrent after the addition of the QD-sensitizing layers, however, there is some hysteresis in the curves as they sweep back from the maximum voltage. The sweep out from 0 V to +1 V (-1 V) has a close to linear form while the sweep back from the maximum voltage demonstrates a drop in current, </w:t>
      </w:r>
      <w:r w:rsidR="00970DE5">
        <w:rPr>
          <w:lang w:val="en-IE"/>
        </w:rPr>
        <w:t>as indicated by the arrows (Figure</w:t>
      </w:r>
      <w:r w:rsidRPr="00A807F2">
        <w:rPr>
          <w:lang w:val="en-IE"/>
        </w:rPr>
        <w:t xml:space="preserve"> 5). This hysteresis effect  is well documented and is attributed to charge trapping at surface defect states at the interface between the MoS</w:t>
      </w:r>
      <w:r w:rsidRPr="00A807F2">
        <w:rPr>
          <w:vertAlign w:val="subscript"/>
          <w:lang w:val="en-IE"/>
        </w:rPr>
        <w:t>2</w:t>
      </w:r>
      <w:r w:rsidRPr="00A807F2">
        <w:rPr>
          <w:lang w:val="en-IE"/>
        </w:rPr>
        <w:t xml:space="preserve"> and the surrounding medium.</w:t>
      </w:r>
      <w:r w:rsidRPr="00A807F2">
        <w:rPr>
          <w:lang w:val="en-IE"/>
        </w:rPr>
        <w:fldChar w:fldCharType="begin" w:fldLock="1"/>
      </w:r>
      <w:r w:rsidR="001F4C34">
        <w:rPr>
          <w:lang w:val="en-IE"/>
        </w:rPr>
        <w:instrText>ADDIN CSL_CITATION {"citationItems":[{"id":"ITEM-1","itemData":{"DOI":"10.1557/jmr.2015.405","ISBN":"0884-2914","ISSN":"0884-2914","author":[{"dropping-particle":"","family":"Lu","given":"Zhongyuan","non-dropping-particle":"","parse-names":false,"suffix":""},{"dropping-particle":"","family":"Lee","given":"Oukjae","non-dropping-particle":"","parse-names":false,"suffix":""},{"dropping-particle":"","family":"Wong","given":"Justin C.","non-dropping-particle":"","parse-names":false,"suffix":""},{"dropping-particle":"","family":"Salahuddin","given":"Sayeef","non-dropping-particle":"","parse-names":false,"suffix":""}],"container-title":"Journal of Materials Research","id":"ITEM-1","issue":"07","issued":{"date-parts":[["2016","4"]]},"page":"911-916","title":"Surface states in a monolayer MoS2 transistor","type":"article-journal","volume":"31"},"uris":["http://www.mendeley.com/documents/?uuid=fa91c94d-11a3-4f8d-9a87-99af4e95f5b9","http://www.mendeley.com/documents/?uuid=c98ba6f9-a7b1-4951-8320-53d1d617251d"]}],"mendeley":{"formattedCitation":"&lt;sup&gt;46&lt;/sup&gt;","plainTextFormattedCitation":"46","previouslyFormattedCitation":"&lt;sup&gt;45&lt;/sup&gt;"},"properties":{"noteIndex":0},"schema":"https://github.com/citation-style-language/schema/raw/master/csl-citation.json"}</w:instrText>
      </w:r>
      <w:r w:rsidRPr="00A807F2">
        <w:rPr>
          <w:lang w:val="en-IE"/>
        </w:rPr>
        <w:fldChar w:fldCharType="separate"/>
      </w:r>
      <w:r w:rsidR="001F4C34" w:rsidRPr="001F4C34">
        <w:rPr>
          <w:noProof/>
          <w:vertAlign w:val="superscript"/>
          <w:lang w:val="en-IE"/>
        </w:rPr>
        <w:t>46</w:t>
      </w:r>
      <w:r w:rsidRPr="00A807F2">
        <w:rPr>
          <w:lang w:val="en-IE"/>
        </w:rPr>
        <w:fldChar w:fldCharType="end"/>
      </w:r>
      <w:r w:rsidRPr="00A807F2">
        <w:rPr>
          <w:lang w:val="en-IE"/>
        </w:rPr>
        <w:t xml:space="preserve"> This evidence of the presence of surface trap states further supports the hypothesis that it is the presence of these defects that contribute to the super-linear behaviour of the photocurrent.</w:t>
      </w:r>
      <w:r w:rsidRPr="00A807F2">
        <w:rPr>
          <w:lang w:val="en-IE"/>
        </w:rPr>
        <w:fldChar w:fldCharType="begin" w:fldLock="1"/>
      </w:r>
      <w:r w:rsidR="001F4C34">
        <w:rPr>
          <w:lang w:val="en-IE"/>
        </w:rPr>
        <w:instrText>ADDIN CSL_CITATION {"citationItems":[{"id":"ITEM-1","itemData":{"DOI":"10.1021/acs.nanolett.5b00190","ISBN":"1530-6984","ISSN":"1530-6984","PMID":"25723259","abstract":"Transition metal dichalcogenides (TMDs) have emerged as a new class of two-dimensional materials that are promising for electronics and photonics. To date, optoelectronic measurements in these materials have shown the conventional behavior expected from photoconductors such as a linear or sublinear dependence of the photocurrent on light intensity. Here, we report the observation of a new regime of operation where the photocurrent depends superlinearly on light intensity. We use spatially resolved photocurrent measurements on devices consisting of CVD-grown monolayers of TMD alloys spanning MoS2 to MoSe2 to show the photoconductive nature of the photoresponse, with the photocurrent dominated by recombination and field-induced carrier separation in the channel. Time-dependent photoconductivity measurements show the presence of persistent photoconductivity for the S-rich alloys, while photocurrent measurements at fixed wavelength for devices of different alloy compositions show a systematic decrease of the responsivity with increasing Se content associated with increased linearity of the current?voltage characteristics. A model based on the presence of different types of recombination centers is presented to explain the origin of the superlinear dependence on light intensity, which emerges when the nonequilibrium occupancy of initially empty fast recombination centers becomes comparable to that of slow recombination centers.","author":[{"dropping-particle":"","family":"Klee","given":"Velveth","non-dropping-particle":"","parse-names":false,"suffix":""},{"dropping-particle":"","family":"Preciado","given":"Edwin","non-dropping-particle":"","parse-names":false,"suffix":""},{"dropping-particle":"","family":"Barroso","given":"David","non-dropping-particle":"","parse-names":false,"suffix":""},{"dropping-particle":"","family":"Nguyen","given":"Ariana E","non-dropping-particle":"","parse-names":false,"suffix":""},{"dropping-particle":"","family":"Lee","given":"Chris","non-dropping-particle":"","parse-names":false,"suffix":""},{"dropping-particle":"","family":"Erickson","given":"Kristopher J","non-dropping-particle":"","parse-names":false,"suffix":""},{"dropping-particle":"","family":"Triplett","given":"Mark","non-dropping-particle":"","parse-names":false,"suffix":""},{"dropping-particle":"","family":"Davis","given":"Brandon","non-dropping-particle":"","parse-names":false,"suffix":""},{"dropping-particle":"","family":"Lu","given":"I-hsi","non-dropping-particle":"","parse-names":false,"suffix":""},{"dropping-particle":"","family":"Bobek","given":"Sarah","non-dropping-particle":"","parse-names":false,"suffix":""},{"dropping-particle":"","family":"McKinley","given":"Jessica","non-dropping-particle":"","parse-names":false,"suffix":""},{"dropping-particle":"","family":"Martinez","given":"Joseph P","non-dropping-particle":"","parse-names":false,"suffix":""},{"dropping-particle":"","family":"Mann","given":"John","non-dropping-particle":"","parse-names":false,"suffix":""},{"dropping-particle":"","family":"Talin","given":"A Alec","non-dropping-particle":"","parse-names":false,"suffix":""},{"dropping-particle":"","family":"Bartels","given":"Ludwig","non-dropping-particle":"","parse-names":false,"suffix":""},{"dropping-particle":"","family":"Léonard","given":"François","non-dropping-particle":"","parse-names":false,"suffix":""}],"container-title":"Nano Letters","id":"ITEM-1","issue":"4","issued":{"date-parts":[["2015"]]},"page":"2612-2619","title":"Superlinear Composition-Dependent Photocurrent in CVD-Grown Monolayer MoS 2(1– x ) Se 2 x Alloy Devices","type":"article-journal","volume":"15"},"uris":["http://www.mendeley.com/documents/?uuid=69bbd89e-c5af-40a6-9a23-d7b735ca3d89","http://www.mendeley.com/documents/?uuid=1188d349-8577-4fe9-af8e-d2227bdfa319"]}],"mendeley":{"formattedCitation":"&lt;sup&gt;39&lt;/sup&gt;","plainTextFormattedCitation":"39","previouslyFormattedCitation":"&lt;sup&gt;38&lt;/sup&gt;"},"properties":{"noteIndex":0},"schema":"https://github.com/citation-style-language/schema/raw/master/csl-citation.json"}</w:instrText>
      </w:r>
      <w:r w:rsidRPr="00A807F2">
        <w:rPr>
          <w:lang w:val="en-IE"/>
        </w:rPr>
        <w:fldChar w:fldCharType="separate"/>
      </w:r>
      <w:r w:rsidR="001F4C34" w:rsidRPr="001F4C34">
        <w:rPr>
          <w:noProof/>
          <w:vertAlign w:val="superscript"/>
          <w:lang w:val="en-IE"/>
        </w:rPr>
        <w:t>39</w:t>
      </w:r>
      <w:r w:rsidRPr="00A807F2">
        <w:rPr>
          <w:lang w:val="en-IE"/>
        </w:rPr>
        <w:fldChar w:fldCharType="end"/>
      </w:r>
    </w:p>
    <w:p w14:paraId="70F76C65" w14:textId="20446734" w:rsidR="00A807F2" w:rsidRPr="00A807F2" w:rsidRDefault="00A807F2" w:rsidP="00A807F2">
      <w:pPr>
        <w:pStyle w:val="TAMainText"/>
      </w:pPr>
      <w:r w:rsidRPr="00A807F2">
        <w:lastRenderedPageBreak/>
        <w:t xml:space="preserve">As discussed earlier, the rate and efficiency of </w:t>
      </w:r>
      <w:proofErr w:type="spellStart"/>
      <w:r w:rsidRPr="00A807F2">
        <w:t>Förster</w:t>
      </w:r>
      <w:proofErr w:type="spellEnd"/>
      <w:r w:rsidRPr="00A807F2">
        <w:t xml:space="preserve">-type NRET between donor-acceptor pairs is governed by the </w:t>
      </w:r>
      <w:proofErr w:type="spellStart"/>
      <w:r w:rsidRPr="00A807F2">
        <w:t>centre</w:t>
      </w:r>
      <w:proofErr w:type="spellEnd"/>
      <w:r w:rsidRPr="00A807F2">
        <w:t>-to-</w:t>
      </w:r>
      <w:proofErr w:type="spellStart"/>
      <w:r w:rsidRPr="00A807F2">
        <w:t>centre</w:t>
      </w:r>
      <w:proofErr w:type="spellEnd"/>
      <w:r w:rsidRPr="00A807F2">
        <w:t xml:space="preserve"> separation, the donor quantum yield, and the spectral overlap, </w:t>
      </w:r>
      <m:oMath>
        <m:r>
          <w:rPr>
            <w:rFonts w:ascii="Cambria Math" w:hAnsi="Cambria Math"/>
          </w:rPr>
          <m:t>J</m:t>
        </m:r>
      </m:oMath>
      <w:r w:rsidRPr="00A807F2">
        <w:t xml:space="preserve">, between the donor emission and the acceptor absorption spectra. Given that each of the QD samples used in this study has the same diameter (6.0 ± 0.8) nm, the </w:t>
      </w:r>
      <w:proofErr w:type="spellStart"/>
      <w:r w:rsidRPr="00A807F2">
        <w:t>centre</w:t>
      </w:r>
      <w:proofErr w:type="spellEnd"/>
      <w:r w:rsidRPr="00A807F2">
        <w:t>-to-</w:t>
      </w:r>
      <w:proofErr w:type="spellStart"/>
      <w:r w:rsidRPr="00A807F2">
        <w:t>centre</w:t>
      </w:r>
      <w:proofErr w:type="spellEnd"/>
      <w:r w:rsidRPr="00A807F2">
        <w:t xml:space="preserve"> distance is the same for each hybrid device. It should also be noted that the three QDs also have the same quantum yield, (50 ± </w:t>
      </w:r>
      <w:proofErr w:type="gramStart"/>
      <w:r w:rsidRPr="00A807F2">
        <w:t>5)%</w:t>
      </w:r>
      <w:proofErr w:type="gramEnd"/>
      <w:r w:rsidRPr="00A807F2">
        <w:t xml:space="preserve">. The </w:t>
      </w:r>
      <w:proofErr w:type="spellStart"/>
      <w:r w:rsidRPr="00A807F2">
        <w:t>Förster</w:t>
      </w:r>
      <w:proofErr w:type="spellEnd"/>
      <w:r w:rsidRPr="00A807F2">
        <w:t xml:space="preserve"> NRET rate between a donor and acceptor dipole pair at a given </w:t>
      </w:r>
      <w:proofErr w:type="spellStart"/>
      <w:r w:rsidRPr="00A807F2">
        <w:t>centre</w:t>
      </w:r>
      <w:proofErr w:type="spellEnd"/>
      <w:r w:rsidRPr="00A807F2">
        <w:t>-to-</w:t>
      </w:r>
      <w:proofErr w:type="spellStart"/>
      <w:r w:rsidRPr="00A807F2">
        <w:t>centre</w:t>
      </w:r>
      <w:proofErr w:type="spellEnd"/>
      <w:r w:rsidRPr="00A807F2">
        <w:t xml:space="preserve"> separation, </w:t>
      </w:r>
      <m:oMath>
        <m:r>
          <w:rPr>
            <w:rFonts w:ascii="Cambria Math" w:hAnsi="Cambria Math"/>
          </w:rPr>
          <m:t>d</m:t>
        </m:r>
      </m:oMath>
      <w:r w:rsidRPr="00A807F2">
        <w:t>, is given by</w:t>
      </w:r>
      <w:r w:rsidRPr="00A807F2">
        <w:fldChar w:fldCharType="begin" w:fldLock="1"/>
      </w:r>
      <w:r w:rsidR="001F4C34">
        <w:instrText>ADDIN CSL_CITATION {"citationItems":[{"id":"ITEM-1","itemData":{"DOI":"10.1007/978-0-387-46312-4","ISBN":"978-0-387-31278-1","ISSN":"10643745","PMID":"7633532","abstract":"The third edition of this established classic text reference builds upon the strengths of its very popular predecessors. Organized as a broadly useful textbook Principles of Fluorescence Spectroscopy, 3rd edition maintains its emphasis on basics, while updating the examples to include recent results from the scientific literature. The third edition includes new chapters on single molecule detection, fluorescence correlation spectroscopy, novel probes and radiative decay engineering. Includes a link to Springer Extras to download files reproducing all book artwork, for easy use in lecture slides. This is an essential volume for students, researchers, and industry professionals in biophysics, biochemistry, biotechnology, bioengineering, biology and medicine.","author":[{"dropping-particle":"","family":"Lakowicz","given":"Joseph R.","non-dropping-particle":"","parse-names":false,"suffix":""}],"container-title":"Principles of fluorescence spectroscopy, Springer, New York, USA, 3rd edn, 2006.","editor":[{"dropping-particle":"","family":"Lakowicz","given":"Joseph R.","non-dropping-particle":"","parse-names":false,"suffix":""}],"id":"ITEM-1","issued":{"date-parts":[["2006"]]},"number-of-pages":"362","publisher":"Springer US","publisher-place":"Boston, MA","title":"Principles of Fluorescence Spectroscopy","type":"book"},"uris":["http://www.mendeley.com/documents/?uuid=be9beaca-149c-44b8-8013-60fb89c59d61","http://www.mendeley.com/documents/?uuid=8c2f5097-9ec5-4354-8d9a-69af50bda8f8"]}],"mendeley":{"formattedCitation":"&lt;sup&gt;22&lt;/sup&gt;","plainTextFormattedCitation":"22","previouslyFormattedCitation":"&lt;sup&gt;21&lt;/sup&gt;"},"properties":{"noteIndex":0},"schema":"https://github.com/citation-style-language/schema/raw/master/csl-citation.json"}</w:instrText>
      </w:r>
      <w:r w:rsidRPr="00A807F2">
        <w:fldChar w:fldCharType="separate"/>
      </w:r>
      <w:r w:rsidR="001F4C34" w:rsidRPr="001F4C34">
        <w:rPr>
          <w:noProof/>
          <w:vertAlign w:val="superscript"/>
        </w:rPr>
        <w:t>22</w:t>
      </w:r>
      <w:r w:rsidRPr="00A807F2">
        <w:rPr>
          <w:lang w:val="en-IE"/>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
        <w:gridCol w:w="8386"/>
        <w:gridCol w:w="698"/>
      </w:tblGrid>
      <w:tr w:rsidR="00A807F2" w:rsidRPr="00A807F2" w14:paraId="315EC6E6" w14:textId="77777777" w:rsidTr="00716610">
        <w:tc>
          <w:tcPr>
            <w:tcW w:w="276" w:type="dxa"/>
            <w:vAlign w:val="center"/>
          </w:tcPr>
          <w:p w14:paraId="0F400DE0" w14:textId="77777777" w:rsidR="00A807F2" w:rsidRPr="00A807F2" w:rsidRDefault="00A807F2" w:rsidP="00A807F2">
            <w:pPr>
              <w:pStyle w:val="TAMainText"/>
            </w:pPr>
          </w:p>
        </w:tc>
        <w:tc>
          <w:tcPr>
            <w:tcW w:w="8386" w:type="dxa"/>
            <w:vAlign w:val="center"/>
          </w:tcPr>
          <w:p w14:paraId="2760FC94" w14:textId="68744943" w:rsidR="00A807F2" w:rsidRPr="00A807F2" w:rsidRDefault="00F6410F" w:rsidP="00A807F2">
            <w:pPr>
              <w:pStyle w:val="TAMainText"/>
            </w:pPr>
            <m:oMathPara>
              <m:oMath>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NRET</m:t>
                    </m:r>
                  </m:sub>
                </m:sSub>
                <m:r>
                  <w:rPr>
                    <w:rFonts w:ascii="Cambria Math" w:hAnsi="Cambria Math"/>
                    <w:lang w:val="en-IE"/>
                  </w:rPr>
                  <m:t>=</m:t>
                </m:r>
                <m:f>
                  <m:fPr>
                    <m:ctrlPr>
                      <w:rPr>
                        <w:rFonts w:ascii="Cambria Math" w:hAnsi="Cambria Math"/>
                        <w:i/>
                        <w:lang w:val="en-IE"/>
                      </w:rPr>
                    </m:ctrlPr>
                  </m:fPr>
                  <m:num>
                    <m:r>
                      <w:rPr>
                        <w:rFonts w:ascii="Cambria Math" w:hAnsi="Cambria Math"/>
                        <w:lang w:val="en-IE"/>
                      </w:rPr>
                      <m:t>1</m:t>
                    </m:r>
                  </m:num>
                  <m:den>
                    <m:sSub>
                      <m:sSubPr>
                        <m:ctrlPr>
                          <w:rPr>
                            <w:rFonts w:ascii="Cambria Math" w:hAnsi="Cambria Math"/>
                            <w:i/>
                            <w:lang w:val="en-IE"/>
                          </w:rPr>
                        </m:ctrlPr>
                      </m:sSubPr>
                      <m:e>
                        <m:r>
                          <w:rPr>
                            <w:rFonts w:ascii="Cambria Math" w:hAnsi="Cambria Math"/>
                            <w:lang w:val="en-IE"/>
                          </w:rPr>
                          <m:t>τ</m:t>
                        </m:r>
                      </m:e>
                      <m:sub>
                        <m:r>
                          <w:rPr>
                            <w:rFonts w:ascii="Cambria Math" w:hAnsi="Cambria Math"/>
                            <w:lang w:val="en-IE"/>
                          </w:rPr>
                          <m:t>D</m:t>
                        </m:r>
                      </m:sub>
                    </m:sSub>
                  </m:den>
                </m:f>
                <m:sSup>
                  <m:sSupPr>
                    <m:ctrlPr>
                      <w:rPr>
                        <w:rFonts w:ascii="Cambria Math" w:hAnsi="Cambria Math"/>
                        <w:i/>
                        <w:lang w:val="en-IE"/>
                      </w:rPr>
                    </m:ctrlPr>
                  </m:sSupPr>
                  <m:e>
                    <m:d>
                      <m:dPr>
                        <m:ctrlPr>
                          <w:rPr>
                            <w:rFonts w:ascii="Cambria Math" w:hAnsi="Cambria Math"/>
                            <w:i/>
                            <w:lang w:val="en-IE"/>
                          </w:rPr>
                        </m:ctrlPr>
                      </m:dPr>
                      <m:e>
                        <m:f>
                          <m:fPr>
                            <m:ctrlPr>
                              <w:rPr>
                                <w:rFonts w:ascii="Cambria Math" w:hAnsi="Cambria Math"/>
                                <w:i/>
                                <w:lang w:val="en-IE"/>
                              </w:rPr>
                            </m:ctrlPr>
                          </m:fPr>
                          <m:num>
                            <m:sSub>
                              <m:sSubPr>
                                <m:ctrlPr>
                                  <w:rPr>
                                    <w:rFonts w:ascii="Cambria Math" w:hAnsi="Cambria Math"/>
                                    <w:i/>
                                    <w:lang w:val="en-IE"/>
                                  </w:rPr>
                                </m:ctrlPr>
                              </m:sSubPr>
                              <m:e>
                                <m:r>
                                  <w:rPr>
                                    <w:rFonts w:ascii="Cambria Math" w:hAnsi="Cambria Math"/>
                                    <w:lang w:val="en-IE"/>
                                  </w:rPr>
                                  <m:t>R</m:t>
                                </m:r>
                              </m:e>
                              <m:sub>
                                <m:r>
                                  <w:rPr>
                                    <w:rFonts w:ascii="Cambria Math" w:hAnsi="Cambria Math"/>
                                    <w:lang w:val="en-IE"/>
                                  </w:rPr>
                                  <m:t>0</m:t>
                                </m:r>
                              </m:sub>
                            </m:sSub>
                          </m:num>
                          <m:den>
                            <m:r>
                              <w:rPr>
                                <w:rFonts w:ascii="Cambria Math" w:hAnsi="Cambria Math"/>
                                <w:lang w:val="en-IE"/>
                              </w:rPr>
                              <m:t>d</m:t>
                            </m:r>
                          </m:den>
                        </m:f>
                      </m:e>
                    </m:d>
                  </m:e>
                  <m:sup>
                    <m:r>
                      <w:rPr>
                        <w:rFonts w:ascii="Cambria Math" w:hAnsi="Cambria Math"/>
                        <w:lang w:val="en-IE"/>
                      </w:rPr>
                      <m:t>6</m:t>
                    </m:r>
                  </m:sup>
                </m:sSup>
              </m:oMath>
            </m:oMathPara>
          </w:p>
        </w:tc>
        <w:tc>
          <w:tcPr>
            <w:tcW w:w="698" w:type="dxa"/>
            <w:vAlign w:val="center"/>
          </w:tcPr>
          <w:p w14:paraId="4EC68811" w14:textId="77777777" w:rsidR="00A807F2" w:rsidRPr="00A807F2" w:rsidRDefault="00A807F2" w:rsidP="00A807F2">
            <w:pPr>
              <w:pStyle w:val="TAMainText"/>
            </w:pPr>
            <w:r w:rsidRPr="00A807F2">
              <w:t>(4)</w:t>
            </w:r>
          </w:p>
        </w:tc>
      </w:tr>
    </w:tbl>
    <w:p w14:paraId="7437F666" w14:textId="13220FD9" w:rsidR="00A807F2" w:rsidRPr="00A807F2" w:rsidRDefault="00A807F2" w:rsidP="00A807F2">
      <w:pPr>
        <w:pStyle w:val="TAMainText"/>
      </w:pPr>
      <w:r w:rsidRPr="00A807F2">
        <w:t xml:space="preserve">where </w:t>
      </w:r>
      <m:oMath>
        <m:sSub>
          <m:sSubPr>
            <m:ctrlPr>
              <w:rPr>
                <w:rFonts w:ascii="Cambria Math" w:hAnsi="Cambria Math"/>
                <w:i/>
              </w:rPr>
            </m:ctrlPr>
          </m:sSubPr>
          <m:e>
            <m:r>
              <w:rPr>
                <w:rFonts w:ascii="Cambria Math" w:hAnsi="Cambria Math"/>
              </w:rPr>
              <m:t>τ</m:t>
            </m:r>
          </m:e>
          <m:sub>
            <m:r>
              <w:rPr>
                <w:rFonts w:ascii="Cambria Math" w:hAnsi="Cambria Math"/>
              </w:rPr>
              <m:t>D</m:t>
            </m:r>
          </m:sub>
        </m:sSub>
      </m:oMath>
      <w:r w:rsidRPr="00A807F2">
        <w:t xml:space="preserve"> is the donor lifetime and </w:t>
      </w:r>
      <m:oMath>
        <m:sSub>
          <m:sSubPr>
            <m:ctrlPr>
              <w:rPr>
                <w:rFonts w:ascii="Cambria Math" w:hAnsi="Cambria Math"/>
                <w:i/>
              </w:rPr>
            </m:ctrlPr>
          </m:sSubPr>
          <m:e>
            <m:r>
              <w:rPr>
                <w:rFonts w:ascii="Cambria Math" w:hAnsi="Cambria Math"/>
              </w:rPr>
              <m:t>R</m:t>
            </m:r>
          </m:e>
          <m:sub>
            <m:r>
              <w:rPr>
                <w:rFonts w:ascii="Cambria Math" w:hAnsi="Cambria Math"/>
              </w:rPr>
              <m:t>0</m:t>
            </m:r>
          </m:sub>
        </m:sSub>
      </m:oMath>
      <w:r w:rsidRPr="00A807F2">
        <w:t xml:space="preserve"> is the Förster radius, the characteristic distance at which the NRET efficiency </w:t>
      </w:r>
      <w:proofErr w:type="gramStart"/>
      <w:r w:rsidRPr="00A807F2">
        <w:t>is 50%.</w:t>
      </w:r>
      <w:proofErr w:type="gramEnd"/>
      <w:r w:rsidRPr="00A807F2">
        <w:t xml:space="preserve"> It is expressed by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
        <w:gridCol w:w="8387"/>
        <w:gridCol w:w="698"/>
      </w:tblGrid>
      <w:tr w:rsidR="00A807F2" w:rsidRPr="00A807F2" w14:paraId="76C5743D" w14:textId="77777777" w:rsidTr="00716610">
        <w:tc>
          <w:tcPr>
            <w:tcW w:w="275" w:type="dxa"/>
            <w:vAlign w:val="center"/>
          </w:tcPr>
          <w:p w14:paraId="406E2FFC" w14:textId="77777777" w:rsidR="00A807F2" w:rsidRPr="00A807F2" w:rsidRDefault="00A807F2" w:rsidP="00A807F2">
            <w:pPr>
              <w:pStyle w:val="TAMainText"/>
            </w:pPr>
          </w:p>
        </w:tc>
        <w:tc>
          <w:tcPr>
            <w:tcW w:w="8387" w:type="dxa"/>
            <w:vAlign w:val="center"/>
          </w:tcPr>
          <w:p w14:paraId="5E33AA77" w14:textId="4ABACA8D" w:rsidR="00A807F2" w:rsidRPr="00A807F2" w:rsidRDefault="00F6410F" w:rsidP="00A807F2">
            <w:pPr>
              <w:pStyle w:val="TAMainText"/>
            </w:pPr>
            <m:oMathPara>
              <m:oMath>
                <m:sSub>
                  <m:sSubPr>
                    <m:ctrlPr>
                      <w:rPr>
                        <w:rFonts w:ascii="Cambria Math" w:hAnsi="Cambria Math"/>
                        <w:i/>
                        <w:lang w:val="en-IE"/>
                      </w:rPr>
                    </m:ctrlPr>
                  </m:sSubPr>
                  <m:e>
                    <m:r>
                      <w:rPr>
                        <w:rFonts w:ascii="Cambria Math" w:hAnsi="Cambria Math"/>
                        <w:lang w:val="en-IE"/>
                      </w:rPr>
                      <m:t>R</m:t>
                    </m:r>
                  </m:e>
                  <m:sub>
                    <m:r>
                      <w:rPr>
                        <w:rFonts w:ascii="Cambria Math" w:hAnsi="Cambria Math"/>
                        <w:lang w:val="en-IE"/>
                      </w:rPr>
                      <m:t>0</m:t>
                    </m:r>
                  </m:sub>
                </m:sSub>
                <m:r>
                  <w:rPr>
                    <w:rFonts w:ascii="Cambria Math" w:hAnsi="Cambria Math"/>
                    <w:lang w:val="en-IE"/>
                  </w:rPr>
                  <m:t>=</m:t>
                </m:r>
                <m:sSup>
                  <m:sSupPr>
                    <m:ctrlPr>
                      <w:rPr>
                        <w:rFonts w:ascii="Cambria Math" w:hAnsi="Cambria Math"/>
                        <w:i/>
                        <w:lang w:val="en-IE"/>
                      </w:rPr>
                    </m:ctrlPr>
                  </m:sSupPr>
                  <m:e>
                    <m:d>
                      <m:dPr>
                        <m:ctrlPr>
                          <w:rPr>
                            <w:rFonts w:ascii="Cambria Math" w:hAnsi="Cambria Math"/>
                            <w:i/>
                            <w:lang w:val="en-IE"/>
                          </w:rPr>
                        </m:ctrlPr>
                      </m:dPr>
                      <m:e>
                        <m:f>
                          <m:fPr>
                            <m:ctrlPr>
                              <w:rPr>
                                <w:rFonts w:ascii="Cambria Math" w:hAnsi="Cambria Math"/>
                                <w:i/>
                                <w:lang w:val="en-IE"/>
                              </w:rPr>
                            </m:ctrlPr>
                          </m:fPr>
                          <m:num>
                            <m:r>
                              <w:rPr>
                                <w:rFonts w:ascii="Cambria Math" w:hAnsi="Cambria Math"/>
                                <w:lang w:val="en-IE"/>
                              </w:rPr>
                              <m:t>9000∙ln⁡(10)∙</m:t>
                            </m:r>
                            <m:sSup>
                              <m:sSupPr>
                                <m:ctrlPr>
                                  <w:rPr>
                                    <w:rFonts w:ascii="Cambria Math" w:hAnsi="Cambria Math"/>
                                    <w:i/>
                                    <w:lang w:val="en-IE"/>
                                  </w:rPr>
                                </m:ctrlPr>
                              </m:sSupPr>
                              <m:e>
                                <m:r>
                                  <w:rPr>
                                    <w:rFonts w:ascii="Cambria Math" w:hAnsi="Cambria Math"/>
                                    <w:lang w:val="en-IE"/>
                                  </w:rPr>
                                  <m:t>κ</m:t>
                                </m:r>
                              </m:e>
                              <m:sup>
                                <m:r>
                                  <w:rPr>
                                    <w:rFonts w:ascii="Cambria Math" w:hAnsi="Cambria Math"/>
                                    <w:lang w:val="en-IE"/>
                                  </w:rPr>
                                  <m:t>2</m:t>
                                </m:r>
                              </m:sup>
                            </m:sSup>
                            <m:r>
                              <w:rPr>
                                <w:rFonts w:ascii="Cambria Math" w:hAnsi="Cambria Math"/>
                                <w:lang w:val="en-IE"/>
                              </w:rPr>
                              <m:t>∙QY∙J</m:t>
                            </m:r>
                          </m:num>
                          <m:den>
                            <m:r>
                              <w:rPr>
                                <w:rFonts w:ascii="Cambria Math" w:hAnsi="Cambria Math"/>
                                <w:lang w:val="en-IE"/>
                              </w:rPr>
                              <m:t>128∙</m:t>
                            </m:r>
                            <m:sSub>
                              <m:sSubPr>
                                <m:ctrlPr>
                                  <w:rPr>
                                    <w:rFonts w:ascii="Cambria Math" w:hAnsi="Cambria Math"/>
                                    <w:i/>
                                    <w:lang w:val="en-IE"/>
                                  </w:rPr>
                                </m:ctrlPr>
                              </m:sSubPr>
                              <m:e>
                                <m:r>
                                  <w:rPr>
                                    <w:rFonts w:ascii="Cambria Math" w:hAnsi="Cambria Math"/>
                                    <w:lang w:val="en-IE"/>
                                  </w:rPr>
                                  <m:t>N</m:t>
                                </m:r>
                              </m:e>
                              <m:sub>
                                <m:r>
                                  <w:rPr>
                                    <w:rFonts w:ascii="Cambria Math" w:hAnsi="Cambria Math"/>
                                    <w:lang w:val="en-IE"/>
                                  </w:rPr>
                                  <m:t>A</m:t>
                                </m:r>
                              </m:sub>
                            </m:sSub>
                            <m:r>
                              <w:rPr>
                                <w:rFonts w:ascii="Cambria Math" w:hAnsi="Cambria Math"/>
                                <w:lang w:val="en-IE"/>
                              </w:rPr>
                              <m:t>∙</m:t>
                            </m:r>
                            <m:sSup>
                              <m:sSupPr>
                                <m:ctrlPr>
                                  <w:rPr>
                                    <w:rFonts w:ascii="Cambria Math" w:hAnsi="Cambria Math"/>
                                    <w:i/>
                                    <w:lang w:val="en-IE"/>
                                  </w:rPr>
                                </m:ctrlPr>
                              </m:sSupPr>
                              <m:e>
                                <m:r>
                                  <w:rPr>
                                    <w:rFonts w:ascii="Cambria Math" w:hAnsi="Cambria Math"/>
                                    <w:lang w:val="en-IE"/>
                                  </w:rPr>
                                  <m:t>π</m:t>
                                </m:r>
                              </m:e>
                              <m:sup>
                                <m:r>
                                  <w:rPr>
                                    <w:rFonts w:ascii="Cambria Math" w:hAnsi="Cambria Math"/>
                                    <w:lang w:val="en-IE"/>
                                  </w:rPr>
                                  <m:t>5</m:t>
                                </m:r>
                              </m:sup>
                            </m:sSup>
                            <m:r>
                              <w:rPr>
                                <w:rFonts w:ascii="Cambria Math" w:hAnsi="Cambria Math"/>
                                <w:lang w:val="en-IE"/>
                              </w:rPr>
                              <m:t>∙</m:t>
                            </m:r>
                            <m:sSup>
                              <m:sSupPr>
                                <m:ctrlPr>
                                  <w:rPr>
                                    <w:rFonts w:ascii="Cambria Math" w:hAnsi="Cambria Math"/>
                                    <w:i/>
                                    <w:lang w:val="en-IE"/>
                                  </w:rPr>
                                </m:ctrlPr>
                              </m:sSupPr>
                              <m:e>
                                <m:r>
                                  <w:rPr>
                                    <w:rFonts w:ascii="Cambria Math" w:hAnsi="Cambria Math"/>
                                    <w:lang w:val="en-IE"/>
                                  </w:rPr>
                                  <m:t>n</m:t>
                                </m:r>
                              </m:e>
                              <m:sup>
                                <m:r>
                                  <w:rPr>
                                    <w:rFonts w:ascii="Cambria Math" w:hAnsi="Cambria Math"/>
                                    <w:lang w:val="en-IE"/>
                                  </w:rPr>
                                  <m:t>4</m:t>
                                </m:r>
                              </m:sup>
                            </m:sSup>
                          </m:den>
                        </m:f>
                      </m:e>
                    </m:d>
                  </m:e>
                  <m:sup>
                    <m:f>
                      <m:fPr>
                        <m:ctrlPr>
                          <w:rPr>
                            <w:rFonts w:ascii="Cambria Math" w:hAnsi="Cambria Math"/>
                            <w:i/>
                            <w:lang w:val="en-IE"/>
                          </w:rPr>
                        </m:ctrlPr>
                      </m:fPr>
                      <m:num>
                        <m:r>
                          <w:rPr>
                            <w:rFonts w:ascii="Cambria Math" w:hAnsi="Cambria Math"/>
                            <w:lang w:val="en-IE"/>
                          </w:rPr>
                          <m:t>1</m:t>
                        </m:r>
                      </m:num>
                      <m:den>
                        <m:r>
                          <w:rPr>
                            <w:rFonts w:ascii="Cambria Math" w:hAnsi="Cambria Math"/>
                            <w:lang w:val="en-IE"/>
                          </w:rPr>
                          <m:t>6</m:t>
                        </m:r>
                      </m:den>
                    </m:f>
                  </m:sup>
                </m:sSup>
              </m:oMath>
            </m:oMathPara>
          </w:p>
        </w:tc>
        <w:tc>
          <w:tcPr>
            <w:tcW w:w="698" w:type="dxa"/>
            <w:vAlign w:val="center"/>
          </w:tcPr>
          <w:p w14:paraId="7F1F81DA" w14:textId="77777777" w:rsidR="00A807F2" w:rsidRPr="00A807F2" w:rsidRDefault="00A807F2" w:rsidP="00A807F2">
            <w:pPr>
              <w:pStyle w:val="TAMainText"/>
            </w:pPr>
            <w:r w:rsidRPr="00A807F2">
              <w:t>(5)</w:t>
            </w:r>
          </w:p>
        </w:tc>
      </w:tr>
    </w:tbl>
    <w:p w14:paraId="4EC26E30" w14:textId="759AD9EC" w:rsidR="00A807F2" w:rsidRPr="00A807F2" w:rsidRDefault="00A807F2" w:rsidP="00A807F2">
      <w:pPr>
        <w:pStyle w:val="TAMainText"/>
      </w:pPr>
      <w:r w:rsidRPr="00A807F2">
        <w:t xml:space="preserve">where </w:t>
      </w:r>
      <m:oMath>
        <m:sSup>
          <m:sSupPr>
            <m:ctrlPr>
              <w:rPr>
                <w:rFonts w:ascii="Cambria Math" w:hAnsi="Cambria Math"/>
                <w:i/>
              </w:rPr>
            </m:ctrlPr>
          </m:sSupPr>
          <m:e>
            <m:r>
              <w:rPr>
                <w:rFonts w:ascii="Cambria Math" w:hAnsi="Cambria Math"/>
              </w:rPr>
              <m:t>κ</m:t>
            </m:r>
          </m:e>
          <m:sup>
            <m:r>
              <w:rPr>
                <w:rFonts w:ascii="Cambria Math" w:hAnsi="Cambria Math"/>
              </w:rPr>
              <m:t>2</m:t>
            </m:r>
          </m:sup>
        </m:sSup>
      </m:oMath>
      <w:r w:rsidRPr="00A807F2">
        <w:t xml:space="preserve"> is a factor that describes the relative orientation between donor and acceptor dipoles, </w:t>
      </w:r>
      <m:oMath>
        <m:r>
          <w:rPr>
            <w:rFonts w:ascii="Cambria Math" w:hAnsi="Cambria Math"/>
          </w:rPr>
          <m:t>QY</m:t>
        </m:r>
      </m:oMath>
      <w:r w:rsidRPr="00A807F2">
        <w:t xml:space="preserve"> is the donor quantum yield, </w:t>
      </w:r>
      <m:oMath>
        <m:r>
          <w:rPr>
            <w:rFonts w:ascii="Cambria Math" w:hAnsi="Cambria Math"/>
          </w:rPr>
          <m:t>J</m:t>
        </m:r>
      </m:oMath>
      <w:r w:rsidRPr="00A807F2">
        <w:t xml:space="preserve"> is the spectral overlap between the donor emission spectrum and the acceptor absorption spectrum, and </w:t>
      </w:r>
      <m:oMath>
        <m:r>
          <w:rPr>
            <w:rFonts w:ascii="Cambria Math" w:hAnsi="Cambria Math"/>
          </w:rPr>
          <m:t>n</m:t>
        </m:r>
      </m:oMath>
      <w:r w:rsidRPr="00A807F2">
        <w:t xml:space="preserve"> is the refractive index. Filling eqn </w:t>
      </w:r>
      <w:r w:rsidR="008E354C">
        <w:t>(</w:t>
      </w:r>
      <w:r w:rsidRPr="00A807F2">
        <w:t>5</w:t>
      </w:r>
      <w:r w:rsidR="008E354C">
        <w:t>)</w:t>
      </w:r>
      <w:r w:rsidRPr="00A807F2">
        <w:t xml:space="preserve"> into </w:t>
      </w:r>
      <w:proofErr w:type="spellStart"/>
      <w:r w:rsidRPr="00A807F2">
        <w:t>eqn</w:t>
      </w:r>
      <w:proofErr w:type="spellEnd"/>
      <w:r w:rsidRPr="00A807F2">
        <w:t xml:space="preserve"> </w:t>
      </w:r>
      <w:r w:rsidR="008E354C">
        <w:t>(</w:t>
      </w:r>
      <w:r w:rsidRPr="00A807F2">
        <w:t>4</w:t>
      </w:r>
      <w:r w:rsidR="008E354C">
        <w:t>)</w:t>
      </w:r>
      <w:r w:rsidRPr="00A807F2">
        <w:t xml:space="preserve"> highlights the proportionality between the NRET rate and the spectral overlap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
        <w:gridCol w:w="8388"/>
        <w:gridCol w:w="698"/>
      </w:tblGrid>
      <w:tr w:rsidR="00716610" w:rsidRPr="00A807F2" w14:paraId="0C9CD7ED" w14:textId="77777777" w:rsidTr="000C5F32">
        <w:tc>
          <w:tcPr>
            <w:tcW w:w="279" w:type="dxa"/>
            <w:vAlign w:val="center"/>
          </w:tcPr>
          <w:p w14:paraId="763C617F" w14:textId="77777777" w:rsidR="00716610" w:rsidRPr="00A807F2" w:rsidRDefault="00716610" w:rsidP="000C5F32">
            <w:pPr>
              <w:pStyle w:val="TAMainText"/>
            </w:pPr>
          </w:p>
        </w:tc>
        <w:tc>
          <w:tcPr>
            <w:tcW w:w="8788" w:type="dxa"/>
            <w:vAlign w:val="center"/>
          </w:tcPr>
          <w:p w14:paraId="05753B27" w14:textId="3EB6B3D2" w:rsidR="00716610" w:rsidRPr="00A807F2" w:rsidRDefault="00F6410F" w:rsidP="000C5F32">
            <w:pPr>
              <w:pStyle w:val="TAMainText"/>
            </w:pPr>
            <m:oMathPara>
              <m:oMath>
                <m:sSub>
                  <m:sSubPr>
                    <m:ctrlPr>
                      <w:rPr>
                        <w:rFonts w:ascii="Cambria Math" w:hAnsi="Cambria Math"/>
                        <w:i/>
                        <w:lang w:val="en-IE"/>
                      </w:rPr>
                    </m:ctrlPr>
                  </m:sSubPr>
                  <m:e>
                    <m:r>
                      <w:rPr>
                        <w:rFonts w:ascii="Cambria Math" w:hAnsi="Cambria Math"/>
                        <w:lang w:val="en-IE"/>
                      </w:rPr>
                      <m:t>k</m:t>
                    </m:r>
                  </m:e>
                  <m:sub>
                    <m:r>
                      <w:rPr>
                        <w:rFonts w:ascii="Cambria Math" w:hAnsi="Cambria Math"/>
                        <w:lang w:val="en-IE"/>
                      </w:rPr>
                      <m:t>NRET</m:t>
                    </m:r>
                  </m:sub>
                </m:sSub>
                <m:r>
                  <w:rPr>
                    <w:rFonts w:ascii="Cambria Math" w:hAnsi="Cambria Math"/>
                    <w:lang w:val="en-IE"/>
                  </w:rPr>
                  <m:t>=J</m:t>
                </m:r>
                <m:sSubSup>
                  <m:sSubSupPr>
                    <m:ctrlPr>
                      <w:rPr>
                        <w:rFonts w:ascii="Cambria Math" w:hAnsi="Cambria Math"/>
                        <w:i/>
                        <w:lang w:val="en-IE"/>
                      </w:rPr>
                    </m:ctrlPr>
                  </m:sSubSupPr>
                  <m:e>
                    <m:r>
                      <w:rPr>
                        <w:rFonts w:ascii="Cambria Math" w:hAnsi="Cambria Math"/>
                        <w:lang w:val="en-IE"/>
                      </w:rPr>
                      <m:t>τ</m:t>
                    </m:r>
                  </m:e>
                  <m:sub>
                    <m:r>
                      <w:rPr>
                        <w:rFonts w:ascii="Cambria Math" w:hAnsi="Cambria Math"/>
                        <w:lang w:val="en-IE"/>
                      </w:rPr>
                      <m:t>D</m:t>
                    </m:r>
                  </m:sub>
                  <m:sup>
                    <m:r>
                      <w:rPr>
                        <w:rFonts w:ascii="Cambria Math" w:hAnsi="Cambria Math"/>
                        <w:lang w:val="en-IE"/>
                      </w:rPr>
                      <m:t>-1</m:t>
                    </m:r>
                  </m:sup>
                </m:sSubSup>
                <m:d>
                  <m:dPr>
                    <m:ctrlPr>
                      <w:rPr>
                        <w:rFonts w:ascii="Cambria Math" w:hAnsi="Cambria Math"/>
                        <w:i/>
                        <w:lang w:val="en-IE"/>
                      </w:rPr>
                    </m:ctrlPr>
                  </m:dPr>
                  <m:e>
                    <m:f>
                      <m:fPr>
                        <m:ctrlPr>
                          <w:rPr>
                            <w:rFonts w:ascii="Cambria Math" w:hAnsi="Cambria Math"/>
                            <w:i/>
                            <w:lang w:val="en-IE"/>
                          </w:rPr>
                        </m:ctrlPr>
                      </m:fPr>
                      <m:num>
                        <m:sSup>
                          <m:sSupPr>
                            <m:ctrlPr>
                              <w:rPr>
                                <w:rFonts w:ascii="Cambria Math" w:hAnsi="Cambria Math"/>
                                <w:i/>
                                <w:lang w:val="en-IE"/>
                              </w:rPr>
                            </m:ctrlPr>
                          </m:sSupPr>
                          <m:e>
                            <m:r>
                              <w:rPr>
                                <w:rFonts w:ascii="Cambria Math" w:hAnsi="Cambria Math"/>
                                <w:lang w:val="en-IE"/>
                              </w:rPr>
                              <m:t>QY∙κ</m:t>
                            </m:r>
                          </m:e>
                          <m:sup>
                            <m:r>
                              <w:rPr>
                                <w:rFonts w:ascii="Cambria Math" w:hAnsi="Cambria Math"/>
                                <w:lang w:val="en-IE"/>
                              </w:rPr>
                              <m:t>2</m:t>
                            </m:r>
                          </m:sup>
                        </m:sSup>
                      </m:num>
                      <m:den>
                        <m:sSup>
                          <m:sSupPr>
                            <m:ctrlPr>
                              <w:rPr>
                                <w:rFonts w:ascii="Cambria Math" w:hAnsi="Cambria Math"/>
                                <w:i/>
                                <w:lang w:val="en-IE"/>
                              </w:rPr>
                            </m:ctrlPr>
                          </m:sSupPr>
                          <m:e>
                            <m:r>
                              <w:rPr>
                                <w:rFonts w:ascii="Cambria Math" w:hAnsi="Cambria Math"/>
                                <w:lang w:val="en-IE"/>
                              </w:rPr>
                              <m:t>d</m:t>
                            </m:r>
                          </m:e>
                          <m:sup>
                            <m:r>
                              <w:rPr>
                                <w:rFonts w:ascii="Cambria Math" w:hAnsi="Cambria Math"/>
                                <w:lang w:val="en-IE"/>
                              </w:rPr>
                              <m:t>6</m:t>
                            </m:r>
                          </m:sup>
                        </m:sSup>
                      </m:den>
                    </m:f>
                  </m:e>
                </m:d>
                <m:d>
                  <m:dPr>
                    <m:ctrlPr>
                      <w:rPr>
                        <w:rFonts w:ascii="Cambria Math" w:hAnsi="Cambria Math"/>
                        <w:i/>
                        <w:lang w:val="en-IE"/>
                      </w:rPr>
                    </m:ctrlPr>
                  </m:dPr>
                  <m:e>
                    <m:f>
                      <m:fPr>
                        <m:ctrlPr>
                          <w:rPr>
                            <w:rFonts w:ascii="Cambria Math" w:hAnsi="Cambria Math"/>
                            <w:i/>
                            <w:lang w:val="en-IE"/>
                          </w:rPr>
                        </m:ctrlPr>
                      </m:fPr>
                      <m:num>
                        <m:r>
                          <w:rPr>
                            <w:rFonts w:ascii="Cambria Math" w:hAnsi="Cambria Math"/>
                            <w:lang w:val="en-IE"/>
                          </w:rPr>
                          <m:t>9000∙ln⁡(10)</m:t>
                        </m:r>
                      </m:num>
                      <m:den>
                        <m:r>
                          <w:rPr>
                            <w:rFonts w:ascii="Cambria Math" w:hAnsi="Cambria Math"/>
                            <w:lang w:val="en-IE"/>
                          </w:rPr>
                          <m:t>128∙</m:t>
                        </m:r>
                        <m:sSub>
                          <m:sSubPr>
                            <m:ctrlPr>
                              <w:rPr>
                                <w:rFonts w:ascii="Cambria Math" w:hAnsi="Cambria Math"/>
                                <w:i/>
                                <w:lang w:val="en-IE"/>
                              </w:rPr>
                            </m:ctrlPr>
                          </m:sSubPr>
                          <m:e>
                            <m:r>
                              <w:rPr>
                                <w:rFonts w:ascii="Cambria Math" w:hAnsi="Cambria Math"/>
                                <w:lang w:val="en-IE"/>
                              </w:rPr>
                              <m:t>N</m:t>
                            </m:r>
                          </m:e>
                          <m:sub>
                            <m:r>
                              <w:rPr>
                                <w:rFonts w:ascii="Cambria Math" w:hAnsi="Cambria Math"/>
                                <w:lang w:val="en-IE"/>
                              </w:rPr>
                              <m:t>A</m:t>
                            </m:r>
                          </m:sub>
                        </m:sSub>
                        <m:r>
                          <w:rPr>
                            <w:rFonts w:ascii="Cambria Math" w:hAnsi="Cambria Math"/>
                            <w:lang w:val="en-IE"/>
                          </w:rPr>
                          <m:t>∙</m:t>
                        </m:r>
                        <m:sSup>
                          <m:sSupPr>
                            <m:ctrlPr>
                              <w:rPr>
                                <w:rFonts w:ascii="Cambria Math" w:hAnsi="Cambria Math"/>
                                <w:i/>
                                <w:lang w:val="en-IE"/>
                              </w:rPr>
                            </m:ctrlPr>
                          </m:sSupPr>
                          <m:e>
                            <m:r>
                              <w:rPr>
                                <w:rFonts w:ascii="Cambria Math" w:hAnsi="Cambria Math"/>
                                <w:lang w:val="en-IE"/>
                              </w:rPr>
                              <m:t>π</m:t>
                            </m:r>
                          </m:e>
                          <m:sup>
                            <m:r>
                              <w:rPr>
                                <w:rFonts w:ascii="Cambria Math" w:hAnsi="Cambria Math"/>
                                <w:lang w:val="en-IE"/>
                              </w:rPr>
                              <m:t>5</m:t>
                            </m:r>
                          </m:sup>
                        </m:sSup>
                        <m:r>
                          <w:rPr>
                            <w:rFonts w:ascii="Cambria Math" w:hAnsi="Cambria Math"/>
                            <w:lang w:val="en-IE"/>
                          </w:rPr>
                          <m:t>∙</m:t>
                        </m:r>
                        <m:sSup>
                          <m:sSupPr>
                            <m:ctrlPr>
                              <w:rPr>
                                <w:rFonts w:ascii="Cambria Math" w:hAnsi="Cambria Math"/>
                                <w:i/>
                                <w:lang w:val="en-IE"/>
                              </w:rPr>
                            </m:ctrlPr>
                          </m:sSupPr>
                          <m:e>
                            <m:r>
                              <w:rPr>
                                <w:rFonts w:ascii="Cambria Math" w:hAnsi="Cambria Math"/>
                                <w:lang w:val="en-IE"/>
                              </w:rPr>
                              <m:t>n</m:t>
                            </m:r>
                          </m:e>
                          <m:sup>
                            <m:r>
                              <w:rPr>
                                <w:rFonts w:ascii="Cambria Math" w:hAnsi="Cambria Math"/>
                                <w:lang w:val="en-IE"/>
                              </w:rPr>
                              <m:t>4</m:t>
                            </m:r>
                          </m:sup>
                        </m:sSup>
                      </m:den>
                    </m:f>
                  </m:e>
                </m:d>
              </m:oMath>
            </m:oMathPara>
          </w:p>
        </w:tc>
        <w:tc>
          <w:tcPr>
            <w:tcW w:w="283" w:type="dxa"/>
            <w:vAlign w:val="center"/>
          </w:tcPr>
          <w:p w14:paraId="7D6AFDF0" w14:textId="3986E8F5" w:rsidR="00716610" w:rsidRPr="00A807F2" w:rsidRDefault="00716610" w:rsidP="000C5F32">
            <w:pPr>
              <w:pStyle w:val="TAMainText"/>
            </w:pPr>
            <w:r>
              <w:t>(6</w:t>
            </w:r>
            <w:r w:rsidRPr="00A807F2">
              <w:t>)</w:t>
            </w:r>
          </w:p>
        </w:tc>
      </w:tr>
    </w:tbl>
    <w:p w14:paraId="108A8528" w14:textId="2C323A38" w:rsidR="00A807F2" w:rsidRDefault="00A807F2" w:rsidP="00A807F2">
      <w:pPr>
        <w:pStyle w:val="TAMainText"/>
      </w:pPr>
      <w:r w:rsidRPr="00A807F2">
        <w:t xml:space="preserve">The spectral overlap integral, </w:t>
      </w:r>
      <m:oMath>
        <m:r>
          <w:rPr>
            <w:rFonts w:ascii="Cambria Math" w:hAnsi="Cambria Math"/>
          </w:rPr>
          <m:t>J</m:t>
        </m:r>
      </m:oMath>
      <w:r w:rsidRPr="00A807F2">
        <w:t>, is given by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
        <w:gridCol w:w="8388"/>
        <w:gridCol w:w="698"/>
      </w:tblGrid>
      <w:tr w:rsidR="00716610" w:rsidRPr="00A807F2" w14:paraId="66C634A6" w14:textId="77777777" w:rsidTr="00716610">
        <w:tc>
          <w:tcPr>
            <w:tcW w:w="274" w:type="dxa"/>
            <w:vAlign w:val="center"/>
          </w:tcPr>
          <w:p w14:paraId="13623DF2" w14:textId="77777777" w:rsidR="00716610" w:rsidRPr="00A807F2" w:rsidRDefault="00716610" w:rsidP="000C5F32">
            <w:pPr>
              <w:pStyle w:val="TAMainText"/>
            </w:pPr>
          </w:p>
        </w:tc>
        <w:tc>
          <w:tcPr>
            <w:tcW w:w="8388" w:type="dxa"/>
            <w:vAlign w:val="center"/>
          </w:tcPr>
          <w:p w14:paraId="3AEF18AC" w14:textId="5111426F" w:rsidR="00716610" w:rsidRPr="00A807F2" w:rsidRDefault="00716610" w:rsidP="000C5F32">
            <w:pPr>
              <w:pStyle w:val="TAMainText"/>
            </w:pPr>
            <m:oMathPara>
              <m:oMath>
                <m:r>
                  <w:rPr>
                    <w:rFonts w:ascii="Cambria Math" w:hAnsi="Cambria Math"/>
                  </w:rPr>
                  <m:t>J=</m:t>
                </m:r>
                <m:nary>
                  <m:naryPr>
                    <m:limLoc m:val="undOvr"/>
                    <m:ctrlPr>
                      <w:rPr>
                        <w:rFonts w:ascii="Cambria Math" w:hAnsi="Cambria Math"/>
                        <w:i/>
                      </w:rPr>
                    </m:ctrlPr>
                  </m:naryPr>
                  <m:sub>
                    <m:r>
                      <w:rPr>
                        <w:rFonts w:ascii="Cambria Math" w:hAnsi="Cambria Math"/>
                      </w:rPr>
                      <m:t>0</m:t>
                    </m:r>
                  </m:sub>
                  <m:sup>
                    <m:r>
                      <w:rPr>
                        <w:rFonts w:ascii="Cambria Math" w:hAnsi="Cambria Math"/>
                      </w:rPr>
                      <m:t>∞</m:t>
                    </m:r>
                  </m:sup>
                  <m:e>
                    <m:sSub>
                      <m:sSubPr>
                        <m:ctrlPr>
                          <w:rPr>
                            <w:rFonts w:ascii="Cambria Math" w:hAnsi="Cambria Math"/>
                            <w:i/>
                          </w:rPr>
                        </m:ctrlPr>
                      </m:sSubPr>
                      <m:e>
                        <m:r>
                          <w:rPr>
                            <w:rFonts w:ascii="Cambria Math" w:hAnsi="Cambria Math"/>
                          </w:rPr>
                          <m:t>I</m:t>
                        </m:r>
                      </m:e>
                      <m:sub>
                        <m:r>
                          <w:rPr>
                            <w:rFonts w:ascii="Cambria Math" w:hAnsi="Cambria Math"/>
                          </w:rPr>
                          <m:t>QD</m:t>
                        </m:r>
                      </m:sub>
                    </m:sSub>
                    <m:d>
                      <m:dPr>
                        <m:ctrlPr>
                          <w:rPr>
                            <w:rFonts w:ascii="Cambria Math" w:hAnsi="Cambria Math"/>
                            <w:i/>
                          </w:rPr>
                        </m:ctrlPr>
                      </m:dPr>
                      <m:e>
                        <m:r>
                          <w:rPr>
                            <w:rFonts w:ascii="Cambria Math" w:hAnsi="Cambria Math"/>
                          </w:rPr>
                          <m:t>λ</m:t>
                        </m:r>
                      </m:e>
                    </m:d>
                    <m:r>
                      <w:rPr>
                        <w:rFonts w:ascii="Cambria Math" w:hAnsi="Cambria Math"/>
                      </w:rPr>
                      <m:t>∙</m:t>
                    </m:r>
                    <m:sSub>
                      <m:sSubPr>
                        <m:ctrlPr>
                          <w:rPr>
                            <w:rFonts w:ascii="Cambria Math" w:hAnsi="Cambria Math"/>
                            <w:i/>
                          </w:rPr>
                        </m:ctrlPr>
                      </m:sSubPr>
                      <m:e>
                        <m:r>
                          <w:rPr>
                            <w:rFonts w:ascii="Cambria Math" w:hAnsi="Cambria Math"/>
                          </w:rPr>
                          <m:t>ε</m:t>
                        </m:r>
                      </m:e>
                      <m:sub>
                        <m:sSub>
                          <m:sSubPr>
                            <m:ctrlPr>
                              <w:rPr>
                                <w:rFonts w:ascii="Cambria Math" w:hAnsi="Cambria Math"/>
                                <w:i/>
                              </w:rPr>
                            </m:ctrlPr>
                          </m:sSubPr>
                          <m:e>
                            <m:r>
                              <w:rPr>
                                <w:rFonts w:ascii="Cambria Math" w:hAnsi="Cambria Math"/>
                              </w:rPr>
                              <m:t>MoS</m:t>
                            </m:r>
                          </m:e>
                          <m:sub>
                            <m:r>
                              <w:rPr>
                                <w:rFonts w:ascii="Cambria Math" w:hAnsi="Cambria Math"/>
                              </w:rPr>
                              <m:t>2</m:t>
                            </m:r>
                          </m:sub>
                        </m:sSub>
                      </m:sub>
                    </m:sSub>
                    <m:d>
                      <m:dPr>
                        <m:ctrlPr>
                          <w:rPr>
                            <w:rFonts w:ascii="Cambria Math" w:hAnsi="Cambria Math"/>
                            <w:i/>
                          </w:rPr>
                        </m:ctrlPr>
                      </m:dPr>
                      <m:e>
                        <m:r>
                          <w:rPr>
                            <w:rFonts w:ascii="Cambria Math" w:hAnsi="Cambria Math"/>
                          </w:rPr>
                          <m:t>λ</m:t>
                        </m:r>
                      </m:e>
                    </m:d>
                    <m:r>
                      <w:rPr>
                        <w:rFonts w:ascii="Cambria Math" w:hAnsi="Cambria Math"/>
                      </w:rPr>
                      <m:t xml:space="preserve">∙ </m:t>
                    </m:r>
                    <m:sSup>
                      <m:sSupPr>
                        <m:ctrlPr>
                          <w:rPr>
                            <w:rFonts w:ascii="Cambria Math" w:hAnsi="Cambria Math"/>
                            <w:i/>
                          </w:rPr>
                        </m:ctrlPr>
                      </m:sSupPr>
                      <m:e>
                        <m:r>
                          <w:rPr>
                            <w:rFonts w:ascii="Cambria Math" w:hAnsi="Cambria Math"/>
                          </w:rPr>
                          <m:t>λ</m:t>
                        </m:r>
                      </m:e>
                      <m:sup>
                        <m:r>
                          <w:rPr>
                            <w:rFonts w:ascii="Cambria Math" w:hAnsi="Cambria Math"/>
                          </w:rPr>
                          <m:t>4</m:t>
                        </m:r>
                      </m:sup>
                    </m:sSup>
                    <m:r>
                      <w:rPr>
                        <w:rFonts w:ascii="Cambria Math" w:hAnsi="Cambria Math"/>
                      </w:rPr>
                      <m:t xml:space="preserve"> dλ</m:t>
                    </m:r>
                  </m:e>
                </m:nary>
              </m:oMath>
            </m:oMathPara>
          </w:p>
        </w:tc>
        <w:tc>
          <w:tcPr>
            <w:tcW w:w="698" w:type="dxa"/>
            <w:vAlign w:val="center"/>
          </w:tcPr>
          <w:p w14:paraId="01925B53" w14:textId="75DA0D8D" w:rsidR="00716610" w:rsidRPr="00A807F2" w:rsidRDefault="00716610" w:rsidP="000C5F32">
            <w:pPr>
              <w:pStyle w:val="TAMainText"/>
            </w:pPr>
            <w:r>
              <w:t>(7</w:t>
            </w:r>
            <w:r w:rsidRPr="00A807F2">
              <w:t>)</w:t>
            </w:r>
          </w:p>
        </w:tc>
      </w:tr>
    </w:tbl>
    <w:p w14:paraId="709CD360" w14:textId="1EBCB279" w:rsidR="00A807F2" w:rsidRDefault="00A807F2" w:rsidP="00A807F2">
      <w:pPr>
        <w:pStyle w:val="TAMainText"/>
      </w:pPr>
      <w:r w:rsidRPr="00A807F2">
        <w:t xml:space="preserve">where </w:t>
      </w:r>
      <m:oMath>
        <m:sSub>
          <m:sSubPr>
            <m:ctrlPr>
              <w:rPr>
                <w:rFonts w:ascii="Cambria Math" w:hAnsi="Cambria Math"/>
                <w:i/>
              </w:rPr>
            </m:ctrlPr>
          </m:sSubPr>
          <m:e>
            <m:r>
              <w:rPr>
                <w:rFonts w:ascii="Cambria Math" w:hAnsi="Cambria Math"/>
              </w:rPr>
              <m:t>I</m:t>
            </m:r>
          </m:e>
          <m:sub>
            <m:r>
              <w:rPr>
                <w:rFonts w:ascii="Cambria Math" w:hAnsi="Cambria Math"/>
              </w:rPr>
              <m:t>QD</m:t>
            </m:r>
          </m:sub>
        </m:sSub>
        <m:r>
          <w:rPr>
            <w:rFonts w:ascii="Cambria Math" w:hAnsi="Cambria Math"/>
          </w:rPr>
          <m:t>(λ)</m:t>
        </m:r>
      </m:oMath>
      <w:r w:rsidRPr="00A807F2">
        <w:t xml:space="preserve"> is the area normalised donor emission spectrum and </w:t>
      </w:r>
      <m:oMath>
        <m:sSub>
          <m:sSubPr>
            <m:ctrlPr>
              <w:rPr>
                <w:rFonts w:ascii="Cambria Math" w:hAnsi="Cambria Math"/>
                <w:i/>
              </w:rPr>
            </m:ctrlPr>
          </m:sSubPr>
          <m:e>
            <m:r>
              <w:rPr>
                <w:rFonts w:ascii="Cambria Math" w:hAnsi="Cambria Math"/>
              </w:rPr>
              <m:t>ε</m:t>
            </m:r>
          </m:e>
          <m:sub>
            <m:sSub>
              <m:sSubPr>
                <m:ctrlPr>
                  <w:rPr>
                    <w:rFonts w:ascii="Cambria Math" w:hAnsi="Cambria Math"/>
                    <w:i/>
                  </w:rPr>
                </m:ctrlPr>
              </m:sSubPr>
              <m:e>
                <m:r>
                  <w:rPr>
                    <w:rFonts w:ascii="Cambria Math" w:hAnsi="Cambria Math"/>
                  </w:rPr>
                  <m:t>MoS</m:t>
                </m:r>
              </m:e>
              <m:sub>
                <m:r>
                  <w:rPr>
                    <w:rFonts w:ascii="Cambria Math" w:hAnsi="Cambria Math"/>
                  </w:rPr>
                  <m:t>2</m:t>
                </m:r>
              </m:sub>
            </m:sSub>
          </m:sub>
        </m:sSub>
        <m:r>
          <w:rPr>
            <w:rFonts w:ascii="Cambria Math" w:hAnsi="Cambria Math"/>
          </w:rPr>
          <m:t>(λ)</m:t>
        </m:r>
      </m:oMath>
      <w:r w:rsidRPr="00A807F2">
        <w:rPr>
          <w:i/>
        </w:rPr>
        <w:t xml:space="preserve"> </w:t>
      </w:r>
      <w:r w:rsidRPr="00A807F2">
        <w:t xml:space="preserve">is the acceptor extinction </w:t>
      </w:r>
      <w:proofErr w:type="gramStart"/>
      <w:r w:rsidRPr="00A807F2">
        <w:t>coefficient.</w:t>
      </w:r>
      <w:proofErr w:type="gramEnd"/>
      <w:r w:rsidRPr="00A807F2">
        <w:t xml:space="preserve"> As the MoS</w:t>
      </w:r>
      <w:r w:rsidRPr="00A807F2">
        <w:rPr>
          <w:vertAlign w:val="subscript"/>
        </w:rPr>
        <w:t>2</w:t>
      </w:r>
      <w:r w:rsidRPr="00A807F2">
        <w:t xml:space="preserve"> islands used in this study are single flakes on a solid substrate, </w:t>
      </w:r>
      <w:r w:rsidRPr="00A807F2">
        <w:lastRenderedPageBreak/>
        <w:t xml:space="preserve">an accurate extinction coefficient could not be obtained. However, in terms of the spectral overlap calculation, the extinction coefficient, </w:t>
      </w:r>
      <m:oMath>
        <m:sSub>
          <m:sSubPr>
            <m:ctrlPr>
              <w:rPr>
                <w:rFonts w:ascii="Cambria Math" w:hAnsi="Cambria Math"/>
                <w:i/>
              </w:rPr>
            </m:ctrlPr>
          </m:sSubPr>
          <m:e>
            <m:r>
              <w:rPr>
                <w:rFonts w:ascii="Cambria Math" w:hAnsi="Cambria Math"/>
              </w:rPr>
              <m:t>ε</m:t>
            </m:r>
          </m:e>
          <m:sub>
            <m:sSub>
              <m:sSubPr>
                <m:ctrlPr>
                  <w:rPr>
                    <w:rFonts w:ascii="Cambria Math" w:hAnsi="Cambria Math"/>
                    <w:i/>
                  </w:rPr>
                </m:ctrlPr>
              </m:sSubPr>
              <m:e>
                <m:r>
                  <w:rPr>
                    <w:rFonts w:ascii="Cambria Math" w:hAnsi="Cambria Math"/>
                  </w:rPr>
                  <m:t>MoS</m:t>
                </m:r>
              </m:e>
              <m:sub>
                <m:r>
                  <w:rPr>
                    <w:rFonts w:ascii="Cambria Math" w:hAnsi="Cambria Math"/>
                  </w:rPr>
                  <m:t>2</m:t>
                </m:r>
              </m:sub>
            </m:sSub>
          </m:sub>
        </m:sSub>
      </m:oMath>
      <w:r w:rsidRPr="00A807F2">
        <w:t xml:space="preserve">, only differs from the absorption, </w:t>
      </w:r>
      <m:oMath>
        <m:sSub>
          <m:sSubPr>
            <m:ctrlPr>
              <w:rPr>
                <w:rFonts w:ascii="Cambria Math" w:hAnsi="Cambria Math"/>
                <w:i/>
              </w:rPr>
            </m:ctrlPr>
          </m:sSubPr>
          <m:e>
            <m:r>
              <w:rPr>
                <w:rFonts w:ascii="Cambria Math" w:hAnsi="Cambria Math"/>
              </w:rPr>
              <m:t>α</m:t>
            </m:r>
          </m:e>
          <m:sub>
            <m:sSub>
              <m:sSubPr>
                <m:ctrlPr>
                  <w:rPr>
                    <w:rFonts w:ascii="Cambria Math" w:hAnsi="Cambria Math"/>
                    <w:i/>
                  </w:rPr>
                </m:ctrlPr>
              </m:sSubPr>
              <m:e>
                <m:r>
                  <w:rPr>
                    <w:rFonts w:ascii="Cambria Math" w:hAnsi="Cambria Math"/>
                  </w:rPr>
                  <m:t>MoS</m:t>
                </m:r>
              </m:e>
              <m:sub>
                <m:r>
                  <w:rPr>
                    <w:rFonts w:ascii="Cambria Math" w:hAnsi="Cambria Math"/>
                  </w:rPr>
                  <m:t>2</m:t>
                </m:r>
              </m:sub>
            </m:sSub>
          </m:sub>
        </m:sSub>
      </m:oMath>
      <w:r w:rsidRPr="00A807F2">
        <w:t>, by a scaling factor. The absorption coefficient can be measured directly from our samples. Therefore, in order to obtain a qualita</w:t>
      </w:r>
      <w:proofErr w:type="spellStart"/>
      <w:r w:rsidRPr="00A807F2">
        <w:t>tive</w:t>
      </w:r>
      <w:proofErr w:type="spellEnd"/>
      <w:r w:rsidRPr="00A807F2">
        <w:t xml:space="preserve"> comparison of </w:t>
      </w:r>
      <m:oMath>
        <m:sSub>
          <m:sSubPr>
            <m:ctrlPr>
              <w:rPr>
                <w:rFonts w:ascii="Cambria Math" w:hAnsi="Cambria Math"/>
                <w:i/>
              </w:rPr>
            </m:ctrlPr>
          </m:sSubPr>
          <m:e>
            <m:r>
              <w:rPr>
                <w:rFonts w:ascii="Cambria Math" w:hAnsi="Cambria Math"/>
              </w:rPr>
              <m:t>k</m:t>
            </m:r>
          </m:e>
          <m:sub>
            <m:r>
              <w:rPr>
                <w:rFonts w:ascii="Cambria Math" w:hAnsi="Cambria Math"/>
              </w:rPr>
              <m:t>NRET</m:t>
            </m:r>
          </m:sub>
        </m:sSub>
      </m:oMath>
      <w:r w:rsidRPr="00A807F2">
        <w:t xml:space="preserve"> predicted by eqn (6) and that given by the experimentally measured PL lifetimes,</w:t>
      </w:r>
      <m:oMath>
        <m:r>
          <w:rPr>
            <w:rFonts w:ascii="Cambria Math" w:hAnsi="Cambria Math"/>
            <w:lang w:val="en-GB"/>
          </w:rPr>
          <m:t xml:space="preserve"> </m:t>
        </m:r>
        <m:sSub>
          <m:sSubPr>
            <m:ctrlPr>
              <w:rPr>
                <w:rFonts w:ascii="Cambria Math" w:hAnsi="Cambria Math"/>
                <w:i/>
                <w:lang w:val="en-GB"/>
              </w:rPr>
            </m:ctrlPr>
          </m:sSubPr>
          <m:e>
            <m:r>
              <w:rPr>
                <w:rFonts w:ascii="Cambria Math" w:hAnsi="Cambria Math"/>
                <w:lang w:val="en-IE"/>
              </w:rPr>
              <m:t>k</m:t>
            </m:r>
          </m:e>
          <m:sub>
            <m:r>
              <w:rPr>
                <w:rFonts w:ascii="Cambria Math" w:hAnsi="Cambria Math"/>
                <w:lang w:val="en-IE"/>
              </w:rPr>
              <m:t>NRET</m:t>
            </m:r>
          </m:sub>
        </m:sSub>
        <m:r>
          <w:rPr>
            <w:rFonts w:ascii="Cambria Math" w:hAnsi="Cambria Math"/>
            <w:lang w:val="en-IE"/>
          </w:rPr>
          <m:t>=</m:t>
        </m:r>
        <m:sSubSup>
          <m:sSubSupPr>
            <m:ctrlPr>
              <w:rPr>
                <w:rFonts w:ascii="Cambria Math" w:hAnsi="Cambria Math"/>
                <w:i/>
                <w:lang w:val="en-GB"/>
              </w:rPr>
            </m:ctrlPr>
          </m:sSubSupPr>
          <m:e>
            <m:r>
              <w:rPr>
                <w:rFonts w:ascii="Cambria Math" w:hAnsi="Cambria Math"/>
                <w:lang w:val="en-IE"/>
              </w:rPr>
              <m:t>τ</m:t>
            </m:r>
          </m:e>
          <m:sub>
            <m:r>
              <w:rPr>
                <w:rFonts w:ascii="Cambria Math" w:hAnsi="Cambria Math"/>
                <w:lang w:val="en-IE"/>
              </w:rPr>
              <m:t>QD-</m:t>
            </m:r>
            <m:sSub>
              <m:sSubPr>
                <m:ctrlPr>
                  <w:rPr>
                    <w:rFonts w:ascii="Cambria Math" w:hAnsi="Cambria Math"/>
                    <w:i/>
                    <w:lang w:val="en-GB"/>
                  </w:rPr>
                </m:ctrlPr>
              </m:sSubPr>
              <m:e>
                <m:r>
                  <w:rPr>
                    <w:rFonts w:ascii="Cambria Math" w:hAnsi="Cambria Math"/>
                    <w:lang w:val="en-IE"/>
                  </w:rPr>
                  <m:t>MoS</m:t>
                </m:r>
              </m:e>
              <m:sub>
                <m:r>
                  <w:rPr>
                    <w:rFonts w:ascii="Cambria Math" w:hAnsi="Cambria Math"/>
                    <w:lang w:val="en-IE"/>
                  </w:rPr>
                  <m:t>2</m:t>
                </m:r>
              </m:sub>
            </m:sSub>
          </m:sub>
          <m:sup>
            <m:r>
              <w:rPr>
                <w:rFonts w:ascii="Cambria Math" w:hAnsi="Cambria Math"/>
                <w:lang w:val="en-IE"/>
              </w:rPr>
              <m:t>-1</m:t>
            </m:r>
          </m:sup>
        </m:sSubSup>
        <m:r>
          <w:rPr>
            <w:rFonts w:ascii="Cambria Math" w:hAnsi="Cambria Math"/>
            <w:lang w:val="en-IE"/>
          </w:rPr>
          <m:t>-</m:t>
        </m:r>
        <m:sSubSup>
          <m:sSubSupPr>
            <m:ctrlPr>
              <w:rPr>
                <w:rFonts w:ascii="Cambria Math" w:hAnsi="Cambria Math"/>
                <w:i/>
                <w:lang w:val="en-GB"/>
              </w:rPr>
            </m:ctrlPr>
          </m:sSubSupPr>
          <m:e>
            <m:r>
              <w:rPr>
                <w:rFonts w:ascii="Cambria Math" w:hAnsi="Cambria Math"/>
                <w:lang w:val="en-IE"/>
              </w:rPr>
              <m:t>τ</m:t>
            </m:r>
          </m:e>
          <m:sub>
            <m:r>
              <w:rPr>
                <w:rFonts w:ascii="Cambria Math" w:hAnsi="Cambria Math"/>
                <w:lang w:val="en-IE"/>
              </w:rPr>
              <m:t>QD</m:t>
            </m:r>
          </m:sub>
          <m:sup>
            <m:r>
              <w:rPr>
                <w:rFonts w:ascii="Cambria Math" w:hAnsi="Cambria Math"/>
                <w:lang w:val="en-IE"/>
              </w:rPr>
              <m:t>-1</m:t>
            </m:r>
          </m:sup>
        </m:sSubSup>
      </m:oMath>
      <w:r w:rsidRPr="00A807F2">
        <w:rPr>
          <w:lang w:val="en-GB"/>
        </w:rPr>
        <w:t>,</w:t>
      </w:r>
      <w:r w:rsidRPr="00A807F2">
        <w:t xml:space="preserve">   the extinction coefficient can be replaced by the absorption coefficient in </w:t>
      </w:r>
      <w:proofErr w:type="spellStart"/>
      <w:r w:rsidRPr="00A807F2">
        <w:t>eqn</w:t>
      </w:r>
      <w:proofErr w:type="spellEnd"/>
      <w:r w:rsidRPr="00A807F2">
        <w:t xml:space="preserve"> (7). As the QD-MoS</w:t>
      </w:r>
      <w:r w:rsidRPr="00A807F2">
        <w:rPr>
          <w:vertAlign w:val="subscript"/>
        </w:rPr>
        <w:t>2</w:t>
      </w:r>
      <w:r w:rsidRPr="00A807F2">
        <w:t xml:space="preserve"> separation, </w:t>
      </w:r>
      <m:oMath>
        <m:r>
          <w:rPr>
            <w:rFonts w:ascii="Cambria Math" w:hAnsi="Cambria Math"/>
          </w:rPr>
          <m:t>d</m:t>
        </m:r>
      </m:oMath>
      <w:r w:rsidRPr="00A807F2">
        <w:t xml:space="preserve">, and the quantum yield are the same for each of the QDs, the plot of  </w:t>
      </w:r>
      <m:oMath>
        <m:sSubSup>
          <m:sSubSupPr>
            <m:ctrlPr>
              <w:rPr>
                <w:rFonts w:ascii="Cambria Math" w:hAnsi="Cambria Math"/>
                <w:i/>
              </w:rPr>
            </m:ctrlPr>
          </m:sSubSupPr>
          <m:e>
            <m:r>
              <w:rPr>
                <w:rFonts w:ascii="Cambria Math" w:hAnsi="Cambria Math"/>
              </w:rPr>
              <m:t>τ</m:t>
            </m:r>
          </m:e>
          <m:sub>
            <m:r>
              <w:rPr>
                <w:rFonts w:ascii="Cambria Math" w:hAnsi="Cambria Math"/>
              </w:rPr>
              <m:t>D</m:t>
            </m:r>
          </m:sub>
          <m:sup>
            <m:r>
              <w:rPr>
                <w:rFonts w:ascii="Cambria Math" w:hAnsi="Cambria Math"/>
              </w:rPr>
              <m:t>-1</m:t>
            </m:r>
          </m:sup>
        </m:sSubSup>
        <m:r>
          <w:rPr>
            <w:rFonts w:ascii="Cambria Math" w:hAnsi="Cambria Math"/>
          </w:rPr>
          <m:t>∙J</m:t>
        </m:r>
      </m:oMath>
      <w:r w:rsidRPr="00A807F2">
        <w:t xml:space="preserve"> is compared with </w:t>
      </w:r>
      <m:oMath>
        <m:sSub>
          <m:sSubPr>
            <m:ctrlPr>
              <w:rPr>
                <w:rFonts w:ascii="Cambria Math" w:hAnsi="Cambria Math"/>
                <w:i/>
                <w:lang w:val="en-GB"/>
              </w:rPr>
            </m:ctrlPr>
          </m:sSubPr>
          <m:e>
            <m:r>
              <w:rPr>
                <w:rFonts w:ascii="Cambria Math" w:hAnsi="Cambria Math"/>
                <w:lang w:val="en-IE"/>
              </w:rPr>
              <m:t>k</m:t>
            </m:r>
          </m:e>
          <m:sub>
            <m:r>
              <w:rPr>
                <w:rFonts w:ascii="Cambria Math" w:hAnsi="Cambria Math"/>
                <w:lang w:val="en-IE"/>
              </w:rPr>
              <m:t>NRET</m:t>
            </m:r>
          </m:sub>
        </m:sSub>
        <m:r>
          <w:rPr>
            <w:rFonts w:ascii="Cambria Math" w:hAnsi="Cambria Math"/>
            <w:lang w:val="en-IE"/>
          </w:rPr>
          <m:t>=</m:t>
        </m:r>
        <m:sSubSup>
          <m:sSubSupPr>
            <m:ctrlPr>
              <w:rPr>
                <w:rFonts w:ascii="Cambria Math" w:hAnsi="Cambria Math"/>
                <w:i/>
                <w:lang w:val="en-GB"/>
              </w:rPr>
            </m:ctrlPr>
          </m:sSubSupPr>
          <m:e>
            <m:r>
              <w:rPr>
                <w:rFonts w:ascii="Cambria Math" w:hAnsi="Cambria Math"/>
                <w:lang w:val="en-IE"/>
              </w:rPr>
              <m:t>τ</m:t>
            </m:r>
          </m:e>
          <m:sub>
            <m:r>
              <w:rPr>
                <w:rFonts w:ascii="Cambria Math" w:hAnsi="Cambria Math"/>
                <w:lang w:val="en-IE"/>
              </w:rPr>
              <m:t>QD-</m:t>
            </m:r>
            <m:sSub>
              <m:sSubPr>
                <m:ctrlPr>
                  <w:rPr>
                    <w:rFonts w:ascii="Cambria Math" w:hAnsi="Cambria Math"/>
                    <w:i/>
                    <w:lang w:val="en-GB"/>
                  </w:rPr>
                </m:ctrlPr>
              </m:sSubPr>
              <m:e>
                <m:r>
                  <w:rPr>
                    <w:rFonts w:ascii="Cambria Math" w:hAnsi="Cambria Math"/>
                    <w:lang w:val="en-IE"/>
                  </w:rPr>
                  <m:t>MoS</m:t>
                </m:r>
              </m:e>
              <m:sub>
                <m:r>
                  <w:rPr>
                    <w:rFonts w:ascii="Cambria Math" w:hAnsi="Cambria Math"/>
                    <w:lang w:val="en-IE"/>
                  </w:rPr>
                  <m:t>2</m:t>
                </m:r>
              </m:sub>
            </m:sSub>
          </m:sub>
          <m:sup>
            <m:r>
              <w:rPr>
                <w:rFonts w:ascii="Cambria Math" w:hAnsi="Cambria Math"/>
                <w:lang w:val="en-IE"/>
              </w:rPr>
              <m:t>-1</m:t>
            </m:r>
          </m:sup>
        </m:sSubSup>
        <m:r>
          <w:rPr>
            <w:rFonts w:ascii="Cambria Math" w:hAnsi="Cambria Math"/>
            <w:lang w:val="en-IE"/>
          </w:rPr>
          <m:t>-</m:t>
        </m:r>
        <m:sSubSup>
          <m:sSubSupPr>
            <m:ctrlPr>
              <w:rPr>
                <w:rFonts w:ascii="Cambria Math" w:hAnsi="Cambria Math"/>
                <w:i/>
                <w:lang w:val="en-GB"/>
              </w:rPr>
            </m:ctrlPr>
          </m:sSubSupPr>
          <m:e>
            <m:r>
              <w:rPr>
                <w:rFonts w:ascii="Cambria Math" w:hAnsi="Cambria Math"/>
                <w:lang w:val="en-IE"/>
              </w:rPr>
              <m:t>τ</m:t>
            </m:r>
          </m:e>
          <m:sub>
            <m:r>
              <w:rPr>
                <w:rFonts w:ascii="Cambria Math" w:hAnsi="Cambria Math"/>
                <w:lang w:val="en-IE"/>
              </w:rPr>
              <m:t>QD</m:t>
            </m:r>
          </m:sub>
          <m:sup>
            <m:r>
              <w:rPr>
                <w:rFonts w:ascii="Cambria Math" w:hAnsi="Cambria Math"/>
                <w:lang w:val="en-IE"/>
              </w:rPr>
              <m:t>-1</m:t>
            </m:r>
          </m:sup>
        </m:sSubSup>
      </m:oMath>
      <w:r w:rsidRPr="00A807F2">
        <w:rPr>
          <w:lang w:val="en-GB"/>
        </w:rPr>
        <w:t xml:space="preserve"> </w:t>
      </w:r>
      <w:r w:rsidR="00970DE5">
        <w:t>in Figure</w:t>
      </w:r>
      <w:r w:rsidRPr="00A807F2">
        <w:t xml:space="preserve"> 6. There is clear agreement between the two trends of the NRET rate obtained from the lifetime data and that determined by spectral overlap. This </w:t>
      </w:r>
      <w:r w:rsidR="00395C6E">
        <w:t>is evidence</w:t>
      </w:r>
      <w:r w:rsidRPr="00A807F2">
        <w:t xml:space="preserve"> that the energy transfer process in this hybr</w:t>
      </w:r>
      <w:r w:rsidR="00395C6E">
        <w:t xml:space="preserve">id system is </w:t>
      </w:r>
      <w:proofErr w:type="spellStart"/>
      <w:r w:rsidR="00395C6E">
        <w:t>Förster</w:t>
      </w:r>
      <w:proofErr w:type="spellEnd"/>
      <w:r w:rsidR="00395C6E">
        <w:t>-type NRET</w:t>
      </w:r>
      <w:r w:rsidRPr="00A807F2">
        <w:t>.</w:t>
      </w:r>
    </w:p>
    <w:p w14:paraId="1CC71355" w14:textId="77777777" w:rsidR="008E354C" w:rsidRDefault="008E354C" w:rsidP="008E354C">
      <w:pPr>
        <w:pStyle w:val="TAMainText"/>
        <w:ind w:firstLine="0"/>
        <w:jc w:val="center"/>
      </w:pPr>
      <w:r>
        <w:rPr>
          <w:noProof/>
          <w:lang w:val="en-IE" w:eastAsia="en-IE"/>
        </w:rPr>
        <w:drawing>
          <wp:inline distT="0" distB="0" distL="0" distR="0" wp14:anchorId="7A2D1A21" wp14:editId="2F506611">
            <wp:extent cx="2952000" cy="2031645"/>
            <wp:effectExtent l="0" t="0" r="127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6 - NEW COMMENTS.tif"/>
                    <pic:cNvPicPr/>
                  </pic:nvPicPr>
                  <pic:blipFill rotWithShape="1">
                    <a:blip r:embed="rId14">
                      <a:extLst>
                        <a:ext uri="{28A0092B-C50C-407E-A947-70E740481C1C}">
                          <a14:useLocalDpi xmlns:a14="http://schemas.microsoft.com/office/drawing/2010/main" val="0"/>
                        </a:ext>
                      </a:extLst>
                    </a:blip>
                    <a:srcRect l="10989" t="9921" r="11746" b="15878"/>
                    <a:stretch/>
                  </pic:blipFill>
                  <pic:spPr bwMode="auto">
                    <a:xfrm>
                      <a:off x="0" y="0"/>
                      <a:ext cx="2952000" cy="2031645"/>
                    </a:xfrm>
                    <a:prstGeom prst="rect">
                      <a:avLst/>
                    </a:prstGeom>
                    <a:ln>
                      <a:noFill/>
                    </a:ln>
                    <a:extLst>
                      <a:ext uri="{53640926-AAD7-44D8-BBD7-CCE9431645EC}">
                        <a14:shadowObscured xmlns:a14="http://schemas.microsoft.com/office/drawing/2010/main"/>
                      </a:ext>
                    </a:extLst>
                  </pic:spPr>
                </pic:pic>
              </a:graphicData>
            </a:graphic>
          </wp:inline>
        </w:drawing>
      </w:r>
    </w:p>
    <w:p w14:paraId="1C3D63DF" w14:textId="77777777" w:rsidR="008E354C" w:rsidRPr="002D3E9B" w:rsidRDefault="008E354C" w:rsidP="008E354C">
      <w:pPr>
        <w:pStyle w:val="VAFigureCaption"/>
        <w:rPr>
          <w:lang w:val="en-GB"/>
        </w:rPr>
      </w:pPr>
      <w:r w:rsidRPr="002D3E9B">
        <w:rPr>
          <w:b/>
          <w:lang w:val="en-GB"/>
        </w:rPr>
        <w:t>Fig</w:t>
      </w:r>
      <w:r>
        <w:rPr>
          <w:b/>
          <w:lang w:val="en-GB"/>
        </w:rPr>
        <w:t>ure</w:t>
      </w:r>
      <w:r w:rsidRPr="002D3E9B">
        <w:rPr>
          <w:b/>
          <w:lang w:val="en-GB"/>
        </w:rPr>
        <w:t xml:space="preserve"> 6:</w:t>
      </w:r>
      <w:r w:rsidRPr="002D3E9B">
        <w:rPr>
          <w:lang w:val="en-GB"/>
        </w:rPr>
        <w:t xml:space="preserve"> </w:t>
      </w:r>
      <w:r w:rsidRPr="002D3E9B">
        <w:t xml:space="preserve">Plot of the NRET rate, </w:t>
      </w:r>
      <m:oMath>
        <m:sSub>
          <m:sSubPr>
            <m:ctrlPr>
              <w:rPr>
                <w:rFonts w:ascii="Cambria Math" w:hAnsi="Cambria Math"/>
                <w:i/>
              </w:rPr>
            </m:ctrlPr>
          </m:sSubPr>
          <m:e>
            <m:r>
              <w:rPr>
                <w:rFonts w:ascii="Cambria Math" w:hAnsi="Cambria Math"/>
              </w:rPr>
              <m:t>k</m:t>
            </m:r>
          </m:e>
          <m:sub>
            <m:r>
              <w:rPr>
                <w:rFonts w:ascii="Cambria Math" w:hAnsi="Cambria Math"/>
              </w:rPr>
              <m:t>NRET</m:t>
            </m:r>
          </m:sub>
        </m:sSub>
      </m:oMath>
      <w:r w:rsidRPr="002D3E9B">
        <w:t xml:space="preserve">, and the product of the inverse donor lifetime, </w:t>
      </w:r>
      <m:oMath>
        <m:sSubSup>
          <m:sSubSupPr>
            <m:ctrlPr>
              <w:rPr>
                <w:rFonts w:ascii="Cambria Math" w:hAnsi="Cambria Math"/>
                <w:i/>
              </w:rPr>
            </m:ctrlPr>
          </m:sSubSupPr>
          <m:e>
            <m:r>
              <w:rPr>
                <w:rFonts w:ascii="Cambria Math" w:hAnsi="Cambria Math"/>
              </w:rPr>
              <m:t>τ</m:t>
            </m:r>
          </m:e>
          <m:sub>
            <m:r>
              <w:rPr>
                <w:rFonts w:ascii="Cambria Math" w:hAnsi="Cambria Math"/>
              </w:rPr>
              <m:t>D</m:t>
            </m:r>
          </m:sub>
          <m:sup>
            <m:r>
              <w:rPr>
                <w:rFonts w:ascii="Cambria Math" w:hAnsi="Cambria Math"/>
              </w:rPr>
              <m:t>-1</m:t>
            </m:r>
          </m:sup>
        </m:sSubSup>
      </m:oMath>
      <w:r w:rsidRPr="002D3E9B">
        <w:t xml:space="preserve">, and the spectral overlap, </w:t>
      </w:r>
      <m:oMath>
        <m:r>
          <w:rPr>
            <w:rFonts w:ascii="Cambria Math" w:hAnsi="Cambria Math"/>
          </w:rPr>
          <m:t>J</m:t>
        </m:r>
      </m:oMath>
      <w:r w:rsidRPr="002D3E9B">
        <w:t>, as a function of the QD emission wavelength.</w:t>
      </w:r>
    </w:p>
    <w:p w14:paraId="61EEAF47" w14:textId="77777777" w:rsidR="008E354C" w:rsidRPr="00A807F2" w:rsidRDefault="008E354C" w:rsidP="00A807F2">
      <w:pPr>
        <w:pStyle w:val="TAMainText"/>
      </w:pPr>
    </w:p>
    <w:p w14:paraId="0F5E03AF" w14:textId="64FC26D4" w:rsidR="00164A9C" w:rsidRPr="009623BF" w:rsidRDefault="00164A9C" w:rsidP="00164A9C">
      <w:pPr>
        <w:spacing w:line="480" w:lineRule="auto"/>
        <w:rPr>
          <w:rFonts w:ascii="Times New Roman" w:hAnsi="Times New Roman"/>
          <w:szCs w:val="24"/>
        </w:rPr>
      </w:pPr>
      <w:r w:rsidRPr="009623BF">
        <w:rPr>
          <w:rFonts w:ascii="Times New Roman" w:hAnsi="Times New Roman"/>
          <w:szCs w:val="24"/>
        </w:rPr>
        <w:t>It can also be noted that the QD dependence of the NRET rate shows the same trend as the photocurrent enhancement. The NRET rate is calculated using lifetime data recorded at low excitation powe</w:t>
      </w:r>
      <w:r w:rsidR="00C26F94" w:rsidRPr="009623BF">
        <w:rPr>
          <w:rFonts w:ascii="Times New Roman" w:hAnsi="Times New Roman"/>
          <w:szCs w:val="24"/>
        </w:rPr>
        <w:t>r, and therefore, for comparison</w:t>
      </w:r>
      <w:r w:rsidRPr="009623BF">
        <w:rPr>
          <w:rFonts w:ascii="Times New Roman" w:hAnsi="Times New Roman"/>
          <w:szCs w:val="24"/>
        </w:rPr>
        <w:t xml:space="preserve"> the average photocurrent enhancement, </w:t>
      </w:r>
      <m:oMath>
        <m:sSubSup>
          <m:sSubSupPr>
            <m:ctrlPr>
              <w:rPr>
                <w:rFonts w:ascii="Cambria Math" w:hAnsi="Cambria Math"/>
                <w:i/>
                <w:szCs w:val="24"/>
              </w:rPr>
            </m:ctrlPr>
          </m:sSubSupPr>
          <m:e>
            <m:r>
              <w:rPr>
                <w:rFonts w:ascii="Cambria Math" w:hAnsi="Cambria Math"/>
                <w:szCs w:val="24"/>
              </w:rPr>
              <m:t>E</m:t>
            </m:r>
          </m:e>
          <m:sub>
            <m:r>
              <w:rPr>
                <w:rFonts w:ascii="Cambria Math" w:hAnsi="Cambria Math"/>
                <w:szCs w:val="24"/>
              </w:rPr>
              <m:t>Acc</m:t>
            </m:r>
          </m:sub>
          <m:sup>
            <m:r>
              <w:rPr>
                <w:rFonts w:ascii="Cambria Math" w:hAnsi="Cambria Math"/>
                <w:szCs w:val="24"/>
              </w:rPr>
              <m:t>Avg</m:t>
            </m:r>
          </m:sup>
        </m:sSubSup>
      </m:oMath>
      <w:r w:rsidRPr="009623BF">
        <w:rPr>
          <w:rFonts w:ascii="Times New Roman" w:hAnsi="Times New Roman"/>
          <w:szCs w:val="24"/>
        </w:rPr>
        <w:t xml:space="preserve">, is </w:t>
      </w:r>
      <w:r w:rsidRPr="009623BF">
        <w:rPr>
          <w:rFonts w:ascii="Times New Roman" w:hAnsi="Times New Roman"/>
          <w:szCs w:val="24"/>
        </w:rPr>
        <w:lastRenderedPageBreak/>
        <w:t xml:space="preserve">calculated using the A coefficients from </w:t>
      </w:r>
      <w:proofErr w:type="spellStart"/>
      <w:r w:rsidRPr="009623BF">
        <w:rPr>
          <w:rFonts w:ascii="Times New Roman" w:hAnsi="Times New Roman"/>
          <w:szCs w:val="24"/>
        </w:rPr>
        <w:t>eqn</w:t>
      </w:r>
      <w:proofErr w:type="spellEnd"/>
      <w:r w:rsidRPr="009623BF">
        <w:rPr>
          <w:rFonts w:ascii="Times New Roman" w:hAnsi="Times New Roman"/>
          <w:szCs w:val="24"/>
        </w:rPr>
        <w:t xml:space="preserve">(1) </w:t>
      </w:r>
      <m:oMath>
        <m:f>
          <m:fPr>
            <m:type m:val="lin"/>
            <m:ctrlPr>
              <w:rPr>
                <w:rFonts w:ascii="Cambria Math" w:hAnsi="Cambria Math"/>
                <w:i/>
                <w:szCs w:val="24"/>
              </w:rPr>
            </m:ctrlPr>
          </m:fPr>
          <m:num>
            <m:sSub>
              <m:sSubPr>
                <m:ctrlPr>
                  <w:rPr>
                    <w:rFonts w:ascii="Cambria Math" w:hAnsi="Cambria Math"/>
                    <w:i/>
                    <w:szCs w:val="24"/>
                  </w:rPr>
                </m:ctrlPr>
              </m:sSubPr>
              <m:e>
                <m:sSubSup>
                  <m:sSubSupPr>
                    <m:ctrlPr>
                      <w:rPr>
                        <w:rFonts w:ascii="Cambria Math" w:hAnsi="Cambria Math"/>
                        <w:i/>
                        <w:szCs w:val="24"/>
                      </w:rPr>
                    </m:ctrlPr>
                  </m:sSubSupPr>
                  <m:e>
                    <m:r>
                      <w:rPr>
                        <w:rFonts w:ascii="Cambria Math" w:hAnsi="Cambria Math"/>
                        <w:szCs w:val="24"/>
                      </w:rPr>
                      <m:t>E</m:t>
                    </m:r>
                  </m:e>
                  <m:sub>
                    <m:r>
                      <w:rPr>
                        <w:rFonts w:ascii="Cambria Math" w:hAnsi="Cambria Math"/>
                        <w:szCs w:val="24"/>
                      </w:rPr>
                      <m:t>Acc</m:t>
                    </m:r>
                  </m:sub>
                  <m:sup>
                    <m:r>
                      <w:rPr>
                        <w:rFonts w:ascii="Cambria Math" w:hAnsi="Cambria Math"/>
                        <w:szCs w:val="24"/>
                      </w:rPr>
                      <m:t>Avg</m:t>
                    </m:r>
                  </m:sup>
                </m:sSubSup>
                <m:r>
                  <w:rPr>
                    <w:rFonts w:ascii="Cambria Math" w:hAnsi="Cambria Math"/>
                    <w:szCs w:val="24"/>
                  </w:rPr>
                  <m:t>=(A</m:t>
                </m:r>
              </m:e>
              <m:sub>
                <m:sSub>
                  <m:sSubPr>
                    <m:ctrlPr>
                      <w:rPr>
                        <w:rFonts w:ascii="Cambria Math" w:hAnsi="Cambria Math"/>
                        <w:i/>
                        <w:szCs w:val="24"/>
                      </w:rPr>
                    </m:ctrlPr>
                  </m:sSubPr>
                  <m:e>
                    <m:r>
                      <w:rPr>
                        <w:rFonts w:ascii="Cambria Math" w:hAnsi="Cambria Math"/>
                        <w:szCs w:val="24"/>
                      </w:rPr>
                      <m:t>MoS</m:t>
                    </m:r>
                  </m:e>
                  <m:sub>
                    <m:r>
                      <w:rPr>
                        <w:rFonts w:ascii="Cambria Math" w:hAnsi="Cambria Math"/>
                        <w:szCs w:val="24"/>
                      </w:rPr>
                      <m:t>2</m:t>
                    </m:r>
                  </m:sub>
                </m:sSub>
                <m:r>
                  <w:rPr>
                    <w:rFonts w:ascii="Cambria Math" w:hAnsi="Cambria Math"/>
                    <w:szCs w:val="24"/>
                  </w:rPr>
                  <m:t>-QD</m:t>
                </m:r>
              </m:sub>
            </m:sSub>
          </m:num>
          <m:den>
            <m:sSub>
              <m:sSubPr>
                <m:ctrlPr>
                  <w:rPr>
                    <w:rFonts w:ascii="Cambria Math" w:hAnsi="Cambria Math"/>
                    <w:i/>
                    <w:szCs w:val="24"/>
                  </w:rPr>
                </m:ctrlPr>
              </m:sSubPr>
              <m:e>
                <m:r>
                  <w:rPr>
                    <w:rFonts w:ascii="Cambria Math" w:hAnsi="Cambria Math"/>
                    <w:szCs w:val="24"/>
                  </w:rPr>
                  <m:t>A</m:t>
                </m:r>
              </m:e>
              <m:sub>
                <m:sSub>
                  <m:sSubPr>
                    <m:ctrlPr>
                      <w:rPr>
                        <w:rFonts w:ascii="Cambria Math" w:hAnsi="Cambria Math"/>
                        <w:i/>
                        <w:szCs w:val="24"/>
                      </w:rPr>
                    </m:ctrlPr>
                  </m:sSubPr>
                  <m:e>
                    <m:r>
                      <w:rPr>
                        <w:rFonts w:ascii="Cambria Math" w:hAnsi="Cambria Math"/>
                        <w:szCs w:val="24"/>
                      </w:rPr>
                      <m:t>MoS</m:t>
                    </m:r>
                  </m:e>
                  <m:sub>
                    <m:r>
                      <w:rPr>
                        <w:rFonts w:ascii="Cambria Math" w:hAnsi="Cambria Math"/>
                        <w:szCs w:val="24"/>
                      </w:rPr>
                      <m:t>2</m:t>
                    </m:r>
                  </m:sub>
                </m:sSub>
              </m:sub>
            </m:sSub>
            <m:r>
              <w:rPr>
                <w:rFonts w:ascii="Cambria Math" w:hAnsi="Cambria Math"/>
                <w:szCs w:val="24"/>
              </w:rPr>
              <m:t>)-1</m:t>
            </m:r>
          </m:den>
        </m:f>
      </m:oMath>
      <w:r w:rsidRPr="009623BF">
        <w:rPr>
          <w:rFonts w:ascii="Times New Roman" w:hAnsi="Times New Roman"/>
          <w:szCs w:val="24"/>
        </w:rPr>
        <w:t xml:space="preserve"> and shown in Figure 7. </w:t>
      </w:r>
    </w:p>
    <w:p w14:paraId="24C019DB" w14:textId="715DBE13" w:rsidR="00164A9C" w:rsidRPr="009623BF" w:rsidRDefault="00164A9C" w:rsidP="00164A9C">
      <w:pPr>
        <w:pStyle w:val="TAMainText"/>
        <w:rPr>
          <w:rFonts w:ascii="Times New Roman" w:hAnsi="Times New Roman"/>
        </w:rPr>
      </w:pPr>
      <w:r w:rsidRPr="009623BF">
        <w:rPr>
          <w:rFonts w:ascii="Times New Roman" w:hAnsi="Times New Roman"/>
        </w:rPr>
        <w:t xml:space="preserve">To explore further how the photocurrent enhancement can be expected to depend on the </w:t>
      </w:r>
      <w:proofErr w:type="spellStart"/>
      <w:r w:rsidRPr="009623BF">
        <w:rPr>
          <w:rFonts w:ascii="Times New Roman" w:hAnsi="Times New Roman"/>
        </w:rPr>
        <w:t>Förster</w:t>
      </w:r>
      <w:proofErr w:type="spellEnd"/>
      <w:r w:rsidRPr="009623BF">
        <w:rPr>
          <w:rFonts w:ascii="Times New Roman" w:hAnsi="Times New Roman"/>
        </w:rPr>
        <w:t xml:space="preserve">-type NRET </w:t>
      </w:r>
      <w:r w:rsidR="00C26F94" w:rsidRPr="009623BF">
        <w:rPr>
          <w:rFonts w:ascii="Times New Roman" w:hAnsi="Times New Roman"/>
        </w:rPr>
        <w:t>we consider that</w:t>
      </w:r>
      <w:r w:rsidRPr="009623BF">
        <w:rPr>
          <w:rFonts w:ascii="Times New Roman" w:hAnsi="Times New Roman"/>
        </w:rPr>
        <w:t xml:space="preserve"> in a system with an emitting acceptor the NRET efficiency can be expressed in terms of the acceptor emission enhancement</w:t>
      </w:r>
      <w:r w:rsidRPr="009623BF">
        <w:rPr>
          <w:rFonts w:ascii="Times New Roman" w:hAnsi="Times New Roman"/>
        </w:rPr>
        <w:fldChar w:fldCharType="begin" w:fldLock="1"/>
      </w:r>
      <w:r w:rsidR="001F4C34" w:rsidRPr="009623BF">
        <w:rPr>
          <w:rFonts w:ascii="Times New Roman" w:hAnsi="Times New Roman"/>
        </w:rPr>
        <w:instrText>ADDIN CSL_CITATION {"citationItems":[{"id":"ITEM-1","itemData":{"ISBN":"9780471185895","author":[{"dropping-particle":"","family":"Meer","given":"B W","non-dropping-particle":"Van Der","parse-names":false,"suffix":""},{"dropping-particle":"","family":"Coker","given":"G","non-dropping-particle":"","parse-names":false,"suffix":""},{"dropping-particle":"","family":"Chen","given":"S Y S","non-dropping-particle":"","parse-names":false,"suffix":""}],"id":"ITEM-1","issued":{"date-parts":[["1994"]]},"publisher":"Wiley","title":"Resonance Energy Transfer: Theory and Data","type":"book"},"uris":["http://www.mendeley.com/documents/?uuid=a3698951-8520-4858-9b3b-f6bca9b33675"]}],"mendeley":{"formattedCitation":"&lt;sup&gt;47&lt;/sup&gt;","plainTextFormattedCitation":"47","previouslyFormattedCitation":"&lt;sup&gt;46&lt;/sup&gt;"},"properties":{"noteIndex":0},"schema":"https://github.com/citation-style-language/schema/raw/master/csl-citation.json"}</w:instrText>
      </w:r>
      <w:r w:rsidRPr="009623BF">
        <w:rPr>
          <w:rFonts w:ascii="Times New Roman" w:hAnsi="Times New Roman"/>
        </w:rPr>
        <w:fldChar w:fldCharType="separate"/>
      </w:r>
      <w:r w:rsidR="001F4C34" w:rsidRPr="009623BF">
        <w:rPr>
          <w:rFonts w:ascii="Times New Roman" w:hAnsi="Times New Roman"/>
          <w:noProof/>
          <w:vertAlign w:val="superscript"/>
        </w:rPr>
        <w:t>47</w:t>
      </w:r>
      <w:r w:rsidRPr="009623BF">
        <w:rPr>
          <w:rFonts w:ascii="Times New Roman" w:hAnsi="Times New Roman"/>
          <w:lang w:val="en-IE"/>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
        <w:gridCol w:w="8384"/>
        <w:gridCol w:w="698"/>
      </w:tblGrid>
      <w:tr w:rsidR="009623BF" w:rsidRPr="009623BF" w14:paraId="2BADA8B1" w14:textId="77777777" w:rsidTr="001F4C34">
        <w:tc>
          <w:tcPr>
            <w:tcW w:w="278" w:type="dxa"/>
            <w:vAlign w:val="center"/>
          </w:tcPr>
          <w:p w14:paraId="78ACB2C2" w14:textId="77777777" w:rsidR="00164A9C" w:rsidRPr="009623BF" w:rsidRDefault="00164A9C" w:rsidP="00164A9C">
            <w:pPr>
              <w:pStyle w:val="TAMainText"/>
              <w:rPr>
                <w:rFonts w:ascii="Times New Roman" w:hAnsi="Times New Roman"/>
              </w:rPr>
            </w:pPr>
          </w:p>
        </w:tc>
        <w:tc>
          <w:tcPr>
            <w:tcW w:w="8384" w:type="dxa"/>
            <w:vAlign w:val="center"/>
          </w:tcPr>
          <w:p w14:paraId="1452B244" w14:textId="77777777" w:rsidR="00164A9C" w:rsidRPr="009623BF" w:rsidRDefault="00F6410F" w:rsidP="00164A9C">
            <w:pPr>
              <w:pStyle w:val="TAMainText"/>
              <w:rPr>
                <w:rFonts w:ascii="Times New Roman" w:hAnsi="Times New Roman"/>
              </w:rPr>
            </w:pPr>
            <m:oMathPara>
              <m:oMath>
                <m:sSub>
                  <m:sSubPr>
                    <m:ctrlPr>
                      <w:rPr>
                        <w:rFonts w:ascii="Cambria Math" w:hAnsi="Cambria Math"/>
                        <w:i/>
                      </w:rPr>
                    </m:ctrlPr>
                  </m:sSubPr>
                  <m:e>
                    <m:r>
                      <w:rPr>
                        <w:rFonts w:ascii="Cambria Math" w:hAnsi="Cambria Math"/>
                      </w:rPr>
                      <m:t>η</m:t>
                    </m:r>
                  </m:e>
                  <m:sub>
                    <m:r>
                      <w:rPr>
                        <w:rFonts w:ascii="Cambria Math" w:hAnsi="Cambria Math"/>
                      </w:rPr>
                      <m:t>NRET</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Abs</m:t>
                        </m:r>
                      </m:e>
                      <m:sub>
                        <m:r>
                          <w:rPr>
                            <w:rFonts w:ascii="Cambria Math" w:hAnsi="Cambria Math"/>
                          </w:rPr>
                          <m:t>Acc</m:t>
                        </m:r>
                      </m:sub>
                    </m:sSub>
                  </m:num>
                  <m:den>
                    <m:sSub>
                      <m:sSubPr>
                        <m:ctrlPr>
                          <w:rPr>
                            <w:rFonts w:ascii="Cambria Math" w:hAnsi="Cambria Math"/>
                            <w:i/>
                          </w:rPr>
                        </m:ctrlPr>
                      </m:sSubPr>
                      <m:e>
                        <m:r>
                          <w:rPr>
                            <w:rFonts w:ascii="Cambria Math" w:hAnsi="Cambria Math"/>
                          </w:rPr>
                          <m:t>Abs</m:t>
                        </m:r>
                      </m:e>
                      <m:sub>
                        <m:r>
                          <w:rPr>
                            <w:rFonts w:ascii="Cambria Math" w:hAnsi="Cambria Math"/>
                          </w:rPr>
                          <m:t>Don</m:t>
                        </m:r>
                      </m:sub>
                    </m:sSub>
                  </m:den>
                </m:f>
                <m:d>
                  <m:dPr>
                    <m:ctrlPr>
                      <w:rPr>
                        <w:rFonts w:ascii="Cambria Math" w:hAnsi="Cambria Math"/>
                        <w:i/>
                      </w:rPr>
                    </m:ctrlPr>
                  </m:dPr>
                  <m:e>
                    <m:f>
                      <m:fPr>
                        <m:ctrlPr>
                          <w:rPr>
                            <w:rFonts w:ascii="Cambria Math" w:hAnsi="Cambria Math"/>
                            <w:i/>
                          </w:rPr>
                        </m:ctrlPr>
                      </m:fPr>
                      <m:num>
                        <m:sSubSup>
                          <m:sSubSupPr>
                            <m:ctrlPr>
                              <w:rPr>
                                <w:rFonts w:ascii="Cambria Math" w:hAnsi="Cambria Math"/>
                                <w:i/>
                              </w:rPr>
                            </m:ctrlPr>
                          </m:sSubSupPr>
                          <m:e>
                            <m:r>
                              <w:rPr>
                                <w:rFonts w:ascii="Cambria Math" w:hAnsi="Cambria Math"/>
                              </w:rPr>
                              <m:t>I</m:t>
                            </m:r>
                          </m:e>
                          <m:sub>
                            <m:r>
                              <w:rPr>
                                <w:rFonts w:ascii="Cambria Math" w:hAnsi="Cambria Math"/>
                              </w:rPr>
                              <m:t>Acc-Don</m:t>
                            </m:r>
                          </m:sub>
                          <m:sup>
                            <m:r>
                              <w:rPr>
                                <w:rFonts w:ascii="Cambria Math" w:hAnsi="Cambria Math"/>
                              </w:rPr>
                              <m:t>Em</m:t>
                            </m:r>
                          </m:sup>
                        </m:sSubSup>
                      </m:num>
                      <m:den>
                        <m:sSubSup>
                          <m:sSubSupPr>
                            <m:ctrlPr>
                              <w:rPr>
                                <w:rFonts w:ascii="Cambria Math" w:hAnsi="Cambria Math"/>
                                <w:i/>
                              </w:rPr>
                            </m:ctrlPr>
                          </m:sSubSupPr>
                          <m:e>
                            <m:r>
                              <w:rPr>
                                <w:rFonts w:ascii="Cambria Math" w:hAnsi="Cambria Math"/>
                              </w:rPr>
                              <m:t>I</m:t>
                            </m:r>
                          </m:e>
                          <m:sub>
                            <m:r>
                              <w:rPr>
                                <w:rFonts w:ascii="Cambria Math" w:hAnsi="Cambria Math"/>
                              </w:rPr>
                              <m:t>Acc</m:t>
                            </m:r>
                          </m:sub>
                          <m:sup>
                            <m:r>
                              <w:rPr>
                                <w:rFonts w:ascii="Cambria Math" w:hAnsi="Cambria Math"/>
                              </w:rPr>
                              <m:t>Em</m:t>
                            </m:r>
                          </m:sup>
                        </m:sSubSup>
                      </m:den>
                    </m:f>
                    <m:r>
                      <w:rPr>
                        <w:rFonts w:ascii="Cambria Math" w:hAnsi="Cambria Math"/>
                      </w:rPr>
                      <m:t>-1</m:t>
                    </m:r>
                  </m:e>
                </m:d>
              </m:oMath>
            </m:oMathPara>
          </w:p>
        </w:tc>
        <w:tc>
          <w:tcPr>
            <w:tcW w:w="698" w:type="dxa"/>
            <w:vAlign w:val="center"/>
          </w:tcPr>
          <w:p w14:paraId="438DA2DC" w14:textId="77777777" w:rsidR="00164A9C" w:rsidRPr="009623BF" w:rsidRDefault="00164A9C" w:rsidP="00164A9C">
            <w:pPr>
              <w:pStyle w:val="TAMainText"/>
              <w:rPr>
                <w:rFonts w:ascii="Times New Roman" w:hAnsi="Times New Roman"/>
              </w:rPr>
            </w:pPr>
            <w:r w:rsidRPr="009623BF">
              <w:rPr>
                <w:rFonts w:ascii="Times New Roman" w:hAnsi="Times New Roman"/>
              </w:rPr>
              <w:t>(8)</w:t>
            </w:r>
          </w:p>
        </w:tc>
      </w:tr>
    </w:tbl>
    <w:p w14:paraId="402D4ED0" w14:textId="5D5FA9C3" w:rsidR="00164A9C" w:rsidRPr="009623BF" w:rsidRDefault="00164A9C" w:rsidP="00164A9C">
      <w:pPr>
        <w:pStyle w:val="TAMainText"/>
        <w:rPr>
          <w:rFonts w:ascii="Times New Roman" w:hAnsi="Times New Roman"/>
        </w:rPr>
      </w:pPr>
      <w:r w:rsidRPr="009623BF">
        <w:rPr>
          <w:rFonts w:ascii="Times New Roman" w:hAnsi="Times New Roman"/>
        </w:rPr>
        <w:t xml:space="preserve">where </w:t>
      </w:r>
      <m:oMath>
        <m:f>
          <m:fPr>
            <m:type m:val="lin"/>
            <m:ctrlPr>
              <w:rPr>
                <w:rFonts w:ascii="Cambria Math" w:hAnsi="Cambria Math"/>
                <w:i/>
              </w:rPr>
            </m:ctrlPr>
          </m:fPr>
          <m:num>
            <m:sSub>
              <m:sSubPr>
                <m:ctrlPr>
                  <w:rPr>
                    <w:rFonts w:ascii="Cambria Math" w:hAnsi="Cambria Math"/>
                    <w:i/>
                  </w:rPr>
                </m:ctrlPr>
              </m:sSubPr>
              <m:e>
                <m:r>
                  <w:rPr>
                    <w:rFonts w:ascii="Cambria Math" w:hAnsi="Cambria Math"/>
                  </w:rPr>
                  <m:t>Abs</m:t>
                </m:r>
              </m:e>
              <m:sub>
                <m:r>
                  <w:rPr>
                    <w:rFonts w:ascii="Cambria Math" w:hAnsi="Cambria Math"/>
                  </w:rPr>
                  <m:t>Acc</m:t>
                </m:r>
              </m:sub>
            </m:sSub>
          </m:num>
          <m:den>
            <m:sSub>
              <m:sSubPr>
                <m:ctrlPr>
                  <w:rPr>
                    <w:rFonts w:ascii="Cambria Math" w:hAnsi="Cambria Math"/>
                    <w:i/>
                  </w:rPr>
                </m:ctrlPr>
              </m:sSubPr>
              <m:e>
                <m:r>
                  <w:rPr>
                    <w:rFonts w:ascii="Cambria Math" w:hAnsi="Cambria Math"/>
                  </w:rPr>
                  <m:t>Abs</m:t>
                </m:r>
              </m:e>
              <m:sub>
                <m:r>
                  <w:rPr>
                    <w:rFonts w:ascii="Cambria Math" w:hAnsi="Cambria Math"/>
                  </w:rPr>
                  <m:t>Don</m:t>
                </m:r>
              </m:sub>
            </m:sSub>
          </m:den>
        </m:f>
      </m:oMath>
      <w:r w:rsidRPr="009623BF">
        <w:rPr>
          <w:rFonts w:ascii="Times New Roman" w:hAnsi="Times New Roman"/>
        </w:rPr>
        <w:t xml:space="preserve"> is the acceptor:donor absorption ratio (constant) at the excitation wavelength, </w:t>
      </w:r>
      <m:oMath>
        <m:sSubSup>
          <m:sSubSupPr>
            <m:ctrlPr>
              <w:rPr>
                <w:rFonts w:ascii="Cambria Math" w:hAnsi="Cambria Math"/>
                <w:i/>
              </w:rPr>
            </m:ctrlPr>
          </m:sSubSupPr>
          <m:e>
            <m:r>
              <w:rPr>
                <w:rFonts w:ascii="Cambria Math" w:hAnsi="Cambria Math"/>
              </w:rPr>
              <m:t>I</m:t>
            </m:r>
          </m:e>
          <m:sub>
            <m:r>
              <w:rPr>
                <w:rFonts w:ascii="Cambria Math" w:hAnsi="Cambria Math"/>
              </w:rPr>
              <m:t>Acc-Don</m:t>
            </m:r>
          </m:sub>
          <m:sup>
            <m:r>
              <w:rPr>
                <w:rFonts w:ascii="Cambria Math" w:hAnsi="Cambria Math"/>
              </w:rPr>
              <m:t>Em</m:t>
            </m:r>
          </m:sup>
        </m:sSubSup>
      </m:oMath>
      <w:r w:rsidRPr="009623BF">
        <w:rPr>
          <w:rFonts w:ascii="Times New Roman" w:hAnsi="Times New Roman"/>
        </w:rPr>
        <w:t xml:space="preserve"> is the integrated emission intensity of the ac</w:t>
      </w:r>
      <w:proofErr w:type="spellStart"/>
      <w:r w:rsidRPr="009623BF">
        <w:rPr>
          <w:rFonts w:ascii="Times New Roman" w:hAnsi="Times New Roman"/>
        </w:rPr>
        <w:t>ceptor</w:t>
      </w:r>
      <w:proofErr w:type="spellEnd"/>
      <w:r w:rsidRPr="009623BF">
        <w:rPr>
          <w:rFonts w:ascii="Times New Roman" w:hAnsi="Times New Roman"/>
        </w:rPr>
        <w:t xml:space="preserve"> in the presence of the donor, </w:t>
      </w:r>
      <m:oMath>
        <m:sSubSup>
          <m:sSubSupPr>
            <m:ctrlPr>
              <w:rPr>
                <w:rFonts w:ascii="Cambria Math" w:hAnsi="Cambria Math"/>
                <w:i/>
              </w:rPr>
            </m:ctrlPr>
          </m:sSubSupPr>
          <m:e>
            <m:r>
              <w:rPr>
                <w:rFonts w:ascii="Cambria Math" w:hAnsi="Cambria Math"/>
              </w:rPr>
              <m:t>I</m:t>
            </m:r>
          </m:e>
          <m:sub>
            <m:r>
              <w:rPr>
                <w:rFonts w:ascii="Cambria Math" w:hAnsi="Cambria Math"/>
              </w:rPr>
              <m:t>Acc</m:t>
            </m:r>
          </m:sub>
          <m:sup>
            <m:r>
              <w:rPr>
                <w:rFonts w:ascii="Cambria Math" w:hAnsi="Cambria Math"/>
              </w:rPr>
              <m:t>Em</m:t>
            </m:r>
          </m:sup>
        </m:sSubSup>
      </m:oMath>
      <w:r w:rsidRPr="009623BF">
        <w:rPr>
          <w:rFonts w:ascii="Times New Roman" w:hAnsi="Times New Roman"/>
        </w:rPr>
        <w:t xml:space="preserve"> is the integrated emission intensity of the acceptor in the absence of the donor. As mentioned earlier, we observe no measurable enhancement in the MoS</w:t>
      </w:r>
      <w:r w:rsidRPr="009623BF">
        <w:rPr>
          <w:rFonts w:ascii="Times New Roman" w:hAnsi="Times New Roman"/>
          <w:vertAlign w:val="subscript"/>
        </w:rPr>
        <w:t>2</w:t>
      </w:r>
      <w:r w:rsidRPr="009623BF">
        <w:rPr>
          <w:rFonts w:ascii="Times New Roman" w:hAnsi="Times New Roman"/>
        </w:rPr>
        <w:t xml:space="preserve"> PL intensity despite observing highly efficient NRET from the QDs. This lack of PL enhancement is attributed to the nonradiative recombination at defects in the MoS</w:t>
      </w:r>
      <w:r w:rsidRPr="009623BF">
        <w:rPr>
          <w:rFonts w:ascii="Times New Roman" w:hAnsi="Times New Roman"/>
          <w:vertAlign w:val="subscript"/>
        </w:rPr>
        <w:t>2</w:t>
      </w:r>
      <w:r w:rsidRPr="009623BF">
        <w:rPr>
          <w:rFonts w:ascii="Times New Roman" w:hAnsi="Times New Roman"/>
        </w:rPr>
        <w:t>.</w:t>
      </w:r>
      <w:r w:rsidRPr="009623BF">
        <w:rPr>
          <w:rFonts w:ascii="Times New Roman" w:hAnsi="Times New Roman"/>
        </w:rPr>
        <w:fldChar w:fldCharType="begin" w:fldLock="1"/>
      </w:r>
      <w:r w:rsidR="001F4C34" w:rsidRPr="009623BF">
        <w:rPr>
          <w:rFonts w:ascii="Times New Roman" w:hAnsi="Times New Roman"/>
        </w:rPr>
        <w:instrText>ADDIN CSL_CITATION {"citationItems":[{"id":"ITEM-1","itemData":{"DOI":"10.1002/adfm.201706149","ISSN":"1616301X","abstract":"© 2018 WILEY-VCH Verlag GmbH &amp; Co. KGaA, Weinheim. This report demonstrates highly efficient nonradiative energy transfer (NRET) from alloyed CdSeS/ZnS semiconductor nanocrystal quantum dots (QDs) to MoS 2 films of varying layer thicknesses, including pristine monolayers, mixed monolayer/bilayer, polycrystalline bilayers, and bulk-like thicknesses, with NRET efficiencies of over 90%. Large-area MoS 2 films are grown on Si/SiO 2 substrates by chemical vapor deposition. Despite the ultrahigh NRET efficiencies there is no distinct increase in the MoS 2 photoluminescence intensity. However, by studying the optoelectronic properties of the MoS 2 devices before and after adding the QD sensitizing layer photocurrent enhancements as large as ≈14-fold for pristine monolayer devices are observed, with enhancements on the order of ≈2-fold for MoS 2 devices of mixed monolayer and bilayer thicknesses. For the polycrystalline bilayer and bulk-like MoS 2 devices there is almost no increase in the photocurrent after adding the QDs. Industrially scalable techniques are specifically utilized to fabricate the samples studied in this report, demonstrating the viability of this hybrid structure for commercial photodetector or light harvesting applications.","author":[{"dropping-particle":"","family":"Gough","given":"John J.","non-dropping-particle":"","parse-names":false,"suffix":""},{"dropping-particle":"","family":"McEvoy","given":"Niall","non-dropping-particle":"","parse-names":false,"suffix":""},{"dropping-particle":"","family":"O'Brien","given":"Maria","non-dropping-particle":"","parse-names":false,"suffix":""},{"dropping-particle":"","family":"Bell","given":"Alan P.","non-dropping-particle":"","parse-names":false,"suffix":""},{"dropping-particle":"","family":"McCloskey","given":"David","non-dropping-particle":"","parse-names":false,"suffix":""},{"dropping-particle":"","family":"Boland","given":"John B.","non-dropping-particle":"","parse-names":false,"suffix":""},{"dropping-particle":"","family":"Coleman","given":"Jonathan N.","non-dropping-particle":"","parse-names":false,"suffix":""},{"dropping-particle":"","family":"Duesberg","given":"Georg S.","non-dropping-particle":"","parse-names":false,"suffix":""},{"dropping-particle":"","family":"Bradley","given":"A. Louise","non-dropping-particle":"","parse-names":false,"suffix":""}],"container-title":"Advanced Functional Materials","id":"ITEM-1","issued":{"date-parts":[["2018","1"]]},"page":"1706149","title":"Dependence of Photocurrent Enhancements in Quantum Dot (QD)-Sensitized MoS 2 Devices on MoS 2 Film Properties","type":"article-journal","volume":"1706149"},"uris":["http://www.mendeley.com/documents/?uuid=e7ae747c-5ebc-4853-a113-0c1ca4f6921d","http://www.mendeley.com/documents/?uuid=e072b561-4c73-413e-ae65-256034f6943b"]}],"mendeley":{"formattedCitation":"&lt;sup&gt;17&lt;/sup&gt;","plainTextFormattedCitation":"17","previouslyFormattedCitation":"&lt;sup&gt;16&lt;/sup&gt;"},"properties":{"noteIndex":0},"schema":"https://github.com/citation-style-language/schema/raw/master/csl-citation.json"}</w:instrText>
      </w:r>
      <w:r w:rsidRPr="009623BF">
        <w:rPr>
          <w:rFonts w:ascii="Times New Roman" w:hAnsi="Times New Roman"/>
        </w:rPr>
        <w:fldChar w:fldCharType="separate"/>
      </w:r>
      <w:r w:rsidR="001F4C34" w:rsidRPr="009623BF">
        <w:rPr>
          <w:rFonts w:ascii="Times New Roman" w:hAnsi="Times New Roman"/>
          <w:noProof/>
          <w:vertAlign w:val="superscript"/>
        </w:rPr>
        <w:t>17</w:t>
      </w:r>
      <w:r w:rsidRPr="009623BF">
        <w:rPr>
          <w:rFonts w:ascii="Times New Roman" w:hAnsi="Times New Roman"/>
        </w:rPr>
        <w:fldChar w:fldCharType="end"/>
      </w:r>
      <w:r w:rsidRPr="009623BF">
        <w:rPr>
          <w:rFonts w:ascii="Times New Roman" w:hAnsi="Times New Roman"/>
        </w:rPr>
        <w:t xml:space="preserve"> However, by replacing the intensity with photocurrent in </w:t>
      </w:r>
      <w:proofErr w:type="spellStart"/>
      <w:r w:rsidRPr="009623BF">
        <w:rPr>
          <w:rFonts w:ascii="Times New Roman" w:hAnsi="Times New Roman"/>
        </w:rPr>
        <w:t>eqn</w:t>
      </w:r>
      <w:proofErr w:type="spellEnd"/>
      <w:r w:rsidRPr="009623BF">
        <w:rPr>
          <w:rFonts w:ascii="Times New Roman" w:hAnsi="Times New Roman"/>
        </w:rPr>
        <w:t xml:space="preserve"> (8), the relationship between the photocurrent enhancement and NRET efficiency would become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
        <w:gridCol w:w="8384"/>
        <w:gridCol w:w="698"/>
      </w:tblGrid>
      <w:tr w:rsidR="009623BF" w:rsidRPr="009623BF" w14:paraId="0070755F" w14:textId="77777777" w:rsidTr="001F4C34">
        <w:tc>
          <w:tcPr>
            <w:tcW w:w="279" w:type="dxa"/>
            <w:vAlign w:val="center"/>
          </w:tcPr>
          <w:p w14:paraId="25356A77" w14:textId="77777777" w:rsidR="00164A9C" w:rsidRPr="009623BF" w:rsidRDefault="00164A9C" w:rsidP="00164A9C">
            <w:pPr>
              <w:pStyle w:val="TAMainText"/>
              <w:rPr>
                <w:rFonts w:ascii="Times New Roman" w:hAnsi="Times New Roman"/>
              </w:rPr>
            </w:pPr>
          </w:p>
        </w:tc>
        <w:tc>
          <w:tcPr>
            <w:tcW w:w="8501" w:type="dxa"/>
            <w:vAlign w:val="center"/>
          </w:tcPr>
          <w:p w14:paraId="0D421619" w14:textId="77777777" w:rsidR="00164A9C" w:rsidRPr="009623BF" w:rsidRDefault="00F6410F" w:rsidP="00164A9C">
            <w:pPr>
              <w:pStyle w:val="TAMainText"/>
              <w:rPr>
                <w:rFonts w:ascii="Times New Roman" w:hAnsi="Times New Roman"/>
              </w:rPr>
            </w:pPr>
            <m:oMathPara>
              <m:oMath>
                <m:sSub>
                  <m:sSubPr>
                    <m:ctrlPr>
                      <w:rPr>
                        <w:rFonts w:ascii="Cambria Math" w:hAnsi="Cambria Math"/>
                        <w:i/>
                      </w:rPr>
                    </m:ctrlPr>
                  </m:sSubPr>
                  <m:e>
                    <m:r>
                      <w:rPr>
                        <w:rFonts w:ascii="Cambria Math" w:hAnsi="Cambria Math"/>
                      </w:rPr>
                      <m:t>η</m:t>
                    </m:r>
                  </m:e>
                  <m:sub>
                    <m:r>
                      <w:rPr>
                        <w:rFonts w:ascii="Cambria Math" w:hAnsi="Cambria Math"/>
                      </w:rPr>
                      <m:t>NRET</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Abs</m:t>
                        </m:r>
                      </m:e>
                      <m:sub>
                        <m:r>
                          <w:rPr>
                            <w:rFonts w:ascii="Cambria Math" w:hAnsi="Cambria Math"/>
                          </w:rPr>
                          <m:t>Mo</m:t>
                        </m:r>
                        <m:sSub>
                          <m:sSubPr>
                            <m:ctrlPr>
                              <w:rPr>
                                <w:rFonts w:ascii="Cambria Math" w:hAnsi="Cambria Math"/>
                                <w:i/>
                              </w:rPr>
                            </m:ctrlPr>
                          </m:sSubPr>
                          <m:e>
                            <m:r>
                              <w:rPr>
                                <w:rFonts w:ascii="Cambria Math" w:hAnsi="Cambria Math"/>
                              </w:rPr>
                              <m:t>S</m:t>
                            </m:r>
                          </m:e>
                          <m:sub>
                            <m:r>
                              <w:rPr>
                                <w:rFonts w:ascii="Cambria Math" w:hAnsi="Cambria Math"/>
                              </w:rPr>
                              <m:t>2</m:t>
                            </m:r>
                          </m:sub>
                        </m:sSub>
                      </m:sub>
                    </m:sSub>
                  </m:num>
                  <m:den>
                    <m:sSub>
                      <m:sSubPr>
                        <m:ctrlPr>
                          <w:rPr>
                            <w:rFonts w:ascii="Cambria Math" w:hAnsi="Cambria Math"/>
                            <w:i/>
                          </w:rPr>
                        </m:ctrlPr>
                      </m:sSubPr>
                      <m:e>
                        <m:r>
                          <w:rPr>
                            <w:rFonts w:ascii="Cambria Math" w:hAnsi="Cambria Math"/>
                          </w:rPr>
                          <m:t>Abs</m:t>
                        </m:r>
                      </m:e>
                      <m:sub>
                        <m:r>
                          <w:rPr>
                            <w:rFonts w:ascii="Cambria Math" w:hAnsi="Cambria Math"/>
                          </w:rPr>
                          <m:t>QD</m:t>
                        </m:r>
                      </m:sub>
                    </m:sSub>
                  </m:den>
                </m:f>
                <m:sSubSup>
                  <m:sSubSupPr>
                    <m:ctrlPr>
                      <w:rPr>
                        <w:rFonts w:ascii="Cambria Math" w:hAnsi="Cambria Math"/>
                        <w:i/>
                      </w:rPr>
                    </m:ctrlPr>
                  </m:sSubSupPr>
                  <m:e>
                    <m:r>
                      <w:rPr>
                        <w:rFonts w:ascii="Cambria Math" w:hAnsi="Cambria Math"/>
                      </w:rPr>
                      <m:t>E</m:t>
                    </m:r>
                  </m:e>
                  <m:sub>
                    <m:r>
                      <w:rPr>
                        <w:rFonts w:ascii="Cambria Math" w:hAnsi="Cambria Math"/>
                      </w:rPr>
                      <m:t>Acc</m:t>
                    </m:r>
                  </m:sub>
                  <m:sup>
                    <m:r>
                      <w:rPr>
                        <w:rFonts w:ascii="Cambria Math" w:hAnsi="Cambria Math"/>
                      </w:rPr>
                      <m:t>Avg</m:t>
                    </m:r>
                  </m:sup>
                </m:sSubSup>
                <m:r>
                  <w:rPr>
                    <w:rFonts w:ascii="Cambria Math" w:hAnsi="Cambria Math"/>
                  </w:rPr>
                  <m:t xml:space="preserve"> </m:t>
                </m:r>
              </m:oMath>
            </m:oMathPara>
          </w:p>
        </w:tc>
        <w:tc>
          <w:tcPr>
            <w:tcW w:w="236" w:type="dxa"/>
            <w:vAlign w:val="center"/>
          </w:tcPr>
          <w:p w14:paraId="3B567FC5" w14:textId="77777777" w:rsidR="00164A9C" w:rsidRPr="009623BF" w:rsidRDefault="00164A9C" w:rsidP="00164A9C">
            <w:pPr>
              <w:pStyle w:val="TAMainText"/>
              <w:rPr>
                <w:rFonts w:ascii="Times New Roman" w:hAnsi="Times New Roman"/>
              </w:rPr>
            </w:pPr>
            <w:r w:rsidRPr="009623BF">
              <w:rPr>
                <w:rFonts w:ascii="Times New Roman" w:hAnsi="Times New Roman"/>
              </w:rPr>
              <w:t>(9)</w:t>
            </w:r>
          </w:p>
        </w:tc>
      </w:tr>
    </w:tbl>
    <w:p w14:paraId="755377F4" w14:textId="5D44D757" w:rsidR="00164A9C" w:rsidRPr="009623BF" w:rsidRDefault="00164A9C" w:rsidP="00164A9C">
      <w:pPr>
        <w:spacing w:line="480" w:lineRule="auto"/>
        <w:rPr>
          <w:rFonts w:ascii="Times New Roman" w:hAnsi="Times New Roman"/>
          <w:szCs w:val="24"/>
        </w:rPr>
      </w:pPr>
      <w:r w:rsidRPr="009623BF">
        <w:rPr>
          <w:rFonts w:ascii="Times New Roman" w:hAnsi="Times New Roman"/>
          <w:szCs w:val="24"/>
        </w:rPr>
        <w:t xml:space="preserve">where </w:t>
      </w:r>
      <m:oMath>
        <m:sSubSup>
          <m:sSubSupPr>
            <m:ctrlPr>
              <w:rPr>
                <w:rFonts w:ascii="Cambria Math" w:hAnsi="Cambria Math"/>
                <w:i/>
                <w:szCs w:val="24"/>
              </w:rPr>
            </m:ctrlPr>
          </m:sSubSupPr>
          <m:e>
            <m:r>
              <w:rPr>
                <w:rFonts w:ascii="Cambria Math" w:hAnsi="Cambria Math"/>
                <w:szCs w:val="24"/>
              </w:rPr>
              <m:t>E</m:t>
            </m:r>
          </m:e>
          <m:sub>
            <m:r>
              <w:rPr>
                <w:rFonts w:ascii="Cambria Math" w:hAnsi="Cambria Math"/>
                <w:szCs w:val="24"/>
              </w:rPr>
              <m:t>Acc</m:t>
            </m:r>
          </m:sub>
          <m:sup>
            <m:r>
              <w:rPr>
                <w:rFonts w:ascii="Cambria Math" w:hAnsi="Cambria Math"/>
                <w:szCs w:val="24"/>
              </w:rPr>
              <m:t>Avg</m:t>
            </m:r>
          </m:sup>
        </m:sSubSup>
      </m:oMath>
      <w:r w:rsidRPr="009623BF">
        <w:rPr>
          <w:rFonts w:ascii="Times New Roman" w:hAnsi="Times New Roman"/>
          <w:szCs w:val="24"/>
        </w:rPr>
        <w:t xml:space="preserve"> is the average photocurrent </w:t>
      </w:r>
      <w:proofErr w:type="gramStart"/>
      <w:r w:rsidRPr="009623BF">
        <w:rPr>
          <w:rFonts w:ascii="Times New Roman" w:hAnsi="Times New Roman"/>
          <w:szCs w:val="24"/>
        </w:rPr>
        <w:t>enhancement.</w:t>
      </w:r>
      <w:proofErr w:type="gramEnd"/>
      <w:r w:rsidRPr="009623BF">
        <w:rPr>
          <w:rFonts w:ascii="Times New Roman" w:hAnsi="Times New Roman"/>
          <w:szCs w:val="24"/>
        </w:rPr>
        <w:t xml:space="preserve"> Therefore, the photocurrent enhancement could be expected to scale with the NRET efficiency. The experimental QD dependence of the NRET efficiency, calculated from the PL lifetime data, and the low power average ph</w:t>
      </w:r>
      <w:proofErr w:type="spellStart"/>
      <w:r w:rsidRPr="009623BF">
        <w:rPr>
          <w:rFonts w:ascii="Times New Roman" w:hAnsi="Times New Roman"/>
          <w:szCs w:val="24"/>
        </w:rPr>
        <w:t>otocurrent</w:t>
      </w:r>
      <w:proofErr w:type="spellEnd"/>
      <w:r w:rsidRPr="009623BF">
        <w:rPr>
          <w:rFonts w:ascii="Times New Roman" w:hAnsi="Times New Roman"/>
          <w:szCs w:val="24"/>
        </w:rPr>
        <w:t xml:space="preserve"> enhancement are shown in Figure S</w:t>
      </w:r>
      <w:r w:rsidR="008F2D8B">
        <w:rPr>
          <w:rFonts w:ascii="Times New Roman" w:hAnsi="Times New Roman"/>
          <w:szCs w:val="24"/>
        </w:rPr>
        <w:t>6</w:t>
      </w:r>
      <w:r w:rsidRPr="009623BF">
        <w:rPr>
          <w:rFonts w:ascii="Times New Roman" w:hAnsi="Times New Roman"/>
          <w:szCs w:val="24"/>
        </w:rPr>
        <w:t xml:space="preserve"> in the SI. While they are seen to have similar trends, as expected from </w:t>
      </w:r>
      <w:proofErr w:type="spellStart"/>
      <w:proofErr w:type="gramStart"/>
      <w:r w:rsidRPr="009623BF">
        <w:rPr>
          <w:rFonts w:ascii="Times New Roman" w:hAnsi="Times New Roman"/>
          <w:szCs w:val="24"/>
        </w:rPr>
        <w:t>eqn</w:t>
      </w:r>
      <w:proofErr w:type="spellEnd"/>
      <w:r w:rsidRPr="009623BF">
        <w:rPr>
          <w:rFonts w:ascii="Times New Roman" w:hAnsi="Times New Roman"/>
          <w:szCs w:val="24"/>
        </w:rPr>
        <w:t>(</w:t>
      </w:r>
      <w:proofErr w:type="gramEnd"/>
      <w:r w:rsidRPr="009623BF">
        <w:rPr>
          <w:rFonts w:ascii="Times New Roman" w:hAnsi="Times New Roman"/>
          <w:szCs w:val="24"/>
        </w:rPr>
        <w:t>9), unfortunately the errors on the efficiencies are too large to be conclusive.</w:t>
      </w:r>
    </w:p>
    <w:p w14:paraId="6CEA6E14" w14:textId="77777777" w:rsidR="00DB51E0" w:rsidRPr="009623BF" w:rsidRDefault="00DB51E0" w:rsidP="00A807F2">
      <w:pPr>
        <w:pStyle w:val="TAMainText"/>
      </w:pPr>
    </w:p>
    <w:p w14:paraId="746EEE5D" w14:textId="77777777" w:rsidR="002D3E9B" w:rsidRPr="009623BF" w:rsidRDefault="002D3E9B" w:rsidP="00A807F2">
      <w:pPr>
        <w:pStyle w:val="TAMainText"/>
      </w:pPr>
    </w:p>
    <w:p w14:paraId="47485A56" w14:textId="01C0167F" w:rsidR="002D3E9B" w:rsidRPr="009623BF" w:rsidRDefault="00480AF2" w:rsidP="002D3E9B">
      <w:pPr>
        <w:pStyle w:val="TAMainText"/>
        <w:ind w:firstLine="0"/>
        <w:jc w:val="center"/>
      </w:pPr>
      <w:r w:rsidRPr="009623BF">
        <w:rPr>
          <w:noProof/>
          <w:sz w:val="16"/>
          <w:szCs w:val="16"/>
          <w:lang w:val="en-IE" w:eastAsia="en-IE"/>
        </w:rPr>
        <w:drawing>
          <wp:inline distT="0" distB="0" distL="0" distR="0" wp14:anchorId="412BB485" wp14:editId="777B2E8C">
            <wp:extent cx="2952000" cy="2245012"/>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ated Figure 7.tif"/>
                    <pic:cNvPicPr/>
                  </pic:nvPicPr>
                  <pic:blipFill rotWithShape="1">
                    <a:blip r:embed="rId15">
                      <a:extLst>
                        <a:ext uri="{28A0092B-C50C-407E-A947-70E740481C1C}">
                          <a14:useLocalDpi xmlns:a14="http://schemas.microsoft.com/office/drawing/2010/main" val="0"/>
                        </a:ext>
                      </a:extLst>
                    </a:blip>
                    <a:srcRect l="16648" t="15560" r="12572" b="9330"/>
                    <a:stretch/>
                  </pic:blipFill>
                  <pic:spPr bwMode="auto">
                    <a:xfrm>
                      <a:off x="0" y="0"/>
                      <a:ext cx="2952000" cy="2245012"/>
                    </a:xfrm>
                    <a:prstGeom prst="rect">
                      <a:avLst/>
                    </a:prstGeom>
                    <a:ln>
                      <a:noFill/>
                    </a:ln>
                    <a:extLst>
                      <a:ext uri="{53640926-AAD7-44D8-BBD7-CCE9431645EC}">
                        <a14:shadowObscured xmlns:a14="http://schemas.microsoft.com/office/drawing/2010/main"/>
                      </a:ext>
                    </a:extLst>
                  </pic:spPr>
                </pic:pic>
              </a:graphicData>
            </a:graphic>
          </wp:inline>
        </w:drawing>
      </w:r>
    </w:p>
    <w:p w14:paraId="585A724A" w14:textId="368FAD84" w:rsidR="002D3E9B" w:rsidRPr="009623BF" w:rsidRDefault="002D3E9B" w:rsidP="002D3E9B">
      <w:pPr>
        <w:pStyle w:val="VAFigureCaption"/>
        <w:rPr>
          <w:lang w:val="en-GB"/>
        </w:rPr>
      </w:pPr>
      <w:r w:rsidRPr="009623BF">
        <w:rPr>
          <w:b/>
          <w:lang w:val="en-GB"/>
        </w:rPr>
        <w:t>Figure 7:</w:t>
      </w:r>
      <w:r w:rsidRPr="009623BF">
        <w:rPr>
          <w:lang w:val="en-GB"/>
        </w:rPr>
        <w:t xml:space="preserve"> </w:t>
      </w:r>
      <w:r w:rsidR="00F50C37" w:rsidRPr="009623BF">
        <w:t>T</w:t>
      </w:r>
      <w:r w:rsidRPr="009623BF">
        <w:t xml:space="preserve">he low power average photocurrent enhancement, </w:t>
      </w:r>
      <m:oMath>
        <m:sSubSup>
          <m:sSubSupPr>
            <m:ctrlPr>
              <w:rPr>
                <w:rFonts w:ascii="Cambria Math" w:hAnsi="Cambria Math"/>
                <w:i/>
              </w:rPr>
            </m:ctrlPr>
          </m:sSubSupPr>
          <m:e>
            <m:r>
              <w:rPr>
                <w:rFonts w:ascii="Cambria Math" w:hAnsi="Cambria Math"/>
              </w:rPr>
              <m:t>E</m:t>
            </m:r>
          </m:e>
          <m:sub>
            <m:r>
              <w:rPr>
                <w:rFonts w:ascii="Cambria Math" w:hAnsi="Cambria Math"/>
              </w:rPr>
              <m:t>Acc</m:t>
            </m:r>
          </m:sub>
          <m:sup>
            <m:r>
              <w:rPr>
                <w:rFonts w:ascii="Cambria Math" w:hAnsi="Cambria Math"/>
              </w:rPr>
              <m:t>Avg</m:t>
            </m:r>
          </m:sup>
        </m:sSubSup>
      </m:oMath>
      <w:r w:rsidRPr="009623BF">
        <w:t>, as a function of the QD emission wavelength.</w:t>
      </w:r>
    </w:p>
    <w:p w14:paraId="7E295231" w14:textId="77777777" w:rsidR="00531AA5" w:rsidRDefault="00531AA5" w:rsidP="00064FFA">
      <w:pPr>
        <w:pStyle w:val="TAMainText"/>
        <w:ind w:firstLine="0"/>
      </w:pPr>
    </w:p>
    <w:p w14:paraId="5F5FB10C" w14:textId="506780E4" w:rsidR="0050503C" w:rsidRDefault="0050503C" w:rsidP="008B09B4">
      <w:pPr>
        <w:pStyle w:val="TESupportingInformation"/>
        <w:spacing w:after="240"/>
        <w:ind w:firstLine="0"/>
        <w:jc w:val="left"/>
      </w:pPr>
      <w:r>
        <w:t>CONCLUSIONS</w:t>
      </w:r>
    </w:p>
    <w:p w14:paraId="2107C3EF" w14:textId="1CCCFADE" w:rsidR="00A807F2" w:rsidRPr="00A807F2" w:rsidRDefault="00A807F2" w:rsidP="00C26F94">
      <w:pPr>
        <w:pStyle w:val="TAMainText"/>
        <w:rPr>
          <w:lang w:val="en-IE"/>
        </w:rPr>
      </w:pPr>
      <w:r w:rsidRPr="00A807F2">
        <w:rPr>
          <w:lang w:val="en-IE"/>
        </w:rPr>
        <w:t>In summary, ultra-high efficiency NRET from three spectrally separated QD ensembles to monolayer MoS</w:t>
      </w:r>
      <w:r w:rsidRPr="00A807F2">
        <w:rPr>
          <w:vertAlign w:val="subscript"/>
          <w:lang w:val="en-IE"/>
        </w:rPr>
        <w:t>2</w:t>
      </w:r>
      <w:r w:rsidRPr="00A807F2">
        <w:rPr>
          <w:lang w:val="en-IE"/>
        </w:rPr>
        <w:t xml:space="preserve"> has been demonstrated. The emission spectra for the QD ensembles span the visible region and fulfil conditions of being on- and off the MoS</w:t>
      </w:r>
      <w:r w:rsidRPr="00A807F2">
        <w:rPr>
          <w:vertAlign w:val="subscript"/>
          <w:lang w:val="en-IE"/>
        </w:rPr>
        <w:t>2</w:t>
      </w:r>
      <w:r w:rsidRPr="00A807F2">
        <w:rPr>
          <w:lang w:val="en-IE"/>
        </w:rPr>
        <w:t xml:space="preserve"> exciton absorption peaks. Time-resolved photoluminescence measurements reveal NRET efficiencies exceeding 90% for each QD ensemble, with values of (94 ± </w:t>
      </w:r>
      <w:proofErr w:type="gramStart"/>
      <w:r w:rsidRPr="00A807F2">
        <w:rPr>
          <w:lang w:val="en-IE"/>
        </w:rPr>
        <w:t>7)%</w:t>
      </w:r>
      <w:proofErr w:type="gramEnd"/>
      <w:r w:rsidRPr="00A807F2">
        <w:rPr>
          <w:lang w:val="en-IE"/>
        </w:rPr>
        <w:t>, (92 ± 4)% and (96 ± 6)% for the 450 nm, 530 nm, and 630 nm QDs, respectively. Photocurrent measurements were performed on the devices before and after adding the QD-sensitizing layers. Average photocurrent ratios of 4 ± 1, 4 ± 1 and 7 ± 2 were measured for the D450, D530 and D630 devices, respectively. The average low excitation power photocurrent enhancement is 2.9 ± 0.5, 1.5 ± 0.1 and 5.9 ± 1.1, while the largest enhancement of the MoS</w:t>
      </w:r>
      <w:r w:rsidRPr="00A807F2">
        <w:rPr>
          <w:vertAlign w:val="subscript"/>
          <w:lang w:val="en-IE"/>
        </w:rPr>
        <w:t>2</w:t>
      </w:r>
      <w:r w:rsidRPr="00A807F2">
        <w:rPr>
          <w:lang w:val="en-IE"/>
        </w:rPr>
        <w:t xml:space="preserve"> photocurrent is found at the highest excitation power (~140 µW), with values of 4.4 ± 0.4, 5.0 ± 0.5 and 7.0 ± 0.7 for devices D450, D530, and D630, respectively. We observe the </w:t>
      </w:r>
      <w:r w:rsidRPr="00A807F2">
        <w:rPr>
          <w:lang w:val="en-IE"/>
        </w:rPr>
        <w:lastRenderedPageBreak/>
        <w:t>emergence of a super-linear dependence of photocurrent at high excitation power for each of the MoS</w:t>
      </w:r>
      <w:r w:rsidRPr="00A807F2">
        <w:rPr>
          <w:vertAlign w:val="subscript"/>
          <w:lang w:val="en-IE"/>
        </w:rPr>
        <w:t>2</w:t>
      </w:r>
      <w:r w:rsidRPr="00A807F2">
        <w:rPr>
          <w:lang w:val="en-IE"/>
        </w:rPr>
        <w:t xml:space="preserve"> devices, with and without the QD-sensitizing layers. This is attributed to multi-centre recombination due to the presence of surface defects. </w:t>
      </w:r>
      <w:proofErr w:type="gramStart"/>
      <w:r w:rsidRPr="00A807F2">
        <w:rPr>
          <w:lang w:val="en-IE"/>
        </w:rPr>
        <w:t>As a consequence of</w:t>
      </w:r>
      <w:proofErr w:type="gramEnd"/>
      <w:r w:rsidRPr="00A807F2">
        <w:rPr>
          <w:lang w:val="en-IE"/>
        </w:rPr>
        <w:t xml:space="preserve"> the super-linear </w:t>
      </w:r>
      <w:proofErr w:type="spellStart"/>
      <w:r w:rsidRPr="00A807F2">
        <w:rPr>
          <w:lang w:val="en-IE"/>
        </w:rPr>
        <w:t>behavior</w:t>
      </w:r>
      <w:proofErr w:type="spellEnd"/>
      <w:r w:rsidRPr="00A807F2">
        <w:rPr>
          <w:lang w:val="en-IE"/>
        </w:rPr>
        <w:t xml:space="preserve">, the photoresponsivity at higher powers recovers and approaches values close to those measured at lower excitation powers. </w:t>
      </w:r>
      <w:r w:rsidR="00C26F94">
        <w:rPr>
          <w:lang w:val="en-IE"/>
        </w:rPr>
        <w:t>C</w:t>
      </w:r>
      <w:r w:rsidR="00C26F94" w:rsidRPr="00A807F2">
        <w:rPr>
          <w:lang w:val="en-IE"/>
        </w:rPr>
        <w:t xml:space="preserve">omparison of the trends in the NRET rates and the spectral overlap </w:t>
      </w:r>
      <w:r w:rsidR="00C26F94">
        <w:rPr>
          <w:lang w:val="en-IE"/>
        </w:rPr>
        <w:t>suggests</w:t>
      </w:r>
      <w:r w:rsidR="00C26F94" w:rsidRPr="00A807F2">
        <w:rPr>
          <w:lang w:val="en-IE"/>
        </w:rPr>
        <w:t xml:space="preserve"> that the energy transfer mechanism in the hybrid system is </w:t>
      </w:r>
      <w:proofErr w:type="spellStart"/>
      <w:r w:rsidR="00C26F94" w:rsidRPr="00A807F2">
        <w:rPr>
          <w:lang w:val="en-IE"/>
        </w:rPr>
        <w:t>Förster</w:t>
      </w:r>
      <w:proofErr w:type="spellEnd"/>
      <w:r w:rsidR="00C26F94" w:rsidRPr="00A807F2">
        <w:rPr>
          <w:lang w:val="en-IE"/>
        </w:rPr>
        <w:t>-type NRET</w:t>
      </w:r>
      <w:r w:rsidR="00C26F94">
        <w:rPr>
          <w:lang w:val="en-IE"/>
        </w:rPr>
        <w:t>.</w:t>
      </w:r>
      <w:r w:rsidR="00C26F94" w:rsidRPr="00A807F2">
        <w:rPr>
          <w:lang w:val="en-IE"/>
        </w:rPr>
        <w:t xml:space="preserve"> </w:t>
      </w:r>
      <w:r w:rsidRPr="00A807F2">
        <w:rPr>
          <w:lang w:val="en-IE"/>
        </w:rPr>
        <w:t xml:space="preserve">Regarding the significance of the spectral position of the QDs, we find the largest enhancement for the hybrid 630 nm QD device. This is beneficial also in terms of a solar harvesting system as the optical absorption of the 630 nm QDs has greater spectral coverage as compared to the 450 nm and 530 nm QDs. </w:t>
      </w:r>
    </w:p>
    <w:p w14:paraId="3BC91AF7" w14:textId="77777777" w:rsidR="00294AD0" w:rsidRDefault="00294AD0" w:rsidP="002D418A">
      <w:pPr>
        <w:pStyle w:val="TAMainText"/>
      </w:pPr>
    </w:p>
    <w:p w14:paraId="338CB58C" w14:textId="5F7E02CC" w:rsidR="00294AD0" w:rsidRDefault="00294AD0" w:rsidP="00294AD0">
      <w:pPr>
        <w:pStyle w:val="TESupportingInformation"/>
        <w:spacing w:after="240"/>
        <w:ind w:firstLine="0"/>
        <w:jc w:val="left"/>
      </w:pPr>
      <w:r>
        <w:t>MATERIALS AND METHODS</w:t>
      </w:r>
    </w:p>
    <w:p w14:paraId="7E693098" w14:textId="26E3FFB2" w:rsidR="00840D5C" w:rsidRDefault="00A807F2" w:rsidP="00840D5C">
      <w:pPr>
        <w:pStyle w:val="TAMainText"/>
      </w:pPr>
      <w:r w:rsidRPr="00A807F2">
        <w:t>The growth of triangular islands of</w:t>
      </w:r>
      <w:r w:rsidR="0094386B">
        <w:t xml:space="preserve"> monolayer</w:t>
      </w:r>
      <w:r w:rsidRPr="00A807F2">
        <w:t xml:space="preserve"> MoS</w:t>
      </w:r>
      <w:r w:rsidRPr="00A807F2">
        <w:rPr>
          <w:vertAlign w:val="subscript"/>
        </w:rPr>
        <w:t>2</w:t>
      </w:r>
      <w:r w:rsidRPr="00A807F2">
        <w:t xml:space="preserve"> was achieved using a previously reported chemical vapor deposition (CVD) growth technique.</w:t>
      </w:r>
      <w:r w:rsidRPr="00A807F2">
        <w:fldChar w:fldCharType="begin" w:fldLock="1"/>
      </w:r>
      <w:r w:rsidR="001F4C34">
        <w:instrText>ADDIN CSL_CITATION {"citationItems":[{"id":"ITEM-1","itemData":{"DOI":"10.1038/srep07374","ISBN":"2045-2322","ISSN":"2045-2322","PMID":"25487822","abstract":"Reliable chemical vapour deposition (CVD) of transition metal dichalcogenides (TMDs) is currently a highly pressing research field, as numerous potential applications rely on the production of high quality films on a macroscopic scale. Here, we show the use X-ray photoelectron spectroscopy, atomic force microscopy, transmission electron microscopy, scanning electron microscopy and electrical transport measurements reveal the high quality of the TMD samples produced. Furthermore, through patterning of the precursor supply, we achieve patterned growth of monolayer TMDs in defined locations, which could be adapted for the facile production of electronic device components.","author":[{"dropping-particle":"","family":"O'Brien","given":"Maria","non-dropping-particle":"","parse-names":false,"suffix":""},{"dropping-particle":"","family":"McEvoy","given":"Niall","non-dropping-particle":"","parse-names":false,"suffix":""},{"dropping-particle":"","family":"Hallam","given":"Toby","non-dropping-particle":"","parse-names":false,"suffix":""},{"dropping-particle":"","family":"Kim","given":"Hye-Young","non-dropping-particle":"","parse-names":false,"suffix":""},{"dropping-particle":"","family":"Berner","given":"Nina C.","non-dropping-particle":"","parse-names":false,"suffix":""},{"dropping-particle":"","family":"Hanlon","given":"Damien","non-dropping-particle":"","parse-names":false,"suffix":""},{"dropping-particle":"","family":"Lee","given":"Kangho","non-dropping-particle":"","parse-names":false,"suffix":""},{"dropping-particle":"","family":"Coleman","given":"Jonathan N.","non-dropping-particle":"","parse-names":false,"suffix":""},{"dropping-particle":"","family":"Duesberg","given":"Georg S.","non-dropping-particle":"","parse-names":false,"suffix":""}],"container-title":"Scientific Reports","id":"ITEM-1","issued":{"date-parts":[["2014"]]},"page":"7374","title":"Transition Metal Dichalcogenide Growth via Close Proximity Precursor Supply","type":"article-journal","volume":"4"},"uris":["http://www.mendeley.com/documents/?uuid=9b8def6c-f902-46f0-bf8e-e03788333980","http://www.mendeley.com/documents/?uuid=913f64ed-1f71-4d45-9d16-8de4b65d2fdf"]}],"mendeley":{"formattedCitation":"&lt;sup&gt;48&lt;/sup&gt;","plainTextFormattedCitation":"48","previouslyFormattedCitation":"&lt;sup&gt;47&lt;/sup&gt;"},"properties":{"noteIndex":0},"schema":"https://github.com/citation-style-language/schema/raw/master/csl-citation.json"}</w:instrText>
      </w:r>
      <w:r w:rsidRPr="00A807F2">
        <w:fldChar w:fldCharType="separate"/>
      </w:r>
      <w:r w:rsidR="001F4C34" w:rsidRPr="001F4C34">
        <w:rPr>
          <w:noProof/>
          <w:vertAlign w:val="superscript"/>
        </w:rPr>
        <w:t>48</w:t>
      </w:r>
      <w:r w:rsidRPr="00A807F2">
        <w:fldChar w:fldCharType="end"/>
      </w:r>
      <w:r w:rsidRPr="00A807F2">
        <w:t xml:space="preserve"> Briefly, a microreactor was formed between the seed and target substrates whereby the target substrate is placed face down on top of a seed substrate, which consists of liquid-phase exfoliated MoO</w:t>
      </w:r>
      <w:r w:rsidRPr="00A807F2">
        <w:rPr>
          <w:vertAlign w:val="subscript"/>
        </w:rPr>
        <w:t>3</w:t>
      </w:r>
      <w:r w:rsidRPr="00A807F2">
        <w:t xml:space="preserve"> nanosheets drop cast onto a Si/SiO</w:t>
      </w:r>
      <w:r w:rsidRPr="00A807F2">
        <w:rPr>
          <w:vertAlign w:val="subscript"/>
        </w:rPr>
        <w:t>2</w:t>
      </w:r>
      <w:r w:rsidRPr="00A807F2">
        <w:t xml:space="preserve"> substrate.</w:t>
      </w:r>
      <w:r w:rsidRPr="00A807F2">
        <w:fldChar w:fldCharType="begin" w:fldLock="1"/>
      </w:r>
      <w:r w:rsidR="001F4C34">
        <w:instrText>ADDIN CSL_CITATION {"citationItems":[{"id":"ITEM-1","itemData":{"DOI":"10.1021/cm500271u","ISSN":"0897-4756","author":[{"dropping-particle":"","family":"Hanlon","given":"Damien","non-dropping-particle":"","parse-names":false,"suffix":""},{"dropping-particle":"","family":"Backes","given":"Claudia","non-dropping-particle":"","parse-names":false,"suffix":""},{"dropping-particle":"","family":"Higgins","given":"Thomas M.","non-dropping-particle":"","parse-names":false,"suffix":""},{"dropping-particle":"","family":"Hughes","given":"Marguerite","non-dropping-particle":"","parse-names":false,"suffix":""},{"dropping-particle":"","family":"O?Neill","given":"Arlene","non-dropping-particle":"","parse-names":false,"suffix":""},{"dropping-particle":"","family":"King","given":"Paul","non-dropping-particle":"","parse-names":false,"suffix":""},{"dropping-particle":"","family":"McEvoy","given":"Niall","non-dropping-particle":"","parse-names":false,"suffix":""},{"dropping-particle":"","family":"Duesberg","given":"Georg Stefan","non-dropping-particle":"","parse-names":false,"suffix":""},{"dropping-particle":"","family":"Mendoza Sanchez","given":"Beatriz","non-dropping-particle":"","parse-names":false,"suffix":""},{"dropping-particle":"","family":"Pettersson","given":"Henrik","non-dropping-particle":"","parse-names":false,"suffix":""},{"dropping-particle":"","family":"Nicolosi","given":"Valeria","non-dropping-particle":"","parse-names":false,"suffix":""},{"dropping-particle":"","family":"Coleman","given":"Jonathan N","non-dropping-particle":"","parse-names":false,"suffix":""}],"container-title":"Chemistry of Materials","id":"ITEM-1","issue":"4","issued":{"date-parts":[["2014","2"]]},"page":"1751-1763","title":"Production of Molybdenum Trioxide Nanosheets by Liquid Exfoliation and Their Application in High-Performance Supercapacitors","type":"article-journal","volume":"26"},"uris":["http://www.mendeley.com/documents/?uuid=43b06b7c-8144-415c-80b8-ed46cb7ece67","http://www.mendeley.com/documents/?uuid=6952f7ff-2fe8-41d3-8638-8fe53d82a3c7"]}],"mendeley":{"formattedCitation":"&lt;sup&gt;49&lt;/sup&gt;","plainTextFormattedCitation":"49","previouslyFormattedCitation":"&lt;sup&gt;48&lt;/sup&gt;"},"properties":{"noteIndex":0},"schema":"https://github.com/citation-style-language/schema/raw/master/csl-citation.json"}</w:instrText>
      </w:r>
      <w:r w:rsidRPr="00A807F2">
        <w:fldChar w:fldCharType="separate"/>
      </w:r>
      <w:r w:rsidR="001F4C34" w:rsidRPr="001F4C34">
        <w:rPr>
          <w:noProof/>
          <w:vertAlign w:val="superscript"/>
        </w:rPr>
        <w:t>49</w:t>
      </w:r>
      <w:r w:rsidRPr="00A807F2">
        <w:fldChar w:fldCharType="end"/>
      </w:r>
      <w:r w:rsidRPr="00A807F2">
        <w:t xml:space="preserve"> This microreactor was then placed into the center of a quartz tube furnace where it was heated to 750 </w:t>
      </w:r>
      <w:proofErr w:type="spellStart"/>
      <w:r w:rsidRPr="00A807F2">
        <w:rPr>
          <w:vertAlign w:val="superscript"/>
        </w:rPr>
        <w:t>o</w:t>
      </w:r>
      <w:r w:rsidRPr="00A807F2">
        <w:t>C</w:t>
      </w:r>
      <w:proofErr w:type="spellEnd"/>
      <w:r w:rsidRPr="00A807F2">
        <w:t xml:space="preserve"> under 150 </w:t>
      </w:r>
      <w:proofErr w:type="spellStart"/>
      <w:r w:rsidRPr="00A807F2">
        <w:t>sccm</w:t>
      </w:r>
      <w:proofErr w:type="spellEnd"/>
      <w:r w:rsidRPr="00A807F2">
        <w:t xml:space="preserve"> </w:t>
      </w:r>
      <w:proofErr w:type="spellStart"/>
      <w:r w:rsidRPr="00A807F2">
        <w:t>Ar</w:t>
      </w:r>
      <w:proofErr w:type="spellEnd"/>
      <w:r w:rsidRPr="00A807F2">
        <w:t xml:space="preserve"> flow and then exposed to sulfur vapor, which was generated by heating sulfur powder to ~120 </w:t>
      </w:r>
      <w:proofErr w:type="spellStart"/>
      <w:r w:rsidRPr="00A807F2">
        <w:rPr>
          <w:vertAlign w:val="superscript"/>
        </w:rPr>
        <w:t>o</w:t>
      </w:r>
      <w:r w:rsidRPr="00A807F2">
        <w:t>C</w:t>
      </w:r>
      <w:proofErr w:type="spellEnd"/>
      <w:r w:rsidRPr="00A807F2">
        <w:t xml:space="preserve"> in an independently-controlled upstream zone of the furnace.</w:t>
      </w:r>
    </w:p>
    <w:p w14:paraId="3FC69862" w14:textId="4B629CB7" w:rsidR="00A807F2" w:rsidRPr="00A807F2" w:rsidRDefault="00A807F2" w:rsidP="00840D5C">
      <w:pPr>
        <w:pStyle w:val="TAMainText"/>
      </w:pPr>
      <w:r w:rsidRPr="00A807F2">
        <w:t xml:space="preserve">Alloyed </w:t>
      </w:r>
      <w:proofErr w:type="spellStart"/>
      <w:r w:rsidRPr="00A807F2">
        <w:t>CdSeS</w:t>
      </w:r>
      <w:proofErr w:type="spellEnd"/>
      <w:r w:rsidRPr="00A807F2">
        <w:t>/ZnS QDs (1 mg/mL) in toluene with peak emission wavelengths of 450 nm, 530 nm and 630 nm, were purchased from Sigma-Aldrich. The QDs were used as supplied in stock solution. The QD/</w:t>
      </w:r>
      <w:proofErr w:type="gramStart"/>
      <w:r w:rsidRPr="00A807F2">
        <w:t>Poly(</w:t>
      </w:r>
      <w:proofErr w:type="gramEnd"/>
      <w:r w:rsidRPr="00A807F2">
        <w:t xml:space="preserve">methyl methacrylate) (PMMA) solutions were prepared by dispersing 12.5 µL of each stock solution of QDs in 500 µL of 0.1% wt. PMMA in toluene. The QD/PMMA </w:t>
      </w:r>
      <w:r w:rsidRPr="00A807F2">
        <w:lastRenderedPageBreak/>
        <w:t>solutions were sonicated for ~20 s to ensure even dispersion of the QDs in the PMMA. The 450 nm, 530 nm and 630 nm QDs have diame</w:t>
      </w:r>
      <w:r w:rsidR="00970DE5">
        <w:t>ters of (6.0 ± 0.8) nm, see Figure</w:t>
      </w:r>
      <w:r w:rsidRPr="00A807F2">
        <w:t xml:space="preserve"> S1 in the Supporting Information.</w:t>
      </w:r>
    </w:p>
    <w:p w14:paraId="4101713D" w14:textId="77777777" w:rsidR="00840D5C" w:rsidRPr="00840D5C" w:rsidRDefault="00A807F2" w:rsidP="00840D5C">
      <w:pPr>
        <w:pStyle w:val="TAMainText"/>
      </w:pPr>
      <w:r w:rsidRPr="00A807F2">
        <w:t>The extinction spectrum of the monolayer MoS</w:t>
      </w:r>
      <w:r w:rsidRPr="00A807F2">
        <w:rPr>
          <w:vertAlign w:val="subscript"/>
        </w:rPr>
        <w:t>2</w:t>
      </w:r>
      <w:r w:rsidRPr="00A807F2">
        <w:t xml:space="preserve"> was measured from a CVD grown triangular MoS</w:t>
      </w:r>
      <w:r w:rsidRPr="00A807F2">
        <w:rPr>
          <w:vertAlign w:val="subscript"/>
        </w:rPr>
        <w:t>2</w:t>
      </w:r>
      <w:r w:rsidRPr="00A807F2">
        <w:t xml:space="preserve"> monolayer flake which had been grown on a quartz substrate. The extinction</w:t>
      </w:r>
      <w:r w:rsidR="00840D5C">
        <w:t xml:space="preserve"> </w:t>
      </w:r>
      <w:r w:rsidR="00840D5C" w:rsidRPr="00840D5C">
        <w:t xml:space="preserve">measurement was performed using a </w:t>
      </w:r>
      <w:proofErr w:type="gramStart"/>
      <w:r w:rsidR="00840D5C" w:rsidRPr="00840D5C">
        <w:t>custom built</w:t>
      </w:r>
      <w:proofErr w:type="gramEnd"/>
      <w:r w:rsidR="00840D5C" w:rsidRPr="00840D5C">
        <w:t xml:space="preserve"> transmission apparatus consisting of a Xenon lamp and a 100x microscope objective.</w:t>
      </w:r>
    </w:p>
    <w:p w14:paraId="6F620E25" w14:textId="77777777" w:rsidR="00840D5C" w:rsidRPr="00840D5C" w:rsidRDefault="00840D5C" w:rsidP="00840D5C">
      <w:pPr>
        <w:pStyle w:val="TAMainText"/>
      </w:pPr>
      <w:r w:rsidRPr="00840D5C">
        <w:t>The CVD-grown MoS</w:t>
      </w:r>
      <w:r w:rsidRPr="00840D5C">
        <w:rPr>
          <w:vertAlign w:val="subscript"/>
        </w:rPr>
        <w:t>2</w:t>
      </w:r>
      <w:r w:rsidRPr="00840D5C">
        <w:t xml:space="preserve"> used in this study was characterized by Raman spectroscopy. The Raman measurements were performed using a </w:t>
      </w:r>
      <w:proofErr w:type="spellStart"/>
      <w:r w:rsidRPr="00840D5C">
        <w:t>WITec</w:t>
      </w:r>
      <w:proofErr w:type="spellEnd"/>
      <w:r w:rsidRPr="00840D5C">
        <w:t xml:space="preserve"> Alpha 300R tool with a 532 nm excitation laser operating at a power of ~250 µW with a 100x objective (NA = 0.95). The Raman maps were obtained </w:t>
      </w:r>
      <w:r w:rsidRPr="00840D5C">
        <w:rPr>
          <w:i/>
        </w:rPr>
        <w:t>via</w:t>
      </w:r>
      <w:r w:rsidRPr="00840D5C">
        <w:t xml:space="preserve"> the acquisition of 4 spectra per µm in x and y directions. </w:t>
      </w:r>
    </w:p>
    <w:p w14:paraId="1FC58B3E" w14:textId="77777777" w:rsidR="00840D5C" w:rsidRPr="00840D5C" w:rsidRDefault="00840D5C" w:rsidP="00840D5C">
      <w:pPr>
        <w:pStyle w:val="TAMainText"/>
      </w:pPr>
      <w:r w:rsidRPr="00840D5C">
        <w:t xml:space="preserve">Time-resolved photoluminescence (TRPL) measurements were carried out using a PicoQuant Microtime200 time-resolved confocal microscope system with optical excitation at a wavelength of 405 nm by pulses with full-width at half-maximum of 150 </w:t>
      </w:r>
      <w:proofErr w:type="spellStart"/>
      <w:r w:rsidRPr="00840D5C">
        <w:t>ps</w:t>
      </w:r>
      <w:proofErr w:type="spellEnd"/>
      <w:r w:rsidRPr="00840D5C">
        <w:t xml:space="preserve"> at a repetition rate of 10 </w:t>
      </w:r>
      <w:proofErr w:type="spellStart"/>
      <w:r w:rsidRPr="00840D5C">
        <w:t>MHz.</w:t>
      </w:r>
      <w:proofErr w:type="spellEnd"/>
      <w:r w:rsidRPr="00840D5C">
        <w:t xml:space="preserve">  The integration time was 4 </w:t>
      </w:r>
      <w:proofErr w:type="spellStart"/>
      <w:r w:rsidRPr="00840D5C">
        <w:t>ms</w:t>
      </w:r>
      <w:proofErr w:type="spellEnd"/>
      <w:r w:rsidRPr="00840D5C">
        <w:t xml:space="preserve"> per pixel. The laser spot size was ~430 nm. The samples were excited through a 40x objective (NA = 0.65) and the PL was collected through the same objective. The excitation power used for the TRPL measurements was 0.2 µW.</w:t>
      </w:r>
    </w:p>
    <w:p w14:paraId="287C3AA8" w14:textId="2DACDC37" w:rsidR="00840D5C" w:rsidRPr="00840D5C" w:rsidRDefault="00840D5C" w:rsidP="00840D5C">
      <w:pPr>
        <w:pStyle w:val="TAMainText"/>
      </w:pPr>
      <w:r w:rsidRPr="00840D5C">
        <w:t>All scans were performed over 3 µm x 3 µm square areas in</w:t>
      </w:r>
      <w:r>
        <w:t xml:space="preserve"> </w:t>
      </w:r>
      <w:r w:rsidRPr="00840D5C">
        <w:t>the</w:t>
      </w:r>
      <w:r w:rsidRPr="00840D5C">
        <w:rPr>
          <w:rFonts w:asciiTheme="minorHAnsi" w:eastAsiaTheme="minorHAnsi" w:hAnsiTheme="minorHAnsi"/>
          <w:w w:val="108"/>
          <w:sz w:val="18"/>
          <w:szCs w:val="18"/>
        </w:rPr>
        <w:t xml:space="preserve"> </w:t>
      </w:r>
      <w:r w:rsidRPr="00840D5C">
        <w:t>device channels (QD only measurements were performed over 3 µm x 3 µm square areas beside the devices where there was no MoS</w:t>
      </w:r>
      <w:r w:rsidRPr="00840D5C">
        <w:rPr>
          <w:vertAlign w:val="subscript"/>
        </w:rPr>
        <w:t>2</w:t>
      </w:r>
      <w:r w:rsidRPr="00840D5C">
        <w:t>). Bandpass filters, centered at 450 nm with a 40 nm full-width-at-half-maximum (FWHM) for the 450 nm QDs, 500 nm with a 40 nm FWHM for the 530 QDs, and 635 nm with a 10 nm FWHM for the 630 nm QDs, were used to ensure that only the PL from the QDs was collected.</w:t>
      </w:r>
    </w:p>
    <w:p w14:paraId="40E31546" w14:textId="77777777" w:rsidR="00840D5C" w:rsidRPr="00840D5C" w:rsidRDefault="00840D5C" w:rsidP="00840D5C">
      <w:pPr>
        <w:pStyle w:val="TAMainText"/>
      </w:pPr>
      <w:r w:rsidRPr="00840D5C">
        <w:lastRenderedPageBreak/>
        <w:t xml:space="preserve">The electrical devices were fabricated by patterning a PMMA resist using electron beam lithography (EBL). The contact pads and electrodes consist of </w:t>
      </w:r>
      <w:proofErr w:type="spellStart"/>
      <w:r w:rsidRPr="00840D5C">
        <w:t>Ti</w:t>
      </w:r>
      <w:proofErr w:type="spellEnd"/>
      <w:r w:rsidRPr="00840D5C">
        <w:t>/Au (5 nm/ 45 nm) and were deposited using electron beam evaporation. The contact pad dimensions are 80 µm x 80 µm and each device had a 5 µm channel width between the electrodes. The MoS</w:t>
      </w:r>
      <w:r w:rsidRPr="00840D5C">
        <w:rPr>
          <w:vertAlign w:val="subscript"/>
        </w:rPr>
        <w:t>2</w:t>
      </w:r>
      <w:r w:rsidRPr="00840D5C">
        <w:t xml:space="preserve"> devices discussed in this manuscript were grown on separate Si/SiO</w:t>
      </w:r>
      <w:r w:rsidRPr="00840D5C">
        <w:rPr>
          <w:vertAlign w:val="subscript"/>
        </w:rPr>
        <w:t>2</w:t>
      </w:r>
      <w:r w:rsidRPr="00840D5C">
        <w:t xml:space="preserve"> chips in a single growth process. </w:t>
      </w:r>
    </w:p>
    <w:p w14:paraId="62B3FAE4" w14:textId="5E18F825" w:rsidR="00840D5C" w:rsidRPr="00840D5C" w:rsidRDefault="00840D5C" w:rsidP="00840D5C">
      <w:pPr>
        <w:pStyle w:val="TAMainText"/>
      </w:pPr>
      <w:r w:rsidRPr="00840D5C">
        <w:t>The hybrid devices were fabricated by spin casting an ult</w:t>
      </w:r>
      <w:r w:rsidR="00970DE5">
        <w:t>ra-thin layer (~7-9 nm, see Figure</w:t>
      </w:r>
      <w:r w:rsidRPr="00840D5C">
        <w:t xml:space="preserve"> S</w:t>
      </w:r>
      <w:r w:rsidR="008F2D8B">
        <w:t>5</w:t>
      </w:r>
      <w:r w:rsidRPr="00840D5C">
        <w:t xml:space="preserve"> in the Supporting Information) of dilute QDs in 0.1% wt. PMMA (12.5 µL QDs in 500 µL PMMA) to achieve monolayer coverage of QDs on the MoS</w:t>
      </w:r>
      <w:r w:rsidRPr="00840D5C">
        <w:rPr>
          <w:vertAlign w:val="subscript"/>
        </w:rPr>
        <w:t>2</w:t>
      </w:r>
      <w:r w:rsidRPr="00840D5C">
        <w:t xml:space="preserve"> devices.</w:t>
      </w:r>
    </w:p>
    <w:p w14:paraId="747BA56A" w14:textId="45208918" w:rsidR="002D418A" w:rsidRPr="002D418A" w:rsidRDefault="00840D5C" w:rsidP="00840D5C">
      <w:pPr>
        <w:pStyle w:val="TAMainText"/>
      </w:pPr>
      <w:r w:rsidRPr="00C85A26">
        <w:t xml:space="preserve">The optical excitation at 405 nm for the photocurrent measurements was achieved using a variable power </w:t>
      </w:r>
      <w:proofErr w:type="spellStart"/>
      <w:r w:rsidRPr="00C85A26">
        <w:t>Toptica</w:t>
      </w:r>
      <w:proofErr w:type="spellEnd"/>
      <w:r w:rsidRPr="00C85A26">
        <w:t xml:space="preserve"> </w:t>
      </w:r>
      <w:proofErr w:type="spellStart"/>
      <w:r w:rsidRPr="00C85A26">
        <w:t>iBeam</w:t>
      </w:r>
      <w:proofErr w:type="spellEnd"/>
      <w:r w:rsidRPr="00C85A26">
        <w:t xml:space="preserve"> smart laser diode. The device channels were excited through a 10x (NA = 0.25) objective resulting in an excitation</w:t>
      </w:r>
      <w:r w:rsidRPr="00840D5C">
        <w:t xml:space="preserve"> </w:t>
      </w:r>
      <w:r w:rsidRPr="00C85A26">
        <w:t xml:space="preserve">spot diameter of ~3µm. The electrical measurements were performed using a Keithley 2400 source meter to provide a bias and </w:t>
      </w:r>
      <w:r>
        <w:t xml:space="preserve">simultaneously </w:t>
      </w:r>
      <w:r w:rsidRPr="00C85A26">
        <w:t>measure the current through the devices.</w:t>
      </w:r>
    </w:p>
    <w:p w14:paraId="4DC4951B" w14:textId="77777777" w:rsidR="00DD6DBB" w:rsidRDefault="00C10EE0" w:rsidP="000B5610">
      <w:pPr>
        <w:pStyle w:val="TESupportingInformation"/>
        <w:spacing w:after="240"/>
        <w:ind w:firstLine="0"/>
        <w:jc w:val="left"/>
      </w:pPr>
      <w:r>
        <w:t>ASSOCIATED CONTENT</w:t>
      </w:r>
    </w:p>
    <w:p w14:paraId="30DE2FE0" w14:textId="77777777" w:rsidR="00C37E17" w:rsidRDefault="00C10EE0" w:rsidP="000B5610">
      <w:pPr>
        <w:pStyle w:val="TESupportingInformation"/>
        <w:spacing w:after="240"/>
        <w:ind w:firstLine="0"/>
        <w:jc w:val="left"/>
      </w:pPr>
      <w:r w:rsidRPr="00157E12">
        <w:rPr>
          <w:b/>
        </w:rPr>
        <w:t>Supporting Information</w:t>
      </w:r>
      <w:r>
        <w:t xml:space="preserve">. </w:t>
      </w:r>
    </w:p>
    <w:p w14:paraId="09991869" w14:textId="3CB2B3FC" w:rsidR="00C10EE0" w:rsidRPr="00C10EE0" w:rsidRDefault="00BE426F" w:rsidP="000B5610">
      <w:pPr>
        <w:pStyle w:val="TESupportingInformation"/>
        <w:spacing w:after="240"/>
        <w:ind w:firstLine="0"/>
        <w:jc w:val="left"/>
      </w:pPr>
      <w:r>
        <w:t xml:space="preserve">Additional </w:t>
      </w:r>
      <w:r w:rsidR="00840D5C">
        <w:t xml:space="preserve">TEM, </w:t>
      </w:r>
      <w:r>
        <w:t xml:space="preserve">AFM, </w:t>
      </w:r>
      <w:r w:rsidR="00840D5C">
        <w:t xml:space="preserve">and </w:t>
      </w:r>
      <w:r>
        <w:t xml:space="preserve">optical characterization data. </w:t>
      </w:r>
      <w:r w:rsidR="00C10EE0">
        <w:t xml:space="preserve">This material is available free of charge via the Internet at </w:t>
      </w:r>
      <w:r w:rsidR="00C10EE0" w:rsidRPr="003E5207">
        <w:t>http://pubs.acs.org</w:t>
      </w:r>
      <w:r w:rsidR="00C10EE0">
        <w:t>.</w:t>
      </w:r>
    </w:p>
    <w:p w14:paraId="514A2153" w14:textId="77777777" w:rsidR="00DD6DBB" w:rsidRDefault="00DD6DBB" w:rsidP="00DD6DBB">
      <w:pPr>
        <w:pStyle w:val="FACorrespondingAuthorFootnote"/>
        <w:spacing w:after="0"/>
        <w:jc w:val="left"/>
      </w:pPr>
      <w:r>
        <w:t>AUTHOR INFORMATION</w:t>
      </w:r>
    </w:p>
    <w:p w14:paraId="23ED5B4D" w14:textId="77777777" w:rsidR="00DD6DBB" w:rsidRPr="00DD6DBB" w:rsidRDefault="00DD6DBB" w:rsidP="004E7185">
      <w:pPr>
        <w:pStyle w:val="FAAuthorInfoSubtitle"/>
      </w:pPr>
      <w:r w:rsidRPr="00DD6DBB">
        <w:t>Corresponding Author</w:t>
      </w:r>
    </w:p>
    <w:p w14:paraId="63D44CE5" w14:textId="1C4873AD" w:rsidR="009246AD" w:rsidRDefault="00DD6DBB" w:rsidP="00DD6DBB">
      <w:pPr>
        <w:pStyle w:val="FACorrespondingAuthorFootnote"/>
        <w:spacing w:after="240"/>
        <w:jc w:val="left"/>
      </w:pPr>
      <w:r>
        <w:t>*</w:t>
      </w:r>
      <w:r w:rsidR="00BE426F">
        <w:t>E-mail: bradlel@tcd.ie</w:t>
      </w:r>
    </w:p>
    <w:p w14:paraId="1F9F7311" w14:textId="77777777" w:rsidR="00C10EE0" w:rsidRPr="00DD6DBB" w:rsidRDefault="00C10EE0" w:rsidP="00DD6DBB">
      <w:pPr>
        <w:pStyle w:val="FAAuthorInfoSubtitle"/>
      </w:pPr>
      <w:r w:rsidRPr="00DD6DBB">
        <w:t>Funding Sources</w:t>
      </w:r>
    </w:p>
    <w:p w14:paraId="430E09CC" w14:textId="7BA2A616" w:rsidR="00DD6DBB" w:rsidRDefault="00840D5C" w:rsidP="00BE426F">
      <w:pPr>
        <w:pStyle w:val="StyleFACorrespondingAuthorFootnote7pt"/>
        <w:spacing w:after="240" w:line="480" w:lineRule="auto"/>
        <w:jc w:val="both"/>
        <w:rPr>
          <w:rFonts w:ascii="Times" w:hAnsi="Times"/>
          <w:kern w:val="0"/>
          <w:sz w:val="24"/>
        </w:rPr>
      </w:pPr>
      <w:r w:rsidRPr="00840D5C">
        <w:rPr>
          <w:rFonts w:ascii="Times" w:hAnsi="Times"/>
          <w:kern w:val="0"/>
          <w:sz w:val="24"/>
        </w:rPr>
        <w:lastRenderedPageBreak/>
        <w:t xml:space="preserve">This work was supported by Science Foundation Ireland (SFI) under grant numbers 16/IA/4550, 10/IN.1/12975, 15/IA/3131 and 15/SIRG/3329. JJG acknowledges a postgraduate research scholarship from the Irish Research Council (IRC) GOIPG/2013/680. MO’B acknowledges a postgraduate research scholarship from the Irish Research Council (IRC) via the Enterprise Partnership Scheme, Project 201517, Award number 12508.  </w:t>
      </w:r>
      <w:r w:rsidR="00C840BD">
        <w:rPr>
          <w:rFonts w:ascii="Times" w:hAnsi="Times"/>
          <w:kern w:val="0"/>
          <w:sz w:val="24"/>
        </w:rPr>
        <w:t xml:space="preserve">  </w:t>
      </w:r>
    </w:p>
    <w:p w14:paraId="0C9AC0E9" w14:textId="77777777" w:rsidR="00DD6DBB" w:rsidRPr="00DD6DBB" w:rsidRDefault="00C10EE0" w:rsidP="00DD6DBB">
      <w:pPr>
        <w:pStyle w:val="FAAuthorInfoSubtitle"/>
      </w:pPr>
      <w:r w:rsidRPr="00DD6DBB">
        <w:t>Notes</w:t>
      </w:r>
    </w:p>
    <w:p w14:paraId="27E77068" w14:textId="3F74795D" w:rsidR="00C10EE0" w:rsidRPr="00DD6DBB" w:rsidRDefault="00BE426F" w:rsidP="00DD6DBB">
      <w:pPr>
        <w:pStyle w:val="StyleFACorrespondingAuthorFootnote7pt"/>
        <w:spacing w:after="240" w:line="480" w:lineRule="auto"/>
        <w:rPr>
          <w:rFonts w:ascii="Times" w:hAnsi="Times"/>
          <w:kern w:val="0"/>
          <w:sz w:val="24"/>
        </w:rPr>
      </w:pPr>
      <w:r>
        <w:rPr>
          <w:rFonts w:ascii="Times" w:hAnsi="Times"/>
          <w:kern w:val="0"/>
          <w:sz w:val="24"/>
        </w:rPr>
        <w:t>The authors declare no competing financial interest.</w:t>
      </w:r>
    </w:p>
    <w:p w14:paraId="74CFFD60" w14:textId="77777777" w:rsidR="00DD6DBB" w:rsidRDefault="00DD6DBB" w:rsidP="000B5610">
      <w:pPr>
        <w:pStyle w:val="TDAcknowledgments"/>
        <w:spacing w:before="0" w:after="0"/>
        <w:ind w:firstLine="0"/>
        <w:jc w:val="left"/>
      </w:pPr>
      <w:r>
        <w:t>ACKNOWLEDGMENT</w:t>
      </w:r>
    </w:p>
    <w:p w14:paraId="6A384389" w14:textId="4AA8C3E2" w:rsidR="009246AD" w:rsidRDefault="00BE426F" w:rsidP="000B5610">
      <w:pPr>
        <w:pStyle w:val="TDAcknowledgments"/>
        <w:spacing w:before="0" w:after="240"/>
        <w:ind w:firstLine="0"/>
        <w:jc w:val="left"/>
      </w:pPr>
      <w:r>
        <w:t>We acknowledge Robert O’Connell for performing the AFM mea</w:t>
      </w:r>
      <w:r w:rsidR="00840D5C">
        <w:t xml:space="preserve">surements of the QD/PMMA layers, </w:t>
      </w:r>
      <w:proofErr w:type="spellStart"/>
      <w:r w:rsidR="00840D5C">
        <w:t>Eoin</w:t>
      </w:r>
      <w:proofErr w:type="spellEnd"/>
      <w:r w:rsidR="00840D5C">
        <w:t xml:space="preserve"> McCarthy for the TEM measurements</w:t>
      </w:r>
      <w:r w:rsidR="00D0317E">
        <w:t xml:space="preserve"> and </w:t>
      </w:r>
      <w:proofErr w:type="spellStart"/>
      <w:r w:rsidR="00D0317E">
        <w:t>Lisanne</w:t>
      </w:r>
      <w:proofErr w:type="spellEnd"/>
      <w:r w:rsidR="00D0317E">
        <w:t xml:space="preserve"> Peters for assistance with device fabrication</w:t>
      </w:r>
    </w:p>
    <w:p w14:paraId="7F7D0AC3" w14:textId="77777777" w:rsidR="003B5962" w:rsidRDefault="003B5962" w:rsidP="0041244A">
      <w:pPr>
        <w:pStyle w:val="TFReferencesSection"/>
        <w:spacing w:after="240"/>
        <w:ind w:firstLine="0"/>
        <w:jc w:val="left"/>
      </w:pPr>
    </w:p>
    <w:p w14:paraId="7B12DF29" w14:textId="77777777" w:rsidR="003B5962" w:rsidRDefault="003B5962" w:rsidP="003B5962">
      <w:pPr>
        <w:pStyle w:val="TFReferencesSection"/>
        <w:spacing w:after="0"/>
        <w:ind w:firstLine="0"/>
      </w:pPr>
      <w:r>
        <w:t>REFERENCES</w:t>
      </w:r>
    </w:p>
    <w:p w14:paraId="0EF6120E" w14:textId="02BE80F4" w:rsidR="001F4C34" w:rsidRPr="001F4C34" w:rsidRDefault="00840D5C" w:rsidP="001F4C34">
      <w:pPr>
        <w:widowControl w:val="0"/>
        <w:autoSpaceDE w:val="0"/>
        <w:autoSpaceDN w:val="0"/>
        <w:adjustRightInd w:val="0"/>
        <w:spacing w:after="0" w:line="480" w:lineRule="auto"/>
        <w:ind w:left="640" w:hanging="640"/>
        <w:rPr>
          <w:rFonts w:cs="Times"/>
          <w:noProof/>
          <w:szCs w:val="24"/>
        </w:rPr>
      </w:pPr>
      <w:r>
        <w:fldChar w:fldCharType="begin" w:fldLock="1"/>
      </w:r>
      <w:r>
        <w:instrText xml:space="preserve">ADDIN Mendeley Bibliography CSL_BIBLIOGRAPHY </w:instrText>
      </w:r>
      <w:r>
        <w:fldChar w:fldCharType="separate"/>
      </w:r>
      <w:r w:rsidR="001F4C34" w:rsidRPr="001F4C34">
        <w:rPr>
          <w:rFonts w:cs="Times"/>
          <w:noProof/>
          <w:szCs w:val="24"/>
        </w:rPr>
        <w:t xml:space="preserve">(1) </w:t>
      </w:r>
      <w:r w:rsidR="001F4C34" w:rsidRPr="001F4C34">
        <w:rPr>
          <w:rFonts w:cs="Times"/>
          <w:noProof/>
          <w:szCs w:val="24"/>
        </w:rPr>
        <w:tab/>
        <w:t xml:space="preserve">Kufer, D.; Konstantatos, G. Highly Sensitive, Encapsulated MoS2 Photodetector with Gate Controllable Gain and Speed. </w:t>
      </w:r>
      <w:r w:rsidR="001F4C34" w:rsidRPr="001F4C34">
        <w:rPr>
          <w:rFonts w:cs="Times"/>
          <w:i/>
          <w:iCs/>
          <w:noProof/>
          <w:szCs w:val="24"/>
        </w:rPr>
        <w:t>Nano Lett.</w:t>
      </w:r>
      <w:r w:rsidR="001F4C34" w:rsidRPr="001F4C34">
        <w:rPr>
          <w:rFonts w:cs="Times"/>
          <w:noProof/>
          <w:szCs w:val="24"/>
        </w:rPr>
        <w:t xml:space="preserve"> </w:t>
      </w:r>
      <w:r w:rsidR="001F4C34" w:rsidRPr="001F4C34">
        <w:rPr>
          <w:rFonts w:cs="Times"/>
          <w:b/>
          <w:bCs/>
          <w:noProof/>
          <w:szCs w:val="24"/>
        </w:rPr>
        <w:t>2015</w:t>
      </w:r>
      <w:r w:rsidR="001F4C34" w:rsidRPr="001F4C34">
        <w:rPr>
          <w:rFonts w:cs="Times"/>
          <w:noProof/>
          <w:szCs w:val="24"/>
        </w:rPr>
        <w:t xml:space="preserve">, </w:t>
      </w:r>
      <w:r w:rsidR="001F4C34" w:rsidRPr="001F4C34">
        <w:rPr>
          <w:rFonts w:cs="Times"/>
          <w:i/>
          <w:iCs/>
          <w:noProof/>
          <w:szCs w:val="24"/>
        </w:rPr>
        <w:t>15</w:t>
      </w:r>
      <w:r w:rsidR="001F4C34" w:rsidRPr="001F4C34">
        <w:rPr>
          <w:rFonts w:cs="Times"/>
          <w:noProof/>
          <w:szCs w:val="24"/>
        </w:rPr>
        <w:t xml:space="preserve"> (11), 7307–7313.</w:t>
      </w:r>
    </w:p>
    <w:p w14:paraId="111F5BCF"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 </w:t>
      </w:r>
      <w:r w:rsidRPr="001F4C34">
        <w:rPr>
          <w:rFonts w:cs="Times"/>
          <w:noProof/>
          <w:szCs w:val="24"/>
        </w:rPr>
        <w:tab/>
        <w:t xml:space="preserve">Zhang, W.; Chuu, C.-P.; Huang, J.-K.; Chen, C.-H.; Tsai, M.-L.; Chang, Y.-H.; Liang, C.-T.; Chen, Y.-Z.; Chueh, Y.-L.; He, J.-H.; et al. Ultrahigh-Gain Photodetectors Based on Atomically Thin Graphene-MoS2 Heterostructures. </w:t>
      </w:r>
      <w:r w:rsidRPr="001F4C34">
        <w:rPr>
          <w:rFonts w:cs="Times"/>
          <w:i/>
          <w:iCs/>
          <w:noProof/>
          <w:szCs w:val="24"/>
        </w:rPr>
        <w:t>Sci. Rep.</w:t>
      </w:r>
      <w:r w:rsidRPr="001F4C34">
        <w:rPr>
          <w:rFonts w:cs="Times"/>
          <w:noProof/>
          <w:szCs w:val="24"/>
        </w:rPr>
        <w:t xml:space="preserve"> </w:t>
      </w:r>
      <w:r w:rsidRPr="001F4C34">
        <w:rPr>
          <w:rFonts w:cs="Times"/>
          <w:b/>
          <w:bCs/>
          <w:noProof/>
          <w:szCs w:val="24"/>
        </w:rPr>
        <w:t>2014</w:t>
      </w:r>
      <w:r w:rsidRPr="001F4C34">
        <w:rPr>
          <w:rFonts w:cs="Times"/>
          <w:noProof/>
          <w:szCs w:val="24"/>
        </w:rPr>
        <w:t xml:space="preserve">, </w:t>
      </w:r>
      <w:r w:rsidRPr="001F4C34">
        <w:rPr>
          <w:rFonts w:cs="Times"/>
          <w:i/>
          <w:iCs/>
          <w:noProof/>
          <w:szCs w:val="24"/>
        </w:rPr>
        <w:t>4</w:t>
      </w:r>
      <w:r w:rsidRPr="001F4C34">
        <w:rPr>
          <w:rFonts w:cs="Times"/>
          <w:noProof/>
          <w:szCs w:val="24"/>
        </w:rPr>
        <w:t>, 3826.</w:t>
      </w:r>
    </w:p>
    <w:p w14:paraId="7B11DAEE" w14:textId="7D0BDFD3"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 </w:t>
      </w:r>
      <w:r w:rsidRPr="001F4C34">
        <w:rPr>
          <w:rFonts w:cs="Times"/>
          <w:noProof/>
          <w:szCs w:val="24"/>
        </w:rPr>
        <w:tab/>
      </w:r>
      <w:r w:rsidR="00FC48A8" w:rsidRPr="00FC48A8">
        <w:rPr>
          <w:rFonts w:cs="Times"/>
          <w:noProof/>
          <w:szCs w:val="24"/>
        </w:rPr>
        <w:t xml:space="preserve">Novoselov, K. S.; Geim, A. K.; Morozov, S. V.; Jiang, D.; Zhang, Y.; Dubonos, S. V.; Grigorieva, I. V.; Firsov, A. A. </w:t>
      </w:r>
      <w:r w:rsidR="00FC48A8" w:rsidRPr="001F4C34">
        <w:rPr>
          <w:rFonts w:cs="Times"/>
          <w:noProof/>
          <w:szCs w:val="24"/>
        </w:rPr>
        <w:t>Electric Field Effect in Atomically Thin Carbon Films.</w:t>
      </w:r>
      <w:r w:rsidR="00FC48A8">
        <w:rPr>
          <w:rFonts w:cs="Times"/>
          <w:noProof/>
          <w:szCs w:val="24"/>
        </w:rPr>
        <w:t xml:space="preserve"> </w:t>
      </w:r>
      <w:r w:rsidR="00FC48A8" w:rsidRPr="00FC48A8">
        <w:rPr>
          <w:rFonts w:cs="Times"/>
          <w:i/>
          <w:noProof/>
          <w:szCs w:val="24"/>
        </w:rPr>
        <w:t>Science</w:t>
      </w:r>
      <w:r w:rsidR="00FC48A8" w:rsidRPr="00FC48A8">
        <w:rPr>
          <w:rFonts w:cs="Times"/>
          <w:noProof/>
          <w:szCs w:val="24"/>
        </w:rPr>
        <w:t>. 2004, 306, 666–669</w:t>
      </w:r>
      <w:r w:rsidRPr="001F4C34">
        <w:rPr>
          <w:rFonts w:cs="Times"/>
          <w:noProof/>
          <w:szCs w:val="24"/>
        </w:rPr>
        <w:t xml:space="preserve"> </w:t>
      </w:r>
    </w:p>
    <w:p w14:paraId="7708C848" w14:textId="029B36E1"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 </w:t>
      </w:r>
      <w:r w:rsidRPr="001F4C34">
        <w:rPr>
          <w:rFonts w:cs="Times"/>
          <w:noProof/>
          <w:szCs w:val="24"/>
        </w:rPr>
        <w:tab/>
        <w:t xml:space="preserve">Zhang, B. Y.; Liu, T.; Meng, B.; Li, X.; Liang, G.; Hu, X.; Wang, Q. J. Broadband High </w:t>
      </w:r>
      <w:r w:rsidRPr="001F4C34">
        <w:rPr>
          <w:rFonts w:cs="Times"/>
          <w:noProof/>
          <w:szCs w:val="24"/>
        </w:rPr>
        <w:lastRenderedPageBreak/>
        <w:t xml:space="preserve">Photoresponse from Pure Monolayer Graphene Photodetector. </w:t>
      </w:r>
      <w:r w:rsidRPr="001F4C34">
        <w:rPr>
          <w:rFonts w:cs="Times"/>
          <w:i/>
          <w:iCs/>
          <w:noProof/>
          <w:szCs w:val="24"/>
        </w:rPr>
        <w:t>Nat. Commun.</w:t>
      </w:r>
      <w:r w:rsidRPr="001F4C34">
        <w:rPr>
          <w:rFonts w:cs="Times"/>
          <w:noProof/>
          <w:szCs w:val="24"/>
        </w:rPr>
        <w:t xml:space="preserve"> </w:t>
      </w:r>
      <w:r w:rsidRPr="001F4C34">
        <w:rPr>
          <w:rFonts w:cs="Times"/>
          <w:b/>
          <w:bCs/>
          <w:noProof/>
          <w:szCs w:val="24"/>
        </w:rPr>
        <w:t>2013</w:t>
      </w:r>
      <w:r w:rsidRPr="001F4C34">
        <w:rPr>
          <w:rFonts w:cs="Times"/>
          <w:noProof/>
          <w:szCs w:val="24"/>
        </w:rPr>
        <w:t xml:space="preserve">, </w:t>
      </w:r>
      <w:r w:rsidRPr="001F4C34">
        <w:rPr>
          <w:rFonts w:cs="Times"/>
          <w:i/>
          <w:iCs/>
          <w:noProof/>
          <w:szCs w:val="24"/>
        </w:rPr>
        <w:t>4</w:t>
      </w:r>
      <w:r w:rsidR="000500DC">
        <w:rPr>
          <w:rFonts w:cs="Times"/>
          <w:noProof/>
          <w:szCs w:val="24"/>
        </w:rPr>
        <w:t>,</w:t>
      </w:r>
      <w:r w:rsidRPr="001F4C34">
        <w:rPr>
          <w:rFonts w:cs="Times"/>
          <w:noProof/>
          <w:szCs w:val="24"/>
        </w:rPr>
        <w:t xml:space="preserve"> 1811.</w:t>
      </w:r>
    </w:p>
    <w:p w14:paraId="26F85AAF"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(5) </w:t>
      </w:r>
      <w:r w:rsidRPr="001F4C34">
        <w:rPr>
          <w:rFonts w:cs="Times"/>
          <w:noProof/>
          <w:szCs w:val="24"/>
        </w:rPr>
        <w:tab/>
        <w:t xml:space="preserve">Chhowalla, M.; Jena, D.; Zhang, H. Two-Dimensional Semiconductors for Transistors. </w:t>
      </w:r>
      <w:r w:rsidRPr="001F4C34">
        <w:rPr>
          <w:rFonts w:cs="Times"/>
          <w:i/>
          <w:iCs/>
          <w:noProof/>
          <w:szCs w:val="24"/>
        </w:rPr>
        <w:t>Nat. Rev. Mater.</w:t>
      </w:r>
      <w:r w:rsidRPr="001F4C34">
        <w:rPr>
          <w:rFonts w:cs="Times"/>
          <w:noProof/>
          <w:szCs w:val="24"/>
        </w:rPr>
        <w:t xml:space="preserve"> </w:t>
      </w:r>
      <w:r w:rsidRPr="001F4C34">
        <w:rPr>
          <w:rFonts w:cs="Times"/>
          <w:b/>
          <w:bCs/>
          <w:noProof/>
          <w:szCs w:val="24"/>
        </w:rPr>
        <w:t>2016</w:t>
      </w:r>
      <w:r w:rsidRPr="001F4C34">
        <w:rPr>
          <w:rFonts w:cs="Times"/>
          <w:noProof/>
          <w:szCs w:val="24"/>
        </w:rPr>
        <w:t xml:space="preserve">, </w:t>
      </w:r>
      <w:r w:rsidRPr="001F4C34">
        <w:rPr>
          <w:rFonts w:cs="Times"/>
          <w:i/>
          <w:iCs/>
          <w:noProof/>
          <w:szCs w:val="24"/>
        </w:rPr>
        <w:t>1</w:t>
      </w:r>
      <w:r w:rsidRPr="001F4C34">
        <w:rPr>
          <w:rFonts w:cs="Times"/>
          <w:noProof/>
          <w:szCs w:val="24"/>
        </w:rPr>
        <w:t xml:space="preserve"> (11), 1–15.</w:t>
      </w:r>
    </w:p>
    <w:p w14:paraId="20BBAE0A" w14:textId="4A4D6324"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(6) </w:t>
      </w:r>
      <w:r w:rsidRPr="001F4C34">
        <w:rPr>
          <w:rFonts w:cs="Times"/>
          <w:noProof/>
          <w:szCs w:val="24"/>
        </w:rPr>
        <w:tab/>
        <w:t>Mak, K. F.; Lee, C.; Hone, J.; Shan, J.; Heinz, T. F. Atomically Thin MoS</w:t>
      </w:r>
      <w:r w:rsidR="000500DC">
        <w:rPr>
          <w:rFonts w:cs="Times"/>
          <w:noProof/>
          <w:szCs w:val="24"/>
          <w:vertAlign w:val="subscript"/>
        </w:rPr>
        <w:t>2</w:t>
      </w:r>
      <w:r w:rsidRPr="001F4C34">
        <w:rPr>
          <w:rFonts w:cs="Times"/>
          <w:noProof/>
          <w:szCs w:val="24"/>
        </w:rPr>
        <w:t xml:space="preserve">: A New Direct-Gap Semiconductor. </w:t>
      </w:r>
      <w:r w:rsidRPr="001F4C34">
        <w:rPr>
          <w:rFonts w:cs="Times"/>
          <w:i/>
          <w:iCs/>
          <w:noProof/>
          <w:szCs w:val="24"/>
        </w:rPr>
        <w:t>Phys. Rev. Lett.</w:t>
      </w:r>
      <w:r w:rsidRPr="001F4C34">
        <w:rPr>
          <w:rFonts w:cs="Times"/>
          <w:noProof/>
          <w:szCs w:val="24"/>
        </w:rPr>
        <w:t xml:space="preserve"> </w:t>
      </w:r>
      <w:r w:rsidRPr="001F4C34">
        <w:rPr>
          <w:rFonts w:cs="Times"/>
          <w:b/>
          <w:bCs/>
          <w:noProof/>
          <w:szCs w:val="24"/>
        </w:rPr>
        <w:t>2010</w:t>
      </w:r>
      <w:r w:rsidRPr="001F4C34">
        <w:rPr>
          <w:rFonts w:cs="Times"/>
          <w:noProof/>
          <w:szCs w:val="24"/>
        </w:rPr>
        <w:t xml:space="preserve">, </w:t>
      </w:r>
      <w:r w:rsidRPr="001F4C34">
        <w:rPr>
          <w:rFonts w:cs="Times"/>
          <w:i/>
          <w:iCs/>
          <w:noProof/>
          <w:szCs w:val="24"/>
        </w:rPr>
        <w:t>105</w:t>
      </w:r>
      <w:r w:rsidRPr="001F4C34">
        <w:rPr>
          <w:rFonts w:cs="Times"/>
          <w:noProof/>
          <w:szCs w:val="24"/>
        </w:rPr>
        <w:t xml:space="preserve"> (13), 136805.</w:t>
      </w:r>
    </w:p>
    <w:p w14:paraId="5B106D87"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(7) </w:t>
      </w:r>
      <w:r w:rsidRPr="001F4C34">
        <w:rPr>
          <w:rFonts w:cs="Times"/>
          <w:noProof/>
          <w:szCs w:val="24"/>
        </w:rPr>
        <w:tab/>
        <w:t>Eda, G.; Yamaguchi, H.; Voiry, D.; Fujita, T.; Chen, M.; Chhowalla, M. Photoluminescence from Chemically Exfoliated MoS</w:t>
      </w:r>
      <w:r w:rsidRPr="000500DC">
        <w:rPr>
          <w:rFonts w:cs="Times"/>
          <w:noProof/>
          <w:szCs w:val="24"/>
          <w:vertAlign w:val="subscript"/>
        </w:rPr>
        <w:t>2</w:t>
      </w:r>
      <w:r w:rsidRPr="001F4C34">
        <w:rPr>
          <w:rFonts w:cs="Times"/>
          <w:noProof/>
          <w:szCs w:val="24"/>
        </w:rPr>
        <w:t xml:space="preserve">. </w:t>
      </w:r>
      <w:r w:rsidRPr="001F4C34">
        <w:rPr>
          <w:rFonts w:cs="Times"/>
          <w:i/>
          <w:iCs/>
          <w:noProof/>
          <w:szCs w:val="24"/>
        </w:rPr>
        <w:t>Nano Lett.</w:t>
      </w:r>
      <w:r w:rsidRPr="001F4C34">
        <w:rPr>
          <w:rFonts w:cs="Times"/>
          <w:noProof/>
          <w:szCs w:val="24"/>
        </w:rPr>
        <w:t xml:space="preserve"> </w:t>
      </w:r>
      <w:r w:rsidRPr="001F4C34">
        <w:rPr>
          <w:rFonts w:cs="Times"/>
          <w:b/>
          <w:bCs/>
          <w:noProof/>
          <w:szCs w:val="24"/>
        </w:rPr>
        <w:t>2011</w:t>
      </w:r>
      <w:r w:rsidRPr="001F4C34">
        <w:rPr>
          <w:rFonts w:cs="Times"/>
          <w:noProof/>
          <w:szCs w:val="24"/>
        </w:rPr>
        <w:t xml:space="preserve">, </w:t>
      </w:r>
      <w:r w:rsidRPr="001F4C34">
        <w:rPr>
          <w:rFonts w:cs="Times"/>
          <w:i/>
          <w:iCs/>
          <w:noProof/>
          <w:szCs w:val="24"/>
        </w:rPr>
        <w:t>11</w:t>
      </w:r>
      <w:r w:rsidRPr="001F4C34">
        <w:rPr>
          <w:rFonts w:cs="Times"/>
          <w:noProof/>
          <w:szCs w:val="24"/>
        </w:rPr>
        <w:t xml:space="preserve"> (12), 5111–5116.</w:t>
      </w:r>
    </w:p>
    <w:p w14:paraId="2046C137"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(8) </w:t>
      </w:r>
      <w:r w:rsidRPr="001F4C34">
        <w:rPr>
          <w:rFonts w:cs="Times"/>
          <w:noProof/>
          <w:szCs w:val="24"/>
        </w:rPr>
        <w:tab/>
        <w:t>Splendiani, A.; Sun, L.; Zhang, Y.; Li, T.; Kim, J.; Chim, C.-Y.; Galli, G.; Wang, F. Emerging Photoluminescence in Monolayer MoS</w:t>
      </w:r>
      <w:r w:rsidRPr="000500DC">
        <w:rPr>
          <w:rFonts w:cs="Times"/>
          <w:noProof/>
          <w:szCs w:val="24"/>
          <w:vertAlign w:val="subscript"/>
        </w:rPr>
        <w:t>2</w:t>
      </w:r>
      <w:r w:rsidRPr="001F4C34">
        <w:rPr>
          <w:rFonts w:cs="Times"/>
          <w:noProof/>
          <w:szCs w:val="24"/>
        </w:rPr>
        <w:t xml:space="preserve">. </w:t>
      </w:r>
      <w:r w:rsidRPr="001F4C34">
        <w:rPr>
          <w:rFonts w:cs="Times"/>
          <w:i/>
          <w:iCs/>
          <w:noProof/>
          <w:szCs w:val="24"/>
        </w:rPr>
        <w:t>Nano Lett.</w:t>
      </w:r>
      <w:r w:rsidRPr="001F4C34">
        <w:rPr>
          <w:rFonts w:cs="Times"/>
          <w:noProof/>
          <w:szCs w:val="24"/>
        </w:rPr>
        <w:t xml:space="preserve"> </w:t>
      </w:r>
      <w:r w:rsidRPr="001F4C34">
        <w:rPr>
          <w:rFonts w:cs="Times"/>
          <w:b/>
          <w:bCs/>
          <w:noProof/>
          <w:szCs w:val="24"/>
        </w:rPr>
        <w:t>2010</w:t>
      </w:r>
      <w:r w:rsidRPr="001F4C34">
        <w:rPr>
          <w:rFonts w:cs="Times"/>
          <w:noProof/>
          <w:szCs w:val="24"/>
        </w:rPr>
        <w:t xml:space="preserve">, </w:t>
      </w:r>
      <w:r w:rsidRPr="001F4C34">
        <w:rPr>
          <w:rFonts w:cs="Times"/>
          <w:i/>
          <w:iCs/>
          <w:noProof/>
          <w:szCs w:val="24"/>
        </w:rPr>
        <w:t>10</w:t>
      </w:r>
      <w:r w:rsidRPr="001F4C34">
        <w:rPr>
          <w:rFonts w:cs="Times"/>
          <w:noProof/>
          <w:szCs w:val="24"/>
        </w:rPr>
        <w:t xml:space="preserve"> (4), 1271–1275.</w:t>
      </w:r>
    </w:p>
    <w:p w14:paraId="556F2768"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(9) </w:t>
      </w:r>
      <w:r w:rsidRPr="001F4C34">
        <w:rPr>
          <w:rFonts w:cs="Times"/>
          <w:noProof/>
          <w:szCs w:val="24"/>
        </w:rPr>
        <w:tab/>
        <w:t xml:space="preserve">Konstantatos, G.; Badioli, M.; Gaudreau, L.; Osmond, J.; Bernechea, M.; Garcia de Arquer, F. P.; Gatti, F.; Koppens, F. H. L. Hybrid Graphene-Quantum Dot Phototransistors with Ultrahigh Gain. </w:t>
      </w:r>
      <w:r w:rsidRPr="001F4C34">
        <w:rPr>
          <w:rFonts w:cs="Times"/>
          <w:i/>
          <w:iCs/>
          <w:noProof/>
          <w:szCs w:val="24"/>
        </w:rPr>
        <w:t>Nat. Nanotechnol.</w:t>
      </w:r>
      <w:r w:rsidRPr="001F4C34">
        <w:rPr>
          <w:rFonts w:cs="Times"/>
          <w:noProof/>
          <w:szCs w:val="24"/>
        </w:rPr>
        <w:t xml:space="preserve"> </w:t>
      </w:r>
      <w:r w:rsidRPr="001F4C34">
        <w:rPr>
          <w:rFonts w:cs="Times"/>
          <w:b/>
          <w:bCs/>
          <w:noProof/>
          <w:szCs w:val="24"/>
        </w:rPr>
        <w:t>2012</w:t>
      </w:r>
      <w:r w:rsidRPr="001F4C34">
        <w:rPr>
          <w:rFonts w:cs="Times"/>
          <w:noProof/>
          <w:szCs w:val="24"/>
        </w:rPr>
        <w:t xml:space="preserve">, </w:t>
      </w:r>
      <w:r w:rsidRPr="001F4C34">
        <w:rPr>
          <w:rFonts w:cs="Times"/>
          <w:i/>
          <w:iCs/>
          <w:noProof/>
          <w:szCs w:val="24"/>
        </w:rPr>
        <w:t>7</w:t>
      </w:r>
      <w:r w:rsidRPr="001F4C34">
        <w:rPr>
          <w:rFonts w:cs="Times"/>
          <w:noProof/>
          <w:szCs w:val="24"/>
        </w:rPr>
        <w:t xml:space="preserve"> (6), 363–368.</w:t>
      </w:r>
    </w:p>
    <w:p w14:paraId="2447A51D"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(10) </w:t>
      </w:r>
      <w:r w:rsidRPr="001F4C34">
        <w:rPr>
          <w:rFonts w:cs="Times"/>
          <w:noProof/>
          <w:szCs w:val="24"/>
        </w:rPr>
        <w:tab/>
        <w:t xml:space="preserve">Yang, Y.; Huo, N.; Li, J. Sensitized Monolayer MoS </w:t>
      </w:r>
      <w:r w:rsidRPr="001F4C34">
        <w:rPr>
          <w:rFonts w:cs="Times"/>
          <w:noProof/>
          <w:szCs w:val="24"/>
          <w:vertAlign w:val="subscript"/>
        </w:rPr>
        <w:t>2</w:t>
      </w:r>
      <w:r w:rsidRPr="001F4C34">
        <w:rPr>
          <w:rFonts w:cs="Times"/>
          <w:noProof/>
          <w:szCs w:val="24"/>
        </w:rPr>
        <w:t xml:space="preserve"> Phototransistors with Ultrahigh Responsivity. </w:t>
      </w:r>
      <w:r w:rsidRPr="001F4C34">
        <w:rPr>
          <w:rFonts w:cs="Times"/>
          <w:i/>
          <w:iCs/>
          <w:noProof/>
          <w:szCs w:val="24"/>
        </w:rPr>
        <w:t>J. Mater. Chem. C</w:t>
      </w:r>
      <w:r w:rsidRPr="001F4C34">
        <w:rPr>
          <w:rFonts w:cs="Times"/>
          <w:noProof/>
          <w:szCs w:val="24"/>
        </w:rPr>
        <w:t xml:space="preserve"> </w:t>
      </w:r>
      <w:r w:rsidRPr="001F4C34">
        <w:rPr>
          <w:rFonts w:cs="Times"/>
          <w:b/>
          <w:bCs/>
          <w:noProof/>
          <w:szCs w:val="24"/>
        </w:rPr>
        <w:t>2017</w:t>
      </w:r>
      <w:r w:rsidRPr="001F4C34">
        <w:rPr>
          <w:rFonts w:cs="Times"/>
          <w:noProof/>
          <w:szCs w:val="24"/>
        </w:rPr>
        <w:t xml:space="preserve">, </w:t>
      </w:r>
      <w:r w:rsidRPr="001F4C34">
        <w:rPr>
          <w:rFonts w:cs="Times"/>
          <w:i/>
          <w:iCs/>
          <w:noProof/>
          <w:szCs w:val="24"/>
        </w:rPr>
        <w:t>5</w:t>
      </w:r>
      <w:r w:rsidRPr="001F4C34">
        <w:rPr>
          <w:rFonts w:cs="Times"/>
          <w:noProof/>
          <w:szCs w:val="24"/>
        </w:rPr>
        <w:t xml:space="preserve"> (44), 11614–11619.</w:t>
      </w:r>
    </w:p>
    <w:p w14:paraId="6B960553"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(11) </w:t>
      </w:r>
      <w:r w:rsidRPr="001F4C34">
        <w:rPr>
          <w:rFonts w:cs="Times"/>
          <w:noProof/>
          <w:szCs w:val="24"/>
        </w:rPr>
        <w:tab/>
        <w:t xml:space="preserve">Bablich, A.; Kataria, S.; Lemme, M. Graphene and Two-Dimensional Materials for Optoelectronic Applications. </w:t>
      </w:r>
      <w:r w:rsidRPr="001F4C34">
        <w:rPr>
          <w:rFonts w:cs="Times"/>
          <w:i/>
          <w:iCs/>
          <w:noProof/>
          <w:szCs w:val="24"/>
        </w:rPr>
        <w:t>Electronics</w:t>
      </w:r>
      <w:r w:rsidRPr="001F4C34">
        <w:rPr>
          <w:rFonts w:cs="Times"/>
          <w:noProof/>
          <w:szCs w:val="24"/>
        </w:rPr>
        <w:t xml:space="preserve"> </w:t>
      </w:r>
      <w:r w:rsidRPr="001F4C34">
        <w:rPr>
          <w:rFonts w:cs="Times"/>
          <w:b/>
          <w:bCs/>
          <w:noProof/>
          <w:szCs w:val="24"/>
        </w:rPr>
        <w:t>2016</w:t>
      </w:r>
      <w:r w:rsidRPr="001F4C34">
        <w:rPr>
          <w:rFonts w:cs="Times"/>
          <w:noProof/>
          <w:szCs w:val="24"/>
        </w:rPr>
        <w:t xml:space="preserve">, </w:t>
      </w:r>
      <w:r w:rsidRPr="001F4C34">
        <w:rPr>
          <w:rFonts w:cs="Times"/>
          <w:i/>
          <w:iCs/>
          <w:noProof/>
          <w:szCs w:val="24"/>
        </w:rPr>
        <w:t>5</w:t>
      </w:r>
      <w:r w:rsidRPr="001F4C34">
        <w:rPr>
          <w:rFonts w:cs="Times"/>
          <w:noProof/>
          <w:szCs w:val="24"/>
        </w:rPr>
        <w:t xml:space="preserve"> (1), 13.</w:t>
      </w:r>
    </w:p>
    <w:p w14:paraId="75573F67"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(12) </w:t>
      </w:r>
      <w:r w:rsidRPr="001F4C34">
        <w:rPr>
          <w:rFonts w:cs="Times"/>
          <w:noProof/>
          <w:szCs w:val="24"/>
        </w:rPr>
        <w:tab/>
        <w:t xml:space="preserve">Pospischil, A.; Mueller, T. Optoelectronic Devices Based on Atomically Thin Transition Metal Dichalcogenides. </w:t>
      </w:r>
      <w:r w:rsidRPr="001F4C34">
        <w:rPr>
          <w:rFonts w:cs="Times"/>
          <w:i/>
          <w:iCs/>
          <w:noProof/>
          <w:szCs w:val="24"/>
        </w:rPr>
        <w:t>Appl. Sci.</w:t>
      </w:r>
      <w:r w:rsidRPr="001F4C34">
        <w:rPr>
          <w:rFonts w:cs="Times"/>
          <w:noProof/>
          <w:szCs w:val="24"/>
        </w:rPr>
        <w:t xml:space="preserve"> </w:t>
      </w:r>
      <w:r w:rsidRPr="001F4C34">
        <w:rPr>
          <w:rFonts w:cs="Times"/>
          <w:b/>
          <w:bCs/>
          <w:noProof/>
          <w:szCs w:val="24"/>
        </w:rPr>
        <w:t>2016</w:t>
      </w:r>
      <w:r w:rsidRPr="001F4C34">
        <w:rPr>
          <w:rFonts w:cs="Times"/>
          <w:noProof/>
          <w:szCs w:val="24"/>
        </w:rPr>
        <w:t xml:space="preserve">, </w:t>
      </w:r>
      <w:r w:rsidRPr="001F4C34">
        <w:rPr>
          <w:rFonts w:cs="Times"/>
          <w:i/>
          <w:iCs/>
          <w:noProof/>
          <w:szCs w:val="24"/>
        </w:rPr>
        <w:t>6</w:t>
      </w:r>
      <w:r w:rsidRPr="001F4C34">
        <w:rPr>
          <w:rFonts w:cs="Times"/>
          <w:noProof/>
          <w:szCs w:val="24"/>
        </w:rPr>
        <w:t xml:space="preserve"> (3), 78.</w:t>
      </w:r>
    </w:p>
    <w:p w14:paraId="2F28552B"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(13) </w:t>
      </w:r>
      <w:r w:rsidRPr="001F4C34">
        <w:rPr>
          <w:rFonts w:cs="Times"/>
          <w:noProof/>
          <w:szCs w:val="24"/>
        </w:rPr>
        <w:tab/>
        <w:t>Kufer, D.; Nikitskiy, I.; Lasanta, T.; Navickaite, G.; Koppens, F. H. L.; Konstantatos, G. Hybrid 2D-0D MoS</w:t>
      </w:r>
      <w:r w:rsidRPr="000500DC">
        <w:rPr>
          <w:rFonts w:cs="Times"/>
          <w:noProof/>
          <w:szCs w:val="24"/>
          <w:vertAlign w:val="subscript"/>
        </w:rPr>
        <w:t>2</w:t>
      </w:r>
      <w:r w:rsidRPr="001F4C34">
        <w:rPr>
          <w:rFonts w:cs="Times"/>
          <w:noProof/>
          <w:szCs w:val="24"/>
        </w:rPr>
        <w:t xml:space="preserve"> -PbS Quantum Dot Photodetectors. </w:t>
      </w:r>
      <w:r w:rsidRPr="001F4C34">
        <w:rPr>
          <w:rFonts w:cs="Times"/>
          <w:i/>
          <w:iCs/>
          <w:noProof/>
          <w:szCs w:val="24"/>
        </w:rPr>
        <w:t>Adv. Mater.</w:t>
      </w:r>
      <w:r w:rsidRPr="001F4C34">
        <w:rPr>
          <w:rFonts w:cs="Times"/>
          <w:noProof/>
          <w:szCs w:val="24"/>
        </w:rPr>
        <w:t xml:space="preserve"> </w:t>
      </w:r>
      <w:r w:rsidRPr="001F4C34">
        <w:rPr>
          <w:rFonts w:cs="Times"/>
          <w:b/>
          <w:bCs/>
          <w:noProof/>
          <w:szCs w:val="24"/>
        </w:rPr>
        <w:t>2015</w:t>
      </w:r>
      <w:r w:rsidRPr="001F4C34">
        <w:rPr>
          <w:rFonts w:cs="Times"/>
          <w:noProof/>
          <w:szCs w:val="24"/>
        </w:rPr>
        <w:t xml:space="preserve">, </w:t>
      </w:r>
      <w:r w:rsidRPr="001F4C34">
        <w:rPr>
          <w:rFonts w:cs="Times"/>
          <w:i/>
          <w:iCs/>
          <w:noProof/>
          <w:szCs w:val="24"/>
        </w:rPr>
        <w:t>27</w:t>
      </w:r>
      <w:r w:rsidRPr="001F4C34">
        <w:rPr>
          <w:rFonts w:cs="Times"/>
          <w:noProof/>
          <w:szCs w:val="24"/>
        </w:rPr>
        <w:t xml:space="preserve"> (1), 176–180.</w:t>
      </w:r>
    </w:p>
    <w:p w14:paraId="39582B1D"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(14) </w:t>
      </w:r>
      <w:r w:rsidRPr="001F4C34">
        <w:rPr>
          <w:rFonts w:cs="Times"/>
          <w:noProof/>
          <w:szCs w:val="24"/>
        </w:rPr>
        <w:tab/>
        <w:t xml:space="preserve">Koppens, F. H. L.; Mueller, T.; Avouris, P.; Ferrari, A. C.; Vitiello, M. S.; Polini, M. </w:t>
      </w:r>
      <w:r w:rsidRPr="001F4C34">
        <w:rPr>
          <w:rFonts w:cs="Times"/>
          <w:noProof/>
          <w:szCs w:val="24"/>
        </w:rPr>
        <w:lastRenderedPageBreak/>
        <w:t xml:space="preserve">Photodetectors Based on Graphene, Other Two-Dimensional Materials and Hybrid Systems. </w:t>
      </w:r>
      <w:r w:rsidRPr="001F4C34">
        <w:rPr>
          <w:rFonts w:cs="Times"/>
          <w:i/>
          <w:iCs/>
          <w:noProof/>
          <w:szCs w:val="24"/>
        </w:rPr>
        <w:t>Nat. Nanotechnol.</w:t>
      </w:r>
      <w:r w:rsidRPr="001F4C34">
        <w:rPr>
          <w:rFonts w:cs="Times"/>
          <w:noProof/>
          <w:szCs w:val="24"/>
        </w:rPr>
        <w:t xml:space="preserve"> </w:t>
      </w:r>
      <w:r w:rsidRPr="001F4C34">
        <w:rPr>
          <w:rFonts w:cs="Times"/>
          <w:b/>
          <w:bCs/>
          <w:noProof/>
          <w:szCs w:val="24"/>
        </w:rPr>
        <w:t>2014</w:t>
      </w:r>
      <w:r w:rsidRPr="001F4C34">
        <w:rPr>
          <w:rFonts w:cs="Times"/>
          <w:noProof/>
          <w:szCs w:val="24"/>
        </w:rPr>
        <w:t xml:space="preserve">, </w:t>
      </w:r>
      <w:r w:rsidRPr="001F4C34">
        <w:rPr>
          <w:rFonts w:cs="Times"/>
          <w:i/>
          <w:iCs/>
          <w:noProof/>
          <w:szCs w:val="24"/>
        </w:rPr>
        <w:t>9</w:t>
      </w:r>
      <w:r w:rsidRPr="001F4C34">
        <w:rPr>
          <w:rFonts w:cs="Times"/>
          <w:noProof/>
          <w:szCs w:val="24"/>
        </w:rPr>
        <w:t xml:space="preserve"> (10), 780–793.</w:t>
      </w:r>
    </w:p>
    <w:p w14:paraId="067ABEDF"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(15) </w:t>
      </w:r>
      <w:r w:rsidRPr="001F4C34">
        <w:rPr>
          <w:rFonts w:cs="Times"/>
          <w:noProof/>
          <w:szCs w:val="24"/>
        </w:rPr>
        <w:tab/>
        <w:t xml:space="preserve">Yu, S. H.; Lee, X. Y.; Jang, X. S. K.; Kang, X. J.; Jeon, J.; Lee, C. Dye-Sensitized MoS 2 Photodetector with Enhanced Spectral Photoresponse. </w:t>
      </w:r>
      <w:r w:rsidRPr="001F4C34">
        <w:rPr>
          <w:rFonts w:cs="Times"/>
          <w:b/>
          <w:bCs/>
          <w:noProof/>
          <w:szCs w:val="24"/>
        </w:rPr>
        <w:t>2014</w:t>
      </w:r>
      <w:r w:rsidRPr="001F4C34">
        <w:rPr>
          <w:rFonts w:cs="Times"/>
          <w:noProof/>
          <w:szCs w:val="24"/>
        </w:rPr>
        <w:t>, No. 8, 8285–8291.</w:t>
      </w:r>
    </w:p>
    <w:p w14:paraId="2DF9217E" w14:textId="59C2A91A"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(16) </w:t>
      </w:r>
      <w:r w:rsidRPr="001F4C34">
        <w:rPr>
          <w:rFonts w:cs="Times"/>
          <w:noProof/>
          <w:szCs w:val="24"/>
        </w:rPr>
        <w:tab/>
        <w:t xml:space="preserve">Kufer, D.; Lasanta, T.; Bernechea, M.; Koppens, F. H. L.; Konstantatos, G. Interface Engineering in Hybrid Quantum Dot–2D Phototransistors. </w:t>
      </w:r>
      <w:r w:rsidRPr="001F4C34">
        <w:rPr>
          <w:rFonts w:cs="Times"/>
          <w:i/>
          <w:iCs/>
          <w:noProof/>
          <w:szCs w:val="24"/>
        </w:rPr>
        <w:t>ACS Photonics</w:t>
      </w:r>
      <w:r w:rsidRPr="001F4C34">
        <w:rPr>
          <w:rFonts w:cs="Times"/>
          <w:noProof/>
          <w:szCs w:val="24"/>
        </w:rPr>
        <w:t xml:space="preserve"> </w:t>
      </w:r>
      <w:r w:rsidRPr="001F4C34">
        <w:rPr>
          <w:rFonts w:cs="Times"/>
          <w:b/>
          <w:bCs/>
          <w:noProof/>
          <w:szCs w:val="24"/>
        </w:rPr>
        <w:t>2016</w:t>
      </w:r>
      <w:r w:rsidRPr="001F4C34">
        <w:rPr>
          <w:rFonts w:cs="Times"/>
          <w:noProof/>
          <w:szCs w:val="24"/>
        </w:rPr>
        <w:t>,</w:t>
      </w:r>
      <w:r w:rsidR="006552CE" w:rsidRPr="006552CE">
        <w:rPr>
          <w:rFonts w:cs="Times"/>
          <w:i/>
          <w:iCs/>
          <w:noProof/>
          <w:szCs w:val="24"/>
        </w:rPr>
        <w:t xml:space="preserve"> </w:t>
      </w:r>
      <w:r w:rsidR="006552CE" w:rsidRPr="00816AEF">
        <w:rPr>
          <w:rFonts w:cs="Times"/>
          <w:i/>
          <w:iCs/>
          <w:noProof/>
          <w:szCs w:val="24"/>
        </w:rPr>
        <w:t>3</w:t>
      </w:r>
      <w:r w:rsidR="006552CE" w:rsidRPr="00816AEF">
        <w:rPr>
          <w:rFonts w:cs="Times"/>
          <w:noProof/>
          <w:szCs w:val="24"/>
        </w:rPr>
        <w:t>, 1324–1330</w:t>
      </w:r>
      <w:r w:rsidRPr="001F4C34">
        <w:rPr>
          <w:rFonts w:cs="Times"/>
          <w:noProof/>
          <w:szCs w:val="24"/>
        </w:rPr>
        <w:t>.</w:t>
      </w:r>
    </w:p>
    <w:p w14:paraId="4986A641" w14:textId="1BDE3692"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(17) </w:t>
      </w:r>
      <w:r w:rsidRPr="001F4C34">
        <w:rPr>
          <w:rFonts w:cs="Times"/>
          <w:noProof/>
          <w:szCs w:val="24"/>
        </w:rPr>
        <w:tab/>
        <w:t xml:space="preserve">Gough, J. J.; McEvoy, N.; O’Brien, M.; Bell, A. P.; McCloskey, D.; Boland, J. B.; Coleman, J. N.; Duesberg, G. S.; Bradley, A. L. Dependence of Photocurrent Enhancements in </w:t>
      </w:r>
      <w:r w:rsidR="000500DC">
        <w:rPr>
          <w:rFonts w:cs="Times"/>
          <w:noProof/>
          <w:szCs w:val="24"/>
        </w:rPr>
        <w:t>Quantum Dot (QD)-Sensitized MoS</w:t>
      </w:r>
      <w:r w:rsidRPr="000500DC">
        <w:rPr>
          <w:rFonts w:cs="Times"/>
          <w:noProof/>
          <w:szCs w:val="24"/>
          <w:vertAlign w:val="subscript"/>
        </w:rPr>
        <w:t>2</w:t>
      </w:r>
      <w:r w:rsidR="000500DC">
        <w:rPr>
          <w:rFonts w:cs="Times"/>
          <w:noProof/>
          <w:szCs w:val="24"/>
        </w:rPr>
        <w:t xml:space="preserve"> Devices on MoS</w:t>
      </w:r>
      <w:r w:rsidRPr="000500DC">
        <w:rPr>
          <w:rFonts w:cs="Times"/>
          <w:noProof/>
          <w:szCs w:val="24"/>
          <w:vertAlign w:val="subscript"/>
        </w:rPr>
        <w:t>2</w:t>
      </w:r>
      <w:r w:rsidRPr="001F4C34">
        <w:rPr>
          <w:rFonts w:cs="Times"/>
          <w:noProof/>
          <w:szCs w:val="24"/>
        </w:rPr>
        <w:t xml:space="preserve"> Film Properties. </w:t>
      </w:r>
      <w:r w:rsidRPr="001F4C34">
        <w:rPr>
          <w:rFonts w:cs="Times"/>
          <w:i/>
          <w:iCs/>
          <w:noProof/>
          <w:szCs w:val="24"/>
        </w:rPr>
        <w:t>Adv. Funct. Mater.</w:t>
      </w:r>
      <w:r w:rsidRPr="001F4C34">
        <w:rPr>
          <w:rFonts w:cs="Times"/>
          <w:noProof/>
          <w:szCs w:val="24"/>
        </w:rPr>
        <w:t xml:space="preserve"> </w:t>
      </w:r>
      <w:r w:rsidRPr="001F4C34">
        <w:rPr>
          <w:rFonts w:cs="Times"/>
          <w:b/>
          <w:bCs/>
          <w:noProof/>
          <w:szCs w:val="24"/>
        </w:rPr>
        <w:t>2018</w:t>
      </w:r>
      <w:r w:rsidRPr="001F4C34">
        <w:rPr>
          <w:rFonts w:cs="Times"/>
          <w:noProof/>
          <w:szCs w:val="24"/>
        </w:rPr>
        <w:t xml:space="preserve">, </w:t>
      </w:r>
      <w:r w:rsidRPr="001F4C34">
        <w:rPr>
          <w:rFonts w:cs="Times"/>
          <w:i/>
          <w:iCs/>
          <w:noProof/>
          <w:szCs w:val="24"/>
        </w:rPr>
        <w:t>1706149</w:t>
      </w:r>
      <w:r w:rsidRPr="001F4C34">
        <w:rPr>
          <w:rFonts w:cs="Times"/>
          <w:noProof/>
          <w:szCs w:val="24"/>
        </w:rPr>
        <w:t>.</w:t>
      </w:r>
    </w:p>
    <w:p w14:paraId="4DA4F064"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(18) </w:t>
      </w:r>
      <w:r w:rsidRPr="001F4C34">
        <w:rPr>
          <w:rFonts w:cs="Times"/>
          <w:noProof/>
          <w:szCs w:val="24"/>
        </w:rPr>
        <w:tab/>
        <w:t xml:space="preserve">Clapp, A. R.; Medintz, I. L.; Mattoussi, H. Förster Resonance Energy Transfer Investigations Using Quantum-Dot Fluorophores. </w:t>
      </w:r>
      <w:r w:rsidRPr="001F4C34">
        <w:rPr>
          <w:rFonts w:cs="Times"/>
          <w:i/>
          <w:iCs/>
          <w:noProof/>
          <w:szCs w:val="24"/>
        </w:rPr>
        <w:t>Chemphyschem</w:t>
      </w:r>
      <w:r w:rsidRPr="001F4C34">
        <w:rPr>
          <w:rFonts w:cs="Times"/>
          <w:noProof/>
          <w:szCs w:val="24"/>
        </w:rPr>
        <w:t xml:space="preserve"> </w:t>
      </w:r>
      <w:r w:rsidRPr="001F4C34">
        <w:rPr>
          <w:rFonts w:cs="Times"/>
          <w:b/>
          <w:bCs/>
          <w:noProof/>
          <w:szCs w:val="24"/>
        </w:rPr>
        <w:t>2006</w:t>
      </w:r>
      <w:r w:rsidRPr="001F4C34">
        <w:rPr>
          <w:rFonts w:cs="Times"/>
          <w:noProof/>
          <w:szCs w:val="24"/>
        </w:rPr>
        <w:t xml:space="preserve">, </w:t>
      </w:r>
      <w:r w:rsidRPr="001F4C34">
        <w:rPr>
          <w:rFonts w:cs="Times"/>
          <w:i/>
          <w:iCs/>
          <w:noProof/>
          <w:szCs w:val="24"/>
        </w:rPr>
        <w:t>7</w:t>
      </w:r>
      <w:r w:rsidRPr="001F4C34">
        <w:rPr>
          <w:rFonts w:cs="Times"/>
          <w:noProof/>
          <w:szCs w:val="24"/>
        </w:rPr>
        <w:t xml:space="preserve"> (1), 47–57.</w:t>
      </w:r>
    </w:p>
    <w:p w14:paraId="4BA711EE" w14:textId="530FB1BA"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(19) </w:t>
      </w:r>
      <w:r w:rsidRPr="001F4C34">
        <w:rPr>
          <w:rFonts w:cs="Times"/>
          <w:noProof/>
          <w:szCs w:val="24"/>
        </w:rPr>
        <w:tab/>
        <w:t>Resch-</w:t>
      </w:r>
      <w:r w:rsidR="000500DC">
        <w:rPr>
          <w:rFonts w:cs="Times"/>
          <w:noProof/>
          <w:szCs w:val="24"/>
        </w:rPr>
        <w:t>G</w:t>
      </w:r>
      <w:r w:rsidRPr="001F4C34">
        <w:rPr>
          <w:rFonts w:cs="Times"/>
          <w:noProof/>
          <w:szCs w:val="24"/>
        </w:rPr>
        <w:t>enger, U.; Grabolle, M.; Cavaliere-</w:t>
      </w:r>
      <w:r w:rsidR="000500DC">
        <w:rPr>
          <w:rFonts w:cs="Times"/>
          <w:noProof/>
          <w:szCs w:val="24"/>
        </w:rPr>
        <w:t>J</w:t>
      </w:r>
      <w:r w:rsidRPr="001F4C34">
        <w:rPr>
          <w:rFonts w:cs="Times"/>
          <w:noProof/>
          <w:szCs w:val="24"/>
        </w:rPr>
        <w:t xml:space="preserve">aricot, S.; Nitschke, R.; Nann, T. Quantum Dots versus Organic Dyes as Fluorescent Labels. </w:t>
      </w:r>
      <w:r w:rsidR="000500DC">
        <w:rPr>
          <w:rFonts w:cs="Times"/>
          <w:i/>
          <w:noProof/>
          <w:szCs w:val="24"/>
        </w:rPr>
        <w:t xml:space="preserve">Nat. Methods </w:t>
      </w:r>
      <w:r w:rsidRPr="001F4C34">
        <w:rPr>
          <w:rFonts w:cs="Times"/>
          <w:b/>
          <w:bCs/>
          <w:noProof/>
          <w:szCs w:val="24"/>
        </w:rPr>
        <w:t>2008</w:t>
      </w:r>
      <w:r w:rsidRPr="001F4C34">
        <w:rPr>
          <w:rFonts w:cs="Times"/>
          <w:noProof/>
          <w:szCs w:val="24"/>
        </w:rPr>
        <w:t xml:space="preserve">, </w:t>
      </w:r>
      <w:r w:rsidRPr="001F4C34">
        <w:rPr>
          <w:rFonts w:cs="Times"/>
          <w:i/>
          <w:iCs/>
          <w:noProof/>
          <w:szCs w:val="24"/>
        </w:rPr>
        <w:t>5</w:t>
      </w:r>
      <w:r w:rsidRPr="001F4C34">
        <w:rPr>
          <w:rFonts w:cs="Times"/>
          <w:noProof/>
          <w:szCs w:val="24"/>
        </w:rPr>
        <w:t xml:space="preserve"> (9), 763–775.</w:t>
      </w:r>
    </w:p>
    <w:p w14:paraId="6367BCFD" w14:textId="754F43A2"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(20) </w:t>
      </w:r>
      <w:r w:rsidRPr="001F4C34">
        <w:rPr>
          <w:rFonts w:cs="Times"/>
          <w:noProof/>
          <w:szCs w:val="24"/>
        </w:rPr>
        <w:tab/>
        <w:t>Maity, P.; Debnath, T.; Ghosh, H. N. Slow Electron Cooling Dynamics Mediated by Electron–Hole Decou</w:t>
      </w:r>
      <w:r w:rsidR="000500DC">
        <w:rPr>
          <w:rFonts w:cs="Times"/>
          <w:noProof/>
          <w:szCs w:val="24"/>
        </w:rPr>
        <w:t>pling in Highly Luminescent CdSxSe</w:t>
      </w:r>
      <w:r w:rsidR="000500DC">
        <w:rPr>
          <w:rFonts w:cs="Times"/>
          <w:noProof/>
          <w:szCs w:val="24"/>
          <w:vertAlign w:val="subscript"/>
        </w:rPr>
        <w:t>1–</w:t>
      </w:r>
      <w:r w:rsidRPr="000500DC">
        <w:rPr>
          <w:rFonts w:cs="Times"/>
          <w:noProof/>
          <w:szCs w:val="24"/>
          <w:vertAlign w:val="subscript"/>
        </w:rPr>
        <w:t>x</w:t>
      </w:r>
      <w:r w:rsidRPr="001F4C34">
        <w:rPr>
          <w:rFonts w:cs="Times"/>
          <w:noProof/>
          <w:szCs w:val="24"/>
        </w:rPr>
        <w:t xml:space="preserve"> Alloy Quantum Dots. </w:t>
      </w:r>
      <w:r w:rsidRPr="001F4C34">
        <w:rPr>
          <w:rFonts w:cs="Times"/>
          <w:i/>
          <w:iCs/>
          <w:noProof/>
          <w:szCs w:val="24"/>
        </w:rPr>
        <w:t>J. Phys. Chem. C</w:t>
      </w:r>
      <w:r w:rsidRPr="001F4C34">
        <w:rPr>
          <w:rFonts w:cs="Times"/>
          <w:noProof/>
          <w:szCs w:val="24"/>
        </w:rPr>
        <w:t xml:space="preserve"> </w:t>
      </w:r>
      <w:r w:rsidRPr="001F4C34">
        <w:rPr>
          <w:rFonts w:cs="Times"/>
          <w:b/>
          <w:bCs/>
          <w:noProof/>
          <w:szCs w:val="24"/>
        </w:rPr>
        <w:t>2015</w:t>
      </w:r>
      <w:r w:rsidRPr="001F4C34">
        <w:rPr>
          <w:rFonts w:cs="Times"/>
          <w:noProof/>
          <w:szCs w:val="24"/>
        </w:rPr>
        <w:t xml:space="preserve">, </w:t>
      </w:r>
      <w:r w:rsidRPr="001F4C34">
        <w:rPr>
          <w:rFonts w:cs="Times"/>
          <w:i/>
          <w:iCs/>
          <w:noProof/>
          <w:szCs w:val="24"/>
        </w:rPr>
        <w:t>119</w:t>
      </w:r>
      <w:r w:rsidRPr="001F4C34">
        <w:rPr>
          <w:rFonts w:cs="Times"/>
          <w:noProof/>
          <w:szCs w:val="24"/>
        </w:rPr>
        <w:t xml:space="preserve"> (19), 10785–10792.</w:t>
      </w:r>
    </w:p>
    <w:p w14:paraId="1DCA1479" w14:textId="18369355" w:rsidR="001F4C34" w:rsidRPr="001F4C34" w:rsidRDefault="001F4C34" w:rsidP="000500DC">
      <w:pPr>
        <w:widowControl w:val="0"/>
        <w:autoSpaceDE w:val="0"/>
        <w:autoSpaceDN w:val="0"/>
        <w:adjustRightInd w:val="0"/>
        <w:spacing w:after="0" w:line="480" w:lineRule="auto"/>
        <w:ind w:left="640" w:hanging="640"/>
        <w:jc w:val="left"/>
        <w:rPr>
          <w:rFonts w:cs="Times"/>
          <w:noProof/>
          <w:szCs w:val="24"/>
        </w:rPr>
      </w:pPr>
      <w:r w:rsidRPr="001F4C34">
        <w:rPr>
          <w:rFonts w:cs="Times"/>
          <w:noProof/>
          <w:szCs w:val="24"/>
        </w:rPr>
        <w:t xml:space="preserve">(21) </w:t>
      </w:r>
      <w:r w:rsidRPr="001F4C34">
        <w:rPr>
          <w:rFonts w:cs="Times"/>
          <w:noProof/>
          <w:szCs w:val="24"/>
        </w:rPr>
        <w:tab/>
        <w:t>Dexter, D. L. A Theory of Sensitized Luminescence in Solids.</w:t>
      </w:r>
      <w:r w:rsidR="000500DC">
        <w:rPr>
          <w:rFonts w:cs="Times"/>
          <w:noProof/>
          <w:szCs w:val="24"/>
        </w:rPr>
        <w:t xml:space="preserve"> </w:t>
      </w:r>
      <w:r w:rsidR="000500DC">
        <w:rPr>
          <w:rFonts w:cs="Times"/>
          <w:i/>
          <w:noProof/>
          <w:szCs w:val="24"/>
        </w:rPr>
        <w:t>J. Chem. Phys.</w:t>
      </w:r>
      <w:r w:rsidRPr="001F4C34">
        <w:rPr>
          <w:rFonts w:cs="Times"/>
          <w:noProof/>
          <w:szCs w:val="24"/>
        </w:rPr>
        <w:t xml:space="preserve"> </w:t>
      </w:r>
      <w:r w:rsidRPr="001F4C34">
        <w:rPr>
          <w:rFonts w:cs="Times"/>
          <w:b/>
          <w:bCs/>
          <w:noProof/>
          <w:szCs w:val="24"/>
        </w:rPr>
        <w:t>1953</w:t>
      </w:r>
      <w:r w:rsidRPr="001F4C34">
        <w:rPr>
          <w:rFonts w:cs="Times"/>
          <w:noProof/>
          <w:szCs w:val="24"/>
        </w:rPr>
        <w:t xml:space="preserve">, </w:t>
      </w:r>
      <w:r w:rsidR="006552CE" w:rsidRPr="00816AEF">
        <w:rPr>
          <w:rFonts w:cs="Times"/>
          <w:i/>
          <w:iCs/>
          <w:noProof/>
          <w:szCs w:val="24"/>
        </w:rPr>
        <w:t>21</w:t>
      </w:r>
      <w:r w:rsidR="006552CE" w:rsidRPr="00816AEF">
        <w:rPr>
          <w:rFonts w:cs="Times"/>
          <w:noProof/>
          <w:szCs w:val="24"/>
        </w:rPr>
        <w:t>, 836–850</w:t>
      </w:r>
    </w:p>
    <w:p w14:paraId="6C802246"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(22) </w:t>
      </w:r>
      <w:r w:rsidRPr="001F4C34">
        <w:rPr>
          <w:rFonts w:cs="Times"/>
          <w:noProof/>
          <w:szCs w:val="24"/>
        </w:rPr>
        <w:tab/>
        <w:t xml:space="preserve">Lakowicz, J. R. </w:t>
      </w:r>
      <w:r w:rsidRPr="001F4C34">
        <w:rPr>
          <w:rFonts w:cs="Times"/>
          <w:i/>
          <w:iCs/>
          <w:noProof/>
          <w:szCs w:val="24"/>
        </w:rPr>
        <w:t>Principles of Fluorescence Spectroscopy</w:t>
      </w:r>
      <w:r w:rsidRPr="001F4C34">
        <w:rPr>
          <w:rFonts w:cs="Times"/>
          <w:noProof/>
          <w:szCs w:val="24"/>
        </w:rPr>
        <w:t>; Lakowicz, J. R., Ed.; Springer US: Boston, MA, 2006.</w:t>
      </w:r>
    </w:p>
    <w:p w14:paraId="0AAFB9BD" w14:textId="10494079"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(23) </w:t>
      </w:r>
      <w:r w:rsidRPr="001F4C34">
        <w:rPr>
          <w:rFonts w:cs="Times"/>
          <w:noProof/>
          <w:szCs w:val="24"/>
        </w:rPr>
        <w:tab/>
      </w:r>
      <w:r w:rsidR="006552CE" w:rsidRPr="00816AEF">
        <w:rPr>
          <w:rFonts w:cs="Times"/>
          <w:noProof/>
          <w:szCs w:val="24"/>
        </w:rPr>
        <w:t xml:space="preserve">van der Meer, B. W. </w:t>
      </w:r>
      <w:r w:rsidR="006552CE" w:rsidRPr="00816AEF">
        <w:rPr>
          <w:rFonts w:cs="Times"/>
          <w:i/>
          <w:iCs/>
          <w:noProof/>
          <w:szCs w:val="24"/>
        </w:rPr>
        <w:t>FRET - Förster Resonance Energy Transfer</w:t>
      </w:r>
      <w:r w:rsidR="006552CE" w:rsidRPr="00816AEF">
        <w:rPr>
          <w:rFonts w:cs="Times"/>
          <w:noProof/>
          <w:szCs w:val="24"/>
        </w:rPr>
        <w:t xml:space="preserve">; Medintz, I., Hildebrandt, </w:t>
      </w:r>
      <w:r w:rsidR="006552CE" w:rsidRPr="00816AEF">
        <w:rPr>
          <w:rFonts w:cs="Times"/>
          <w:noProof/>
          <w:szCs w:val="24"/>
        </w:rPr>
        <w:lastRenderedPageBreak/>
        <w:t>N., Eds.; Wiley-VCH Verlag GmbH &amp; Co. KGaA: Weinheim, Germany, 2013.</w:t>
      </w:r>
    </w:p>
    <w:p w14:paraId="12754721" w14:textId="2FFC9C56"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(24) </w:t>
      </w:r>
      <w:r w:rsidRPr="001F4C34">
        <w:rPr>
          <w:rFonts w:cs="Times"/>
          <w:noProof/>
          <w:szCs w:val="24"/>
        </w:rPr>
        <w:tab/>
        <w:t xml:space="preserve">Adams, D. M.; Brus, L.; Chidsey, C. E. D.; Creager, S.; Creutz, C.; Kagan, C. R.; Kamat, P. V; Lieberman, X. M.; Lindsay, O. S.; Marcus, R. A.; et al. Charge Transfer on the Nanoscale : Current Status. </w:t>
      </w:r>
      <w:r w:rsidR="006552CE" w:rsidRPr="00816AEF">
        <w:rPr>
          <w:rFonts w:cs="Times"/>
          <w:i/>
          <w:iCs/>
          <w:noProof/>
          <w:szCs w:val="24"/>
        </w:rPr>
        <w:t>J. Phys. Chem. B</w:t>
      </w:r>
      <w:r w:rsidR="006552CE" w:rsidRPr="00816AEF">
        <w:rPr>
          <w:rFonts w:cs="Times"/>
          <w:noProof/>
          <w:szCs w:val="24"/>
        </w:rPr>
        <w:t xml:space="preserve"> </w:t>
      </w:r>
      <w:r w:rsidR="006552CE" w:rsidRPr="00816AEF">
        <w:rPr>
          <w:rFonts w:cs="Times"/>
          <w:b/>
          <w:bCs/>
          <w:noProof/>
          <w:szCs w:val="24"/>
        </w:rPr>
        <w:t>2003</w:t>
      </w:r>
      <w:r w:rsidR="006552CE" w:rsidRPr="00816AEF">
        <w:rPr>
          <w:rFonts w:cs="Times"/>
          <w:noProof/>
          <w:szCs w:val="24"/>
        </w:rPr>
        <w:t xml:space="preserve">, </w:t>
      </w:r>
      <w:r w:rsidR="006552CE" w:rsidRPr="00816AEF">
        <w:rPr>
          <w:rFonts w:cs="Times"/>
          <w:i/>
          <w:iCs/>
          <w:noProof/>
          <w:szCs w:val="24"/>
        </w:rPr>
        <w:t>107</w:t>
      </w:r>
      <w:r w:rsidR="006552CE" w:rsidRPr="00816AEF">
        <w:rPr>
          <w:rFonts w:cs="Times"/>
          <w:noProof/>
          <w:szCs w:val="24"/>
        </w:rPr>
        <w:t>, 6668–6697.</w:t>
      </w:r>
    </w:p>
    <w:p w14:paraId="38366AB2" w14:textId="2AA8ADCD"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(25) </w:t>
      </w:r>
      <w:r w:rsidRPr="001F4C34">
        <w:rPr>
          <w:rFonts w:cs="Times"/>
          <w:noProof/>
          <w:szCs w:val="24"/>
        </w:rPr>
        <w:tab/>
        <w:t>Ludwig, P.; Govorov, A. O.; Demir, H</w:t>
      </w:r>
      <w:r w:rsidR="000500DC">
        <w:rPr>
          <w:rFonts w:cs="Times"/>
          <w:noProof/>
          <w:szCs w:val="24"/>
        </w:rPr>
        <w:t>. V. Generalized Theory of För</w:t>
      </w:r>
      <w:r w:rsidRPr="001F4C34">
        <w:rPr>
          <w:rFonts w:cs="Times"/>
          <w:noProof/>
          <w:szCs w:val="24"/>
        </w:rPr>
        <w:t xml:space="preserve">ster-Type Nonradiative Energy Transfer in Nanostructures with Mixed Dimensionality. </w:t>
      </w:r>
      <w:r w:rsidRPr="001F4C34">
        <w:rPr>
          <w:rFonts w:cs="Times"/>
          <w:b/>
          <w:bCs/>
          <w:noProof/>
          <w:szCs w:val="24"/>
        </w:rPr>
        <w:t>2013</w:t>
      </w:r>
      <w:r w:rsidRPr="001F4C34">
        <w:rPr>
          <w:rFonts w:cs="Times"/>
          <w:noProof/>
          <w:szCs w:val="24"/>
        </w:rPr>
        <w:t>.</w:t>
      </w:r>
    </w:p>
    <w:p w14:paraId="1AA800DD" w14:textId="5D2A156F"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(26) </w:t>
      </w:r>
      <w:r w:rsidRPr="001F4C34">
        <w:rPr>
          <w:rFonts w:cs="Times"/>
          <w:noProof/>
          <w:szCs w:val="24"/>
        </w:rPr>
        <w:tab/>
        <w:t>Guzelturk, B.; Demir, H. V. Near</w:t>
      </w:r>
      <w:r w:rsidRPr="001F4C34">
        <w:rPr>
          <w:rFonts w:ascii="Cambria Math" w:hAnsi="Cambria Math" w:cs="Cambria Math"/>
          <w:noProof/>
          <w:szCs w:val="24"/>
        </w:rPr>
        <w:t>‐</w:t>
      </w:r>
      <w:r w:rsidRPr="001F4C34">
        <w:rPr>
          <w:rFonts w:cs="Times"/>
          <w:noProof/>
          <w:szCs w:val="24"/>
        </w:rPr>
        <w:t xml:space="preserve">Field Energy Transfer Using Nanoemitters For Optoelectronics. </w:t>
      </w:r>
      <w:r w:rsidR="006552CE" w:rsidRPr="00816AEF">
        <w:rPr>
          <w:rFonts w:cs="Times"/>
          <w:i/>
          <w:iCs/>
          <w:noProof/>
          <w:szCs w:val="24"/>
        </w:rPr>
        <w:t>Adv. Funct. Mater.</w:t>
      </w:r>
      <w:r w:rsidR="006552CE" w:rsidRPr="00816AEF">
        <w:rPr>
          <w:rFonts w:cs="Times"/>
          <w:noProof/>
          <w:szCs w:val="24"/>
        </w:rPr>
        <w:t xml:space="preserve"> </w:t>
      </w:r>
      <w:r w:rsidR="006552CE" w:rsidRPr="00816AEF">
        <w:rPr>
          <w:rFonts w:cs="Times"/>
          <w:b/>
          <w:bCs/>
          <w:noProof/>
          <w:szCs w:val="24"/>
        </w:rPr>
        <w:t>2016</w:t>
      </w:r>
      <w:r w:rsidR="006552CE" w:rsidRPr="00816AEF">
        <w:rPr>
          <w:rFonts w:cs="Times"/>
          <w:noProof/>
          <w:szCs w:val="24"/>
        </w:rPr>
        <w:t xml:space="preserve">, </w:t>
      </w:r>
      <w:r w:rsidR="006552CE" w:rsidRPr="00816AEF">
        <w:rPr>
          <w:rFonts w:cs="Times"/>
          <w:i/>
          <w:iCs/>
          <w:noProof/>
          <w:szCs w:val="24"/>
        </w:rPr>
        <w:t>26</w:t>
      </w:r>
      <w:r w:rsidR="006552CE" w:rsidRPr="00816AEF">
        <w:rPr>
          <w:rFonts w:cs="Times"/>
          <w:noProof/>
          <w:szCs w:val="24"/>
        </w:rPr>
        <w:t>, 8158–8177.</w:t>
      </w:r>
    </w:p>
    <w:p w14:paraId="19106997" w14:textId="77777777" w:rsidR="006552CE" w:rsidRPr="00816AEF" w:rsidRDefault="001F4C34" w:rsidP="006552CE">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(27) </w:t>
      </w:r>
      <w:r w:rsidRPr="001F4C34">
        <w:rPr>
          <w:rFonts w:cs="Times"/>
          <w:noProof/>
          <w:szCs w:val="24"/>
        </w:rPr>
        <w:tab/>
        <w:t xml:space="preserve">Swafford, L. A.; Weigand, L. A.; Ii, M. J. B.; Mcbride, J. R.; Rapaport, J. L.; Watt, T. L.; Dixit, S. K.; Feldman, L. C.; Rosenthal, S. J. Homogeneously Alloyed CdS x Se 1 - x Nanocrystals : Synthesis , Characterization , and Composition / Size-Dependent Band Gap. </w:t>
      </w:r>
      <w:r w:rsidR="006552CE" w:rsidRPr="00816AEF">
        <w:rPr>
          <w:rFonts w:cs="Times"/>
          <w:i/>
          <w:iCs/>
          <w:noProof/>
          <w:szCs w:val="24"/>
        </w:rPr>
        <w:t>J. Am. Chem. Soc.</w:t>
      </w:r>
      <w:r w:rsidR="006552CE" w:rsidRPr="00816AEF">
        <w:rPr>
          <w:rFonts w:cs="Times"/>
          <w:noProof/>
          <w:szCs w:val="24"/>
        </w:rPr>
        <w:t xml:space="preserve"> </w:t>
      </w:r>
      <w:r w:rsidR="006552CE" w:rsidRPr="00816AEF">
        <w:rPr>
          <w:rFonts w:cs="Times"/>
          <w:b/>
          <w:bCs/>
          <w:noProof/>
          <w:szCs w:val="24"/>
        </w:rPr>
        <w:t>2006</w:t>
      </w:r>
      <w:r w:rsidR="006552CE" w:rsidRPr="00816AEF">
        <w:rPr>
          <w:rFonts w:cs="Times"/>
          <w:noProof/>
          <w:szCs w:val="24"/>
        </w:rPr>
        <w:t xml:space="preserve">, </w:t>
      </w:r>
      <w:r w:rsidR="006552CE" w:rsidRPr="00816AEF">
        <w:rPr>
          <w:rFonts w:cs="Times"/>
          <w:i/>
          <w:iCs/>
          <w:noProof/>
          <w:szCs w:val="24"/>
        </w:rPr>
        <w:t>128</w:t>
      </w:r>
      <w:r w:rsidR="006552CE" w:rsidRPr="00816AEF">
        <w:rPr>
          <w:rFonts w:cs="Times"/>
          <w:noProof/>
          <w:szCs w:val="24"/>
        </w:rPr>
        <w:t>, 12299–12306.</w:t>
      </w:r>
    </w:p>
    <w:p w14:paraId="3F3B4650"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(28) </w:t>
      </w:r>
      <w:r w:rsidRPr="001F4C34">
        <w:rPr>
          <w:rFonts w:cs="Times"/>
          <w:noProof/>
          <w:szCs w:val="24"/>
        </w:rPr>
        <w:tab/>
        <w:t xml:space="preserve">Prasai, D.; Klots, A. R.; Newaz,  a K. M.; Niezgoda, J. S.; Orfield, N. J.; Escobar, C. a; Wynn, A.; Efimov, A.; Jennings, G. K.; Rosenthal, S. J.; et al. Electrical Control of Near-Field Energy Transfer between Quantum Dots and Two-Dimensional Semiconductors. </w:t>
      </w:r>
      <w:r w:rsidRPr="001F4C34">
        <w:rPr>
          <w:rFonts w:cs="Times"/>
          <w:i/>
          <w:iCs/>
          <w:noProof/>
          <w:szCs w:val="24"/>
        </w:rPr>
        <w:t>Nano Lett.</w:t>
      </w:r>
      <w:r w:rsidRPr="001F4C34">
        <w:rPr>
          <w:rFonts w:cs="Times"/>
          <w:noProof/>
          <w:szCs w:val="24"/>
        </w:rPr>
        <w:t xml:space="preserve"> </w:t>
      </w:r>
      <w:r w:rsidRPr="001F4C34">
        <w:rPr>
          <w:rFonts w:cs="Times"/>
          <w:b/>
          <w:bCs/>
          <w:noProof/>
          <w:szCs w:val="24"/>
        </w:rPr>
        <w:t>2015</w:t>
      </w:r>
      <w:r w:rsidRPr="001F4C34">
        <w:rPr>
          <w:rFonts w:cs="Times"/>
          <w:noProof/>
          <w:szCs w:val="24"/>
        </w:rPr>
        <w:t xml:space="preserve">, </w:t>
      </w:r>
      <w:r w:rsidRPr="001F4C34">
        <w:rPr>
          <w:rFonts w:cs="Times"/>
          <w:i/>
          <w:iCs/>
          <w:noProof/>
          <w:szCs w:val="24"/>
        </w:rPr>
        <w:t>15</w:t>
      </w:r>
      <w:r w:rsidRPr="001F4C34">
        <w:rPr>
          <w:rFonts w:cs="Times"/>
          <w:noProof/>
          <w:szCs w:val="24"/>
        </w:rPr>
        <w:t xml:space="preserve"> (7), 4374–4380.</w:t>
      </w:r>
    </w:p>
    <w:p w14:paraId="6DC664DC" w14:textId="12B7332B" w:rsidR="006552CE" w:rsidRPr="00816AEF" w:rsidRDefault="001F4C34" w:rsidP="006552CE">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(29) </w:t>
      </w:r>
      <w:r w:rsidRPr="001F4C34">
        <w:rPr>
          <w:rFonts w:cs="Times"/>
          <w:noProof/>
          <w:szCs w:val="24"/>
        </w:rPr>
        <w:tab/>
        <w:t>Prins, F.; Goodman, A. J.; Tisdale, W. A. Reduced Dielectric Screening and Enhanced Energy Transfer in Single- and Few-Layer MoS</w:t>
      </w:r>
      <w:r w:rsidR="006552CE">
        <w:rPr>
          <w:rFonts w:cs="Times"/>
          <w:noProof/>
          <w:szCs w:val="24"/>
          <w:vertAlign w:val="subscript"/>
        </w:rPr>
        <w:t>2</w:t>
      </w:r>
      <w:r w:rsidRPr="001F4C34">
        <w:rPr>
          <w:rFonts w:cs="Times"/>
          <w:noProof/>
          <w:szCs w:val="24"/>
        </w:rPr>
        <w:t xml:space="preserve">. </w:t>
      </w:r>
      <w:r w:rsidR="006552CE" w:rsidRPr="00816AEF">
        <w:rPr>
          <w:rFonts w:cs="Times"/>
          <w:i/>
          <w:iCs/>
          <w:noProof/>
          <w:szCs w:val="24"/>
        </w:rPr>
        <w:t>Nano Lett.</w:t>
      </w:r>
      <w:r w:rsidR="006552CE" w:rsidRPr="00816AEF">
        <w:rPr>
          <w:rFonts w:cs="Times"/>
          <w:noProof/>
          <w:szCs w:val="24"/>
        </w:rPr>
        <w:t xml:space="preserve"> </w:t>
      </w:r>
      <w:r w:rsidR="006552CE" w:rsidRPr="00816AEF">
        <w:rPr>
          <w:rFonts w:cs="Times"/>
          <w:b/>
          <w:bCs/>
          <w:noProof/>
          <w:szCs w:val="24"/>
        </w:rPr>
        <w:t>2014</w:t>
      </w:r>
      <w:r w:rsidR="006552CE" w:rsidRPr="00816AEF">
        <w:rPr>
          <w:rFonts w:cs="Times"/>
          <w:noProof/>
          <w:szCs w:val="24"/>
        </w:rPr>
        <w:t xml:space="preserve">, </w:t>
      </w:r>
      <w:r w:rsidR="006552CE" w:rsidRPr="00816AEF">
        <w:rPr>
          <w:rFonts w:cs="Times"/>
          <w:i/>
          <w:iCs/>
          <w:noProof/>
          <w:szCs w:val="24"/>
        </w:rPr>
        <w:t>14</w:t>
      </w:r>
      <w:r w:rsidR="006552CE" w:rsidRPr="00816AEF">
        <w:rPr>
          <w:rFonts w:cs="Times"/>
          <w:noProof/>
          <w:szCs w:val="24"/>
        </w:rPr>
        <w:t>, 6087–6091.</w:t>
      </w:r>
    </w:p>
    <w:p w14:paraId="43795760" w14:textId="5D8670A0"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(30) </w:t>
      </w:r>
      <w:r w:rsidRPr="001F4C34">
        <w:rPr>
          <w:rFonts w:cs="Times"/>
          <w:noProof/>
          <w:szCs w:val="24"/>
        </w:rPr>
        <w:tab/>
        <w:t xml:space="preserve">Raja, A.; Montoya-Castillo, A.; Zultak, J.; Zhang, X.-X.; Ye, Z.; Roquelet, C.; Chenet, D. a; van der Zande, A. M.; Huang, P.; Jockusch, S.; et al. Energy Transfer from Quantum Dots to Graphene and MoS2: The Role of Absorption and Screening in Two-Dimensional Materials. </w:t>
      </w:r>
      <w:r w:rsidR="006552CE" w:rsidRPr="00816AEF">
        <w:rPr>
          <w:rFonts w:cs="Times"/>
          <w:i/>
          <w:iCs/>
          <w:noProof/>
          <w:szCs w:val="24"/>
        </w:rPr>
        <w:t>Nano Lett.</w:t>
      </w:r>
      <w:r w:rsidR="006552CE" w:rsidRPr="00816AEF">
        <w:rPr>
          <w:rFonts w:cs="Times"/>
          <w:noProof/>
          <w:szCs w:val="24"/>
        </w:rPr>
        <w:t xml:space="preserve"> </w:t>
      </w:r>
      <w:r w:rsidR="006552CE" w:rsidRPr="00816AEF">
        <w:rPr>
          <w:rFonts w:cs="Times"/>
          <w:b/>
          <w:bCs/>
          <w:noProof/>
          <w:szCs w:val="24"/>
        </w:rPr>
        <w:t>2016</w:t>
      </w:r>
      <w:r w:rsidR="006552CE">
        <w:rPr>
          <w:rFonts w:cs="Times"/>
          <w:bCs/>
          <w:noProof/>
          <w:szCs w:val="24"/>
        </w:rPr>
        <w:t xml:space="preserve">, </w:t>
      </w:r>
      <w:r w:rsidR="006552CE">
        <w:rPr>
          <w:rFonts w:cs="Times"/>
          <w:bCs/>
          <w:i/>
          <w:noProof/>
          <w:szCs w:val="24"/>
        </w:rPr>
        <w:t>16</w:t>
      </w:r>
      <w:r w:rsidR="006552CE">
        <w:rPr>
          <w:rFonts w:cs="Times"/>
          <w:bCs/>
          <w:noProof/>
          <w:szCs w:val="24"/>
        </w:rPr>
        <w:t>, 2328-2333</w:t>
      </w:r>
      <w:r w:rsidR="006552CE" w:rsidRPr="00816AEF">
        <w:rPr>
          <w:rFonts w:cs="Times"/>
          <w:noProof/>
          <w:szCs w:val="24"/>
        </w:rPr>
        <w:t>.</w:t>
      </w:r>
    </w:p>
    <w:p w14:paraId="2119E7FA" w14:textId="04CFFE1C"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(31) </w:t>
      </w:r>
      <w:r w:rsidRPr="001F4C34">
        <w:rPr>
          <w:rFonts w:cs="Times"/>
          <w:noProof/>
          <w:szCs w:val="24"/>
        </w:rPr>
        <w:tab/>
        <w:t xml:space="preserve">Sampat, S.; Guo, T.; Zhang, K.; Robinson, J. a.; Ghosh, Y.; Acharya, K. P.; Htoon, H.; </w:t>
      </w:r>
      <w:r w:rsidRPr="001F4C34">
        <w:rPr>
          <w:rFonts w:cs="Times"/>
          <w:noProof/>
          <w:szCs w:val="24"/>
        </w:rPr>
        <w:lastRenderedPageBreak/>
        <w:t>Hollingsworth, J. a.; Gartstein, Y. N.; Malko, A. V. Exciton and Trion Energy Transfer from Giant Semiconductor Nanocrystals to MoS</w:t>
      </w:r>
      <w:r w:rsidR="006552CE">
        <w:rPr>
          <w:rFonts w:cs="Times"/>
          <w:noProof/>
          <w:szCs w:val="24"/>
          <w:vertAlign w:val="subscript"/>
        </w:rPr>
        <w:t>2</w:t>
      </w:r>
      <w:r w:rsidRPr="001F4C34">
        <w:rPr>
          <w:rFonts w:cs="Times"/>
          <w:noProof/>
          <w:szCs w:val="24"/>
        </w:rPr>
        <w:t xml:space="preserve"> Monolayers. </w:t>
      </w:r>
      <w:r w:rsidRPr="001F4C34">
        <w:rPr>
          <w:rFonts w:cs="Times"/>
          <w:i/>
          <w:iCs/>
          <w:noProof/>
          <w:szCs w:val="24"/>
        </w:rPr>
        <w:t>ACS Photonics</w:t>
      </w:r>
      <w:r w:rsidRPr="001F4C34">
        <w:rPr>
          <w:rFonts w:cs="Times"/>
          <w:noProof/>
          <w:szCs w:val="24"/>
        </w:rPr>
        <w:t xml:space="preserve"> </w:t>
      </w:r>
      <w:r w:rsidRPr="001F4C34">
        <w:rPr>
          <w:rFonts w:cs="Times"/>
          <w:b/>
          <w:bCs/>
          <w:noProof/>
          <w:szCs w:val="24"/>
        </w:rPr>
        <w:t>2016</w:t>
      </w:r>
      <w:r w:rsidRPr="001F4C34">
        <w:rPr>
          <w:rFonts w:cs="Times"/>
          <w:noProof/>
          <w:szCs w:val="24"/>
        </w:rPr>
        <w:t xml:space="preserve">, </w:t>
      </w:r>
      <w:r w:rsidRPr="001F4C34">
        <w:rPr>
          <w:rFonts w:cs="Times"/>
          <w:i/>
          <w:iCs/>
          <w:noProof/>
          <w:szCs w:val="24"/>
        </w:rPr>
        <w:t>3</w:t>
      </w:r>
      <w:r w:rsidRPr="001F4C34">
        <w:rPr>
          <w:rFonts w:cs="Times"/>
          <w:noProof/>
          <w:szCs w:val="24"/>
        </w:rPr>
        <w:t xml:space="preserve"> (4), 708–715.</w:t>
      </w:r>
    </w:p>
    <w:p w14:paraId="79E51D16"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(32) </w:t>
      </w:r>
      <w:r w:rsidRPr="001F4C34">
        <w:rPr>
          <w:rFonts w:cs="Times"/>
          <w:noProof/>
          <w:szCs w:val="24"/>
        </w:rPr>
        <w:tab/>
        <w:t>Li, H.; Zhang, Q.; Yap, C. C. R.; Tay, B. K.; Edwin, T. H. T.; Olivier, A.; Baillargeat, D. From Bulk to Monolayer MoS</w:t>
      </w:r>
      <w:r w:rsidRPr="006552CE">
        <w:rPr>
          <w:rFonts w:cs="Times"/>
          <w:noProof/>
          <w:szCs w:val="24"/>
          <w:vertAlign w:val="subscript"/>
        </w:rPr>
        <w:t>2</w:t>
      </w:r>
      <w:r w:rsidRPr="001F4C34">
        <w:rPr>
          <w:rFonts w:cs="Times"/>
          <w:noProof/>
          <w:szCs w:val="24"/>
        </w:rPr>
        <w:t xml:space="preserve">: Evolution of Raman Scattering. </w:t>
      </w:r>
      <w:r w:rsidRPr="001F4C34">
        <w:rPr>
          <w:rFonts w:cs="Times"/>
          <w:i/>
          <w:iCs/>
          <w:noProof/>
          <w:szCs w:val="24"/>
        </w:rPr>
        <w:t>Adv. Funct. Mater.</w:t>
      </w:r>
      <w:r w:rsidRPr="001F4C34">
        <w:rPr>
          <w:rFonts w:cs="Times"/>
          <w:noProof/>
          <w:szCs w:val="24"/>
        </w:rPr>
        <w:t xml:space="preserve"> </w:t>
      </w:r>
      <w:r w:rsidRPr="001F4C34">
        <w:rPr>
          <w:rFonts w:cs="Times"/>
          <w:b/>
          <w:bCs/>
          <w:noProof/>
          <w:szCs w:val="24"/>
        </w:rPr>
        <w:t>2012</w:t>
      </w:r>
      <w:r w:rsidRPr="001F4C34">
        <w:rPr>
          <w:rFonts w:cs="Times"/>
          <w:noProof/>
          <w:szCs w:val="24"/>
        </w:rPr>
        <w:t xml:space="preserve">, </w:t>
      </w:r>
      <w:r w:rsidRPr="001F4C34">
        <w:rPr>
          <w:rFonts w:cs="Times"/>
          <w:i/>
          <w:iCs/>
          <w:noProof/>
          <w:szCs w:val="24"/>
        </w:rPr>
        <w:t>22</w:t>
      </w:r>
      <w:r w:rsidRPr="001F4C34">
        <w:rPr>
          <w:rFonts w:cs="Times"/>
          <w:noProof/>
          <w:szCs w:val="24"/>
        </w:rPr>
        <w:t xml:space="preserve"> (7), 1385–1390.</w:t>
      </w:r>
    </w:p>
    <w:p w14:paraId="6599C8D4" w14:textId="573A3F7D"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(33) </w:t>
      </w:r>
      <w:r w:rsidRPr="001F4C34">
        <w:rPr>
          <w:rFonts w:cs="Times"/>
          <w:noProof/>
          <w:szCs w:val="24"/>
        </w:rPr>
        <w:tab/>
        <w:t>Lee, C.; Yan, H.; Br</w:t>
      </w:r>
      <w:r w:rsidR="006552CE">
        <w:rPr>
          <w:rFonts w:cs="Times"/>
          <w:noProof/>
          <w:szCs w:val="24"/>
        </w:rPr>
        <w:t xml:space="preserve">us, L. E.; Heinz, T. F.; Hone, </w:t>
      </w:r>
      <w:r w:rsidRPr="001F4C34">
        <w:rPr>
          <w:rFonts w:cs="Times"/>
          <w:noProof/>
          <w:szCs w:val="24"/>
        </w:rPr>
        <w:t xml:space="preserve">J.; Ryu, S. </w:t>
      </w:r>
      <w:r w:rsidR="006552CE" w:rsidRPr="006552CE">
        <w:rPr>
          <w:rFonts w:cs="Times"/>
          <w:noProof/>
          <w:szCs w:val="24"/>
        </w:rPr>
        <w:t>Anomalous Lattice Vibrations of Single-and Few-Layer MoS</w:t>
      </w:r>
      <w:r w:rsidR="006552CE" w:rsidRPr="006552CE">
        <w:rPr>
          <w:rFonts w:cs="Times"/>
          <w:noProof/>
          <w:szCs w:val="24"/>
          <w:vertAlign w:val="subscript"/>
        </w:rPr>
        <w:t>2</w:t>
      </w:r>
      <w:r w:rsidRPr="001F4C34">
        <w:rPr>
          <w:rFonts w:cs="Times"/>
          <w:noProof/>
          <w:szCs w:val="24"/>
        </w:rPr>
        <w:t>.</w:t>
      </w:r>
      <w:r w:rsidR="006552CE" w:rsidRPr="006552CE">
        <w:rPr>
          <w:rFonts w:cs="Times"/>
          <w:i/>
          <w:iCs/>
          <w:noProof/>
          <w:szCs w:val="24"/>
        </w:rPr>
        <w:t xml:space="preserve"> </w:t>
      </w:r>
      <w:r w:rsidR="006552CE" w:rsidRPr="00816AEF">
        <w:rPr>
          <w:rFonts w:cs="Times"/>
          <w:i/>
          <w:iCs/>
          <w:noProof/>
          <w:szCs w:val="24"/>
        </w:rPr>
        <w:t>ACS Nano</w:t>
      </w:r>
      <w:r w:rsidR="006552CE" w:rsidRPr="00816AEF">
        <w:rPr>
          <w:rFonts w:cs="Times"/>
          <w:noProof/>
          <w:szCs w:val="24"/>
        </w:rPr>
        <w:t xml:space="preserve"> </w:t>
      </w:r>
      <w:r w:rsidR="006552CE" w:rsidRPr="00816AEF">
        <w:rPr>
          <w:rFonts w:cs="Times"/>
          <w:b/>
          <w:bCs/>
          <w:noProof/>
          <w:szCs w:val="24"/>
        </w:rPr>
        <w:t>2010</w:t>
      </w:r>
      <w:r w:rsidR="006552CE" w:rsidRPr="00816AEF">
        <w:rPr>
          <w:rFonts w:cs="Times"/>
          <w:noProof/>
          <w:szCs w:val="24"/>
        </w:rPr>
        <w:t xml:space="preserve">, </w:t>
      </w:r>
      <w:r w:rsidR="006552CE" w:rsidRPr="00816AEF">
        <w:rPr>
          <w:rFonts w:cs="Times"/>
          <w:i/>
          <w:iCs/>
          <w:noProof/>
          <w:szCs w:val="24"/>
        </w:rPr>
        <w:t>4</w:t>
      </w:r>
      <w:r w:rsidR="006552CE" w:rsidRPr="00816AEF">
        <w:rPr>
          <w:rFonts w:cs="Times"/>
          <w:noProof/>
          <w:szCs w:val="24"/>
        </w:rPr>
        <w:t>, 2695–2700.</w:t>
      </w:r>
    </w:p>
    <w:p w14:paraId="19C3709F" w14:textId="77777777" w:rsidR="006552CE" w:rsidRPr="00816AEF" w:rsidRDefault="001F4C34" w:rsidP="006552CE">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(34) </w:t>
      </w:r>
      <w:r w:rsidRPr="001F4C34">
        <w:rPr>
          <w:rFonts w:cs="Times"/>
          <w:noProof/>
          <w:szCs w:val="24"/>
        </w:rPr>
        <w:tab/>
      </w:r>
      <w:r w:rsidR="006552CE" w:rsidRPr="00816AEF">
        <w:rPr>
          <w:rFonts w:cs="Times"/>
          <w:noProof/>
          <w:szCs w:val="24"/>
        </w:rPr>
        <w:t xml:space="preserve">Yin, Z.; Li, H. H.; Li, H. H.; Jiang, L.; Shi, Y.; Sun, Y.; Lu, G.; Zhang, Q.; Chen, X.; Zhang, H. </w:t>
      </w:r>
      <w:r w:rsidRPr="001F4C34">
        <w:rPr>
          <w:rFonts w:cs="Times"/>
          <w:noProof/>
          <w:szCs w:val="24"/>
        </w:rPr>
        <w:t>Single-Layer MoS</w:t>
      </w:r>
      <w:r w:rsidR="006552CE">
        <w:rPr>
          <w:rFonts w:cs="Times"/>
          <w:noProof/>
          <w:szCs w:val="24"/>
          <w:vertAlign w:val="subscript"/>
        </w:rPr>
        <w:t>2</w:t>
      </w:r>
      <w:r w:rsidRPr="001F4C34">
        <w:rPr>
          <w:rFonts w:cs="Times"/>
          <w:noProof/>
          <w:szCs w:val="24"/>
        </w:rPr>
        <w:t xml:space="preserve"> Phototransistors. </w:t>
      </w:r>
      <w:r w:rsidR="006552CE" w:rsidRPr="00816AEF">
        <w:rPr>
          <w:rFonts w:cs="Times"/>
          <w:i/>
          <w:iCs/>
          <w:noProof/>
          <w:szCs w:val="24"/>
        </w:rPr>
        <w:t>ACS Nano</w:t>
      </w:r>
      <w:r w:rsidR="006552CE" w:rsidRPr="00816AEF">
        <w:rPr>
          <w:rFonts w:cs="Times"/>
          <w:noProof/>
          <w:szCs w:val="24"/>
        </w:rPr>
        <w:t xml:space="preserve"> </w:t>
      </w:r>
      <w:r w:rsidR="006552CE" w:rsidRPr="00816AEF">
        <w:rPr>
          <w:rFonts w:cs="Times"/>
          <w:b/>
          <w:bCs/>
          <w:noProof/>
          <w:szCs w:val="24"/>
        </w:rPr>
        <w:t>2012</w:t>
      </w:r>
      <w:r w:rsidR="006552CE" w:rsidRPr="00816AEF">
        <w:rPr>
          <w:rFonts w:cs="Times"/>
          <w:noProof/>
          <w:szCs w:val="24"/>
        </w:rPr>
        <w:t xml:space="preserve">, </w:t>
      </w:r>
      <w:r w:rsidR="006552CE" w:rsidRPr="00816AEF">
        <w:rPr>
          <w:rFonts w:cs="Times"/>
          <w:i/>
          <w:iCs/>
          <w:noProof/>
          <w:szCs w:val="24"/>
        </w:rPr>
        <w:t>6</w:t>
      </w:r>
      <w:r w:rsidR="006552CE" w:rsidRPr="00816AEF">
        <w:rPr>
          <w:rFonts w:cs="Times"/>
          <w:noProof/>
          <w:szCs w:val="24"/>
        </w:rPr>
        <w:t>, 74–80.</w:t>
      </w:r>
    </w:p>
    <w:p w14:paraId="24F45AEA" w14:textId="79C44B8A" w:rsidR="001F4C34" w:rsidRPr="001F4C34" w:rsidRDefault="006552CE" w:rsidP="006552CE">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 </w:t>
      </w:r>
      <w:r w:rsidR="001F4C34" w:rsidRPr="001F4C34">
        <w:rPr>
          <w:rFonts w:cs="Times"/>
          <w:noProof/>
          <w:szCs w:val="24"/>
        </w:rPr>
        <w:t xml:space="preserve">(35) </w:t>
      </w:r>
      <w:r w:rsidR="001F4C34" w:rsidRPr="001F4C34">
        <w:rPr>
          <w:rFonts w:cs="Times"/>
          <w:noProof/>
          <w:szCs w:val="24"/>
        </w:rPr>
        <w:tab/>
        <w:t>Zhang, W.; Huang, J.-K.; Chen, C.-H.; Chang, Y.-H.; Cheng, Y.-J.; Li, L.-J. High-Gain Phototransistors Based on a CVD MoS</w:t>
      </w:r>
      <w:r w:rsidR="001F4C34" w:rsidRPr="001F4C34">
        <w:rPr>
          <w:rFonts w:ascii="Cambria Math" w:hAnsi="Cambria Math" w:cs="Cambria Math"/>
          <w:noProof/>
          <w:szCs w:val="24"/>
        </w:rPr>
        <w:t>₂</w:t>
      </w:r>
      <w:r w:rsidR="001F4C34" w:rsidRPr="001F4C34">
        <w:rPr>
          <w:rFonts w:cs="Times"/>
          <w:noProof/>
          <w:szCs w:val="24"/>
        </w:rPr>
        <w:t xml:space="preserve"> Monolayer. </w:t>
      </w:r>
      <w:r w:rsidR="001F4C34" w:rsidRPr="001F4C34">
        <w:rPr>
          <w:rFonts w:cs="Times"/>
          <w:i/>
          <w:iCs/>
          <w:noProof/>
          <w:szCs w:val="24"/>
        </w:rPr>
        <w:t>Adv. Mater.</w:t>
      </w:r>
      <w:r w:rsidR="001F4C34" w:rsidRPr="001F4C34">
        <w:rPr>
          <w:rFonts w:cs="Times"/>
          <w:noProof/>
          <w:szCs w:val="24"/>
        </w:rPr>
        <w:t xml:space="preserve"> </w:t>
      </w:r>
      <w:r w:rsidR="001F4C34" w:rsidRPr="001F4C34">
        <w:rPr>
          <w:rFonts w:cs="Times"/>
          <w:b/>
          <w:bCs/>
          <w:noProof/>
          <w:szCs w:val="24"/>
        </w:rPr>
        <w:t>2013</w:t>
      </w:r>
      <w:r w:rsidR="001F4C34" w:rsidRPr="001F4C34">
        <w:rPr>
          <w:rFonts w:cs="Times"/>
          <w:noProof/>
          <w:szCs w:val="24"/>
        </w:rPr>
        <w:t xml:space="preserve">, </w:t>
      </w:r>
      <w:r w:rsidR="001F4C34" w:rsidRPr="001F4C34">
        <w:rPr>
          <w:rFonts w:cs="Times"/>
          <w:i/>
          <w:iCs/>
          <w:noProof/>
          <w:szCs w:val="24"/>
        </w:rPr>
        <w:t>25</w:t>
      </w:r>
      <w:r w:rsidR="001F4C34" w:rsidRPr="001F4C34">
        <w:rPr>
          <w:rFonts w:cs="Times"/>
          <w:noProof/>
          <w:szCs w:val="24"/>
        </w:rPr>
        <w:t xml:space="preserve"> (25), 3456–3461.</w:t>
      </w:r>
    </w:p>
    <w:p w14:paraId="4D5097E7"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(36) </w:t>
      </w:r>
      <w:r w:rsidRPr="001F4C34">
        <w:rPr>
          <w:rFonts w:cs="Times"/>
          <w:noProof/>
          <w:szCs w:val="24"/>
        </w:rPr>
        <w:tab/>
        <w:t xml:space="preserve">Lopez-Sanchez, O.; Lembke, D.; Kayci, M.; Radenovic, A.; Kis, A. Ultrasensitive Photodetectors Based on Monolayer MoS2. </w:t>
      </w:r>
      <w:r w:rsidRPr="001F4C34">
        <w:rPr>
          <w:rFonts w:cs="Times"/>
          <w:i/>
          <w:iCs/>
          <w:noProof/>
          <w:szCs w:val="24"/>
        </w:rPr>
        <w:t>Nat. Nanotechnol.</w:t>
      </w:r>
      <w:r w:rsidRPr="001F4C34">
        <w:rPr>
          <w:rFonts w:cs="Times"/>
          <w:noProof/>
          <w:szCs w:val="24"/>
        </w:rPr>
        <w:t xml:space="preserve"> </w:t>
      </w:r>
      <w:r w:rsidRPr="001F4C34">
        <w:rPr>
          <w:rFonts w:cs="Times"/>
          <w:b/>
          <w:bCs/>
          <w:noProof/>
          <w:szCs w:val="24"/>
        </w:rPr>
        <w:t>2013</w:t>
      </w:r>
      <w:r w:rsidRPr="001F4C34">
        <w:rPr>
          <w:rFonts w:cs="Times"/>
          <w:noProof/>
          <w:szCs w:val="24"/>
        </w:rPr>
        <w:t xml:space="preserve">, </w:t>
      </w:r>
      <w:r w:rsidRPr="001F4C34">
        <w:rPr>
          <w:rFonts w:cs="Times"/>
          <w:i/>
          <w:iCs/>
          <w:noProof/>
          <w:szCs w:val="24"/>
        </w:rPr>
        <w:t>8</w:t>
      </w:r>
      <w:r w:rsidRPr="001F4C34">
        <w:rPr>
          <w:rFonts w:cs="Times"/>
          <w:noProof/>
          <w:szCs w:val="24"/>
        </w:rPr>
        <w:t xml:space="preserve"> (7), 497–501.</w:t>
      </w:r>
    </w:p>
    <w:p w14:paraId="27E04B0B"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(37) </w:t>
      </w:r>
      <w:r w:rsidRPr="001F4C34">
        <w:rPr>
          <w:rFonts w:cs="Times"/>
          <w:noProof/>
          <w:szCs w:val="24"/>
        </w:rPr>
        <w:tab/>
        <w:t>Wu, C. C.; Jariwala, D.; Sangwan, V. K.; Marks, T. J.; Hersam, M. C.; Lauhon, L. J. Elucidating the Photoresponse of Ultrathin MoS</w:t>
      </w:r>
      <w:r w:rsidRPr="006552CE">
        <w:rPr>
          <w:rFonts w:cs="Times"/>
          <w:noProof/>
          <w:szCs w:val="24"/>
          <w:vertAlign w:val="subscript"/>
        </w:rPr>
        <w:t>2</w:t>
      </w:r>
      <w:r w:rsidRPr="001F4C34">
        <w:rPr>
          <w:rFonts w:cs="Times"/>
          <w:noProof/>
          <w:szCs w:val="24"/>
        </w:rPr>
        <w:t xml:space="preserve"> Field-Effect Transistors by Scanning Photocurrent Microscopy. </w:t>
      </w:r>
      <w:r w:rsidRPr="001F4C34">
        <w:rPr>
          <w:rFonts w:cs="Times"/>
          <w:i/>
          <w:iCs/>
          <w:noProof/>
          <w:szCs w:val="24"/>
        </w:rPr>
        <w:t>J. Phys. Chem. Lett.</w:t>
      </w:r>
      <w:r w:rsidRPr="001F4C34">
        <w:rPr>
          <w:rFonts w:cs="Times"/>
          <w:noProof/>
          <w:szCs w:val="24"/>
        </w:rPr>
        <w:t xml:space="preserve"> </w:t>
      </w:r>
      <w:r w:rsidRPr="001F4C34">
        <w:rPr>
          <w:rFonts w:cs="Times"/>
          <w:b/>
          <w:bCs/>
          <w:noProof/>
          <w:szCs w:val="24"/>
        </w:rPr>
        <w:t>2013</w:t>
      </w:r>
      <w:r w:rsidRPr="001F4C34">
        <w:rPr>
          <w:rFonts w:cs="Times"/>
          <w:noProof/>
          <w:szCs w:val="24"/>
        </w:rPr>
        <w:t xml:space="preserve">, </w:t>
      </w:r>
      <w:r w:rsidRPr="001F4C34">
        <w:rPr>
          <w:rFonts w:cs="Times"/>
          <w:i/>
          <w:iCs/>
          <w:noProof/>
          <w:szCs w:val="24"/>
        </w:rPr>
        <w:t>4</w:t>
      </w:r>
      <w:r w:rsidRPr="001F4C34">
        <w:rPr>
          <w:rFonts w:cs="Times"/>
          <w:noProof/>
          <w:szCs w:val="24"/>
        </w:rPr>
        <w:t xml:space="preserve"> (15), 2508–2513.</w:t>
      </w:r>
    </w:p>
    <w:p w14:paraId="62AB9B78"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(38) </w:t>
      </w:r>
      <w:r w:rsidRPr="001F4C34">
        <w:rPr>
          <w:rFonts w:cs="Times"/>
          <w:noProof/>
          <w:szCs w:val="24"/>
        </w:rPr>
        <w:tab/>
        <w:t xml:space="preserve">Perea-López, N.; Lin, Z.; Pradhan, N. R.; Iñiguez-Rábago, A.; Laura Elías, A.; McCreary, A.; Lou, J.; Ajayan, P. M.; Terrones, H.; Balicas, L.; et al. CVD-Grown Monolayered MoS </w:t>
      </w:r>
      <w:r w:rsidRPr="001F4C34">
        <w:rPr>
          <w:rFonts w:cs="Times"/>
          <w:noProof/>
          <w:szCs w:val="24"/>
          <w:vertAlign w:val="subscript"/>
        </w:rPr>
        <w:t>2</w:t>
      </w:r>
      <w:r w:rsidRPr="001F4C34">
        <w:rPr>
          <w:rFonts w:cs="Times"/>
          <w:noProof/>
          <w:szCs w:val="24"/>
        </w:rPr>
        <w:t xml:space="preserve"> as an Effective Photosensor Operating at Low-Voltage. </w:t>
      </w:r>
      <w:r w:rsidRPr="001F4C34">
        <w:rPr>
          <w:rFonts w:cs="Times"/>
          <w:i/>
          <w:iCs/>
          <w:noProof/>
          <w:szCs w:val="24"/>
        </w:rPr>
        <w:t>2D Mater.</w:t>
      </w:r>
      <w:r w:rsidRPr="001F4C34">
        <w:rPr>
          <w:rFonts w:cs="Times"/>
          <w:noProof/>
          <w:szCs w:val="24"/>
        </w:rPr>
        <w:t xml:space="preserve"> </w:t>
      </w:r>
      <w:r w:rsidRPr="001F4C34">
        <w:rPr>
          <w:rFonts w:cs="Times"/>
          <w:b/>
          <w:bCs/>
          <w:noProof/>
          <w:szCs w:val="24"/>
        </w:rPr>
        <w:t>2014</w:t>
      </w:r>
      <w:r w:rsidRPr="001F4C34">
        <w:rPr>
          <w:rFonts w:cs="Times"/>
          <w:noProof/>
          <w:szCs w:val="24"/>
        </w:rPr>
        <w:t xml:space="preserve">, </w:t>
      </w:r>
      <w:r w:rsidRPr="001F4C34">
        <w:rPr>
          <w:rFonts w:cs="Times"/>
          <w:i/>
          <w:iCs/>
          <w:noProof/>
          <w:szCs w:val="24"/>
        </w:rPr>
        <w:t>1</w:t>
      </w:r>
      <w:r w:rsidRPr="001F4C34">
        <w:rPr>
          <w:rFonts w:cs="Times"/>
          <w:noProof/>
          <w:szCs w:val="24"/>
        </w:rPr>
        <w:t xml:space="preserve"> (1), 011004.</w:t>
      </w:r>
    </w:p>
    <w:p w14:paraId="6C782674" w14:textId="0F80010D"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(39) </w:t>
      </w:r>
      <w:r w:rsidRPr="001F4C34">
        <w:rPr>
          <w:rFonts w:cs="Times"/>
          <w:noProof/>
          <w:szCs w:val="24"/>
        </w:rPr>
        <w:tab/>
        <w:t>Klee, V.; Preciado, E.; Barroso, D.; Nguyen, A. E.; Lee, C.; Erickson, K. J.; Triplett, M.; Davis, B.; Lu, I.; Bobek, S.; et al. Superlinear Composition-Dependent Photocurrent in CVD-Grown Monolayer MoS</w:t>
      </w:r>
      <w:r w:rsidR="006552CE">
        <w:rPr>
          <w:rFonts w:cs="Times"/>
          <w:noProof/>
          <w:szCs w:val="24"/>
          <w:vertAlign w:val="subscript"/>
        </w:rPr>
        <w:t>2</w:t>
      </w:r>
      <w:r w:rsidRPr="006552CE">
        <w:rPr>
          <w:rFonts w:cs="Times"/>
          <w:noProof/>
          <w:szCs w:val="24"/>
          <w:vertAlign w:val="subscript"/>
        </w:rPr>
        <w:t>(1– x )</w:t>
      </w:r>
      <w:r w:rsidR="006552CE">
        <w:rPr>
          <w:rFonts w:cs="Times"/>
          <w:noProof/>
          <w:szCs w:val="24"/>
        </w:rPr>
        <w:t>Se</w:t>
      </w:r>
      <w:r w:rsidR="006552CE" w:rsidRPr="006552CE">
        <w:rPr>
          <w:rFonts w:cs="Times"/>
          <w:noProof/>
          <w:szCs w:val="24"/>
          <w:vertAlign w:val="subscript"/>
        </w:rPr>
        <w:t>2</w:t>
      </w:r>
      <w:r w:rsidRPr="006552CE">
        <w:rPr>
          <w:rFonts w:cs="Times"/>
          <w:noProof/>
          <w:szCs w:val="24"/>
          <w:vertAlign w:val="subscript"/>
        </w:rPr>
        <w:t>x</w:t>
      </w:r>
      <w:r w:rsidRPr="001F4C34">
        <w:rPr>
          <w:rFonts w:cs="Times"/>
          <w:noProof/>
          <w:szCs w:val="24"/>
        </w:rPr>
        <w:t xml:space="preserve"> Alloy Devices. </w:t>
      </w:r>
      <w:r w:rsidRPr="001F4C34">
        <w:rPr>
          <w:rFonts w:cs="Times"/>
          <w:i/>
          <w:iCs/>
          <w:noProof/>
          <w:szCs w:val="24"/>
        </w:rPr>
        <w:t>Nano Lett.</w:t>
      </w:r>
      <w:r w:rsidRPr="001F4C34">
        <w:rPr>
          <w:rFonts w:cs="Times"/>
          <w:noProof/>
          <w:szCs w:val="24"/>
        </w:rPr>
        <w:t xml:space="preserve"> </w:t>
      </w:r>
      <w:r w:rsidRPr="001F4C34">
        <w:rPr>
          <w:rFonts w:cs="Times"/>
          <w:b/>
          <w:bCs/>
          <w:noProof/>
          <w:szCs w:val="24"/>
        </w:rPr>
        <w:t>2015</w:t>
      </w:r>
      <w:r w:rsidRPr="001F4C34">
        <w:rPr>
          <w:rFonts w:cs="Times"/>
          <w:noProof/>
          <w:szCs w:val="24"/>
        </w:rPr>
        <w:t xml:space="preserve">, </w:t>
      </w:r>
      <w:r w:rsidRPr="001F4C34">
        <w:rPr>
          <w:rFonts w:cs="Times"/>
          <w:i/>
          <w:iCs/>
          <w:noProof/>
          <w:szCs w:val="24"/>
        </w:rPr>
        <w:t>15</w:t>
      </w:r>
      <w:r w:rsidRPr="001F4C34">
        <w:rPr>
          <w:rFonts w:cs="Times"/>
          <w:noProof/>
          <w:szCs w:val="24"/>
        </w:rPr>
        <w:t xml:space="preserve"> (4), 2612–2619.</w:t>
      </w:r>
    </w:p>
    <w:p w14:paraId="58682481" w14:textId="0A50AA49"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lastRenderedPageBreak/>
        <w:t xml:space="preserve">(40) </w:t>
      </w:r>
      <w:r w:rsidRPr="001F4C34">
        <w:rPr>
          <w:rFonts w:cs="Times"/>
          <w:noProof/>
          <w:szCs w:val="24"/>
        </w:rPr>
        <w:tab/>
        <w:t>Hong, T.; Chamlagain, B.; Wang, T.; Chuang, H.-J.; Zhou, Z.; Xu, Y.-Q. Anisotropic Photocurrent Response at Bl</w:t>
      </w:r>
      <w:r w:rsidR="006552CE">
        <w:rPr>
          <w:rFonts w:cs="Times"/>
          <w:noProof/>
          <w:szCs w:val="24"/>
        </w:rPr>
        <w:t>ack Phosphorus–MoS</w:t>
      </w:r>
      <w:r w:rsidRPr="001F4C34">
        <w:rPr>
          <w:rFonts w:cs="Times"/>
          <w:noProof/>
          <w:szCs w:val="24"/>
          <w:vertAlign w:val="subscript"/>
        </w:rPr>
        <w:t>2</w:t>
      </w:r>
      <w:r w:rsidRPr="001F4C34">
        <w:rPr>
          <w:rFonts w:cs="Times"/>
          <w:noProof/>
          <w:szCs w:val="24"/>
        </w:rPr>
        <w:t xml:space="preserve"> P–n Heterojunctions. </w:t>
      </w:r>
      <w:r w:rsidRPr="001F4C34">
        <w:rPr>
          <w:rFonts w:cs="Times"/>
          <w:i/>
          <w:iCs/>
          <w:noProof/>
          <w:szCs w:val="24"/>
        </w:rPr>
        <w:t>Nanoscale</w:t>
      </w:r>
      <w:r w:rsidRPr="001F4C34">
        <w:rPr>
          <w:rFonts w:cs="Times"/>
          <w:noProof/>
          <w:szCs w:val="24"/>
        </w:rPr>
        <w:t xml:space="preserve"> </w:t>
      </w:r>
      <w:r w:rsidRPr="001F4C34">
        <w:rPr>
          <w:rFonts w:cs="Times"/>
          <w:b/>
          <w:bCs/>
          <w:noProof/>
          <w:szCs w:val="24"/>
        </w:rPr>
        <w:t>2015</w:t>
      </w:r>
      <w:r w:rsidRPr="001F4C34">
        <w:rPr>
          <w:rFonts w:cs="Times"/>
          <w:noProof/>
          <w:szCs w:val="24"/>
        </w:rPr>
        <w:t xml:space="preserve">, </w:t>
      </w:r>
      <w:r w:rsidRPr="001F4C34">
        <w:rPr>
          <w:rFonts w:cs="Times"/>
          <w:i/>
          <w:iCs/>
          <w:noProof/>
          <w:szCs w:val="24"/>
        </w:rPr>
        <w:t>7</w:t>
      </w:r>
      <w:r w:rsidRPr="001F4C34">
        <w:rPr>
          <w:rFonts w:cs="Times"/>
          <w:noProof/>
          <w:szCs w:val="24"/>
        </w:rPr>
        <w:t xml:space="preserve"> (44), 18537–18541.</w:t>
      </w:r>
    </w:p>
    <w:p w14:paraId="2E4D4627"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(41) </w:t>
      </w:r>
      <w:r w:rsidRPr="001F4C34">
        <w:rPr>
          <w:rFonts w:cs="Times"/>
          <w:noProof/>
          <w:szCs w:val="24"/>
        </w:rPr>
        <w:tab/>
        <w:t xml:space="preserve">Velusamy, D. B.; Kim, R. H.; Cha, S.; Huh, J.; Khazaeinezhad, R.; Kassani, S. H.; Song, G.; Cho, S. M.; Cho, S. H.; Hwang, I.; et al. Flexible Transition Metal Dichalcogenide Nanosheets for Band-Selective Photodetection. </w:t>
      </w:r>
      <w:r w:rsidRPr="001F4C34">
        <w:rPr>
          <w:rFonts w:cs="Times"/>
          <w:i/>
          <w:iCs/>
          <w:noProof/>
          <w:szCs w:val="24"/>
        </w:rPr>
        <w:t>Nat. Commun.</w:t>
      </w:r>
      <w:r w:rsidRPr="001F4C34">
        <w:rPr>
          <w:rFonts w:cs="Times"/>
          <w:noProof/>
          <w:szCs w:val="24"/>
        </w:rPr>
        <w:t xml:space="preserve"> </w:t>
      </w:r>
      <w:r w:rsidRPr="001F4C34">
        <w:rPr>
          <w:rFonts w:cs="Times"/>
          <w:b/>
          <w:bCs/>
          <w:noProof/>
          <w:szCs w:val="24"/>
        </w:rPr>
        <w:t>2015</w:t>
      </w:r>
      <w:r w:rsidRPr="001F4C34">
        <w:rPr>
          <w:rFonts w:cs="Times"/>
          <w:noProof/>
          <w:szCs w:val="24"/>
        </w:rPr>
        <w:t xml:space="preserve">, </w:t>
      </w:r>
      <w:r w:rsidRPr="001F4C34">
        <w:rPr>
          <w:rFonts w:cs="Times"/>
          <w:i/>
          <w:iCs/>
          <w:noProof/>
          <w:szCs w:val="24"/>
        </w:rPr>
        <w:t>6</w:t>
      </w:r>
      <w:r w:rsidRPr="001F4C34">
        <w:rPr>
          <w:rFonts w:cs="Times"/>
          <w:noProof/>
          <w:szCs w:val="24"/>
        </w:rPr>
        <w:t>, 1–11.</w:t>
      </w:r>
    </w:p>
    <w:p w14:paraId="6588FF1D"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(42) </w:t>
      </w:r>
      <w:r w:rsidRPr="001F4C34">
        <w:rPr>
          <w:rFonts w:cs="Times"/>
          <w:noProof/>
          <w:szCs w:val="24"/>
        </w:rPr>
        <w:tab/>
        <w:t xml:space="preserve">Bube, R. H. A New Mechanism for Superlinear Photoconductivity with Relevance to Amorphous Silicon. </w:t>
      </w:r>
      <w:r w:rsidRPr="001F4C34">
        <w:rPr>
          <w:rFonts w:cs="Times"/>
          <w:i/>
          <w:iCs/>
          <w:noProof/>
          <w:szCs w:val="24"/>
        </w:rPr>
        <w:t>J. Appl. Phys.</w:t>
      </w:r>
      <w:r w:rsidRPr="001F4C34">
        <w:rPr>
          <w:rFonts w:cs="Times"/>
          <w:noProof/>
          <w:szCs w:val="24"/>
        </w:rPr>
        <w:t xml:space="preserve"> </w:t>
      </w:r>
      <w:r w:rsidRPr="001F4C34">
        <w:rPr>
          <w:rFonts w:cs="Times"/>
          <w:b/>
          <w:bCs/>
          <w:noProof/>
          <w:szCs w:val="24"/>
        </w:rPr>
        <w:t>1993</w:t>
      </w:r>
      <w:r w:rsidRPr="001F4C34">
        <w:rPr>
          <w:rFonts w:cs="Times"/>
          <w:noProof/>
          <w:szCs w:val="24"/>
        </w:rPr>
        <w:t xml:space="preserve">, </w:t>
      </w:r>
      <w:r w:rsidRPr="001F4C34">
        <w:rPr>
          <w:rFonts w:cs="Times"/>
          <w:i/>
          <w:iCs/>
          <w:noProof/>
          <w:szCs w:val="24"/>
        </w:rPr>
        <w:t>74</w:t>
      </w:r>
      <w:r w:rsidRPr="001F4C34">
        <w:rPr>
          <w:rFonts w:cs="Times"/>
          <w:noProof/>
          <w:szCs w:val="24"/>
        </w:rPr>
        <w:t xml:space="preserve"> (8), 5138–5143.</w:t>
      </w:r>
    </w:p>
    <w:p w14:paraId="53AFD72C"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(43) </w:t>
      </w:r>
      <w:r w:rsidRPr="001F4C34">
        <w:rPr>
          <w:rFonts w:cs="Times"/>
          <w:noProof/>
          <w:szCs w:val="24"/>
        </w:rPr>
        <w:tab/>
        <w:t>Bollinger, M. V.; Lauritsen, J. V.; Jacobsen, K. W.; Nørskov, J. K.; Helveg, S.; Besenbacher, F. One-Dimensional Metallic Edge States in MoS</w:t>
      </w:r>
      <w:r w:rsidRPr="006552CE">
        <w:rPr>
          <w:rFonts w:cs="Times"/>
          <w:noProof/>
          <w:szCs w:val="24"/>
          <w:vertAlign w:val="subscript"/>
        </w:rPr>
        <w:t>2</w:t>
      </w:r>
      <w:r w:rsidRPr="001F4C34">
        <w:rPr>
          <w:rFonts w:cs="Times"/>
          <w:noProof/>
          <w:szCs w:val="24"/>
        </w:rPr>
        <w:t xml:space="preserve">. </w:t>
      </w:r>
      <w:r w:rsidRPr="001F4C34">
        <w:rPr>
          <w:rFonts w:cs="Times"/>
          <w:i/>
          <w:iCs/>
          <w:noProof/>
          <w:szCs w:val="24"/>
        </w:rPr>
        <w:t>Phys. Rev. Lett.</w:t>
      </w:r>
      <w:r w:rsidRPr="001F4C34">
        <w:rPr>
          <w:rFonts w:cs="Times"/>
          <w:noProof/>
          <w:szCs w:val="24"/>
        </w:rPr>
        <w:t xml:space="preserve"> </w:t>
      </w:r>
      <w:r w:rsidRPr="001F4C34">
        <w:rPr>
          <w:rFonts w:cs="Times"/>
          <w:b/>
          <w:bCs/>
          <w:noProof/>
          <w:szCs w:val="24"/>
        </w:rPr>
        <w:t>2001</w:t>
      </w:r>
      <w:r w:rsidRPr="001F4C34">
        <w:rPr>
          <w:rFonts w:cs="Times"/>
          <w:noProof/>
          <w:szCs w:val="24"/>
        </w:rPr>
        <w:t xml:space="preserve">, </w:t>
      </w:r>
      <w:r w:rsidRPr="001F4C34">
        <w:rPr>
          <w:rFonts w:cs="Times"/>
          <w:i/>
          <w:iCs/>
          <w:noProof/>
          <w:szCs w:val="24"/>
        </w:rPr>
        <w:t>87</w:t>
      </w:r>
      <w:r w:rsidRPr="001F4C34">
        <w:rPr>
          <w:rFonts w:cs="Times"/>
          <w:noProof/>
          <w:szCs w:val="24"/>
        </w:rPr>
        <w:t xml:space="preserve"> (19), 196803.</w:t>
      </w:r>
    </w:p>
    <w:p w14:paraId="1BDE9272"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(44) </w:t>
      </w:r>
      <w:r w:rsidRPr="001F4C34">
        <w:rPr>
          <w:rFonts w:cs="Times"/>
          <w:noProof/>
          <w:szCs w:val="24"/>
        </w:rPr>
        <w:tab/>
        <w:t xml:space="preserve">Zhou, W.; Zou, X.; Najmaei, S.; Liu, Z.; Shi, Y.; Kong, J.; Lou, J.; Ajayan, P. M.; Yakobson, B. I.; Idrobo, J.-C. Intrinsic Structural Defects in Monolayer Molybdenum Disulfide. </w:t>
      </w:r>
      <w:r w:rsidRPr="001F4C34">
        <w:rPr>
          <w:rFonts w:cs="Times"/>
          <w:i/>
          <w:iCs/>
          <w:noProof/>
          <w:szCs w:val="24"/>
        </w:rPr>
        <w:t>Nano Lett.</w:t>
      </w:r>
      <w:r w:rsidRPr="001F4C34">
        <w:rPr>
          <w:rFonts w:cs="Times"/>
          <w:noProof/>
          <w:szCs w:val="24"/>
        </w:rPr>
        <w:t xml:space="preserve"> </w:t>
      </w:r>
      <w:r w:rsidRPr="001F4C34">
        <w:rPr>
          <w:rFonts w:cs="Times"/>
          <w:b/>
          <w:bCs/>
          <w:noProof/>
          <w:szCs w:val="24"/>
        </w:rPr>
        <w:t>2013</w:t>
      </w:r>
      <w:r w:rsidRPr="001F4C34">
        <w:rPr>
          <w:rFonts w:cs="Times"/>
          <w:noProof/>
          <w:szCs w:val="24"/>
        </w:rPr>
        <w:t xml:space="preserve">, </w:t>
      </w:r>
      <w:r w:rsidRPr="001F4C34">
        <w:rPr>
          <w:rFonts w:cs="Times"/>
          <w:i/>
          <w:iCs/>
          <w:noProof/>
          <w:szCs w:val="24"/>
        </w:rPr>
        <w:t>13</w:t>
      </w:r>
      <w:r w:rsidRPr="001F4C34">
        <w:rPr>
          <w:rFonts w:cs="Times"/>
          <w:noProof/>
          <w:szCs w:val="24"/>
        </w:rPr>
        <w:t xml:space="preserve"> (6), 2615–2622.</w:t>
      </w:r>
    </w:p>
    <w:p w14:paraId="44A4E2A0"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(45) </w:t>
      </w:r>
      <w:r w:rsidRPr="001F4C34">
        <w:rPr>
          <w:rFonts w:cs="Times"/>
          <w:noProof/>
          <w:szCs w:val="24"/>
        </w:rPr>
        <w:tab/>
        <w:t xml:space="preserve">Tongay, S.; Suh, J.; Ataca, C.; Fan, W.; Luce, A.; Kang, J. S.; Liu, J.; Ko, C.; Raghunathanan, R.; Zhou, J.; et al. Defects Activated Photoluminescence in Two-Dimensional Semiconductors: Interplay between Bound, Charged, and Free Excitons. </w:t>
      </w:r>
      <w:r w:rsidRPr="001F4C34">
        <w:rPr>
          <w:rFonts w:cs="Times"/>
          <w:i/>
          <w:iCs/>
          <w:noProof/>
          <w:szCs w:val="24"/>
        </w:rPr>
        <w:t>Sci. Rep.</w:t>
      </w:r>
      <w:r w:rsidRPr="001F4C34">
        <w:rPr>
          <w:rFonts w:cs="Times"/>
          <w:noProof/>
          <w:szCs w:val="24"/>
        </w:rPr>
        <w:t xml:space="preserve"> </w:t>
      </w:r>
      <w:r w:rsidRPr="001F4C34">
        <w:rPr>
          <w:rFonts w:cs="Times"/>
          <w:b/>
          <w:bCs/>
          <w:noProof/>
          <w:szCs w:val="24"/>
        </w:rPr>
        <w:t>2013</w:t>
      </w:r>
      <w:r w:rsidRPr="001F4C34">
        <w:rPr>
          <w:rFonts w:cs="Times"/>
          <w:noProof/>
          <w:szCs w:val="24"/>
        </w:rPr>
        <w:t xml:space="preserve">, </w:t>
      </w:r>
      <w:r w:rsidRPr="001F4C34">
        <w:rPr>
          <w:rFonts w:cs="Times"/>
          <w:i/>
          <w:iCs/>
          <w:noProof/>
          <w:szCs w:val="24"/>
        </w:rPr>
        <w:t>3</w:t>
      </w:r>
      <w:r w:rsidRPr="001F4C34">
        <w:rPr>
          <w:rFonts w:cs="Times"/>
          <w:noProof/>
          <w:szCs w:val="24"/>
        </w:rPr>
        <w:t xml:space="preserve"> (1), 2657.</w:t>
      </w:r>
    </w:p>
    <w:p w14:paraId="0496EB58"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(46) </w:t>
      </w:r>
      <w:r w:rsidRPr="001F4C34">
        <w:rPr>
          <w:rFonts w:cs="Times"/>
          <w:noProof/>
          <w:szCs w:val="24"/>
        </w:rPr>
        <w:tab/>
        <w:t>Lu, Z.; Lee, O.; Wong, J. C.; Salahuddin, S. Surface States in a Monolayer MoS</w:t>
      </w:r>
      <w:r w:rsidRPr="006552CE">
        <w:rPr>
          <w:rFonts w:cs="Times"/>
          <w:noProof/>
          <w:szCs w:val="24"/>
          <w:vertAlign w:val="subscript"/>
        </w:rPr>
        <w:t>2</w:t>
      </w:r>
      <w:r w:rsidRPr="001F4C34">
        <w:rPr>
          <w:rFonts w:cs="Times"/>
          <w:noProof/>
          <w:szCs w:val="24"/>
        </w:rPr>
        <w:t xml:space="preserve"> Transistor. </w:t>
      </w:r>
      <w:r w:rsidRPr="001F4C34">
        <w:rPr>
          <w:rFonts w:cs="Times"/>
          <w:i/>
          <w:iCs/>
          <w:noProof/>
          <w:szCs w:val="24"/>
        </w:rPr>
        <w:t>J. Mater. Res.</w:t>
      </w:r>
      <w:r w:rsidRPr="001F4C34">
        <w:rPr>
          <w:rFonts w:cs="Times"/>
          <w:noProof/>
          <w:szCs w:val="24"/>
        </w:rPr>
        <w:t xml:space="preserve"> </w:t>
      </w:r>
      <w:r w:rsidRPr="001F4C34">
        <w:rPr>
          <w:rFonts w:cs="Times"/>
          <w:b/>
          <w:bCs/>
          <w:noProof/>
          <w:szCs w:val="24"/>
        </w:rPr>
        <w:t>2016</w:t>
      </w:r>
      <w:r w:rsidRPr="001F4C34">
        <w:rPr>
          <w:rFonts w:cs="Times"/>
          <w:noProof/>
          <w:szCs w:val="24"/>
        </w:rPr>
        <w:t xml:space="preserve">, </w:t>
      </w:r>
      <w:r w:rsidRPr="001F4C34">
        <w:rPr>
          <w:rFonts w:cs="Times"/>
          <w:i/>
          <w:iCs/>
          <w:noProof/>
          <w:szCs w:val="24"/>
        </w:rPr>
        <w:t>31</w:t>
      </w:r>
      <w:r w:rsidRPr="001F4C34">
        <w:rPr>
          <w:rFonts w:cs="Times"/>
          <w:noProof/>
          <w:szCs w:val="24"/>
        </w:rPr>
        <w:t xml:space="preserve"> (07), 911–916.</w:t>
      </w:r>
    </w:p>
    <w:p w14:paraId="2CCF52EE"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(47) </w:t>
      </w:r>
      <w:r w:rsidRPr="001F4C34">
        <w:rPr>
          <w:rFonts w:cs="Times"/>
          <w:noProof/>
          <w:szCs w:val="24"/>
        </w:rPr>
        <w:tab/>
        <w:t xml:space="preserve">Van Der Meer, B. W.; Coker, G.; Chen, S. Y. S. </w:t>
      </w:r>
      <w:r w:rsidRPr="001F4C34">
        <w:rPr>
          <w:rFonts w:cs="Times"/>
          <w:i/>
          <w:iCs/>
          <w:noProof/>
          <w:szCs w:val="24"/>
        </w:rPr>
        <w:t>Resonance Energy Transfer: Theory and Data</w:t>
      </w:r>
      <w:r w:rsidRPr="001F4C34">
        <w:rPr>
          <w:rFonts w:cs="Times"/>
          <w:noProof/>
          <w:szCs w:val="24"/>
        </w:rPr>
        <w:t>; Wiley, 1994.</w:t>
      </w:r>
    </w:p>
    <w:p w14:paraId="28AD44A3" w14:textId="77777777" w:rsidR="001F4C34" w:rsidRPr="001F4C34" w:rsidRDefault="001F4C34" w:rsidP="001F4C34">
      <w:pPr>
        <w:widowControl w:val="0"/>
        <w:autoSpaceDE w:val="0"/>
        <w:autoSpaceDN w:val="0"/>
        <w:adjustRightInd w:val="0"/>
        <w:spacing w:after="0" w:line="480" w:lineRule="auto"/>
        <w:ind w:left="640" w:hanging="640"/>
        <w:rPr>
          <w:rFonts w:cs="Times"/>
          <w:noProof/>
          <w:szCs w:val="24"/>
        </w:rPr>
      </w:pPr>
      <w:r w:rsidRPr="001F4C34">
        <w:rPr>
          <w:rFonts w:cs="Times"/>
          <w:noProof/>
          <w:szCs w:val="24"/>
        </w:rPr>
        <w:t xml:space="preserve">(48) </w:t>
      </w:r>
      <w:r w:rsidRPr="001F4C34">
        <w:rPr>
          <w:rFonts w:cs="Times"/>
          <w:noProof/>
          <w:szCs w:val="24"/>
        </w:rPr>
        <w:tab/>
        <w:t xml:space="preserve">O’Brien, M.; McEvoy, N.; Hallam, T.; Kim, H.-Y.; Berner, N. C.; Hanlon, D.; Lee, K.; </w:t>
      </w:r>
      <w:r w:rsidRPr="001F4C34">
        <w:rPr>
          <w:rFonts w:cs="Times"/>
          <w:noProof/>
          <w:szCs w:val="24"/>
        </w:rPr>
        <w:lastRenderedPageBreak/>
        <w:t xml:space="preserve">Coleman, J. N.; Duesberg, G. S. Transition Metal Dichalcogenide Growth via Close Proximity Precursor Supply. </w:t>
      </w:r>
      <w:r w:rsidRPr="001F4C34">
        <w:rPr>
          <w:rFonts w:cs="Times"/>
          <w:i/>
          <w:iCs/>
          <w:noProof/>
          <w:szCs w:val="24"/>
        </w:rPr>
        <w:t>Sci. Rep.</w:t>
      </w:r>
      <w:r w:rsidRPr="001F4C34">
        <w:rPr>
          <w:rFonts w:cs="Times"/>
          <w:noProof/>
          <w:szCs w:val="24"/>
        </w:rPr>
        <w:t xml:space="preserve"> </w:t>
      </w:r>
      <w:r w:rsidRPr="001F4C34">
        <w:rPr>
          <w:rFonts w:cs="Times"/>
          <w:b/>
          <w:bCs/>
          <w:noProof/>
          <w:szCs w:val="24"/>
        </w:rPr>
        <w:t>2014</w:t>
      </w:r>
      <w:r w:rsidRPr="001F4C34">
        <w:rPr>
          <w:rFonts w:cs="Times"/>
          <w:noProof/>
          <w:szCs w:val="24"/>
        </w:rPr>
        <w:t xml:space="preserve">, </w:t>
      </w:r>
      <w:r w:rsidRPr="001F4C34">
        <w:rPr>
          <w:rFonts w:cs="Times"/>
          <w:i/>
          <w:iCs/>
          <w:noProof/>
          <w:szCs w:val="24"/>
        </w:rPr>
        <w:t>4</w:t>
      </w:r>
      <w:r w:rsidRPr="001F4C34">
        <w:rPr>
          <w:rFonts w:cs="Times"/>
          <w:noProof/>
          <w:szCs w:val="24"/>
        </w:rPr>
        <w:t>, 7374.</w:t>
      </w:r>
    </w:p>
    <w:p w14:paraId="1A2EE255" w14:textId="77777777" w:rsidR="001F4C34" w:rsidRPr="001F4C34" w:rsidRDefault="001F4C34" w:rsidP="001F4C34">
      <w:pPr>
        <w:widowControl w:val="0"/>
        <w:autoSpaceDE w:val="0"/>
        <w:autoSpaceDN w:val="0"/>
        <w:adjustRightInd w:val="0"/>
        <w:spacing w:after="0" w:line="480" w:lineRule="auto"/>
        <w:ind w:left="640" w:hanging="640"/>
        <w:rPr>
          <w:rFonts w:cs="Times"/>
          <w:noProof/>
        </w:rPr>
      </w:pPr>
      <w:r w:rsidRPr="001F4C34">
        <w:rPr>
          <w:rFonts w:cs="Times"/>
          <w:noProof/>
          <w:szCs w:val="24"/>
        </w:rPr>
        <w:t xml:space="preserve">(49) </w:t>
      </w:r>
      <w:r w:rsidRPr="001F4C34">
        <w:rPr>
          <w:rFonts w:cs="Times"/>
          <w:noProof/>
          <w:szCs w:val="24"/>
        </w:rPr>
        <w:tab/>
        <w:t xml:space="preserve">Hanlon, D.; Backes, C.; Higgins, T. M.; Hughes, M.; O?Neill, A.; King, P.; McEvoy, N.; Duesberg, G. S.; Mendoza Sanchez, B.; Pettersson, H.; et al. Production of Molybdenum Trioxide Nanosheets by Liquid Exfoliation and Their Application in High-Performance Supercapacitors. </w:t>
      </w:r>
      <w:r w:rsidRPr="001F4C34">
        <w:rPr>
          <w:rFonts w:cs="Times"/>
          <w:i/>
          <w:iCs/>
          <w:noProof/>
          <w:szCs w:val="24"/>
        </w:rPr>
        <w:t>Chem. Mater.</w:t>
      </w:r>
      <w:r w:rsidRPr="001F4C34">
        <w:rPr>
          <w:rFonts w:cs="Times"/>
          <w:noProof/>
          <w:szCs w:val="24"/>
        </w:rPr>
        <w:t xml:space="preserve"> </w:t>
      </w:r>
      <w:r w:rsidRPr="001F4C34">
        <w:rPr>
          <w:rFonts w:cs="Times"/>
          <w:b/>
          <w:bCs/>
          <w:noProof/>
          <w:szCs w:val="24"/>
        </w:rPr>
        <w:t>2014</w:t>
      </w:r>
      <w:r w:rsidRPr="001F4C34">
        <w:rPr>
          <w:rFonts w:cs="Times"/>
          <w:noProof/>
          <w:szCs w:val="24"/>
        </w:rPr>
        <w:t xml:space="preserve">, </w:t>
      </w:r>
      <w:r w:rsidRPr="001F4C34">
        <w:rPr>
          <w:rFonts w:cs="Times"/>
          <w:i/>
          <w:iCs/>
          <w:noProof/>
          <w:szCs w:val="24"/>
        </w:rPr>
        <w:t>26</w:t>
      </w:r>
      <w:r w:rsidRPr="001F4C34">
        <w:rPr>
          <w:rFonts w:cs="Times"/>
          <w:noProof/>
          <w:szCs w:val="24"/>
        </w:rPr>
        <w:t xml:space="preserve"> (4), 1751–1763.</w:t>
      </w:r>
    </w:p>
    <w:p w14:paraId="2A0FF48F" w14:textId="6EFE98FA" w:rsidR="009246AD" w:rsidRDefault="00840D5C" w:rsidP="00840D5C">
      <w:pPr>
        <w:pStyle w:val="TFReferencesSection"/>
        <w:spacing w:after="0"/>
        <w:ind w:firstLine="0"/>
      </w:pPr>
      <w:r>
        <w:fldChar w:fldCharType="end"/>
      </w:r>
    </w:p>
    <w:p w14:paraId="51C1E170" w14:textId="6E6308E4" w:rsidR="000F3BC6" w:rsidRDefault="000F3BC6" w:rsidP="000B5610">
      <w:pPr>
        <w:pStyle w:val="SNSynopsisTOC"/>
        <w:spacing w:after="240"/>
        <w:jc w:val="left"/>
      </w:pPr>
    </w:p>
    <w:sectPr w:rsidR="000F3BC6" w:rsidSect="000B5610">
      <w:footerReference w:type="even" r:id="rId16"/>
      <w:footerReference w:type="default" r:id="rId17"/>
      <w:type w:val="continuous"/>
      <w:pgSz w:w="12240" w:h="15840"/>
      <w:pgMar w:top="1440" w:right="1440" w:bottom="1440" w:left="1440" w:header="0" w:footer="0" w:gutter="0"/>
      <w:cols w:space="47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0AB8B" w14:textId="77777777" w:rsidR="00F6410F" w:rsidRDefault="00F6410F">
      <w:r>
        <w:separator/>
      </w:r>
    </w:p>
  </w:endnote>
  <w:endnote w:type="continuationSeparator" w:id="0">
    <w:p w14:paraId="2E82D4E2" w14:textId="77777777" w:rsidR="00F6410F" w:rsidRDefault="00F6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no Pro">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3E20A" w14:textId="77777777" w:rsidR="001F4C34" w:rsidRDefault="001F4C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2237844" w14:textId="77777777" w:rsidR="001F4C34" w:rsidRDefault="001F4C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C0508" w14:textId="58A494EA" w:rsidR="001F4C34" w:rsidRDefault="001F4C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749C">
      <w:rPr>
        <w:rStyle w:val="PageNumber"/>
        <w:noProof/>
      </w:rPr>
      <w:t>1</w:t>
    </w:r>
    <w:r>
      <w:rPr>
        <w:rStyle w:val="PageNumber"/>
      </w:rPr>
      <w:fldChar w:fldCharType="end"/>
    </w:r>
  </w:p>
  <w:p w14:paraId="6EE9D1AE" w14:textId="77777777" w:rsidR="001F4C34" w:rsidRDefault="001F4C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50ABB" w14:textId="77777777" w:rsidR="00F6410F" w:rsidRDefault="00F6410F">
      <w:r>
        <w:separator/>
      </w:r>
    </w:p>
  </w:footnote>
  <w:footnote w:type="continuationSeparator" w:id="0">
    <w:p w14:paraId="77B98928" w14:textId="77777777" w:rsidR="00F6410F" w:rsidRDefault="00F64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3"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6"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7"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num w:numId="1">
    <w:abstractNumId w:val="6"/>
  </w:num>
  <w:num w:numId="2">
    <w:abstractNumId w:val="4"/>
  </w:num>
  <w:num w:numId="3">
    <w:abstractNumId w:val="7"/>
  </w:num>
  <w:num w:numId="4">
    <w:abstractNumId w:val="5"/>
  </w:num>
  <w:num w:numId="5">
    <w:abstractNumId w:val="3"/>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132"/>
    <w:rsid w:val="000000DC"/>
    <w:rsid w:val="000059AF"/>
    <w:rsid w:val="000101E6"/>
    <w:rsid w:val="00010B98"/>
    <w:rsid w:val="0001534A"/>
    <w:rsid w:val="00015D80"/>
    <w:rsid w:val="00016FB0"/>
    <w:rsid w:val="00023F8C"/>
    <w:rsid w:val="0003390F"/>
    <w:rsid w:val="000410AB"/>
    <w:rsid w:val="0004181A"/>
    <w:rsid w:val="00043A25"/>
    <w:rsid w:val="0004450F"/>
    <w:rsid w:val="00046A92"/>
    <w:rsid w:val="000500DC"/>
    <w:rsid w:val="000504F9"/>
    <w:rsid w:val="0005660F"/>
    <w:rsid w:val="00064FFA"/>
    <w:rsid w:val="00066576"/>
    <w:rsid w:val="000702AD"/>
    <w:rsid w:val="00071A79"/>
    <w:rsid w:val="00075F9B"/>
    <w:rsid w:val="00076B27"/>
    <w:rsid w:val="000822F5"/>
    <w:rsid w:val="0008241A"/>
    <w:rsid w:val="0008290C"/>
    <w:rsid w:val="00085F41"/>
    <w:rsid w:val="00094225"/>
    <w:rsid w:val="000A17DF"/>
    <w:rsid w:val="000B2C05"/>
    <w:rsid w:val="000B5610"/>
    <w:rsid w:val="000C05CC"/>
    <w:rsid w:val="000C5F32"/>
    <w:rsid w:val="000D4A42"/>
    <w:rsid w:val="000E1113"/>
    <w:rsid w:val="000E29B0"/>
    <w:rsid w:val="000E3C48"/>
    <w:rsid w:val="000F3BC6"/>
    <w:rsid w:val="000F5FF9"/>
    <w:rsid w:val="00111AEA"/>
    <w:rsid w:val="001153B7"/>
    <w:rsid w:val="00125CC2"/>
    <w:rsid w:val="00132736"/>
    <w:rsid w:val="00135E53"/>
    <w:rsid w:val="00144B40"/>
    <w:rsid w:val="001559CF"/>
    <w:rsid w:val="00156E1F"/>
    <w:rsid w:val="00164A9C"/>
    <w:rsid w:val="00171E8C"/>
    <w:rsid w:val="00175317"/>
    <w:rsid w:val="0018197D"/>
    <w:rsid w:val="00192132"/>
    <w:rsid w:val="001936EA"/>
    <w:rsid w:val="00195ACA"/>
    <w:rsid w:val="00197778"/>
    <w:rsid w:val="001A1EE2"/>
    <w:rsid w:val="001A432E"/>
    <w:rsid w:val="001A4562"/>
    <w:rsid w:val="001A7343"/>
    <w:rsid w:val="001A7A90"/>
    <w:rsid w:val="001A7BA3"/>
    <w:rsid w:val="001B05E1"/>
    <w:rsid w:val="001B46ED"/>
    <w:rsid w:val="001C2A95"/>
    <w:rsid w:val="001C71FD"/>
    <w:rsid w:val="001C7354"/>
    <w:rsid w:val="001D08F2"/>
    <w:rsid w:val="001D6AB5"/>
    <w:rsid w:val="001E132F"/>
    <w:rsid w:val="001E3829"/>
    <w:rsid w:val="001F24BF"/>
    <w:rsid w:val="001F255A"/>
    <w:rsid w:val="001F4C34"/>
    <w:rsid w:val="001F4D16"/>
    <w:rsid w:val="001F57D9"/>
    <w:rsid w:val="001F6F69"/>
    <w:rsid w:val="00202452"/>
    <w:rsid w:val="00202D33"/>
    <w:rsid w:val="002068DA"/>
    <w:rsid w:val="00206918"/>
    <w:rsid w:val="00206CCD"/>
    <w:rsid w:val="00210988"/>
    <w:rsid w:val="0021179D"/>
    <w:rsid w:val="00212B1D"/>
    <w:rsid w:val="002236AF"/>
    <w:rsid w:val="00235876"/>
    <w:rsid w:val="00244F7F"/>
    <w:rsid w:val="002704D5"/>
    <w:rsid w:val="00271A02"/>
    <w:rsid w:val="0028298B"/>
    <w:rsid w:val="002911EC"/>
    <w:rsid w:val="00294AD0"/>
    <w:rsid w:val="002951C3"/>
    <w:rsid w:val="00296182"/>
    <w:rsid w:val="002A660D"/>
    <w:rsid w:val="002A7493"/>
    <w:rsid w:val="002B073E"/>
    <w:rsid w:val="002C03B7"/>
    <w:rsid w:val="002C3398"/>
    <w:rsid w:val="002C3431"/>
    <w:rsid w:val="002C489E"/>
    <w:rsid w:val="002D3E2E"/>
    <w:rsid w:val="002D3E32"/>
    <w:rsid w:val="002D3E9B"/>
    <w:rsid w:val="002D418A"/>
    <w:rsid w:val="002E3849"/>
    <w:rsid w:val="002E5335"/>
    <w:rsid w:val="002F000E"/>
    <w:rsid w:val="002F1260"/>
    <w:rsid w:val="002F7A54"/>
    <w:rsid w:val="00300C30"/>
    <w:rsid w:val="003060D6"/>
    <w:rsid w:val="0031072D"/>
    <w:rsid w:val="00312EAA"/>
    <w:rsid w:val="0031418C"/>
    <w:rsid w:val="00324128"/>
    <w:rsid w:val="0032456C"/>
    <w:rsid w:val="00324EEC"/>
    <w:rsid w:val="00326B9C"/>
    <w:rsid w:val="0033043F"/>
    <w:rsid w:val="003339D1"/>
    <w:rsid w:val="003439E1"/>
    <w:rsid w:val="00362137"/>
    <w:rsid w:val="00363A34"/>
    <w:rsid w:val="003664E9"/>
    <w:rsid w:val="00366711"/>
    <w:rsid w:val="003679A1"/>
    <w:rsid w:val="00371A55"/>
    <w:rsid w:val="003761AE"/>
    <w:rsid w:val="003806E2"/>
    <w:rsid w:val="00380F91"/>
    <w:rsid w:val="00385980"/>
    <w:rsid w:val="00390FF4"/>
    <w:rsid w:val="00392262"/>
    <w:rsid w:val="00394578"/>
    <w:rsid w:val="00394E4A"/>
    <w:rsid w:val="0039555E"/>
    <w:rsid w:val="00395C6E"/>
    <w:rsid w:val="00397902"/>
    <w:rsid w:val="003A2BC3"/>
    <w:rsid w:val="003A38E2"/>
    <w:rsid w:val="003A6681"/>
    <w:rsid w:val="003B23E2"/>
    <w:rsid w:val="003B2A5C"/>
    <w:rsid w:val="003B4025"/>
    <w:rsid w:val="003B4AF3"/>
    <w:rsid w:val="003B5962"/>
    <w:rsid w:val="003D1F18"/>
    <w:rsid w:val="003D4B46"/>
    <w:rsid w:val="003D5502"/>
    <w:rsid w:val="003E15F2"/>
    <w:rsid w:val="003E1F76"/>
    <w:rsid w:val="003E6B3B"/>
    <w:rsid w:val="003F39DD"/>
    <w:rsid w:val="003F658B"/>
    <w:rsid w:val="003F69E4"/>
    <w:rsid w:val="003F7EBB"/>
    <w:rsid w:val="00401268"/>
    <w:rsid w:val="00403BFF"/>
    <w:rsid w:val="004118A1"/>
    <w:rsid w:val="0041244A"/>
    <w:rsid w:val="00420E21"/>
    <w:rsid w:val="00421AD9"/>
    <w:rsid w:val="00421EA0"/>
    <w:rsid w:val="00434CA4"/>
    <w:rsid w:val="00435C17"/>
    <w:rsid w:val="00465FDF"/>
    <w:rsid w:val="00475FD2"/>
    <w:rsid w:val="00476333"/>
    <w:rsid w:val="00480AF2"/>
    <w:rsid w:val="00483582"/>
    <w:rsid w:val="004837B8"/>
    <w:rsid w:val="004B1F75"/>
    <w:rsid w:val="004B47F4"/>
    <w:rsid w:val="004C0AE0"/>
    <w:rsid w:val="004C3394"/>
    <w:rsid w:val="004C7E1D"/>
    <w:rsid w:val="004D24FC"/>
    <w:rsid w:val="004E053D"/>
    <w:rsid w:val="004E7185"/>
    <w:rsid w:val="004F0167"/>
    <w:rsid w:val="0050503C"/>
    <w:rsid w:val="00513EB2"/>
    <w:rsid w:val="00524635"/>
    <w:rsid w:val="00531AA5"/>
    <w:rsid w:val="0053284D"/>
    <w:rsid w:val="00534B3C"/>
    <w:rsid w:val="00544544"/>
    <w:rsid w:val="00546AE3"/>
    <w:rsid w:val="0055353D"/>
    <w:rsid w:val="00554A1D"/>
    <w:rsid w:val="005553EF"/>
    <w:rsid w:val="00565FD7"/>
    <w:rsid w:val="00575FBC"/>
    <w:rsid w:val="00580A92"/>
    <w:rsid w:val="00583135"/>
    <w:rsid w:val="0058481D"/>
    <w:rsid w:val="00586DE8"/>
    <w:rsid w:val="00591A57"/>
    <w:rsid w:val="00594AE8"/>
    <w:rsid w:val="00594B98"/>
    <w:rsid w:val="00596A0B"/>
    <w:rsid w:val="005A02F8"/>
    <w:rsid w:val="005A397C"/>
    <w:rsid w:val="005B1B8E"/>
    <w:rsid w:val="005B4A6B"/>
    <w:rsid w:val="005C1EC3"/>
    <w:rsid w:val="005D0C10"/>
    <w:rsid w:val="005D493C"/>
    <w:rsid w:val="005D62D0"/>
    <w:rsid w:val="005E4120"/>
    <w:rsid w:val="005F12E0"/>
    <w:rsid w:val="005F4280"/>
    <w:rsid w:val="00620925"/>
    <w:rsid w:val="006212B1"/>
    <w:rsid w:val="00624907"/>
    <w:rsid w:val="00631D32"/>
    <w:rsid w:val="00634C32"/>
    <w:rsid w:val="00642F7C"/>
    <w:rsid w:val="006433B2"/>
    <w:rsid w:val="006455A5"/>
    <w:rsid w:val="0065075E"/>
    <w:rsid w:val="006552CE"/>
    <w:rsid w:val="00660242"/>
    <w:rsid w:val="006653DA"/>
    <w:rsid w:val="00665551"/>
    <w:rsid w:val="00666161"/>
    <w:rsid w:val="00667A33"/>
    <w:rsid w:val="00667A4B"/>
    <w:rsid w:val="0067269D"/>
    <w:rsid w:val="00680DE5"/>
    <w:rsid w:val="00683042"/>
    <w:rsid w:val="006854F2"/>
    <w:rsid w:val="006B1C87"/>
    <w:rsid w:val="006B2581"/>
    <w:rsid w:val="006B62E6"/>
    <w:rsid w:val="006C63FF"/>
    <w:rsid w:val="006D5A5A"/>
    <w:rsid w:val="006F394C"/>
    <w:rsid w:val="00710280"/>
    <w:rsid w:val="00712DAB"/>
    <w:rsid w:val="00716610"/>
    <w:rsid w:val="00730573"/>
    <w:rsid w:val="00731F38"/>
    <w:rsid w:val="00732A36"/>
    <w:rsid w:val="00732AFE"/>
    <w:rsid w:val="007337D4"/>
    <w:rsid w:val="00736F1E"/>
    <w:rsid w:val="00742763"/>
    <w:rsid w:val="00744E4B"/>
    <w:rsid w:val="007460A9"/>
    <w:rsid w:val="007462E0"/>
    <w:rsid w:val="0075749C"/>
    <w:rsid w:val="007629D3"/>
    <w:rsid w:val="00765D5D"/>
    <w:rsid w:val="007730C4"/>
    <w:rsid w:val="0077353E"/>
    <w:rsid w:val="00780015"/>
    <w:rsid w:val="00781FFB"/>
    <w:rsid w:val="00782A29"/>
    <w:rsid w:val="00782EE2"/>
    <w:rsid w:val="007854D8"/>
    <w:rsid w:val="00786219"/>
    <w:rsid w:val="00794616"/>
    <w:rsid w:val="00794935"/>
    <w:rsid w:val="007A0696"/>
    <w:rsid w:val="007A580C"/>
    <w:rsid w:val="007A79CD"/>
    <w:rsid w:val="007B08AA"/>
    <w:rsid w:val="007B4342"/>
    <w:rsid w:val="007B73C8"/>
    <w:rsid w:val="007C35A0"/>
    <w:rsid w:val="007C57E2"/>
    <w:rsid w:val="007D0E14"/>
    <w:rsid w:val="007D10C5"/>
    <w:rsid w:val="007E0EF8"/>
    <w:rsid w:val="007E5A87"/>
    <w:rsid w:val="007E75F8"/>
    <w:rsid w:val="007F034E"/>
    <w:rsid w:val="007F24ED"/>
    <w:rsid w:val="007F2D05"/>
    <w:rsid w:val="007F5398"/>
    <w:rsid w:val="00801E30"/>
    <w:rsid w:val="00803CB1"/>
    <w:rsid w:val="008047DE"/>
    <w:rsid w:val="00816AEF"/>
    <w:rsid w:val="00823704"/>
    <w:rsid w:val="00823AAC"/>
    <w:rsid w:val="00831D28"/>
    <w:rsid w:val="008325D3"/>
    <w:rsid w:val="00833A81"/>
    <w:rsid w:val="00833BAE"/>
    <w:rsid w:val="00840D5C"/>
    <w:rsid w:val="00840E15"/>
    <w:rsid w:val="008426BA"/>
    <w:rsid w:val="00842DAF"/>
    <w:rsid w:val="00852539"/>
    <w:rsid w:val="00854F50"/>
    <w:rsid w:val="0085521F"/>
    <w:rsid w:val="00863EBD"/>
    <w:rsid w:val="008655C0"/>
    <w:rsid w:val="00867F91"/>
    <w:rsid w:val="00876B30"/>
    <w:rsid w:val="00886186"/>
    <w:rsid w:val="0088644E"/>
    <w:rsid w:val="008A1A23"/>
    <w:rsid w:val="008A2807"/>
    <w:rsid w:val="008A5361"/>
    <w:rsid w:val="008A7CB0"/>
    <w:rsid w:val="008B09B4"/>
    <w:rsid w:val="008B6BB0"/>
    <w:rsid w:val="008C0271"/>
    <w:rsid w:val="008C122A"/>
    <w:rsid w:val="008C4E86"/>
    <w:rsid w:val="008C6065"/>
    <w:rsid w:val="008C6E78"/>
    <w:rsid w:val="008C708E"/>
    <w:rsid w:val="008D1C05"/>
    <w:rsid w:val="008D5BE1"/>
    <w:rsid w:val="008D6432"/>
    <w:rsid w:val="008D6D34"/>
    <w:rsid w:val="008E354C"/>
    <w:rsid w:val="008E3D28"/>
    <w:rsid w:val="008F2D8B"/>
    <w:rsid w:val="008F56AC"/>
    <w:rsid w:val="00907B20"/>
    <w:rsid w:val="00910055"/>
    <w:rsid w:val="00911C47"/>
    <w:rsid w:val="00912169"/>
    <w:rsid w:val="009133B7"/>
    <w:rsid w:val="009167BC"/>
    <w:rsid w:val="0091721F"/>
    <w:rsid w:val="00917FB1"/>
    <w:rsid w:val="0092037A"/>
    <w:rsid w:val="009246AD"/>
    <w:rsid w:val="009267AE"/>
    <w:rsid w:val="00933496"/>
    <w:rsid w:val="009361CD"/>
    <w:rsid w:val="0093741E"/>
    <w:rsid w:val="0094386B"/>
    <w:rsid w:val="009475D5"/>
    <w:rsid w:val="00950590"/>
    <w:rsid w:val="009554B0"/>
    <w:rsid w:val="009609CF"/>
    <w:rsid w:val="00961CB0"/>
    <w:rsid w:val="009623BF"/>
    <w:rsid w:val="00970DE5"/>
    <w:rsid w:val="0097273E"/>
    <w:rsid w:val="00973E07"/>
    <w:rsid w:val="00980089"/>
    <w:rsid w:val="009812AB"/>
    <w:rsid w:val="009865DA"/>
    <w:rsid w:val="009872C7"/>
    <w:rsid w:val="00990CA9"/>
    <w:rsid w:val="009B03CF"/>
    <w:rsid w:val="009B0C60"/>
    <w:rsid w:val="009B157E"/>
    <w:rsid w:val="009B2BDB"/>
    <w:rsid w:val="009B791A"/>
    <w:rsid w:val="009C4947"/>
    <w:rsid w:val="009C7176"/>
    <w:rsid w:val="009D3687"/>
    <w:rsid w:val="009D412C"/>
    <w:rsid w:val="009D4919"/>
    <w:rsid w:val="009D6DF9"/>
    <w:rsid w:val="009E0C4C"/>
    <w:rsid w:val="009F05F8"/>
    <w:rsid w:val="009F2E7E"/>
    <w:rsid w:val="00A02D62"/>
    <w:rsid w:val="00A060E8"/>
    <w:rsid w:val="00A13E7A"/>
    <w:rsid w:val="00A15A23"/>
    <w:rsid w:val="00A205DC"/>
    <w:rsid w:val="00A20EB5"/>
    <w:rsid w:val="00A2705C"/>
    <w:rsid w:val="00A374E0"/>
    <w:rsid w:val="00A4417B"/>
    <w:rsid w:val="00A452A6"/>
    <w:rsid w:val="00A45C90"/>
    <w:rsid w:val="00A47053"/>
    <w:rsid w:val="00A51A41"/>
    <w:rsid w:val="00A52B72"/>
    <w:rsid w:val="00A617CA"/>
    <w:rsid w:val="00A61CCE"/>
    <w:rsid w:val="00A748EF"/>
    <w:rsid w:val="00A764EF"/>
    <w:rsid w:val="00A807F2"/>
    <w:rsid w:val="00A81E47"/>
    <w:rsid w:val="00A9085C"/>
    <w:rsid w:val="00AB34C5"/>
    <w:rsid w:val="00AB38C8"/>
    <w:rsid w:val="00AB5CD5"/>
    <w:rsid w:val="00AB63BB"/>
    <w:rsid w:val="00AC1A30"/>
    <w:rsid w:val="00AC3F3E"/>
    <w:rsid w:val="00AC4B30"/>
    <w:rsid w:val="00AC5188"/>
    <w:rsid w:val="00AC59C7"/>
    <w:rsid w:val="00AE08FC"/>
    <w:rsid w:val="00AE1B50"/>
    <w:rsid w:val="00AE77AF"/>
    <w:rsid w:val="00AE7E2D"/>
    <w:rsid w:val="00AF1334"/>
    <w:rsid w:val="00AF7F6A"/>
    <w:rsid w:val="00B05A88"/>
    <w:rsid w:val="00B12049"/>
    <w:rsid w:val="00B12793"/>
    <w:rsid w:val="00B14BB5"/>
    <w:rsid w:val="00B14D58"/>
    <w:rsid w:val="00B17CE8"/>
    <w:rsid w:val="00B22BC8"/>
    <w:rsid w:val="00B51AB1"/>
    <w:rsid w:val="00B55417"/>
    <w:rsid w:val="00B55A02"/>
    <w:rsid w:val="00B55FA6"/>
    <w:rsid w:val="00B56751"/>
    <w:rsid w:val="00B67281"/>
    <w:rsid w:val="00B75306"/>
    <w:rsid w:val="00B7618D"/>
    <w:rsid w:val="00B77ACD"/>
    <w:rsid w:val="00B80A6A"/>
    <w:rsid w:val="00B81DC0"/>
    <w:rsid w:val="00B84DD4"/>
    <w:rsid w:val="00B90F76"/>
    <w:rsid w:val="00B9197C"/>
    <w:rsid w:val="00B95933"/>
    <w:rsid w:val="00B9698F"/>
    <w:rsid w:val="00BA0B31"/>
    <w:rsid w:val="00BA1AD5"/>
    <w:rsid w:val="00BA7889"/>
    <w:rsid w:val="00BB1689"/>
    <w:rsid w:val="00BC2908"/>
    <w:rsid w:val="00BC4A37"/>
    <w:rsid w:val="00BD2C44"/>
    <w:rsid w:val="00BD303E"/>
    <w:rsid w:val="00BD5F99"/>
    <w:rsid w:val="00BE426F"/>
    <w:rsid w:val="00BE539F"/>
    <w:rsid w:val="00BF0A3D"/>
    <w:rsid w:val="00BF5277"/>
    <w:rsid w:val="00BF5E7A"/>
    <w:rsid w:val="00C063C6"/>
    <w:rsid w:val="00C10EE0"/>
    <w:rsid w:val="00C11FDD"/>
    <w:rsid w:val="00C12556"/>
    <w:rsid w:val="00C133AB"/>
    <w:rsid w:val="00C141BE"/>
    <w:rsid w:val="00C21C1B"/>
    <w:rsid w:val="00C242D5"/>
    <w:rsid w:val="00C26F94"/>
    <w:rsid w:val="00C27EBF"/>
    <w:rsid w:val="00C30ECC"/>
    <w:rsid w:val="00C31D71"/>
    <w:rsid w:val="00C37E17"/>
    <w:rsid w:val="00C429D3"/>
    <w:rsid w:val="00C43843"/>
    <w:rsid w:val="00C516F3"/>
    <w:rsid w:val="00C5413D"/>
    <w:rsid w:val="00C6170A"/>
    <w:rsid w:val="00C63864"/>
    <w:rsid w:val="00C65123"/>
    <w:rsid w:val="00C66923"/>
    <w:rsid w:val="00C77609"/>
    <w:rsid w:val="00C8139D"/>
    <w:rsid w:val="00C840BD"/>
    <w:rsid w:val="00C95063"/>
    <w:rsid w:val="00C957E8"/>
    <w:rsid w:val="00CA7172"/>
    <w:rsid w:val="00CB0652"/>
    <w:rsid w:val="00CB0D04"/>
    <w:rsid w:val="00CC5A9B"/>
    <w:rsid w:val="00CD18C2"/>
    <w:rsid w:val="00CE345F"/>
    <w:rsid w:val="00CE4208"/>
    <w:rsid w:val="00CE5A60"/>
    <w:rsid w:val="00CF3C1A"/>
    <w:rsid w:val="00D0306A"/>
    <w:rsid w:val="00D0317E"/>
    <w:rsid w:val="00D048E3"/>
    <w:rsid w:val="00D04B01"/>
    <w:rsid w:val="00D04C3B"/>
    <w:rsid w:val="00D05961"/>
    <w:rsid w:val="00D06365"/>
    <w:rsid w:val="00D1064B"/>
    <w:rsid w:val="00D1389E"/>
    <w:rsid w:val="00D15818"/>
    <w:rsid w:val="00D21EDC"/>
    <w:rsid w:val="00D26DB0"/>
    <w:rsid w:val="00D30D8A"/>
    <w:rsid w:val="00D32E24"/>
    <w:rsid w:val="00D347FB"/>
    <w:rsid w:val="00D371AE"/>
    <w:rsid w:val="00D420F3"/>
    <w:rsid w:val="00D425E0"/>
    <w:rsid w:val="00D47830"/>
    <w:rsid w:val="00D50BEF"/>
    <w:rsid w:val="00D53F61"/>
    <w:rsid w:val="00D60C39"/>
    <w:rsid w:val="00D64101"/>
    <w:rsid w:val="00D6592E"/>
    <w:rsid w:val="00D667F1"/>
    <w:rsid w:val="00D70733"/>
    <w:rsid w:val="00D72359"/>
    <w:rsid w:val="00D77408"/>
    <w:rsid w:val="00D852C3"/>
    <w:rsid w:val="00D87219"/>
    <w:rsid w:val="00D878E9"/>
    <w:rsid w:val="00D9378D"/>
    <w:rsid w:val="00D97261"/>
    <w:rsid w:val="00DA24A7"/>
    <w:rsid w:val="00DA5736"/>
    <w:rsid w:val="00DB1DB8"/>
    <w:rsid w:val="00DB5170"/>
    <w:rsid w:val="00DB51E0"/>
    <w:rsid w:val="00DC3834"/>
    <w:rsid w:val="00DC6B20"/>
    <w:rsid w:val="00DD03E3"/>
    <w:rsid w:val="00DD6272"/>
    <w:rsid w:val="00DD6DBB"/>
    <w:rsid w:val="00DE3420"/>
    <w:rsid w:val="00DE6C61"/>
    <w:rsid w:val="00DF1996"/>
    <w:rsid w:val="00DF2514"/>
    <w:rsid w:val="00DF684E"/>
    <w:rsid w:val="00DF763A"/>
    <w:rsid w:val="00E028D3"/>
    <w:rsid w:val="00E0401C"/>
    <w:rsid w:val="00E074F2"/>
    <w:rsid w:val="00E12DA3"/>
    <w:rsid w:val="00E16342"/>
    <w:rsid w:val="00E2271F"/>
    <w:rsid w:val="00E22894"/>
    <w:rsid w:val="00E23294"/>
    <w:rsid w:val="00E2556C"/>
    <w:rsid w:val="00E33E79"/>
    <w:rsid w:val="00E41B4C"/>
    <w:rsid w:val="00E4566C"/>
    <w:rsid w:val="00E518DF"/>
    <w:rsid w:val="00E51AB7"/>
    <w:rsid w:val="00E61A94"/>
    <w:rsid w:val="00E71FC5"/>
    <w:rsid w:val="00E81A65"/>
    <w:rsid w:val="00E8307A"/>
    <w:rsid w:val="00E90882"/>
    <w:rsid w:val="00E90C33"/>
    <w:rsid w:val="00E91482"/>
    <w:rsid w:val="00E96302"/>
    <w:rsid w:val="00EA285D"/>
    <w:rsid w:val="00EA28AF"/>
    <w:rsid w:val="00EA2B37"/>
    <w:rsid w:val="00EB7A85"/>
    <w:rsid w:val="00ED0161"/>
    <w:rsid w:val="00ED0416"/>
    <w:rsid w:val="00ED4BE8"/>
    <w:rsid w:val="00EE405D"/>
    <w:rsid w:val="00EE4261"/>
    <w:rsid w:val="00EE597C"/>
    <w:rsid w:val="00EF3AE3"/>
    <w:rsid w:val="00F01582"/>
    <w:rsid w:val="00F01FB1"/>
    <w:rsid w:val="00F05FD7"/>
    <w:rsid w:val="00F062BE"/>
    <w:rsid w:val="00F134E1"/>
    <w:rsid w:val="00F134F5"/>
    <w:rsid w:val="00F1736D"/>
    <w:rsid w:val="00F2603B"/>
    <w:rsid w:val="00F3642F"/>
    <w:rsid w:val="00F36C18"/>
    <w:rsid w:val="00F37F54"/>
    <w:rsid w:val="00F42384"/>
    <w:rsid w:val="00F435A3"/>
    <w:rsid w:val="00F45903"/>
    <w:rsid w:val="00F47B85"/>
    <w:rsid w:val="00F50C37"/>
    <w:rsid w:val="00F53EA2"/>
    <w:rsid w:val="00F548B8"/>
    <w:rsid w:val="00F5509A"/>
    <w:rsid w:val="00F5645C"/>
    <w:rsid w:val="00F57F6B"/>
    <w:rsid w:val="00F619A8"/>
    <w:rsid w:val="00F6410F"/>
    <w:rsid w:val="00F70E7D"/>
    <w:rsid w:val="00F716B6"/>
    <w:rsid w:val="00F7395E"/>
    <w:rsid w:val="00F75A6C"/>
    <w:rsid w:val="00F8286B"/>
    <w:rsid w:val="00F86C0C"/>
    <w:rsid w:val="00F908C6"/>
    <w:rsid w:val="00F94AB3"/>
    <w:rsid w:val="00FA4ED9"/>
    <w:rsid w:val="00FA7DB2"/>
    <w:rsid w:val="00FB0536"/>
    <w:rsid w:val="00FB4FB8"/>
    <w:rsid w:val="00FB750F"/>
    <w:rsid w:val="00FC2507"/>
    <w:rsid w:val="00FC48A8"/>
    <w:rsid w:val="00FD13BF"/>
    <w:rsid w:val="00FD28E8"/>
    <w:rsid w:val="00FE0D81"/>
    <w:rsid w:val="00FE31C9"/>
    <w:rsid w:val="00FE5A9B"/>
    <w:rsid w:val="00FE6219"/>
    <w:rsid w:val="00FE7336"/>
    <w:rsid w:val="00FF2589"/>
    <w:rsid w:val="00FF2D4B"/>
    <w:rsid w:val="00FF4D04"/>
    <w:rsid w:val="00FF616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F9281E"/>
  <w15:docId w15:val="{FCF424D0-251A-4992-94F7-5FF152DE7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w York" w:eastAsia="Times New Roman" w:hAnsi="New York" w:cs="Times New Roman"/>
        <w:lang w:val="en-IE" w:eastAsia="en-IE"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17CE8"/>
    <w:pPr>
      <w:spacing w:after="200"/>
      <w:jc w:val="both"/>
    </w:pPr>
    <w:rPr>
      <w:rFonts w:ascii="Times" w:hAns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pPr>
      <w:spacing w:line="480" w:lineRule="auto"/>
      <w:ind w:firstLine="187"/>
    </w:pPr>
  </w:style>
  <w:style w:type="paragraph" w:customStyle="1" w:styleId="TAMainText">
    <w:name w:val="TA_Main_Text"/>
    <w:basedOn w:val="Normal"/>
    <w:link w:val="TAMainTextChar"/>
    <w:pPr>
      <w:spacing w:after="0" w:line="480" w:lineRule="auto"/>
      <w:ind w:firstLine="202"/>
    </w:pPr>
  </w:style>
  <w:style w:type="paragraph" w:customStyle="1" w:styleId="BATitle">
    <w:name w:val="BA_Title"/>
    <w:basedOn w:val="Normal"/>
    <w:next w:val="BBAuthorName"/>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Hyperlink">
    <w:name w:val="Hyperlink"/>
    <w:rPr>
      <w:color w:val="0000FF"/>
      <w:u w:val="single"/>
    </w:rPr>
  </w:style>
  <w:style w:type="paragraph" w:styleId="Footer">
    <w:name w:val="footer"/>
    <w:basedOn w:val="Normal"/>
    <w:link w:val="FooterChar"/>
    <w:uiPriority w:val="99"/>
    <w:pPr>
      <w:tabs>
        <w:tab w:val="center" w:pos="4320"/>
        <w:tab w:val="right" w:pos="8640"/>
      </w:tabs>
    </w:p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C10EE0"/>
    <w:pPr>
      <w:spacing w:after="0"/>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C10EE0"/>
    <w:rPr>
      <w:rFonts w:ascii="Arno Pro" w:hAnsi="Arno Pro"/>
      <w:kern w:val="20"/>
      <w:sz w:val="18"/>
    </w:rPr>
  </w:style>
  <w:style w:type="paragraph" w:customStyle="1" w:styleId="FAAuthorInfoSubtitle">
    <w:name w:val="FA_Author_Info_Subtitle"/>
    <w:basedOn w:val="Normal"/>
    <w:link w:val="FAAuthorInfoSubtitleChar"/>
    <w:autoRedefine/>
    <w:rsid w:val="00DD6DBB"/>
    <w:pPr>
      <w:spacing w:before="120" w:after="60" w:line="480" w:lineRule="auto"/>
      <w:jc w:val="left"/>
    </w:pPr>
    <w:rPr>
      <w:b/>
    </w:rPr>
  </w:style>
  <w:style w:type="character" w:customStyle="1" w:styleId="FAAuthorInfoSubtitleChar">
    <w:name w:val="FA_Author_Info_Subtitle Char"/>
    <w:link w:val="FAAuthorInfoSubtitle"/>
    <w:rsid w:val="00DD6DBB"/>
    <w:rPr>
      <w:rFonts w:ascii="Times" w:hAnsi="Times"/>
      <w:b/>
      <w:sz w:val="24"/>
    </w:rPr>
  </w:style>
  <w:style w:type="paragraph" w:customStyle="1" w:styleId="Default">
    <w:name w:val="Default"/>
    <w:rsid w:val="001A7A90"/>
    <w:pPr>
      <w:autoSpaceDE w:val="0"/>
      <w:autoSpaceDN w:val="0"/>
      <w:adjustRightInd w:val="0"/>
    </w:pPr>
    <w:rPr>
      <w:rFonts w:ascii="Symbol" w:hAnsi="Symbol" w:cs="Symbol"/>
      <w:color w:val="000000"/>
      <w:sz w:val="24"/>
      <w:szCs w:val="24"/>
      <w:lang w:val="en-US" w:eastAsia="en-US"/>
    </w:rPr>
  </w:style>
  <w:style w:type="table" w:styleId="TableGrid">
    <w:name w:val="Table Grid"/>
    <w:basedOn w:val="TableNormal"/>
    <w:rsid w:val="00401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01268"/>
    <w:rPr>
      <w:color w:val="808080"/>
    </w:rPr>
  </w:style>
  <w:style w:type="character" w:customStyle="1" w:styleId="TAMainTextChar">
    <w:name w:val="TA_Main_Text Char"/>
    <w:basedOn w:val="DefaultParagraphFont"/>
    <w:link w:val="TAMainText"/>
    <w:rsid w:val="00F01582"/>
    <w:rPr>
      <w:rFonts w:ascii="Times" w:hAnsi="Times"/>
      <w:sz w:val="24"/>
      <w:lang w:val="en-US" w:eastAsia="en-US"/>
    </w:rPr>
  </w:style>
  <w:style w:type="character" w:styleId="CommentReference">
    <w:name w:val="annotation reference"/>
    <w:basedOn w:val="DefaultParagraphFont"/>
    <w:semiHidden/>
    <w:unhideWhenUsed/>
    <w:rsid w:val="00A748EF"/>
    <w:rPr>
      <w:sz w:val="16"/>
      <w:szCs w:val="16"/>
    </w:rPr>
  </w:style>
  <w:style w:type="paragraph" w:styleId="CommentText">
    <w:name w:val="annotation text"/>
    <w:basedOn w:val="Normal"/>
    <w:link w:val="CommentTextChar"/>
    <w:uiPriority w:val="99"/>
    <w:unhideWhenUsed/>
    <w:rsid w:val="00A748EF"/>
    <w:rPr>
      <w:sz w:val="20"/>
    </w:rPr>
  </w:style>
  <w:style w:type="character" w:customStyle="1" w:styleId="CommentTextChar">
    <w:name w:val="Comment Text Char"/>
    <w:basedOn w:val="DefaultParagraphFont"/>
    <w:link w:val="CommentText"/>
    <w:uiPriority w:val="99"/>
    <w:rsid w:val="00A748EF"/>
    <w:rPr>
      <w:rFonts w:ascii="Times" w:hAnsi="Times"/>
      <w:lang w:val="en-US" w:eastAsia="en-US"/>
    </w:rPr>
  </w:style>
  <w:style w:type="paragraph" w:styleId="CommentSubject">
    <w:name w:val="annotation subject"/>
    <w:basedOn w:val="CommentText"/>
    <w:next w:val="CommentText"/>
    <w:link w:val="CommentSubjectChar"/>
    <w:semiHidden/>
    <w:unhideWhenUsed/>
    <w:rsid w:val="00A748EF"/>
    <w:rPr>
      <w:b/>
      <w:bCs/>
    </w:rPr>
  </w:style>
  <w:style w:type="character" w:customStyle="1" w:styleId="CommentSubjectChar">
    <w:name w:val="Comment Subject Char"/>
    <w:basedOn w:val="CommentTextChar"/>
    <w:link w:val="CommentSubject"/>
    <w:semiHidden/>
    <w:rsid w:val="00A748EF"/>
    <w:rPr>
      <w:rFonts w:ascii="Times" w:hAnsi="Times"/>
      <w:b/>
      <w:bCs/>
      <w:lang w:val="en-US" w:eastAsia="en-US"/>
    </w:rPr>
  </w:style>
  <w:style w:type="paragraph" w:styleId="Revision">
    <w:name w:val="Revision"/>
    <w:hidden/>
    <w:uiPriority w:val="99"/>
    <w:semiHidden/>
    <w:rsid w:val="00990CA9"/>
    <w:rPr>
      <w:rFonts w:ascii="Times" w:hAnsi="Times"/>
      <w:sz w:val="24"/>
      <w:lang w:val="en-US" w:eastAsia="en-US"/>
    </w:rPr>
  </w:style>
  <w:style w:type="paragraph" w:styleId="Caption">
    <w:name w:val="caption"/>
    <w:basedOn w:val="Normal"/>
    <w:next w:val="Normal"/>
    <w:semiHidden/>
    <w:unhideWhenUsed/>
    <w:qFormat/>
    <w:rsid w:val="00A807F2"/>
    <w:rPr>
      <w:i/>
      <w:iCs/>
      <w:color w:val="44546A" w:themeColor="text2"/>
      <w:sz w:val="18"/>
      <w:szCs w:val="18"/>
    </w:rPr>
  </w:style>
  <w:style w:type="character" w:customStyle="1" w:styleId="FooterChar">
    <w:name w:val="Footer Char"/>
    <w:basedOn w:val="DefaultParagraphFont"/>
    <w:link w:val="Footer"/>
    <w:uiPriority w:val="99"/>
    <w:rsid w:val="00840D5C"/>
    <w:rPr>
      <w:rFonts w:ascii="Times" w:hAns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5975765">
      <w:bodyDiv w:val="1"/>
      <w:marLeft w:val="0"/>
      <w:marRight w:val="0"/>
      <w:marTop w:val="0"/>
      <w:marBottom w:val="0"/>
      <w:divBdr>
        <w:top w:val="none" w:sz="0" w:space="0" w:color="auto"/>
        <w:left w:val="none" w:sz="0" w:space="0" w:color="auto"/>
        <w:bottom w:val="none" w:sz="0" w:space="0" w:color="auto"/>
        <w:right w:val="none" w:sz="0" w:space="0" w:color="auto"/>
      </w:divBdr>
    </w:div>
    <w:div w:id="188562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i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i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Relationship Id="rId5" Type="http://schemas.openxmlformats.org/officeDocument/2006/relationships/webSettings" Target="webSettings.xml"/><Relationship Id="rId15" Type="http://schemas.openxmlformats.org/officeDocument/2006/relationships/image" Target="media/image8.tif"/><Relationship Id="rId10" Type="http://schemas.openxmlformats.org/officeDocument/2006/relationships/image" Target="media/image3.t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image" Target="media/image7.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ughj3\Documents\Custom%20Office%20Templates\Template%20for%20Electronic%20Submission%20to%20ACS%20Journals%20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2F1EB-5F55-40E6-B70D-EFB4BFFA9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for Electronic Submission to ACS Journals new</Template>
  <TotalTime>0</TotalTime>
  <Pages>28</Pages>
  <Words>28182</Words>
  <Characters>160644</Characters>
  <Application>Microsoft Office Word</Application>
  <DocSecurity>0</DocSecurity>
  <Lines>1338</Lines>
  <Paragraphs>376</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188450</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creator>Administrator</dc:creator>
  <cp:lastModifiedBy>Louise Bradley</cp:lastModifiedBy>
  <cp:revision>2</cp:revision>
  <cp:lastPrinted>2017-08-23T19:50:00Z</cp:lastPrinted>
  <dcterms:created xsi:type="dcterms:W3CDTF">2020-07-28T11:56:00Z</dcterms:created>
  <dcterms:modified xsi:type="dcterms:W3CDTF">2020-07-28T11:56:00Z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5ecb7ead-2038-3e3d-8c46-053ac51d843b</vt:lpwstr>
  </property>
  <property fmtid="{D5CDD505-2E9C-101B-9397-08002B2CF9AE}" pid="4" name="Mendeley Recent Style Id 0_1">
    <vt:lpwstr>http://www.zotero.org/styles/acs-photonics</vt:lpwstr>
  </property>
  <property fmtid="{D5CDD505-2E9C-101B-9397-08002B2CF9AE}" pid="5" name="Mendeley Recent Style Name 0_1">
    <vt:lpwstr>ACS Photonics</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http://www.zotero.org/styles/acs-photonics</vt:lpwstr>
  </property>
</Properties>
</file>