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DEE" w:rsidRDefault="003B0DEE" w:rsidP="000D5D90">
      <w:pPr>
        <w:jc w:val="center"/>
        <w:rPr>
          <w:b/>
          <w:sz w:val="56"/>
          <w:szCs w:val="56"/>
        </w:rPr>
      </w:pPr>
      <w:r>
        <w:rPr>
          <w:b/>
          <w:sz w:val="56"/>
          <w:szCs w:val="56"/>
        </w:rPr>
        <w:t xml:space="preserve"> </w:t>
      </w:r>
    </w:p>
    <w:p w:rsidR="003B0DEE" w:rsidRPr="00556D79" w:rsidRDefault="003B0DEE" w:rsidP="000D5D90">
      <w:pPr>
        <w:jc w:val="center"/>
        <w:rPr>
          <w:b/>
          <w:sz w:val="44"/>
          <w:szCs w:val="56"/>
        </w:rPr>
      </w:pPr>
      <w:r w:rsidRPr="00556D79">
        <w:rPr>
          <w:b/>
          <w:sz w:val="44"/>
          <w:szCs w:val="56"/>
        </w:rPr>
        <w:t>Routine health surveillance data</w:t>
      </w:r>
      <w:r>
        <w:rPr>
          <w:b/>
          <w:sz w:val="44"/>
          <w:szCs w:val="56"/>
        </w:rPr>
        <w:t>:</w:t>
      </w:r>
      <w:r w:rsidRPr="00556D79">
        <w:rPr>
          <w:b/>
          <w:sz w:val="44"/>
          <w:szCs w:val="56"/>
        </w:rPr>
        <w:t xml:space="preserve"> a </w:t>
      </w:r>
      <w:r>
        <w:rPr>
          <w:b/>
          <w:sz w:val="44"/>
          <w:szCs w:val="56"/>
        </w:rPr>
        <w:t>21-year</w:t>
      </w:r>
    </w:p>
    <w:p w:rsidR="003B0DEE" w:rsidRDefault="003B0DEE" w:rsidP="000D5D90">
      <w:pPr>
        <w:jc w:val="center"/>
        <w:rPr>
          <w:b/>
          <w:sz w:val="44"/>
          <w:szCs w:val="56"/>
        </w:rPr>
      </w:pPr>
      <w:proofErr w:type="gramStart"/>
      <w:r w:rsidRPr="00556D79">
        <w:rPr>
          <w:b/>
          <w:sz w:val="44"/>
          <w:szCs w:val="56"/>
        </w:rPr>
        <w:t>quantitative</w:t>
      </w:r>
      <w:proofErr w:type="gramEnd"/>
      <w:r w:rsidRPr="00556D79">
        <w:rPr>
          <w:b/>
          <w:sz w:val="44"/>
          <w:szCs w:val="56"/>
        </w:rPr>
        <w:t xml:space="preserve"> cross-sectional study of </w:t>
      </w:r>
      <w:r>
        <w:rPr>
          <w:b/>
          <w:sz w:val="44"/>
          <w:szCs w:val="56"/>
        </w:rPr>
        <w:t xml:space="preserve">first-time </w:t>
      </w:r>
      <w:r w:rsidRPr="00556D79">
        <w:rPr>
          <w:b/>
          <w:sz w:val="44"/>
          <w:szCs w:val="56"/>
        </w:rPr>
        <w:t>opioid addiction treatment among older adults</w:t>
      </w:r>
    </w:p>
    <w:p w:rsidR="003B0DEE" w:rsidRDefault="003B0DEE" w:rsidP="000D5D90">
      <w:pPr>
        <w:jc w:val="center"/>
        <w:rPr>
          <w:b/>
          <w:sz w:val="44"/>
          <w:szCs w:val="56"/>
        </w:rPr>
      </w:pPr>
    </w:p>
    <w:p w:rsidR="003B0DEE" w:rsidRPr="00556D79" w:rsidRDefault="003B0DEE" w:rsidP="000D5D90">
      <w:pPr>
        <w:jc w:val="center"/>
        <w:rPr>
          <w:b/>
          <w:sz w:val="44"/>
          <w:szCs w:val="56"/>
        </w:rPr>
      </w:pPr>
      <w:r w:rsidRPr="00556D79">
        <w:rPr>
          <w:b/>
          <w:sz w:val="44"/>
          <w:szCs w:val="56"/>
        </w:rPr>
        <w:t xml:space="preserve"> </w:t>
      </w:r>
      <w:r w:rsidRPr="00556D79">
        <w:rPr>
          <w:b/>
          <w:sz w:val="32"/>
          <w:szCs w:val="56"/>
        </w:rPr>
        <w:t>A thesis submitted to the University of Dublin, Trinity College, for the Degree of Doctor in Philosophy</w:t>
      </w:r>
    </w:p>
    <w:p w:rsidR="003B0DEE" w:rsidRDefault="003B0DEE" w:rsidP="000D5D90">
      <w:pPr>
        <w:jc w:val="center"/>
        <w:rPr>
          <w:sz w:val="56"/>
          <w:szCs w:val="56"/>
        </w:rPr>
      </w:pPr>
      <w:r>
        <w:rPr>
          <w:noProof/>
          <w:sz w:val="56"/>
          <w:szCs w:val="56"/>
        </w:rPr>
        <w:drawing>
          <wp:inline distT="0" distB="0" distL="0" distR="0" wp14:anchorId="73ACE2FF" wp14:editId="4A8D3B56">
            <wp:extent cx="2103120" cy="2270760"/>
            <wp:effectExtent l="0" t="0" r="0" b="0"/>
            <wp:docPr id="1" name="Picture 1" descr="Trinity_Mai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_Main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3120" cy="2270760"/>
                    </a:xfrm>
                    <a:prstGeom prst="rect">
                      <a:avLst/>
                    </a:prstGeom>
                    <a:noFill/>
                    <a:ln>
                      <a:noFill/>
                    </a:ln>
                  </pic:spPr>
                </pic:pic>
              </a:graphicData>
            </a:graphic>
          </wp:inline>
        </w:drawing>
      </w:r>
    </w:p>
    <w:p w:rsidR="003B0DEE" w:rsidRDefault="003B0DEE" w:rsidP="000D5D90">
      <w:pPr>
        <w:jc w:val="center"/>
        <w:rPr>
          <w:b/>
          <w:sz w:val="32"/>
          <w:szCs w:val="56"/>
        </w:rPr>
      </w:pPr>
    </w:p>
    <w:p w:rsidR="003B0DEE" w:rsidRPr="00556D79" w:rsidRDefault="003B0DEE" w:rsidP="000D5D90">
      <w:pPr>
        <w:jc w:val="center"/>
        <w:rPr>
          <w:b/>
          <w:sz w:val="32"/>
          <w:szCs w:val="56"/>
        </w:rPr>
      </w:pPr>
      <w:r>
        <w:rPr>
          <w:b/>
          <w:sz w:val="32"/>
          <w:szCs w:val="56"/>
        </w:rPr>
        <w:t>April</w:t>
      </w:r>
      <w:r w:rsidRPr="00556D79">
        <w:rPr>
          <w:b/>
          <w:sz w:val="32"/>
          <w:szCs w:val="56"/>
        </w:rPr>
        <w:t xml:space="preserve"> 2019</w:t>
      </w:r>
    </w:p>
    <w:p w:rsidR="003B0DEE" w:rsidRPr="00556D79" w:rsidRDefault="003B0DEE" w:rsidP="000D5D90">
      <w:pPr>
        <w:jc w:val="center"/>
        <w:rPr>
          <w:b/>
          <w:sz w:val="32"/>
          <w:szCs w:val="56"/>
        </w:rPr>
      </w:pPr>
      <w:r w:rsidRPr="00556D79">
        <w:rPr>
          <w:b/>
          <w:sz w:val="32"/>
          <w:szCs w:val="56"/>
        </w:rPr>
        <w:t>Anne Marie Carew</w:t>
      </w:r>
    </w:p>
    <w:p w:rsidR="003B0DEE" w:rsidRPr="00556D79" w:rsidRDefault="003B0DEE" w:rsidP="000D5D90">
      <w:pPr>
        <w:jc w:val="center"/>
        <w:rPr>
          <w:b/>
          <w:szCs w:val="56"/>
        </w:rPr>
      </w:pPr>
    </w:p>
    <w:p w:rsidR="003B0DEE" w:rsidRPr="00556D79" w:rsidRDefault="003B0DEE" w:rsidP="000D5D90">
      <w:pPr>
        <w:jc w:val="center"/>
        <w:rPr>
          <w:b/>
          <w:sz w:val="32"/>
          <w:szCs w:val="56"/>
        </w:rPr>
      </w:pPr>
    </w:p>
    <w:p w:rsidR="003B0DEE" w:rsidRPr="00556D79" w:rsidRDefault="003B0DEE" w:rsidP="000D5D90">
      <w:pPr>
        <w:pStyle w:val="Default"/>
        <w:jc w:val="center"/>
        <w:rPr>
          <w:rFonts w:ascii="Calibri" w:hAnsi="Calibri" w:cs="Times New Roman"/>
          <w:b/>
          <w:color w:val="auto"/>
          <w:sz w:val="32"/>
          <w:szCs w:val="56"/>
        </w:rPr>
      </w:pPr>
      <w:r w:rsidRPr="00556D79">
        <w:rPr>
          <w:rFonts w:ascii="Calibri" w:hAnsi="Calibri" w:cs="Times New Roman"/>
          <w:b/>
          <w:color w:val="auto"/>
          <w:sz w:val="32"/>
          <w:szCs w:val="56"/>
        </w:rPr>
        <w:t xml:space="preserve">School of </w:t>
      </w:r>
      <w:r>
        <w:rPr>
          <w:rFonts w:ascii="Calibri" w:hAnsi="Calibri" w:cs="Times New Roman"/>
          <w:b/>
          <w:color w:val="auto"/>
          <w:sz w:val="32"/>
          <w:szCs w:val="56"/>
        </w:rPr>
        <w:t>Nursing and Midwifery</w:t>
      </w:r>
    </w:p>
    <w:p w:rsidR="003B0DEE" w:rsidRPr="00556D79" w:rsidRDefault="003B0DEE" w:rsidP="000D5D90">
      <w:pPr>
        <w:jc w:val="center"/>
        <w:rPr>
          <w:b/>
          <w:sz w:val="32"/>
          <w:szCs w:val="56"/>
        </w:rPr>
        <w:sectPr w:rsidR="003B0DEE" w:rsidRPr="00556D79" w:rsidSect="00FF21E9">
          <w:pgSz w:w="11906" w:h="16838"/>
          <w:pgMar w:top="1440" w:right="1440" w:bottom="1440" w:left="1440" w:header="709" w:footer="709" w:gutter="0"/>
          <w:cols w:space="708"/>
          <w:docGrid w:linePitch="360"/>
        </w:sectPr>
      </w:pPr>
      <w:r w:rsidRPr="00556D79">
        <w:rPr>
          <w:b/>
          <w:sz w:val="32"/>
          <w:szCs w:val="56"/>
        </w:rPr>
        <w:t>University of Dublin, Trinity College</w:t>
      </w:r>
    </w:p>
    <w:p w:rsidR="003B0DEE" w:rsidRDefault="003B0DEE" w:rsidP="000D5D90">
      <w:pPr>
        <w:pStyle w:val="NoSpacing"/>
        <w:jc w:val="center"/>
        <w:rPr>
          <w:rFonts w:ascii="Arial" w:hAnsi="Arial" w:cs="Arial"/>
          <w:b/>
          <w:sz w:val="28"/>
          <w:szCs w:val="28"/>
        </w:rPr>
      </w:pPr>
      <w:r w:rsidRPr="00CF1ABA">
        <w:rPr>
          <w:rFonts w:ascii="Arial" w:hAnsi="Arial" w:cs="Arial"/>
          <w:b/>
          <w:sz w:val="28"/>
          <w:szCs w:val="28"/>
        </w:rPr>
        <w:lastRenderedPageBreak/>
        <w:t>Declaration</w:t>
      </w:r>
    </w:p>
    <w:p w:rsidR="003B0DEE" w:rsidRDefault="003B0DEE" w:rsidP="000D5D90">
      <w:pPr>
        <w:pStyle w:val="NoSpacing"/>
        <w:rPr>
          <w:rFonts w:ascii="Arial" w:hAnsi="Arial" w:cs="Arial"/>
          <w:b/>
          <w:sz w:val="28"/>
          <w:szCs w:val="28"/>
        </w:rPr>
      </w:pPr>
    </w:p>
    <w:p w:rsidR="003B0DEE" w:rsidRPr="00CB4DC0" w:rsidRDefault="003B0DEE" w:rsidP="000D5D90">
      <w:pPr>
        <w:spacing w:before="120" w:after="120" w:line="360" w:lineRule="auto"/>
        <w:jc w:val="left"/>
        <w:rPr>
          <w:rFonts w:ascii="Arial" w:hAnsi="Arial"/>
          <w:sz w:val="20"/>
        </w:rPr>
      </w:pPr>
      <w:r w:rsidRPr="00CB4DC0">
        <w:rPr>
          <w:rFonts w:ascii="Arial" w:hAnsi="Arial"/>
          <w:sz w:val="20"/>
        </w:rPr>
        <w:t>I declare that this thesis has not been submitted as an exercise for a degree at this or any other university and it is entirely my own work.</w:t>
      </w:r>
    </w:p>
    <w:p w:rsidR="003B0DEE" w:rsidRPr="00CB4DC0" w:rsidRDefault="003B0DEE" w:rsidP="000D5D90">
      <w:pPr>
        <w:spacing w:before="120" w:after="120" w:line="360" w:lineRule="auto"/>
        <w:jc w:val="left"/>
        <w:rPr>
          <w:rFonts w:ascii="Arial" w:hAnsi="Arial"/>
          <w:sz w:val="20"/>
        </w:rPr>
      </w:pPr>
      <w:r w:rsidRPr="00CB4DC0">
        <w:rPr>
          <w:rFonts w:ascii="Arial" w:hAnsi="Arial"/>
          <w:sz w:val="20"/>
        </w:rPr>
        <w:t>I agree to deposit this thesis in the University’s open access institutional repository or allow the Library to do so on my behalf, subject to Irish Copyright Legislation and Trinity College Library conditions of use and acknowledgement.</w:t>
      </w:r>
    </w:p>
    <w:p w:rsidR="003B0DEE" w:rsidRPr="00CB4DC0" w:rsidRDefault="003B0DEE" w:rsidP="000D5D90">
      <w:pPr>
        <w:spacing w:before="120" w:after="120" w:line="360" w:lineRule="auto"/>
        <w:jc w:val="left"/>
        <w:rPr>
          <w:rFonts w:ascii="Arial" w:hAnsi="Arial"/>
          <w:sz w:val="20"/>
        </w:rPr>
      </w:pPr>
      <w:r w:rsidRPr="00CB4DC0">
        <w:rPr>
          <w:rFonts w:ascii="Arial" w:hAnsi="Arial"/>
          <w:sz w:val="20"/>
        </w:rPr>
        <w:t xml:space="preserve">I consent to the examiner retaining a copy of the thesis beyond the examining period, should they so wish (EU GDPR May 2018). </w:t>
      </w:r>
    </w:p>
    <w:p w:rsidR="003B0DEE" w:rsidRPr="00CB4DC0" w:rsidRDefault="003B0DEE" w:rsidP="000D5D90">
      <w:pPr>
        <w:pStyle w:val="NoSpacing"/>
        <w:spacing w:line="360" w:lineRule="auto"/>
        <w:rPr>
          <w:rFonts w:ascii="Arial" w:hAnsi="Arial" w:cs="Arial"/>
          <w:b/>
          <w:sz w:val="24"/>
          <w:szCs w:val="28"/>
        </w:rPr>
      </w:pPr>
    </w:p>
    <w:p w:rsidR="003B0DEE" w:rsidRPr="00CB4DC0" w:rsidRDefault="003B0DEE" w:rsidP="000D5D90">
      <w:pPr>
        <w:spacing w:before="120" w:after="120" w:line="360" w:lineRule="auto"/>
        <w:jc w:val="left"/>
        <w:rPr>
          <w:rFonts w:ascii="Arial" w:hAnsi="Arial"/>
          <w:sz w:val="20"/>
        </w:rPr>
      </w:pPr>
      <w:r w:rsidRPr="00CB4DC0">
        <w:rPr>
          <w:rFonts w:ascii="Arial" w:hAnsi="Arial"/>
          <w:sz w:val="20"/>
        </w:rPr>
        <w:t>______________________</w:t>
      </w:r>
    </w:p>
    <w:p w:rsidR="003B0DEE" w:rsidRDefault="003B0DEE" w:rsidP="000D5D90">
      <w:pPr>
        <w:spacing w:before="120" w:after="120" w:line="360" w:lineRule="auto"/>
        <w:jc w:val="left"/>
        <w:rPr>
          <w:rFonts w:ascii="Arial" w:hAnsi="Arial"/>
          <w:sz w:val="20"/>
        </w:rPr>
      </w:pPr>
      <w:r w:rsidRPr="00CB4DC0">
        <w:rPr>
          <w:rFonts w:ascii="Arial" w:hAnsi="Arial"/>
          <w:sz w:val="20"/>
        </w:rPr>
        <w:t>Anne Marie Carew</w:t>
      </w:r>
    </w:p>
    <w:p w:rsidR="003B0DEE" w:rsidRPr="00CB4DC0" w:rsidRDefault="003B0DEE" w:rsidP="000D5D90">
      <w:pPr>
        <w:spacing w:before="120" w:after="120" w:line="360" w:lineRule="auto"/>
        <w:jc w:val="left"/>
        <w:rPr>
          <w:rFonts w:ascii="Arial" w:hAnsi="Arial"/>
          <w:sz w:val="20"/>
        </w:rPr>
      </w:pPr>
      <w:r>
        <w:rPr>
          <w:rFonts w:ascii="Arial" w:hAnsi="Arial"/>
          <w:sz w:val="20"/>
        </w:rPr>
        <w:t>April 2019</w:t>
      </w:r>
    </w:p>
    <w:p w:rsidR="003B0DEE" w:rsidRPr="00F11DF7" w:rsidRDefault="003B0DEE" w:rsidP="000D5D90">
      <w:pPr>
        <w:spacing w:before="120" w:after="120" w:line="360" w:lineRule="auto"/>
        <w:jc w:val="left"/>
        <w:rPr>
          <w:rFonts w:ascii="Arial" w:hAnsi="Arial"/>
        </w:rPr>
        <w:sectPr w:rsidR="003B0DEE" w:rsidRPr="00F11DF7" w:rsidSect="00D7481B">
          <w:footerReference w:type="default" r:id="rId9"/>
          <w:pgSz w:w="11906" w:h="16838" w:code="9"/>
          <w:pgMar w:top="1134" w:right="1134" w:bottom="1134" w:left="1985" w:header="709" w:footer="709" w:gutter="0"/>
          <w:pgNumType w:fmt="lowerRoman" w:start="1"/>
          <w:cols w:space="708"/>
          <w:docGrid w:linePitch="360"/>
        </w:sectPr>
      </w:pPr>
      <w:r w:rsidRPr="00CB4DC0">
        <w:rPr>
          <w:rFonts w:ascii="Arial" w:hAnsi="Arial"/>
          <w:sz w:val="20"/>
        </w:rPr>
        <w:tab/>
      </w:r>
    </w:p>
    <w:p w:rsidR="003B0DEE" w:rsidRDefault="003B0DEE" w:rsidP="000D5D90">
      <w:pPr>
        <w:pStyle w:val="NoSpacing"/>
        <w:spacing w:line="360" w:lineRule="auto"/>
        <w:jc w:val="center"/>
        <w:rPr>
          <w:rFonts w:ascii="Arial" w:hAnsi="Arial" w:cs="Arial"/>
          <w:b/>
          <w:sz w:val="28"/>
          <w:szCs w:val="28"/>
        </w:rPr>
      </w:pPr>
      <w:r>
        <w:rPr>
          <w:rFonts w:ascii="Arial" w:hAnsi="Arial" w:cs="Arial"/>
          <w:b/>
          <w:sz w:val="28"/>
          <w:szCs w:val="28"/>
        </w:rPr>
        <w:lastRenderedPageBreak/>
        <w:t>Summary</w:t>
      </w:r>
    </w:p>
    <w:p w:rsidR="003B0DEE" w:rsidRPr="00D224FA" w:rsidRDefault="003B0DEE" w:rsidP="000D5D90">
      <w:pPr>
        <w:spacing w:before="120" w:after="120" w:line="360" w:lineRule="auto"/>
        <w:jc w:val="left"/>
        <w:rPr>
          <w:rFonts w:ascii="Arial" w:hAnsi="Arial" w:cs="Arial"/>
          <w:sz w:val="20"/>
        </w:rPr>
      </w:pPr>
      <w:r w:rsidRPr="00D224FA">
        <w:rPr>
          <w:rFonts w:ascii="Arial" w:hAnsi="Arial" w:cs="Arial"/>
          <w:b/>
          <w:sz w:val="20"/>
        </w:rPr>
        <w:t>Introduction:</w:t>
      </w:r>
      <w:r w:rsidRPr="00D224FA">
        <w:rPr>
          <w:rFonts w:ascii="Arial" w:hAnsi="Arial" w:cs="Arial"/>
          <w:sz w:val="20"/>
        </w:rPr>
        <w:t xml:space="preserve"> Current literature identifies older people who use opioids as a neglected population.  Little is known about temporal changes, treatment demand or treatment discharge outcomes among this population.  </w:t>
      </w:r>
    </w:p>
    <w:p w:rsidR="003B0DEE" w:rsidRPr="00D224FA" w:rsidRDefault="003B0DEE" w:rsidP="000D5D90">
      <w:pPr>
        <w:spacing w:before="120" w:after="120" w:line="360" w:lineRule="auto"/>
        <w:jc w:val="left"/>
        <w:rPr>
          <w:rFonts w:ascii="Arial" w:hAnsi="Arial" w:cs="Arial"/>
          <w:sz w:val="20"/>
        </w:rPr>
      </w:pPr>
      <w:r w:rsidRPr="00D224FA">
        <w:rPr>
          <w:rFonts w:ascii="Arial" w:hAnsi="Arial" w:cs="Arial"/>
          <w:b/>
          <w:sz w:val="20"/>
        </w:rPr>
        <w:t>Aim:</w:t>
      </w:r>
      <w:r w:rsidRPr="00D224FA">
        <w:rPr>
          <w:rFonts w:ascii="Arial" w:hAnsi="Arial" w:cs="Arial"/>
          <w:sz w:val="20"/>
        </w:rPr>
        <w:t xml:space="preserve"> This thesis aims to investigate the age profile of the opioid tre</w:t>
      </w:r>
      <w:r>
        <w:rPr>
          <w:rFonts w:ascii="Arial" w:hAnsi="Arial" w:cs="Arial"/>
          <w:sz w:val="20"/>
        </w:rPr>
        <w:t>atment population over a twenty-one-year-period</w:t>
      </w:r>
      <w:r w:rsidRPr="00D224FA">
        <w:rPr>
          <w:rFonts w:ascii="Arial" w:hAnsi="Arial" w:cs="Arial"/>
          <w:sz w:val="20"/>
        </w:rPr>
        <w:t xml:space="preserve"> (1995–2015)</w:t>
      </w:r>
      <w:r>
        <w:rPr>
          <w:rFonts w:ascii="Arial" w:hAnsi="Arial" w:cs="Arial"/>
          <w:sz w:val="20"/>
        </w:rPr>
        <w:t>,</w:t>
      </w:r>
      <w:r w:rsidRPr="00D224FA">
        <w:rPr>
          <w:rFonts w:ascii="Arial" w:hAnsi="Arial" w:cs="Arial"/>
          <w:sz w:val="20"/>
        </w:rPr>
        <w:t xml:space="preserve"> using </w:t>
      </w:r>
      <w:r>
        <w:rPr>
          <w:rFonts w:ascii="Arial" w:hAnsi="Arial" w:cs="Arial"/>
          <w:sz w:val="20"/>
        </w:rPr>
        <w:t xml:space="preserve">national cross-sectional health </w:t>
      </w:r>
      <w:r w:rsidRPr="00D224FA">
        <w:rPr>
          <w:rFonts w:ascii="Arial" w:hAnsi="Arial" w:cs="Arial"/>
          <w:sz w:val="20"/>
        </w:rPr>
        <w:t xml:space="preserve">surveillance </w:t>
      </w:r>
      <w:r>
        <w:rPr>
          <w:rFonts w:ascii="Arial" w:hAnsi="Arial" w:cs="Arial"/>
          <w:sz w:val="20"/>
        </w:rPr>
        <w:t>data following an EU wide protocol</w:t>
      </w:r>
      <w:r w:rsidRPr="00D224FA">
        <w:rPr>
          <w:rFonts w:ascii="Arial" w:hAnsi="Arial" w:cs="Arial"/>
          <w:sz w:val="20"/>
        </w:rPr>
        <w:t xml:space="preserve">, and to explore typologies of client characteristics, behaviours and associated treatment discharge outcomes.  </w:t>
      </w:r>
    </w:p>
    <w:p w:rsidR="003B0DEE" w:rsidRPr="00D224FA" w:rsidRDefault="003B0DEE" w:rsidP="000D5D90">
      <w:pPr>
        <w:spacing w:before="120" w:after="120" w:line="360" w:lineRule="auto"/>
        <w:jc w:val="left"/>
        <w:rPr>
          <w:rFonts w:ascii="Arial" w:hAnsi="Arial" w:cs="Arial"/>
          <w:sz w:val="20"/>
        </w:rPr>
      </w:pPr>
      <w:r w:rsidRPr="00D224FA">
        <w:rPr>
          <w:rFonts w:ascii="Arial" w:hAnsi="Arial" w:cs="Arial"/>
          <w:b/>
          <w:sz w:val="20"/>
        </w:rPr>
        <w:t>Methods:</w:t>
      </w:r>
      <w:r w:rsidRPr="00D224FA">
        <w:rPr>
          <w:rFonts w:ascii="Arial" w:hAnsi="Arial" w:cs="Arial"/>
          <w:sz w:val="20"/>
        </w:rPr>
        <w:t xml:space="preserve"> A systematic literature review was carried out to establish what was known about ageing among people treated for opioid use and outcomes of that treatment.  Observational data from the EU Treatment Demand Indicator (TDI) for Ireland (1995–2015) was analysed for trends in new opioid treatment admissions, ageing and </w:t>
      </w:r>
      <w:r>
        <w:rPr>
          <w:rFonts w:ascii="Arial" w:hAnsi="Arial" w:cs="Arial"/>
          <w:sz w:val="20"/>
        </w:rPr>
        <w:t>drug-using</w:t>
      </w:r>
      <w:r w:rsidRPr="00D224FA">
        <w:rPr>
          <w:rFonts w:ascii="Arial" w:hAnsi="Arial" w:cs="Arial"/>
          <w:sz w:val="20"/>
        </w:rPr>
        <w:t xml:space="preserve"> behaviours. </w:t>
      </w:r>
      <w:r>
        <w:rPr>
          <w:rFonts w:ascii="Arial" w:hAnsi="Arial" w:cs="Arial"/>
          <w:sz w:val="20"/>
        </w:rPr>
        <w:t xml:space="preserve"> </w:t>
      </w:r>
      <w:r w:rsidRPr="00D224FA">
        <w:rPr>
          <w:rFonts w:ascii="Arial" w:hAnsi="Arial" w:cs="Arial"/>
          <w:sz w:val="20"/>
        </w:rPr>
        <w:t xml:space="preserve">Trends in age-adjusted treatment admission rates were examined using Joinpoint regression analysis.  The typology of </w:t>
      </w:r>
      <w:r>
        <w:rPr>
          <w:rFonts w:ascii="Arial" w:hAnsi="Arial" w:cs="Arial"/>
          <w:sz w:val="20"/>
        </w:rPr>
        <w:t>opioid-using</w:t>
      </w:r>
      <w:r w:rsidRPr="00D224FA">
        <w:rPr>
          <w:rFonts w:ascii="Arial" w:hAnsi="Arial" w:cs="Arial"/>
          <w:sz w:val="20"/>
        </w:rPr>
        <w:t xml:space="preserve"> behaviours </w:t>
      </w:r>
      <w:r>
        <w:rPr>
          <w:rFonts w:ascii="Arial" w:hAnsi="Arial" w:cs="Arial"/>
          <w:sz w:val="20"/>
        </w:rPr>
        <w:t xml:space="preserve">and </w:t>
      </w:r>
      <w:r w:rsidRPr="00D224FA">
        <w:rPr>
          <w:rFonts w:ascii="Arial" w:hAnsi="Arial" w:cs="Arial"/>
          <w:sz w:val="20"/>
        </w:rPr>
        <w:t xml:space="preserve">client characteristics was examined using a cluster analysis for </w:t>
      </w:r>
      <w:r>
        <w:rPr>
          <w:rFonts w:ascii="Arial" w:hAnsi="Arial" w:cs="Arial"/>
          <w:sz w:val="20"/>
        </w:rPr>
        <w:t>similar</w:t>
      </w:r>
      <w:r w:rsidRPr="00D224FA">
        <w:rPr>
          <w:rFonts w:ascii="Arial" w:hAnsi="Arial" w:cs="Arial"/>
          <w:sz w:val="20"/>
        </w:rPr>
        <w:t xml:space="preserve"> groups. </w:t>
      </w:r>
      <w:r>
        <w:rPr>
          <w:rFonts w:ascii="Arial" w:hAnsi="Arial" w:cs="Arial"/>
          <w:sz w:val="20"/>
        </w:rPr>
        <w:t xml:space="preserve"> T</w:t>
      </w:r>
      <w:r w:rsidRPr="00D224FA">
        <w:rPr>
          <w:rFonts w:ascii="Arial" w:hAnsi="Arial" w:cs="Arial"/>
          <w:sz w:val="20"/>
        </w:rPr>
        <w:t xml:space="preserve">reatment </w:t>
      </w:r>
      <w:r>
        <w:rPr>
          <w:rFonts w:ascii="Arial" w:hAnsi="Arial" w:cs="Arial"/>
          <w:sz w:val="20"/>
        </w:rPr>
        <w:t xml:space="preserve">duration and </w:t>
      </w:r>
      <w:r w:rsidRPr="00D224FA">
        <w:rPr>
          <w:rFonts w:ascii="Arial" w:hAnsi="Arial" w:cs="Arial"/>
          <w:sz w:val="20"/>
        </w:rPr>
        <w:t xml:space="preserve">completion rates were analysed </w:t>
      </w:r>
      <w:r>
        <w:rPr>
          <w:rFonts w:ascii="Arial" w:hAnsi="Arial" w:cs="Arial"/>
          <w:sz w:val="20"/>
        </w:rPr>
        <w:t xml:space="preserve">overall, and </w:t>
      </w:r>
      <w:r w:rsidRPr="00D224FA">
        <w:rPr>
          <w:rFonts w:ascii="Arial" w:hAnsi="Arial" w:cs="Arial"/>
          <w:sz w:val="20"/>
        </w:rPr>
        <w:t xml:space="preserve">by treatment modality utilising survival analysis methods.  </w:t>
      </w:r>
    </w:p>
    <w:p w:rsidR="003B0DEE" w:rsidRDefault="003B0DEE" w:rsidP="000D5D90">
      <w:pPr>
        <w:spacing w:before="120" w:after="120" w:line="360" w:lineRule="auto"/>
        <w:jc w:val="left"/>
        <w:rPr>
          <w:rFonts w:ascii="Arial" w:hAnsi="Arial" w:cs="Arial"/>
          <w:sz w:val="20"/>
        </w:rPr>
      </w:pPr>
      <w:r w:rsidRPr="00D224FA">
        <w:rPr>
          <w:rFonts w:ascii="Arial" w:hAnsi="Arial" w:cs="Arial"/>
          <w:b/>
          <w:sz w:val="20"/>
        </w:rPr>
        <w:t xml:space="preserve">Results: </w:t>
      </w:r>
      <w:r w:rsidRPr="00D224FA">
        <w:rPr>
          <w:rFonts w:ascii="Arial" w:hAnsi="Arial" w:cs="Arial"/>
          <w:sz w:val="20"/>
        </w:rPr>
        <w:t xml:space="preserve">Data from 20,698 individuals entering treatment </w:t>
      </w:r>
      <w:r>
        <w:rPr>
          <w:rFonts w:ascii="Arial" w:hAnsi="Arial" w:cs="Arial"/>
          <w:sz w:val="20"/>
        </w:rPr>
        <w:t xml:space="preserve">in Ireland </w:t>
      </w:r>
      <w:r w:rsidRPr="00D224FA">
        <w:rPr>
          <w:rFonts w:ascii="Arial" w:hAnsi="Arial" w:cs="Arial"/>
          <w:sz w:val="20"/>
        </w:rPr>
        <w:t xml:space="preserve">for the first time showed that while the trend of age-adjusted incidence declined between 1995 and 2015, incidence among older age groups increased, with a rising incidence not previously observed among those aged </w:t>
      </w:r>
      <w:r>
        <w:rPr>
          <w:rFonts w:ascii="Arial" w:hAnsi="Arial" w:cs="Arial"/>
          <w:sz w:val="20"/>
        </w:rPr>
        <w:t>45</w:t>
      </w:r>
      <w:r w:rsidRPr="00D224FA">
        <w:rPr>
          <w:rFonts w:ascii="Arial" w:hAnsi="Arial" w:cs="Arial"/>
          <w:sz w:val="20"/>
        </w:rPr>
        <w:t xml:space="preserve"> years and older.  Subgroups of early and late treatment entries, and early and late opioid </w:t>
      </w:r>
      <w:r>
        <w:rPr>
          <w:rFonts w:ascii="Arial" w:hAnsi="Arial" w:cs="Arial"/>
          <w:sz w:val="20"/>
        </w:rPr>
        <w:t xml:space="preserve">use </w:t>
      </w:r>
      <w:r w:rsidRPr="00D224FA">
        <w:rPr>
          <w:rFonts w:ascii="Arial" w:hAnsi="Arial" w:cs="Arial"/>
          <w:sz w:val="20"/>
        </w:rPr>
        <w:t xml:space="preserve">onset were observed.  The median age commencing opioid use increased by five years from 17 to 22 years (U=246292.0, p&lt;0.001).  The median age entering treatment increased by 11 years (from age 20 to age 31) (U=89416.5, p&lt;0.001). </w:t>
      </w:r>
      <w:r>
        <w:rPr>
          <w:rFonts w:ascii="Arial" w:hAnsi="Arial" w:cs="Arial"/>
          <w:sz w:val="20"/>
        </w:rPr>
        <w:t xml:space="preserve"> </w:t>
      </w:r>
      <w:r w:rsidRPr="00D224FA">
        <w:rPr>
          <w:rFonts w:ascii="Arial" w:hAnsi="Arial" w:cs="Arial"/>
          <w:sz w:val="20"/>
        </w:rPr>
        <w:t xml:space="preserve">The median opioid-using duration prior to treatment increased by 5 years (from 2 to 7 years) (U=60636.0, p&lt;0.001). </w:t>
      </w:r>
      <w:r>
        <w:rPr>
          <w:rFonts w:ascii="Arial" w:hAnsi="Arial" w:cs="Arial"/>
          <w:sz w:val="20"/>
        </w:rPr>
        <w:t xml:space="preserve"> </w:t>
      </w:r>
      <w:r w:rsidRPr="00D224FA">
        <w:rPr>
          <w:rFonts w:ascii="Arial" w:hAnsi="Arial" w:cs="Arial"/>
          <w:sz w:val="20"/>
        </w:rPr>
        <w:t xml:space="preserve">Half of the individuals started injecting within one year of first using opioids. </w:t>
      </w:r>
      <w:r>
        <w:rPr>
          <w:rFonts w:ascii="Arial" w:hAnsi="Arial" w:cs="Arial"/>
          <w:sz w:val="20"/>
        </w:rPr>
        <w:t xml:space="preserve"> </w:t>
      </w:r>
      <w:proofErr w:type="gramStart"/>
      <w:r w:rsidRPr="00D224FA">
        <w:rPr>
          <w:rFonts w:ascii="Arial" w:hAnsi="Arial" w:cs="Arial"/>
          <w:sz w:val="20"/>
        </w:rPr>
        <w:t>The median time between first injecting and commencing treatment increased by 6 years for men, and 4 years for women.</w:t>
      </w:r>
      <w:proofErr w:type="gramEnd"/>
      <w:r w:rsidRPr="00D224FA">
        <w:rPr>
          <w:rFonts w:ascii="Arial" w:hAnsi="Arial" w:cs="Arial"/>
          <w:sz w:val="20"/>
        </w:rPr>
        <w:t xml:space="preserve"> </w:t>
      </w:r>
      <w:r>
        <w:rPr>
          <w:rFonts w:ascii="Arial" w:hAnsi="Arial" w:cs="Arial"/>
          <w:sz w:val="20"/>
        </w:rPr>
        <w:t xml:space="preserve"> </w:t>
      </w:r>
      <w:r w:rsidRPr="00D224FA">
        <w:rPr>
          <w:rFonts w:ascii="Arial" w:hAnsi="Arial" w:cs="Arial"/>
          <w:sz w:val="20"/>
        </w:rPr>
        <w:t xml:space="preserve">Results of the Joinpoint analysis </w:t>
      </w:r>
      <w:r>
        <w:rPr>
          <w:rFonts w:ascii="Arial" w:hAnsi="Arial" w:cs="Arial"/>
          <w:sz w:val="20"/>
        </w:rPr>
        <w:t>also indicated that the</w:t>
      </w:r>
      <w:r w:rsidRPr="00D224FA">
        <w:rPr>
          <w:rFonts w:ascii="Arial" w:hAnsi="Arial" w:cs="Arial"/>
          <w:sz w:val="20"/>
        </w:rPr>
        <w:t xml:space="preserve"> most recent significant </w:t>
      </w:r>
      <w:r>
        <w:rPr>
          <w:rFonts w:ascii="Arial" w:hAnsi="Arial" w:cs="Arial"/>
          <w:sz w:val="20"/>
        </w:rPr>
        <w:t>age-related trend</w:t>
      </w:r>
      <w:r w:rsidRPr="00D224FA">
        <w:rPr>
          <w:rFonts w:ascii="Arial" w:hAnsi="Arial" w:cs="Arial"/>
          <w:sz w:val="20"/>
        </w:rPr>
        <w:t xml:space="preserve"> in first-time treatment admissions </w:t>
      </w:r>
      <w:r>
        <w:rPr>
          <w:rFonts w:ascii="Arial" w:hAnsi="Arial" w:cs="Arial"/>
          <w:sz w:val="20"/>
        </w:rPr>
        <w:t>was downward and commenced in 2009</w:t>
      </w:r>
      <w:r w:rsidRPr="00820470">
        <w:rPr>
          <w:rFonts w:ascii="Arial" w:hAnsi="Arial" w:cs="Arial"/>
          <w:sz w:val="20"/>
        </w:rPr>
        <w:t xml:space="preserve"> (APC=-6.4, CI: -10.6 to -2.0, p&lt;0.001).</w:t>
      </w:r>
      <w:r w:rsidRPr="00CE2E3B">
        <w:t xml:space="preserve">  </w:t>
      </w:r>
      <w:r w:rsidRPr="00D224FA">
        <w:rPr>
          <w:rFonts w:ascii="Arial" w:hAnsi="Arial" w:cs="Arial"/>
          <w:sz w:val="20"/>
        </w:rPr>
        <w:t xml:space="preserve"> </w:t>
      </w:r>
    </w:p>
    <w:p w:rsidR="003B0DEE" w:rsidRDefault="003B0DEE" w:rsidP="000D5D90">
      <w:pPr>
        <w:spacing w:line="360" w:lineRule="auto"/>
        <w:jc w:val="left"/>
        <w:rPr>
          <w:rFonts w:ascii="Arial" w:hAnsi="Arial" w:cs="Arial"/>
          <w:sz w:val="20"/>
        </w:rPr>
      </w:pPr>
      <w:r w:rsidRPr="001E07CA">
        <w:rPr>
          <w:rFonts w:ascii="Arial" w:hAnsi="Arial" w:cs="Arial"/>
          <w:sz w:val="20"/>
        </w:rPr>
        <w:t xml:space="preserve">The cluster analysis revealed five distinct groups.  Two variables, type of opioid and age of opioid use onset, produced the best cluster solution and these two variables provided distinguishing features between clusters.  The following cluster profiles were identified: </w:t>
      </w:r>
      <w:r w:rsidRPr="001E07CA">
        <w:rPr>
          <w:rFonts w:ascii="Arial" w:hAnsi="Arial" w:cs="Arial"/>
          <w:b/>
          <w:sz w:val="20"/>
        </w:rPr>
        <w:t>Cluster 1:</w:t>
      </w:r>
      <w:r w:rsidRPr="001E07CA">
        <w:rPr>
          <w:rFonts w:ascii="Arial" w:hAnsi="Arial" w:cs="Arial"/>
          <w:sz w:val="20"/>
        </w:rPr>
        <w:t xml:space="preserve"> </w:t>
      </w:r>
      <w:r w:rsidRPr="001E07CA">
        <w:rPr>
          <w:rFonts w:ascii="Arial" w:hAnsi="Arial" w:cs="Arial"/>
          <w:i/>
          <w:sz w:val="20"/>
        </w:rPr>
        <w:t>people who used over-the-counter/prescription/other opioids with late-onset drug use</w:t>
      </w:r>
      <w:r w:rsidRPr="001E07CA">
        <w:rPr>
          <w:rFonts w:ascii="Arial" w:hAnsi="Arial" w:cs="Arial"/>
          <w:sz w:val="20"/>
        </w:rPr>
        <w:t xml:space="preserve"> </w:t>
      </w:r>
      <w:proofErr w:type="gramStart"/>
      <w:r w:rsidRPr="001E07CA">
        <w:rPr>
          <w:rFonts w:ascii="Arial" w:hAnsi="Arial" w:cs="Arial"/>
          <w:sz w:val="20"/>
        </w:rPr>
        <w:t>was</w:t>
      </w:r>
      <w:proofErr w:type="gramEnd"/>
      <w:r w:rsidRPr="001E07CA">
        <w:rPr>
          <w:rFonts w:ascii="Arial" w:hAnsi="Arial" w:cs="Arial"/>
          <w:sz w:val="20"/>
        </w:rPr>
        <w:t xml:space="preserve"> the smallest cluster and consisted of 10.9% (n=864) of treatment entries. </w:t>
      </w:r>
      <w:r>
        <w:rPr>
          <w:rFonts w:ascii="Arial" w:hAnsi="Arial" w:cs="Arial"/>
          <w:sz w:val="20"/>
        </w:rPr>
        <w:t xml:space="preserve"> </w:t>
      </w:r>
      <w:r w:rsidRPr="001E07CA">
        <w:rPr>
          <w:rFonts w:ascii="Arial" w:hAnsi="Arial" w:cs="Arial"/>
          <w:sz w:val="20"/>
        </w:rPr>
        <w:t xml:space="preserve">A distinguishing feature of this cluster was the exclusive primary use of non-heroin opioids, mainly codeine (n=524, 60.6%) and synthetic opioids (n=282, 32.6%).  </w:t>
      </w:r>
      <w:r w:rsidRPr="001E07CA">
        <w:rPr>
          <w:rFonts w:ascii="Arial" w:hAnsi="Arial" w:cs="Arial"/>
          <w:b/>
          <w:sz w:val="20"/>
        </w:rPr>
        <w:t>Cluster 2:</w:t>
      </w:r>
      <w:r w:rsidRPr="001E07CA">
        <w:rPr>
          <w:rFonts w:ascii="Arial" w:hAnsi="Arial" w:cs="Arial"/>
          <w:sz w:val="20"/>
        </w:rPr>
        <w:t xml:space="preserve"> </w:t>
      </w:r>
      <w:r w:rsidRPr="001E07CA">
        <w:rPr>
          <w:rFonts w:ascii="Arial" w:hAnsi="Arial" w:cs="Arial"/>
          <w:i/>
          <w:sz w:val="20"/>
        </w:rPr>
        <w:t xml:space="preserve">people who used heroin </w:t>
      </w:r>
      <w:r>
        <w:rPr>
          <w:rFonts w:ascii="Arial" w:hAnsi="Arial" w:cs="Arial"/>
          <w:i/>
          <w:sz w:val="20"/>
        </w:rPr>
        <w:t xml:space="preserve">and </w:t>
      </w:r>
      <w:r w:rsidRPr="001E07CA">
        <w:rPr>
          <w:rFonts w:ascii="Arial" w:hAnsi="Arial" w:cs="Arial"/>
          <w:i/>
          <w:sz w:val="20"/>
        </w:rPr>
        <w:t>who had shortest duration between opioid use onset and treatment</w:t>
      </w:r>
      <w:r w:rsidRPr="001E07CA">
        <w:rPr>
          <w:rFonts w:ascii="Arial" w:hAnsi="Arial" w:cs="Arial"/>
          <w:sz w:val="20"/>
        </w:rPr>
        <w:t xml:space="preserve"> accounted for 20.1% (n=1,594) of treatment entries.  This group had the shortest duration between commencing opioid use and entering treatment, with a median time lag of 4 years (range 0–15 years).  </w:t>
      </w:r>
      <w:r w:rsidRPr="001E07CA">
        <w:rPr>
          <w:rFonts w:ascii="Arial" w:hAnsi="Arial" w:cs="Arial"/>
          <w:b/>
          <w:sz w:val="20"/>
        </w:rPr>
        <w:t>Cluster 3:</w:t>
      </w:r>
      <w:r w:rsidRPr="001E07CA">
        <w:rPr>
          <w:rFonts w:ascii="Arial" w:hAnsi="Arial" w:cs="Arial"/>
          <w:sz w:val="20"/>
        </w:rPr>
        <w:t xml:space="preserve"> </w:t>
      </w:r>
      <w:r w:rsidRPr="001E07CA">
        <w:rPr>
          <w:rFonts w:ascii="Arial" w:hAnsi="Arial" w:cs="Arial"/>
          <w:i/>
          <w:sz w:val="20"/>
        </w:rPr>
        <w:t>people who used heroin and were the oldest to commence opioid use</w:t>
      </w:r>
      <w:r w:rsidRPr="001E07CA">
        <w:rPr>
          <w:rFonts w:ascii="Arial" w:hAnsi="Arial" w:cs="Arial"/>
          <w:sz w:val="20"/>
        </w:rPr>
        <w:t xml:space="preserve"> consisted of 14.2% (n=1,123) of treatment entries and was entirely made up of heroin users. </w:t>
      </w:r>
      <w:r>
        <w:rPr>
          <w:rFonts w:ascii="Arial" w:hAnsi="Arial" w:cs="Arial"/>
          <w:sz w:val="20"/>
        </w:rPr>
        <w:t xml:space="preserve"> </w:t>
      </w:r>
      <w:r w:rsidRPr="001E07CA">
        <w:rPr>
          <w:rFonts w:ascii="Arial" w:hAnsi="Arial" w:cs="Arial"/>
          <w:sz w:val="20"/>
        </w:rPr>
        <w:t xml:space="preserve">A distinguishing feature of this cluster was </w:t>
      </w:r>
      <w:r>
        <w:rPr>
          <w:rFonts w:ascii="Arial" w:hAnsi="Arial" w:cs="Arial"/>
          <w:sz w:val="20"/>
        </w:rPr>
        <w:t xml:space="preserve">that </w:t>
      </w:r>
      <w:r w:rsidRPr="001E07CA">
        <w:rPr>
          <w:rFonts w:ascii="Arial" w:hAnsi="Arial" w:cs="Arial"/>
          <w:sz w:val="20"/>
        </w:rPr>
        <w:t xml:space="preserve">it is the oldest in terms of </w:t>
      </w:r>
      <w:r w:rsidRPr="001E07CA">
        <w:rPr>
          <w:rFonts w:ascii="Arial" w:hAnsi="Arial" w:cs="Arial"/>
          <w:sz w:val="20"/>
        </w:rPr>
        <w:lastRenderedPageBreak/>
        <w:t xml:space="preserve">opioid use onset with a median age of 31 years (range 12–44 years).  </w:t>
      </w:r>
      <w:r w:rsidRPr="001E07CA">
        <w:rPr>
          <w:rFonts w:ascii="Arial" w:hAnsi="Arial" w:cs="Arial"/>
          <w:b/>
          <w:sz w:val="20"/>
        </w:rPr>
        <w:t>Cluster 4:</w:t>
      </w:r>
      <w:r w:rsidRPr="001E07CA">
        <w:rPr>
          <w:rFonts w:ascii="Arial" w:hAnsi="Arial" w:cs="Arial"/>
          <w:sz w:val="20"/>
        </w:rPr>
        <w:t xml:space="preserve"> </w:t>
      </w:r>
      <w:r w:rsidRPr="001E07CA">
        <w:rPr>
          <w:rFonts w:ascii="Arial" w:hAnsi="Arial" w:cs="Arial"/>
          <w:i/>
          <w:sz w:val="20"/>
        </w:rPr>
        <w:t>people who used heroin and were young treatment entrants</w:t>
      </w:r>
      <w:r w:rsidRPr="001E07CA">
        <w:rPr>
          <w:rFonts w:ascii="Arial" w:hAnsi="Arial" w:cs="Arial"/>
          <w:sz w:val="20"/>
        </w:rPr>
        <w:t xml:space="preserve"> consisted of 22.3% (n=1,766) of treatment entries and was entirely made up of heroin users.  Half of this group had started using heroin by the time they were aged 22 years (range 20–24 years).  </w:t>
      </w:r>
      <w:r w:rsidRPr="001E07CA">
        <w:rPr>
          <w:rFonts w:ascii="Arial" w:hAnsi="Arial" w:cs="Arial"/>
          <w:b/>
          <w:sz w:val="20"/>
        </w:rPr>
        <w:t>Cluster 5:</w:t>
      </w:r>
      <w:r w:rsidRPr="001E07CA">
        <w:rPr>
          <w:rFonts w:ascii="Arial" w:hAnsi="Arial" w:cs="Arial"/>
          <w:sz w:val="20"/>
        </w:rPr>
        <w:t xml:space="preserve"> </w:t>
      </w:r>
      <w:r w:rsidRPr="001E07CA">
        <w:rPr>
          <w:rFonts w:ascii="Arial" w:hAnsi="Arial" w:cs="Arial"/>
          <w:i/>
          <w:sz w:val="20"/>
        </w:rPr>
        <w:t>people who used heroin, were the youngest treatment entrants, with the earliest opioid</w:t>
      </w:r>
      <w:r>
        <w:rPr>
          <w:rFonts w:ascii="Arial" w:hAnsi="Arial" w:cs="Arial"/>
          <w:i/>
          <w:sz w:val="20"/>
        </w:rPr>
        <w:t xml:space="preserve"> use</w:t>
      </w:r>
      <w:r w:rsidRPr="001E07CA">
        <w:rPr>
          <w:rFonts w:ascii="Arial" w:hAnsi="Arial" w:cs="Arial"/>
          <w:i/>
          <w:sz w:val="20"/>
        </w:rPr>
        <w:t xml:space="preserve"> onset, and had the longest duration between opioid use onset and treatment</w:t>
      </w:r>
      <w:r w:rsidRPr="001E07CA">
        <w:rPr>
          <w:rFonts w:ascii="Arial" w:hAnsi="Arial" w:cs="Arial"/>
          <w:sz w:val="20"/>
        </w:rPr>
        <w:t xml:space="preserve"> was the largest and consisted of 32.6% (n=2,586) of treatment entries. </w:t>
      </w:r>
      <w:r>
        <w:rPr>
          <w:rFonts w:ascii="Arial" w:hAnsi="Arial" w:cs="Arial"/>
          <w:sz w:val="20"/>
        </w:rPr>
        <w:t xml:space="preserve"> </w:t>
      </w:r>
      <w:r w:rsidRPr="001E07CA">
        <w:rPr>
          <w:rFonts w:ascii="Arial" w:hAnsi="Arial" w:cs="Arial"/>
          <w:sz w:val="20"/>
        </w:rPr>
        <w:t xml:space="preserve">A distinguishing feature of cluster five was that they were the youngest to start using drugs (median age 14 years, range 11–18 years), making them an early opioid use onset group.  </w:t>
      </w:r>
      <w:r w:rsidRPr="00BD3884">
        <w:rPr>
          <w:rFonts w:ascii="Arial" w:hAnsi="Arial"/>
          <w:sz w:val="20"/>
        </w:rPr>
        <w:t xml:space="preserve">There was evidence of important temporal changes within subgroups, including (1) significant changes in the median age entering treatment, and (2) significant changes in </w:t>
      </w:r>
      <w:r>
        <w:rPr>
          <w:rFonts w:ascii="Arial" w:hAnsi="Arial"/>
          <w:sz w:val="20"/>
        </w:rPr>
        <w:t>opioid-using</w:t>
      </w:r>
      <w:r w:rsidRPr="00BD3884">
        <w:rPr>
          <w:rFonts w:ascii="Arial" w:hAnsi="Arial"/>
          <w:sz w:val="20"/>
        </w:rPr>
        <w:t xml:space="preserve"> durations prior to seeking treatment.</w:t>
      </w:r>
      <w:r>
        <w:rPr>
          <w:rFonts w:ascii="Arial" w:hAnsi="Arial"/>
          <w:sz w:val="20"/>
        </w:rPr>
        <w:t xml:space="preserve">  O</w:t>
      </w:r>
      <w:r w:rsidRPr="00BD3884">
        <w:rPr>
          <w:rFonts w:ascii="Arial" w:hAnsi="Arial"/>
          <w:sz w:val="20"/>
        </w:rPr>
        <w:t>nly t</w:t>
      </w:r>
      <w:r>
        <w:rPr>
          <w:rFonts w:ascii="Arial" w:hAnsi="Arial"/>
          <w:sz w:val="20"/>
        </w:rPr>
        <w:t>hree</w:t>
      </w:r>
      <w:r w:rsidRPr="00BD3884">
        <w:rPr>
          <w:rFonts w:ascii="Arial" w:hAnsi="Arial"/>
          <w:sz w:val="20"/>
        </w:rPr>
        <w:t xml:space="preserve"> of the five groups </w:t>
      </w:r>
      <w:r>
        <w:rPr>
          <w:rFonts w:ascii="Arial" w:hAnsi="Arial"/>
          <w:sz w:val="20"/>
        </w:rPr>
        <w:t xml:space="preserve">(cluster </w:t>
      </w:r>
      <w:r w:rsidRPr="00C3086C">
        <w:rPr>
          <w:rFonts w:ascii="Arial" w:hAnsi="Arial"/>
          <w:sz w:val="20"/>
        </w:rPr>
        <w:t>three, four and five</w:t>
      </w:r>
      <w:r>
        <w:rPr>
          <w:rFonts w:ascii="Arial" w:hAnsi="Arial"/>
          <w:sz w:val="20"/>
        </w:rPr>
        <w:t xml:space="preserve">) </w:t>
      </w:r>
      <w:r w:rsidRPr="00BD3884">
        <w:rPr>
          <w:rFonts w:ascii="Arial" w:hAnsi="Arial"/>
          <w:sz w:val="20"/>
        </w:rPr>
        <w:t>contributed to the overall temporal shift in ageing among the opioid treatment population</w:t>
      </w:r>
      <w:r>
        <w:rPr>
          <w:rFonts w:ascii="Arial" w:hAnsi="Arial"/>
          <w:sz w:val="20"/>
        </w:rPr>
        <w:t>.  Furthermore, there was no evidence that a</w:t>
      </w:r>
      <w:r w:rsidRPr="00CB5C0A">
        <w:rPr>
          <w:rFonts w:ascii="Arial" w:hAnsi="Arial" w:cs="Arial"/>
          <w:sz w:val="20"/>
        </w:rPr>
        <w:t>geing trends were driven by over-the-counter or prescription opioid users</w:t>
      </w:r>
      <w:r w:rsidRPr="00BD3884">
        <w:rPr>
          <w:rFonts w:ascii="Arial" w:hAnsi="Arial"/>
          <w:sz w:val="20"/>
        </w:rPr>
        <w:t xml:space="preserve">. </w:t>
      </w:r>
      <w:r w:rsidRPr="009E7CE9">
        <w:rPr>
          <w:rFonts w:ascii="Arial" w:hAnsi="Arial" w:cs="Arial"/>
          <w:sz w:val="20"/>
        </w:rPr>
        <w:t xml:space="preserve"> It is proposed that ‘older’ is defined as 35 years of age or older when entering treatment, or, if younger than 35 years, where there has been prolonged opioid use for 10 or more years.</w:t>
      </w:r>
    </w:p>
    <w:p w:rsidR="003B0DEE" w:rsidRPr="00D70F99" w:rsidRDefault="003B0DEE" w:rsidP="000D5D90">
      <w:pPr>
        <w:spacing w:line="360" w:lineRule="auto"/>
        <w:jc w:val="left"/>
        <w:rPr>
          <w:rFonts w:ascii="Arial" w:hAnsi="Arial"/>
          <w:sz w:val="20"/>
        </w:rPr>
      </w:pPr>
      <w:r w:rsidRPr="00C36763">
        <w:rPr>
          <w:rFonts w:ascii="Arial" w:hAnsi="Arial" w:cs="Arial"/>
          <w:sz w:val="20"/>
        </w:rPr>
        <w:t xml:space="preserve">The investigation of treatment completion rates for opioid treatment entrants revealed that regardless of treatment modality, rates of opioid treatment dropout </w:t>
      </w:r>
      <w:r>
        <w:rPr>
          <w:rFonts w:ascii="Arial" w:hAnsi="Arial" w:cs="Arial"/>
          <w:sz w:val="20"/>
        </w:rPr>
        <w:t>were</w:t>
      </w:r>
      <w:r w:rsidRPr="00C36763">
        <w:rPr>
          <w:rFonts w:ascii="Arial" w:hAnsi="Arial" w:cs="Arial"/>
          <w:sz w:val="20"/>
        </w:rPr>
        <w:t xml:space="preserve"> high (37.5%-59.9%).  Overall, the proportion of people successfully completing treatment was 22.9%.  A total of </w:t>
      </w:r>
      <w:r>
        <w:rPr>
          <w:rFonts w:ascii="Arial" w:hAnsi="Arial" w:cs="Arial"/>
          <w:sz w:val="20"/>
        </w:rPr>
        <w:t xml:space="preserve">ten </w:t>
      </w:r>
      <w:r w:rsidRPr="00C36763">
        <w:rPr>
          <w:rFonts w:ascii="Arial" w:hAnsi="Arial" w:cs="Arial"/>
          <w:sz w:val="20"/>
        </w:rPr>
        <w:t xml:space="preserve">risk and protective factors were associated with treatment retention.  The </w:t>
      </w:r>
      <w:r w:rsidRPr="00D726BF">
        <w:rPr>
          <w:rFonts w:ascii="Arial" w:hAnsi="Arial" w:cs="Arial"/>
          <w:sz w:val="20"/>
        </w:rPr>
        <w:t>ten factors</w:t>
      </w:r>
      <w:r w:rsidRPr="00C36763">
        <w:rPr>
          <w:rFonts w:ascii="Arial" w:hAnsi="Arial" w:cs="Arial"/>
          <w:sz w:val="20"/>
        </w:rPr>
        <w:t xml:space="preserve"> reflect three categories; sociodemographic factors</w:t>
      </w:r>
      <w:r>
        <w:rPr>
          <w:rFonts w:ascii="Arial" w:hAnsi="Arial" w:cs="Arial"/>
          <w:sz w:val="20"/>
        </w:rPr>
        <w:t xml:space="preserve"> (age, remaining in school until at least 16 years of age, employment status and location of residence)</w:t>
      </w:r>
      <w:r w:rsidRPr="00C36763">
        <w:rPr>
          <w:rFonts w:ascii="Arial" w:hAnsi="Arial" w:cs="Arial"/>
          <w:sz w:val="20"/>
        </w:rPr>
        <w:t xml:space="preserve">, pre-treatment drug use factors </w:t>
      </w:r>
      <w:r>
        <w:rPr>
          <w:rFonts w:ascii="Arial" w:hAnsi="Arial" w:cs="Arial"/>
          <w:sz w:val="20"/>
        </w:rPr>
        <w:t>(</w:t>
      </w:r>
      <w:r w:rsidRPr="0091466A">
        <w:rPr>
          <w:rFonts w:ascii="Arial" w:hAnsi="Arial" w:cs="Arial"/>
          <w:sz w:val="20"/>
        </w:rPr>
        <w:t>frequency of opioid use in the month prior to treatment, route of opioid administration, and injecting status at treatment entry</w:t>
      </w:r>
      <w:r>
        <w:rPr>
          <w:rFonts w:ascii="Arial" w:hAnsi="Arial" w:cs="Arial"/>
          <w:sz w:val="20"/>
        </w:rPr>
        <w:t xml:space="preserve">) </w:t>
      </w:r>
      <w:r w:rsidRPr="00C36763">
        <w:rPr>
          <w:rFonts w:ascii="Arial" w:hAnsi="Arial" w:cs="Arial"/>
          <w:sz w:val="20"/>
        </w:rPr>
        <w:t>and treatment factors</w:t>
      </w:r>
      <w:r>
        <w:rPr>
          <w:rFonts w:ascii="Arial" w:hAnsi="Arial" w:cs="Arial"/>
          <w:sz w:val="20"/>
        </w:rPr>
        <w:t xml:space="preserve"> (</w:t>
      </w:r>
      <w:r w:rsidRPr="0091466A">
        <w:rPr>
          <w:rFonts w:ascii="Arial" w:hAnsi="Arial" w:cs="Arial"/>
          <w:sz w:val="20"/>
        </w:rPr>
        <w:t>treatment setting, year commenced treatment and referral source</w:t>
      </w:r>
      <w:r>
        <w:rPr>
          <w:rFonts w:ascii="Arial" w:hAnsi="Arial" w:cs="Arial"/>
          <w:sz w:val="20"/>
        </w:rPr>
        <w:t>)</w:t>
      </w:r>
      <w:r w:rsidRPr="00C36763">
        <w:rPr>
          <w:rFonts w:ascii="Arial" w:hAnsi="Arial" w:cs="Arial"/>
          <w:sz w:val="20"/>
        </w:rPr>
        <w:t>, which var</w:t>
      </w:r>
      <w:r>
        <w:rPr>
          <w:rFonts w:ascii="Arial" w:hAnsi="Arial" w:cs="Arial"/>
          <w:sz w:val="20"/>
        </w:rPr>
        <w:t>ied</w:t>
      </w:r>
      <w:r w:rsidRPr="00C36763">
        <w:rPr>
          <w:rFonts w:ascii="Arial" w:hAnsi="Arial" w:cs="Arial"/>
          <w:sz w:val="20"/>
        </w:rPr>
        <w:t xml:space="preserve"> by treatment modality, demonstrating that key indicators of treatment compliance are not uniform across treatment modality. </w:t>
      </w:r>
      <w:r>
        <w:rPr>
          <w:rFonts w:ascii="Arial" w:hAnsi="Arial" w:cs="Arial"/>
          <w:sz w:val="20"/>
        </w:rPr>
        <w:t xml:space="preserve"> </w:t>
      </w:r>
      <w:r w:rsidRPr="00C36763">
        <w:rPr>
          <w:rFonts w:ascii="Arial" w:hAnsi="Arial" w:cs="Arial"/>
          <w:sz w:val="20"/>
        </w:rPr>
        <w:t>There was considerable variation not only in treatment exposure across modality, but</w:t>
      </w:r>
      <w:r w:rsidRPr="00D70F99">
        <w:rPr>
          <w:rFonts w:ascii="Arial" w:hAnsi="Arial"/>
          <w:sz w:val="20"/>
        </w:rPr>
        <w:t xml:space="preserve"> also in the characteristics which may be associated with treatment retention.  Older age at treatment entry was associated with reduced risk of treatment dropout in certain circumstances.  </w:t>
      </w:r>
    </w:p>
    <w:p w:rsidR="003B0DEE" w:rsidRDefault="003B0DEE" w:rsidP="000D5D90">
      <w:pPr>
        <w:spacing w:line="360" w:lineRule="auto"/>
        <w:jc w:val="left"/>
        <w:rPr>
          <w:rFonts w:ascii="Arial" w:hAnsi="Arial" w:cs="Arial"/>
          <w:sz w:val="20"/>
        </w:rPr>
      </w:pPr>
      <w:r w:rsidRPr="00D224FA">
        <w:rPr>
          <w:rFonts w:ascii="Arial" w:hAnsi="Arial" w:cs="Arial"/>
          <w:b/>
          <w:sz w:val="20"/>
        </w:rPr>
        <w:t>Conclusion:</w:t>
      </w:r>
      <w:r w:rsidRPr="00D224FA">
        <w:rPr>
          <w:rFonts w:ascii="Arial" w:hAnsi="Arial" w:cs="Arial"/>
          <w:sz w:val="20"/>
        </w:rPr>
        <w:t xml:space="preserve"> </w:t>
      </w:r>
      <w:r>
        <w:rPr>
          <w:rFonts w:ascii="Arial" w:hAnsi="Arial" w:cs="Arial"/>
          <w:sz w:val="20"/>
        </w:rPr>
        <w:t xml:space="preserve">Current knowledge about the ageing cohort of opioid users is limited by the failure to recognise the value of existing health surveillance data and the absence of a universally accepted, evidence based definition of older among people who use drugs.  </w:t>
      </w:r>
      <w:r w:rsidRPr="002A5BF0">
        <w:rPr>
          <w:rFonts w:ascii="Arial" w:hAnsi="Arial" w:cs="Arial"/>
          <w:sz w:val="20"/>
        </w:rPr>
        <w:t>Th</w:t>
      </w:r>
      <w:r>
        <w:rPr>
          <w:rFonts w:ascii="Arial" w:hAnsi="Arial" w:cs="Arial"/>
          <w:sz w:val="20"/>
        </w:rPr>
        <w:t>e</w:t>
      </w:r>
      <w:r w:rsidRPr="002A5BF0">
        <w:rPr>
          <w:rFonts w:ascii="Arial" w:hAnsi="Arial" w:cs="Arial"/>
          <w:sz w:val="20"/>
        </w:rPr>
        <w:t xml:space="preserve"> </w:t>
      </w:r>
      <w:r>
        <w:rPr>
          <w:rFonts w:ascii="Arial" w:hAnsi="Arial" w:cs="Arial"/>
          <w:sz w:val="20"/>
        </w:rPr>
        <w:t xml:space="preserve">study </w:t>
      </w:r>
      <w:r w:rsidRPr="00D224FA">
        <w:rPr>
          <w:rFonts w:ascii="Arial" w:hAnsi="Arial" w:cs="Arial"/>
          <w:sz w:val="20"/>
        </w:rPr>
        <w:t>highlights the importance of utilising national datasets to identify hidden groups at risk of chronic harm</w:t>
      </w:r>
      <w:r>
        <w:rPr>
          <w:rFonts w:ascii="Arial" w:hAnsi="Arial" w:cs="Arial"/>
          <w:sz w:val="20"/>
        </w:rPr>
        <w:t xml:space="preserve"> and dispels the </w:t>
      </w:r>
      <w:r w:rsidRPr="00D224FA">
        <w:rPr>
          <w:rFonts w:ascii="Arial" w:hAnsi="Arial" w:cs="Arial"/>
          <w:sz w:val="20"/>
        </w:rPr>
        <w:t xml:space="preserve">belief that data is the greatest limitation to understanding illicit substance use among older adults. </w:t>
      </w:r>
      <w:r>
        <w:rPr>
          <w:rFonts w:ascii="Arial" w:hAnsi="Arial" w:cs="Arial"/>
          <w:sz w:val="20"/>
        </w:rPr>
        <w:t xml:space="preserve"> </w:t>
      </w:r>
      <w:r w:rsidRPr="00402B4B">
        <w:rPr>
          <w:rFonts w:ascii="Arial" w:hAnsi="Arial" w:cs="Arial"/>
          <w:sz w:val="20"/>
        </w:rPr>
        <w:t>The study finds that the opi</w:t>
      </w:r>
      <w:r>
        <w:rPr>
          <w:rFonts w:ascii="Arial" w:hAnsi="Arial" w:cs="Arial"/>
          <w:sz w:val="20"/>
        </w:rPr>
        <w:t>oid</w:t>
      </w:r>
      <w:r w:rsidRPr="00402B4B">
        <w:rPr>
          <w:rFonts w:ascii="Arial" w:hAnsi="Arial" w:cs="Arial"/>
          <w:sz w:val="20"/>
        </w:rPr>
        <w:t xml:space="preserve"> treatment</w:t>
      </w:r>
      <w:r>
        <w:rPr>
          <w:rFonts w:ascii="Arial" w:hAnsi="Arial" w:cs="Arial"/>
          <w:sz w:val="20"/>
        </w:rPr>
        <w:t xml:space="preserve"> </w:t>
      </w:r>
      <w:r w:rsidRPr="00402B4B">
        <w:rPr>
          <w:rFonts w:ascii="Arial" w:hAnsi="Arial" w:cs="Arial"/>
          <w:sz w:val="20"/>
        </w:rPr>
        <w:t>population is ageing; those entering treatment are older, are injecting longer and taking</w:t>
      </w:r>
      <w:r>
        <w:rPr>
          <w:rFonts w:ascii="Arial" w:hAnsi="Arial" w:cs="Arial"/>
          <w:sz w:val="20"/>
        </w:rPr>
        <w:t xml:space="preserve"> </w:t>
      </w:r>
      <w:r w:rsidRPr="00402B4B">
        <w:rPr>
          <w:rFonts w:ascii="Arial" w:hAnsi="Arial" w:cs="Arial"/>
          <w:sz w:val="20"/>
        </w:rPr>
        <w:t>longer to enter treatment.</w:t>
      </w:r>
      <w:r>
        <w:rPr>
          <w:rFonts w:ascii="Arial" w:hAnsi="Arial" w:cs="Arial"/>
          <w:sz w:val="20"/>
        </w:rPr>
        <w:t xml:space="preserve">  T</w:t>
      </w:r>
      <w:r w:rsidRPr="00CB5C0A">
        <w:rPr>
          <w:rFonts w:ascii="Arial" w:hAnsi="Arial" w:cs="Arial"/>
          <w:sz w:val="20"/>
        </w:rPr>
        <w:t xml:space="preserve">rends </w:t>
      </w:r>
      <w:r>
        <w:rPr>
          <w:rFonts w:ascii="Arial" w:hAnsi="Arial" w:cs="Arial"/>
          <w:sz w:val="20"/>
        </w:rPr>
        <w:t>are</w:t>
      </w:r>
      <w:r w:rsidRPr="00CB5C0A">
        <w:rPr>
          <w:rFonts w:ascii="Arial" w:hAnsi="Arial" w:cs="Arial"/>
          <w:sz w:val="20"/>
        </w:rPr>
        <w:t xml:space="preserve"> driven by</w:t>
      </w:r>
      <w:r>
        <w:rPr>
          <w:rFonts w:ascii="Arial" w:hAnsi="Arial" w:cs="Arial"/>
          <w:sz w:val="20"/>
        </w:rPr>
        <w:t xml:space="preserve"> population subgroups.  Several </w:t>
      </w:r>
      <w:r w:rsidRPr="006807BA">
        <w:rPr>
          <w:rFonts w:ascii="Arial" w:hAnsi="Arial" w:cs="Arial"/>
          <w:sz w:val="20"/>
        </w:rPr>
        <w:t xml:space="preserve">characteristics including age are associated with duration of treatment retention and treatment completion. </w:t>
      </w:r>
      <w:r>
        <w:rPr>
          <w:rFonts w:ascii="Arial" w:hAnsi="Arial" w:cs="Arial"/>
          <w:sz w:val="20"/>
        </w:rPr>
        <w:t xml:space="preserve"> </w:t>
      </w:r>
      <w:r w:rsidRPr="00A80301">
        <w:rPr>
          <w:rFonts w:ascii="Arial" w:hAnsi="Arial" w:cs="Arial"/>
          <w:sz w:val="20"/>
        </w:rPr>
        <w:t xml:space="preserve">It is important </w:t>
      </w:r>
      <w:r>
        <w:rPr>
          <w:rFonts w:ascii="Arial" w:hAnsi="Arial" w:cs="Arial"/>
          <w:sz w:val="20"/>
        </w:rPr>
        <w:t xml:space="preserve">to adequately </w:t>
      </w:r>
      <w:r w:rsidRPr="00A80301">
        <w:rPr>
          <w:rFonts w:ascii="Arial" w:hAnsi="Arial" w:cs="Arial"/>
          <w:sz w:val="20"/>
        </w:rPr>
        <w:t xml:space="preserve">understand the specific needs of </w:t>
      </w:r>
      <w:r>
        <w:rPr>
          <w:rFonts w:ascii="Arial" w:hAnsi="Arial" w:cs="Arial"/>
          <w:sz w:val="20"/>
        </w:rPr>
        <w:t>the</w:t>
      </w:r>
      <w:r w:rsidRPr="00A80301">
        <w:rPr>
          <w:rFonts w:ascii="Arial" w:hAnsi="Arial" w:cs="Arial"/>
          <w:sz w:val="20"/>
        </w:rPr>
        <w:t xml:space="preserve"> ageing</w:t>
      </w:r>
      <w:r>
        <w:rPr>
          <w:rFonts w:ascii="Arial" w:hAnsi="Arial" w:cs="Arial"/>
          <w:sz w:val="20"/>
        </w:rPr>
        <w:t xml:space="preserve"> </w:t>
      </w:r>
      <w:r w:rsidRPr="00A80301">
        <w:rPr>
          <w:rFonts w:ascii="Arial" w:hAnsi="Arial" w:cs="Arial"/>
          <w:sz w:val="20"/>
        </w:rPr>
        <w:t xml:space="preserve">population </w:t>
      </w:r>
      <w:r>
        <w:rPr>
          <w:rFonts w:ascii="Arial" w:hAnsi="Arial" w:cs="Arial"/>
          <w:sz w:val="20"/>
        </w:rPr>
        <w:t xml:space="preserve">who use opioid drugs in order to </w:t>
      </w:r>
      <w:r w:rsidRPr="00A80301">
        <w:rPr>
          <w:rFonts w:ascii="Arial" w:hAnsi="Arial" w:cs="Arial"/>
          <w:sz w:val="20"/>
        </w:rPr>
        <w:t>deliver appropriate care.</w:t>
      </w:r>
      <w:r>
        <w:rPr>
          <w:rFonts w:ascii="Arial" w:hAnsi="Arial" w:cs="Arial"/>
          <w:sz w:val="20"/>
        </w:rPr>
        <w:t xml:space="preserve">  </w:t>
      </w:r>
    </w:p>
    <w:p w:rsidR="003B0DEE" w:rsidRDefault="003B0DEE" w:rsidP="000D5D90">
      <w:pPr>
        <w:spacing w:line="360" w:lineRule="auto"/>
        <w:jc w:val="left"/>
        <w:rPr>
          <w:rFonts w:ascii="Arial" w:hAnsi="Arial" w:cs="Arial"/>
          <w:sz w:val="20"/>
        </w:rPr>
      </w:pPr>
    </w:p>
    <w:p w:rsidR="003B0DEE" w:rsidRDefault="003B0DEE" w:rsidP="000D5D90">
      <w:pPr>
        <w:pStyle w:val="NoSpacing"/>
        <w:jc w:val="center"/>
        <w:rPr>
          <w:rFonts w:ascii="Arial" w:hAnsi="Arial" w:cs="Arial"/>
          <w:b/>
          <w:sz w:val="28"/>
          <w:szCs w:val="28"/>
        </w:rPr>
      </w:pPr>
      <w:r>
        <w:rPr>
          <w:rFonts w:ascii="Arial" w:hAnsi="Arial" w:cs="Arial"/>
          <w:b/>
          <w:sz w:val="28"/>
          <w:szCs w:val="28"/>
        </w:rPr>
        <w:br w:type="page"/>
      </w:r>
      <w:r>
        <w:rPr>
          <w:rFonts w:ascii="Arial" w:hAnsi="Arial" w:cs="Arial"/>
          <w:b/>
          <w:sz w:val="28"/>
          <w:szCs w:val="28"/>
        </w:rPr>
        <w:lastRenderedPageBreak/>
        <w:t>Publications</w:t>
      </w:r>
    </w:p>
    <w:p w:rsidR="003B0DEE" w:rsidRDefault="003B0DEE" w:rsidP="000D5D90">
      <w:pPr>
        <w:pStyle w:val="NoSpacing"/>
        <w:jc w:val="left"/>
        <w:rPr>
          <w:rFonts w:ascii="Arial" w:hAnsi="Arial" w:cs="Arial"/>
          <w:b/>
          <w:sz w:val="28"/>
          <w:szCs w:val="28"/>
        </w:rPr>
      </w:pPr>
    </w:p>
    <w:p w:rsidR="003B0DEE" w:rsidRDefault="003B0DEE" w:rsidP="000D5D90">
      <w:pPr>
        <w:pStyle w:val="NoSpacing"/>
        <w:jc w:val="left"/>
        <w:rPr>
          <w:rFonts w:ascii="Arial" w:hAnsi="Arial" w:cs="Arial"/>
          <w:b/>
          <w:sz w:val="28"/>
          <w:szCs w:val="28"/>
        </w:rPr>
      </w:pPr>
      <w:r w:rsidRPr="001A0850">
        <w:rPr>
          <w:rFonts w:ascii="Arial" w:hAnsi="Arial" w:cs="Arial"/>
          <w:b/>
          <w:sz w:val="28"/>
          <w:szCs w:val="28"/>
        </w:rPr>
        <w:t>Peer-Reviewed Journal Articles</w:t>
      </w:r>
    </w:p>
    <w:p w:rsidR="003B0DEE" w:rsidRDefault="003B0DEE" w:rsidP="000D5D90">
      <w:pPr>
        <w:pStyle w:val="NoSpacing"/>
        <w:jc w:val="center"/>
        <w:rPr>
          <w:rFonts w:ascii="Arial" w:hAnsi="Arial" w:cs="Arial"/>
          <w:b/>
          <w:sz w:val="28"/>
          <w:szCs w:val="28"/>
        </w:rPr>
      </w:pPr>
    </w:p>
    <w:p w:rsidR="003B0DEE" w:rsidRDefault="003B0DEE" w:rsidP="000D5D90">
      <w:pPr>
        <w:spacing w:before="120" w:after="120" w:line="360" w:lineRule="auto"/>
        <w:jc w:val="left"/>
        <w:rPr>
          <w:rFonts w:ascii="Arial" w:hAnsi="Arial"/>
          <w:sz w:val="20"/>
        </w:rPr>
      </w:pPr>
      <w:r w:rsidRPr="00CB4DC0">
        <w:rPr>
          <w:rFonts w:ascii="Arial" w:hAnsi="Arial"/>
          <w:sz w:val="20"/>
        </w:rPr>
        <w:t>In line with thesis submission guidelines, this thesis includes writings already published by me</w:t>
      </w:r>
      <w:r>
        <w:rPr>
          <w:rFonts w:ascii="Arial" w:hAnsi="Arial"/>
          <w:sz w:val="20"/>
        </w:rPr>
        <w:t>,</w:t>
      </w:r>
      <w:r w:rsidRPr="00CB4DC0">
        <w:rPr>
          <w:rFonts w:ascii="Arial" w:hAnsi="Arial"/>
          <w:sz w:val="20"/>
        </w:rPr>
        <w:t xml:space="preserve"> which derive from my research work carried out during the period of my registrat</w:t>
      </w:r>
      <w:r>
        <w:rPr>
          <w:rFonts w:ascii="Arial" w:hAnsi="Arial"/>
          <w:sz w:val="20"/>
        </w:rPr>
        <w:t xml:space="preserve">ion.  These writings have been fully integrated into the body of the thesis. </w:t>
      </w:r>
    </w:p>
    <w:p w:rsidR="003B0DEE" w:rsidRPr="00981BA8" w:rsidRDefault="003B0DEE" w:rsidP="000D5D90">
      <w:pPr>
        <w:spacing w:before="120" w:after="120" w:line="360" w:lineRule="auto"/>
        <w:jc w:val="left"/>
        <w:rPr>
          <w:rFonts w:ascii="Arial" w:hAnsi="Arial" w:cs="Arial"/>
          <w:sz w:val="18"/>
        </w:rPr>
      </w:pPr>
    </w:p>
    <w:p w:rsidR="003B0DEE" w:rsidRDefault="003B0DEE" w:rsidP="000D5D90">
      <w:pPr>
        <w:pStyle w:val="EndNoteBibliography"/>
        <w:spacing w:line="360" w:lineRule="auto"/>
        <w:ind w:left="720" w:hanging="720"/>
        <w:rPr>
          <w:rFonts w:ascii="Arial" w:hAnsi="Arial" w:cs="Arial"/>
          <w:sz w:val="20"/>
        </w:rPr>
      </w:pPr>
      <w:r w:rsidRPr="00981BA8">
        <w:rPr>
          <w:rFonts w:ascii="Arial" w:hAnsi="Arial" w:cs="Arial"/>
          <w:b/>
          <w:sz w:val="20"/>
        </w:rPr>
        <w:t>Carew, A. M.</w:t>
      </w:r>
      <w:r w:rsidRPr="00981BA8">
        <w:rPr>
          <w:rFonts w:ascii="Arial" w:hAnsi="Arial" w:cs="Arial"/>
          <w:sz w:val="20"/>
        </w:rPr>
        <w:t xml:space="preserve"> &amp; Comiskey, C. (2018) Treatment for opioid use and outcomes in older adults: a systematic literature review. </w:t>
      </w:r>
      <w:r w:rsidRPr="00981BA8">
        <w:rPr>
          <w:rFonts w:ascii="Arial" w:hAnsi="Arial" w:cs="Arial"/>
          <w:i/>
          <w:sz w:val="20"/>
        </w:rPr>
        <w:t>Drug and Alcohol Dependence,</w:t>
      </w:r>
      <w:r w:rsidRPr="00981BA8">
        <w:rPr>
          <w:rFonts w:ascii="Arial" w:hAnsi="Arial" w:cs="Arial"/>
          <w:sz w:val="20"/>
        </w:rPr>
        <w:t xml:space="preserve"> </w:t>
      </w:r>
      <w:r w:rsidRPr="00981BA8">
        <w:rPr>
          <w:rFonts w:ascii="Arial" w:hAnsi="Arial" w:cs="Arial"/>
          <w:b/>
          <w:sz w:val="20"/>
        </w:rPr>
        <w:t>182,</w:t>
      </w:r>
      <w:r w:rsidRPr="00981BA8">
        <w:rPr>
          <w:rFonts w:ascii="Arial" w:hAnsi="Arial" w:cs="Arial"/>
          <w:sz w:val="20"/>
        </w:rPr>
        <w:t xml:space="preserve"> 48-57.</w:t>
      </w:r>
    </w:p>
    <w:p w:rsidR="003B0DEE" w:rsidRPr="00981BA8" w:rsidRDefault="003B0DEE" w:rsidP="000D5D90">
      <w:pPr>
        <w:pStyle w:val="EndNoteBibliography"/>
        <w:spacing w:after="0" w:line="360" w:lineRule="auto"/>
        <w:ind w:left="720" w:hanging="720"/>
        <w:rPr>
          <w:rFonts w:ascii="Arial" w:hAnsi="Arial" w:cs="Arial"/>
          <w:sz w:val="20"/>
        </w:rPr>
      </w:pPr>
      <w:r w:rsidRPr="00981BA8">
        <w:rPr>
          <w:rFonts w:ascii="Arial" w:hAnsi="Arial" w:cs="Arial"/>
          <w:b/>
          <w:sz w:val="20"/>
        </w:rPr>
        <w:t>Carew, A. M.</w:t>
      </w:r>
      <w:r w:rsidRPr="00981BA8">
        <w:rPr>
          <w:rFonts w:ascii="Arial" w:hAnsi="Arial" w:cs="Arial"/>
          <w:sz w:val="20"/>
        </w:rPr>
        <w:t xml:space="preserve"> &amp; Comiskey, C. (2018) Rising incidence of ageing opioid users within the EU wi</w:t>
      </w:r>
      <w:r>
        <w:rPr>
          <w:rFonts w:ascii="Arial" w:hAnsi="Arial" w:cs="Arial"/>
          <w:sz w:val="20"/>
        </w:rPr>
        <w:t>de treatment demand indicator; t</w:t>
      </w:r>
      <w:r w:rsidRPr="00981BA8">
        <w:rPr>
          <w:rFonts w:ascii="Arial" w:hAnsi="Arial" w:cs="Arial"/>
          <w:sz w:val="20"/>
        </w:rPr>
        <w:t xml:space="preserve">he Irish opioid epidemic from 1996 to 2014. </w:t>
      </w:r>
      <w:r w:rsidRPr="00981BA8">
        <w:rPr>
          <w:rFonts w:ascii="Arial" w:hAnsi="Arial" w:cs="Arial"/>
          <w:i/>
          <w:sz w:val="20"/>
        </w:rPr>
        <w:t>Drug and  Alcohol Dependence,</w:t>
      </w:r>
      <w:r w:rsidRPr="00981BA8">
        <w:rPr>
          <w:rFonts w:ascii="Arial" w:hAnsi="Arial" w:cs="Arial"/>
          <w:sz w:val="20"/>
        </w:rPr>
        <w:t xml:space="preserve"> </w:t>
      </w:r>
      <w:r w:rsidRPr="00981BA8">
        <w:rPr>
          <w:rFonts w:ascii="Arial" w:hAnsi="Arial" w:cs="Arial"/>
          <w:b/>
          <w:sz w:val="20"/>
        </w:rPr>
        <w:t>192,</w:t>
      </w:r>
      <w:r w:rsidRPr="00981BA8">
        <w:rPr>
          <w:rFonts w:ascii="Arial" w:hAnsi="Arial" w:cs="Arial"/>
          <w:sz w:val="20"/>
        </w:rPr>
        <w:t xml:space="preserve"> 329-337.</w:t>
      </w:r>
    </w:p>
    <w:p w:rsidR="003B0DEE" w:rsidRPr="00981BA8" w:rsidRDefault="003B0DEE" w:rsidP="000D5D90">
      <w:pPr>
        <w:pStyle w:val="EndNoteBibliography"/>
        <w:spacing w:line="360" w:lineRule="auto"/>
        <w:ind w:left="720" w:hanging="720"/>
        <w:rPr>
          <w:rFonts w:ascii="Arial" w:hAnsi="Arial" w:cs="Arial"/>
          <w:sz w:val="20"/>
        </w:rPr>
      </w:pPr>
    </w:p>
    <w:p w:rsidR="003B0DEE" w:rsidRPr="00981445" w:rsidRDefault="003B0DEE" w:rsidP="000D5D90">
      <w:pPr>
        <w:spacing w:before="120" w:after="120" w:line="360" w:lineRule="auto"/>
        <w:jc w:val="left"/>
        <w:rPr>
          <w:rFonts w:ascii="Arial" w:hAnsi="Arial" w:cs="Arial"/>
          <w:b/>
          <w:sz w:val="28"/>
          <w:szCs w:val="28"/>
          <w:highlight w:val="yellow"/>
        </w:rPr>
      </w:pPr>
      <w:r w:rsidRPr="003313E5">
        <w:rPr>
          <w:rFonts w:ascii="Arial" w:hAnsi="Arial" w:cs="Arial"/>
          <w:b/>
          <w:sz w:val="28"/>
          <w:szCs w:val="28"/>
        </w:rPr>
        <w:t>Presentation of results from thesis</w:t>
      </w:r>
    </w:p>
    <w:p w:rsidR="003B0DEE" w:rsidRDefault="003B0DEE" w:rsidP="000D5D90">
      <w:pPr>
        <w:pStyle w:val="EndNoteBibliography"/>
        <w:spacing w:after="0" w:line="360" w:lineRule="auto"/>
        <w:ind w:left="720" w:hanging="720"/>
        <w:rPr>
          <w:rFonts w:ascii="Arial" w:hAnsi="Arial" w:cs="Arial"/>
          <w:sz w:val="20"/>
        </w:rPr>
      </w:pPr>
    </w:p>
    <w:p w:rsidR="003B0DEE" w:rsidRDefault="003B0DEE" w:rsidP="000D5D90">
      <w:pPr>
        <w:pStyle w:val="EndNoteBibliography"/>
        <w:spacing w:after="0" w:line="360" w:lineRule="auto"/>
        <w:ind w:left="720" w:hanging="720"/>
        <w:rPr>
          <w:rFonts w:ascii="Arial" w:hAnsi="Arial" w:cs="Arial"/>
          <w:sz w:val="20"/>
        </w:rPr>
      </w:pPr>
      <w:r w:rsidRPr="00B815DE">
        <w:rPr>
          <w:rFonts w:ascii="Arial" w:hAnsi="Arial" w:cs="Arial"/>
          <w:sz w:val="20"/>
        </w:rPr>
        <w:t>Carew, A. M.</w:t>
      </w:r>
      <w:r w:rsidRPr="00981BA8">
        <w:rPr>
          <w:rFonts w:ascii="Arial" w:hAnsi="Arial" w:cs="Arial"/>
          <w:sz w:val="20"/>
        </w:rPr>
        <w:t xml:space="preserve"> &amp; </w:t>
      </w:r>
      <w:r w:rsidRPr="00B815DE">
        <w:rPr>
          <w:rFonts w:ascii="Arial" w:hAnsi="Arial" w:cs="Arial"/>
          <w:b/>
          <w:sz w:val="20"/>
        </w:rPr>
        <w:t>Comiskey, C.</w:t>
      </w:r>
      <w:r w:rsidRPr="00981BA8">
        <w:rPr>
          <w:rFonts w:ascii="Arial" w:hAnsi="Arial" w:cs="Arial"/>
          <w:sz w:val="20"/>
        </w:rPr>
        <w:t xml:space="preserve"> (201</w:t>
      </w:r>
      <w:r>
        <w:rPr>
          <w:rFonts w:ascii="Arial" w:hAnsi="Arial" w:cs="Arial"/>
          <w:sz w:val="20"/>
        </w:rPr>
        <w:t>9</w:t>
      </w:r>
      <w:r w:rsidRPr="00981BA8">
        <w:rPr>
          <w:rFonts w:ascii="Arial" w:hAnsi="Arial" w:cs="Arial"/>
          <w:sz w:val="20"/>
        </w:rPr>
        <w:t>) Rising incidence of ageing opioid users within the EU wi</w:t>
      </w:r>
      <w:r>
        <w:rPr>
          <w:rFonts w:ascii="Arial" w:hAnsi="Arial" w:cs="Arial"/>
          <w:sz w:val="20"/>
        </w:rPr>
        <w:t>de treatment demand indicator; t</w:t>
      </w:r>
      <w:r w:rsidRPr="00981BA8">
        <w:rPr>
          <w:rFonts w:ascii="Arial" w:hAnsi="Arial" w:cs="Arial"/>
          <w:sz w:val="20"/>
        </w:rPr>
        <w:t xml:space="preserve">he Irish opioid epidemic from 1996 to 2014. </w:t>
      </w:r>
      <w:r w:rsidRPr="00B815DE">
        <w:rPr>
          <w:rFonts w:ascii="Arial" w:hAnsi="Arial" w:cs="Arial"/>
          <w:i/>
          <w:sz w:val="20"/>
        </w:rPr>
        <w:t>Trinity Health and Education International Research Conference (THEconf2019)</w:t>
      </w:r>
      <w:r w:rsidRPr="00B815DE">
        <w:rPr>
          <w:rFonts w:ascii="Arial" w:hAnsi="Arial" w:cs="Arial"/>
          <w:sz w:val="20"/>
        </w:rPr>
        <w:t xml:space="preserve">. Dublin, Ireland. 6–7 March 2019. </w:t>
      </w:r>
    </w:p>
    <w:p w:rsidR="003B0DEE" w:rsidRPr="00981BA8" w:rsidRDefault="003B0DEE" w:rsidP="000D5D90">
      <w:pPr>
        <w:pStyle w:val="EndNoteBibliography"/>
        <w:spacing w:after="0" w:line="360" w:lineRule="auto"/>
        <w:ind w:left="720" w:hanging="720"/>
        <w:rPr>
          <w:rFonts w:ascii="Arial" w:hAnsi="Arial" w:cs="Arial"/>
          <w:sz w:val="20"/>
        </w:rPr>
      </w:pPr>
    </w:p>
    <w:p w:rsidR="003B0DEE" w:rsidRDefault="003B0DEE" w:rsidP="000D5D90">
      <w:pPr>
        <w:pStyle w:val="EndNoteBibliography"/>
        <w:spacing w:line="360" w:lineRule="auto"/>
        <w:ind w:left="720" w:hanging="720"/>
        <w:rPr>
          <w:rFonts w:ascii="Arial" w:hAnsi="Arial" w:cs="Arial"/>
          <w:sz w:val="20"/>
        </w:rPr>
      </w:pPr>
      <w:r w:rsidRPr="00981BA8">
        <w:rPr>
          <w:rFonts w:ascii="Arial" w:hAnsi="Arial" w:cs="Arial"/>
          <w:b/>
          <w:sz w:val="20"/>
        </w:rPr>
        <w:t>Carew, A. M.</w:t>
      </w:r>
      <w:r w:rsidRPr="00981BA8">
        <w:rPr>
          <w:rFonts w:ascii="Arial" w:hAnsi="Arial" w:cs="Arial"/>
          <w:sz w:val="20"/>
        </w:rPr>
        <w:t xml:space="preserve"> &amp; Comiskey, C. (201</w:t>
      </w:r>
      <w:r>
        <w:rPr>
          <w:rFonts w:ascii="Arial" w:hAnsi="Arial" w:cs="Arial"/>
          <w:sz w:val="20"/>
        </w:rPr>
        <w:t>8</w:t>
      </w:r>
      <w:r w:rsidRPr="00981BA8">
        <w:rPr>
          <w:rFonts w:ascii="Arial" w:hAnsi="Arial" w:cs="Arial"/>
          <w:sz w:val="20"/>
        </w:rPr>
        <w:t xml:space="preserve">) </w:t>
      </w:r>
      <w:r>
        <w:rPr>
          <w:rFonts w:ascii="Arial" w:hAnsi="Arial" w:cs="Arial"/>
          <w:sz w:val="20"/>
        </w:rPr>
        <w:t>Opioid t</w:t>
      </w:r>
      <w:r w:rsidRPr="00981BA8">
        <w:rPr>
          <w:rFonts w:ascii="Arial" w:hAnsi="Arial" w:cs="Arial"/>
          <w:sz w:val="20"/>
        </w:rPr>
        <w:t xml:space="preserve">reatment </w:t>
      </w:r>
      <w:r>
        <w:rPr>
          <w:rFonts w:ascii="Arial" w:hAnsi="Arial" w:cs="Arial"/>
          <w:sz w:val="20"/>
        </w:rPr>
        <w:t>outocmes in older adults</w:t>
      </w:r>
      <w:r w:rsidRPr="00981BA8">
        <w:rPr>
          <w:rFonts w:ascii="Arial" w:hAnsi="Arial" w:cs="Arial"/>
          <w:sz w:val="20"/>
        </w:rPr>
        <w:t xml:space="preserve">: a </w:t>
      </w:r>
      <w:r>
        <w:rPr>
          <w:rFonts w:ascii="Arial" w:hAnsi="Arial" w:cs="Arial"/>
          <w:sz w:val="20"/>
        </w:rPr>
        <w:t xml:space="preserve">review of the </w:t>
      </w:r>
      <w:r w:rsidRPr="00981BA8">
        <w:rPr>
          <w:rFonts w:ascii="Arial" w:hAnsi="Arial" w:cs="Arial"/>
          <w:sz w:val="20"/>
        </w:rPr>
        <w:t xml:space="preserve">literature. </w:t>
      </w:r>
      <w:r w:rsidRPr="00E87E32">
        <w:rPr>
          <w:rFonts w:ascii="Arial" w:hAnsi="Arial" w:cs="Arial"/>
          <w:i/>
          <w:sz w:val="20"/>
        </w:rPr>
        <w:t>2nd European Conference on Addictive Behaviours and Dependencies, Lisbon Addictions 2017</w:t>
      </w:r>
      <w:r>
        <w:rPr>
          <w:rFonts w:ascii="Arial" w:hAnsi="Arial" w:cs="Arial"/>
          <w:i/>
          <w:sz w:val="20"/>
        </w:rPr>
        <w:t xml:space="preserve">. </w:t>
      </w:r>
      <w:r w:rsidRPr="00E87E32">
        <w:rPr>
          <w:rFonts w:ascii="Arial" w:hAnsi="Arial" w:cs="Arial"/>
          <w:sz w:val="20"/>
        </w:rPr>
        <w:t>Lisbon, Portugal.</w:t>
      </w:r>
      <w:r>
        <w:rPr>
          <w:rFonts w:ascii="Arial" w:hAnsi="Arial" w:cs="Arial"/>
          <w:i/>
          <w:sz w:val="20"/>
        </w:rPr>
        <w:t xml:space="preserve"> </w:t>
      </w:r>
      <w:r>
        <w:rPr>
          <w:rFonts w:ascii="Arial" w:hAnsi="Arial" w:cs="Arial"/>
          <w:sz w:val="20"/>
        </w:rPr>
        <w:t>24</w:t>
      </w:r>
      <w:r w:rsidRPr="00B815DE">
        <w:rPr>
          <w:rFonts w:ascii="Arial" w:hAnsi="Arial" w:cs="Arial"/>
          <w:sz w:val="20"/>
        </w:rPr>
        <w:t>–</w:t>
      </w:r>
      <w:r>
        <w:rPr>
          <w:rFonts w:ascii="Arial" w:hAnsi="Arial" w:cs="Arial"/>
          <w:sz w:val="20"/>
        </w:rPr>
        <w:t>26</w:t>
      </w:r>
      <w:r w:rsidRPr="00B815DE">
        <w:rPr>
          <w:rFonts w:ascii="Arial" w:hAnsi="Arial" w:cs="Arial"/>
          <w:sz w:val="20"/>
        </w:rPr>
        <w:t xml:space="preserve"> </w:t>
      </w:r>
      <w:r>
        <w:rPr>
          <w:rFonts w:ascii="Arial" w:hAnsi="Arial" w:cs="Arial"/>
          <w:sz w:val="20"/>
        </w:rPr>
        <w:t>October</w:t>
      </w:r>
      <w:r w:rsidRPr="00B815DE">
        <w:rPr>
          <w:rFonts w:ascii="Arial" w:hAnsi="Arial" w:cs="Arial"/>
          <w:sz w:val="20"/>
        </w:rPr>
        <w:t xml:space="preserve"> 201</w:t>
      </w:r>
      <w:r>
        <w:rPr>
          <w:rFonts w:ascii="Arial" w:hAnsi="Arial" w:cs="Arial"/>
          <w:sz w:val="20"/>
        </w:rPr>
        <w:t>8</w:t>
      </w:r>
      <w:r w:rsidRPr="00B815DE">
        <w:rPr>
          <w:rFonts w:ascii="Arial" w:hAnsi="Arial" w:cs="Arial"/>
          <w:sz w:val="20"/>
        </w:rPr>
        <w:t>.</w:t>
      </w:r>
    </w:p>
    <w:p w:rsidR="003B0DEE" w:rsidRPr="00981BA8" w:rsidRDefault="003B0DEE" w:rsidP="000D5D90">
      <w:pPr>
        <w:pStyle w:val="EndNoteBibliography"/>
        <w:spacing w:after="0" w:line="360" w:lineRule="auto"/>
        <w:ind w:left="720" w:hanging="720"/>
        <w:rPr>
          <w:rFonts w:ascii="Arial" w:hAnsi="Arial" w:cs="Arial"/>
          <w:sz w:val="20"/>
        </w:rPr>
      </w:pPr>
      <w:r w:rsidRPr="00B815DE">
        <w:rPr>
          <w:rFonts w:ascii="Arial" w:hAnsi="Arial" w:cs="Arial"/>
          <w:b/>
          <w:sz w:val="20"/>
        </w:rPr>
        <w:t>Carew, A. M.</w:t>
      </w:r>
      <w:r w:rsidRPr="00981BA8">
        <w:rPr>
          <w:rFonts w:ascii="Arial" w:hAnsi="Arial" w:cs="Arial"/>
          <w:sz w:val="20"/>
        </w:rPr>
        <w:t xml:space="preserve"> &amp; </w:t>
      </w:r>
      <w:r w:rsidRPr="00B815DE">
        <w:rPr>
          <w:rFonts w:ascii="Arial" w:hAnsi="Arial" w:cs="Arial"/>
          <w:sz w:val="20"/>
        </w:rPr>
        <w:t>Comiskey, C.</w:t>
      </w:r>
      <w:r w:rsidRPr="00981BA8">
        <w:rPr>
          <w:rFonts w:ascii="Arial" w:hAnsi="Arial" w:cs="Arial"/>
          <w:sz w:val="20"/>
        </w:rPr>
        <w:t xml:space="preserve"> (201</w:t>
      </w:r>
      <w:r>
        <w:rPr>
          <w:rFonts w:ascii="Arial" w:hAnsi="Arial" w:cs="Arial"/>
          <w:sz w:val="20"/>
        </w:rPr>
        <w:t>8</w:t>
      </w:r>
      <w:r w:rsidRPr="00981BA8">
        <w:rPr>
          <w:rFonts w:ascii="Arial" w:hAnsi="Arial" w:cs="Arial"/>
          <w:sz w:val="20"/>
        </w:rPr>
        <w:t>) Rising incidence of ageing opioid users within the EU wi</w:t>
      </w:r>
      <w:r>
        <w:rPr>
          <w:rFonts w:ascii="Arial" w:hAnsi="Arial" w:cs="Arial"/>
          <w:sz w:val="20"/>
        </w:rPr>
        <w:t>de treatment demand indicator; t</w:t>
      </w:r>
      <w:r w:rsidRPr="00981BA8">
        <w:rPr>
          <w:rFonts w:ascii="Arial" w:hAnsi="Arial" w:cs="Arial"/>
          <w:sz w:val="20"/>
        </w:rPr>
        <w:t xml:space="preserve">he Irish opioid epidemic from 1996 to 2014. </w:t>
      </w:r>
      <w:r w:rsidRPr="003313E5">
        <w:rPr>
          <w:rFonts w:ascii="Arial" w:hAnsi="Arial" w:cs="Times New Roman"/>
          <w:sz w:val="20"/>
          <w:szCs w:val="20"/>
        </w:rPr>
        <w:t>1</w:t>
      </w:r>
      <w:r>
        <w:rPr>
          <w:rFonts w:ascii="Arial" w:hAnsi="Arial" w:cs="Times New Roman"/>
          <w:sz w:val="20"/>
          <w:szCs w:val="20"/>
        </w:rPr>
        <w:t>2</w:t>
      </w:r>
      <w:r w:rsidRPr="003313E5">
        <w:rPr>
          <w:rFonts w:ascii="Arial" w:hAnsi="Arial" w:cs="Times New Roman"/>
          <w:sz w:val="20"/>
          <w:szCs w:val="20"/>
        </w:rPr>
        <w:t>th</w:t>
      </w:r>
      <w:r w:rsidRPr="00B815DE">
        <w:rPr>
          <w:rFonts w:ascii="Arial" w:hAnsi="Arial" w:cs="Arial"/>
          <w:i/>
          <w:sz w:val="20"/>
        </w:rPr>
        <w:t xml:space="preserve"> </w:t>
      </w:r>
      <w:r>
        <w:rPr>
          <w:rFonts w:ascii="Arial" w:hAnsi="Arial" w:cs="Arial"/>
          <w:i/>
          <w:sz w:val="20"/>
        </w:rPr>
        <w:t>International Society for the Study of Drug Policy Conference 2018</w:t>
      </w:r>
      <w:r w:rsidRPr="00B815DE">
        <w:rPr>
          <w:rFonts w:ascii="Arial" w:hAnsi="Arial" w:cs="Arial"/>
          <w:sz w:val="20"/>
        </w:rPr>
        <w:t xml:space="preserve">. </w:t>
      </w:r>
      <w:r>
        <w:rPr>
          <w:rFonts w:ascii="Arial" w:hAnsi="Arial" w:cs="Arial"/>
          <w:sz w:val="20"/>
        </w:rPr>
        <w:t>Vancouver</w:t>
      </w:r>
      <w:r w:rsidRPr="00B815DE">
        <w:rPr>
          <w:rFonts w:ascii="Arial" w:hAnsi="Arial" w:cs="Arial"/>
          <w:sz w:val="20"/>
        </w:rPr>
        <w:t xml:space="preserve">, </w:t>
      </w:r>
      <w:r>
        <w:rPr>
          <w:rFonts w:ascii="Arial" w:hAnsi="Arial" w:cs="Arial"/>
          <w:sz w:val="20"/>
        </w:rPr>
        <w:t>Canada</w:t>
      </w:r>
      <w:r w:rsidRPr="00B815DE">
        <w:rPr>
          <w:rFonts w:ascii="Arial" w:hAnsi="Arial" w:cs="Arial"/>
          <w:sz w:val="20"/>
        </w:rPr>
        <w:t xml:space="preserve">. </w:t>
      </w:r>
      <w:r>
        <w:rPr>
          <w:rFonts w:ascii="Arial" w:hAnsi="Arial" w:cs="Arial"/>
          <w:sz w:val="20"/>
        </w:rPr>
        <w:t>1</w:t>
      </w:r>
      <w:r w:rsidRPr="00B815DE">
        <w:rPr>
          <w:rFonts w:ascii="Arial" w:hAnsi="Arial" w:cs="Arial"/>
          <w:sz w:val="20"/>
        </w:rPr>
        <w:t>6–</w:t>
      </w:r>
      <w:r>
        <w:rPr>
          <w:rFonts w:ascii="Arial" w:hAnsi="Arial" w:cs="Arial"/>
          <w:sz w:val="20"/>
        </w:rPr>
        <w:t>18</w:t>
      </w:r>
      <w:r w:rsidRPr="00B815DE">
        <w:rPr>
          <w:rFonts w:ascii="Arial" w:hAnsi="Arial" w:cs="Arial"/>
          <w:sz w:val="20"/>
        </w:rPr>
        <w:t xml:space="preserve"> Ma</w:t>
      </w:r>
      <w:r>
        <w:rPr>
          <w:rFonts w:ascii="Arial" w:hAnsi="Arial" w:cs="Arial"/>
          <w:sz w:val="20"/>
        </w:rPr>
        <w:t>y</w:t>
      </w:r>
      <w:r w:rsidRPr="00B815DE">
        <w:rPr>
          <w:rFonts w:ascii="Arial" w:hAnsi="Arial" w:cs="Arial"/>
          <w:sz w:val="20"/>
        </w:rPr>
        <w:t xml:space="preserve"> 201</w:t>
      </w:r>
      <w:r>
        <w:rPr>
          <w:rFonts w:ascii="Arial" w:hAnsi="Arial" w:cs="Arial"/>
          <w:sz w:val="20"/>
        </w:rPr>
        <w:t>8</w:t>
      </w:r>
      <w:r w:rsidRPr="00B815DE">
        <w:rPr>
          <w:rFonts w:ascii="Arial" w:hAnsi="Arial" w:cs="Arial"/>
          <w:sz w:val="20"/>
        </w:rPr>
        <w:t xml:space="preserve">. </w:t>
      </w:r>
    </w:p>
    <w:p w:rsidR="003B0DEE" w:rsidRDefault="003B0DEE" w:rsidP="000D5D90">
      <w:pPr>
        <w:autoSpaceDE w:val="0"/>
        <w:autoSpaceDN w:val="0"/>
        <w:adjustRightInd w:val="0"/>
        <w:spacing w:line="240" w:lineRule="auto"/>
        <w:jc w:val="left"/>
        <w:rPr>
          <w:rFonts w:ascii="Arial" w:hAnsi="Arial"/>
          <w:b/>
          <w:bCs/>
          <w:sz w:val="20"/>
        </w:rPr>
      </w:pPr>
    </w:p>
    <w:p w:rsidR="003B0DEE" w:rsidRDefault="003B0DEE" w:rsidP="000D5D90">
      <w:pPr>
        <w:pStyle w:val="EndNoteBibliography"/>
        <w:spacing w:line="360" w:lineRule="auto"/>
        <w:ind w:left="720" w:hanging="720"/>
        <w:rPr>
          <w:rFonts w:ascii="Arial" w:hAnsi="Arial" w:cs="Arial"/>
          <w:sz w:val="20"/>
        </w:rPr>
      </w:pPr>
      <w:r w:rsidRPr="00981BA8">
        <w:rPr>
          <w:rFonts w:ascii="Arial" w:hAnsi="Arial" w:cs="Arial"/>
          <w:b/>
          <w:sz w:val="20"/>
        </w:rPr>
        <w:t>Carew, A. M.</w:t>
      </w:r>
      <w:r w:rsidRPr="00981BA8">
        <w:rPr>
          <w:rFonts w:ascii="Arial" w:hAnsi="Arial" w:cs="Arial"/>
          <w:sz w:val="20"/>
        </w:rPr>
        <w:t xml:space="preserve"> &amp; Comiskey, C. (201</w:t>
      </w:r>
      <w:r>
        <w:rPr>
          <w:rFonts w:ascii="Arial" w:hAnsi="Arial" w:cs="Arial"/>
          <w:sz w:val="20"/>
        </w:rPr>
        <w:t>7</w:t>
      </w:r>
      <w:r w:rsidRPr="00981BA8">
        <w:rPr>
          <w:rFonts w:ascii="Arial" w:hAnsi="Arial" w:cs="Arial"/>
          <w:sz w:val="20"/>
        </w:rPr>
        <w:t xml:space="preserve">) </w:t>
      </w:r>
      <w:r w:rsidRPr="00E87E32">
        <w:rPr>
          <w:rFonts w:ascii="Arial" w:hAnsi="Arial" w:cs="Arial"/>
          <w:sz w:val="20"/>
        </w:rPr>
        <w:t>An insight into ageing and gender differences among opiate treatment entries</w:t>
      </w:r>
      <w:r w:rsidRPr="00981BA8">
        <w:rPr>
          <w:rFonts w:ascii="Arial" w:hAnsi="Arial" w:cs="Arial"/>
          <w:sz w:val="20"/>
        </w:rPr>
        <w:t xml:space="preserve">. </w:t>
      </w:r>
      <w:r w:rsidRPr="00E87E32">
        <w:rPr>
          <w:rFonts w:ascii="Arial" w:hAnsi="Arial" w:cs="Arial"/>
          <w:i/>
          <w:sz w:val="20"/>
        </w:rPr>
        <w:t>16th European Federation of Therapeutic Communities (EFTC) Conference</w:t>
      </w:r>
      <w:r>
        <w:rPr>
          <w:rFonts w:ascii="Arial" w:hAnsi="Arial" w:cs="Arial"/>
          <w:i/>
          <w:sz w:val="20"/>
        </w:rPr>
        <w:t xml:space="preserve"> 2017. </w:t>
      </w:r>
      <w:r>
        <w:rPr>
          <w:rFonts w:ascii="Arial" w:hAnsi="Arial" w:cs="Arial"/>
          <w:sz w:val="20"/>
        </w:rPr>
        <w:t>Dublin</w:t>
      </w:r>
      <w:r w:rsidRPr="00E87E32">
        <w:rPr>
          <w:rFonts w:ascii="Arial" w:hAnsi="Arial" w:cs="Arial"/>
          <w:sz w:val="20"/>
        </w:rPr>
        <w:t xml:space="preserve">, </w:t>
      </w:r>
      <w:r>
        <w:rPr>
          <w:rFonts w:ascii="Arial" w:hAnsi="Arial" w:cs="Arial"/>
          <w:sz w:val="20"/>
        </w:rPr>
        <w:t>Ireland</w:t>
      </w:r>
      <w:r w:rsidRPr="00E87E32">
        <w:rPr>
          <w:rFonts w:ascii="Arial" w:hAnsi="Arial" w:cs="Arial"/>
          <w:sz w:val="20"/>
        </w:rPr>
        <w:t>.</w:t>
      </w:r>
      <w:r>
        <w:rPr>
          <w:rFonts w:ascii="Arial" w:hAnsi="Arial" w:cs="Arial"/>
          <w:i/>
          <w:sz w:val="20"/>
        </w:rPr>
        <w:t xml:space="preserve"> </w:t>
      </w:r>
      <w:r>
        <w:rPr>
          <w:rFonts w:ascii="Arial" w:hAnsi="Arial" w:cs="Arial"/>
          <w:sz w:val="20"/>
        </w:rPr>
        <w:t>20</w:t>
      </w:r>
      <w:r w:rsidRPr="00B815DE">
        <w:rPr>
          <w:rFonts w:ascii="Arial" w:hAnsi="Arial" w:cs="Arial"/>
          <w:sz w:val="20"/>
        </w:rPr>
        <w:t>–</w:t>
      </w:r>
      <w:r>
        <w:rPr>
          <w:rFonts w:ascii="Arial" w:hAnsi="Arial" w:cs="Arial"/>
          <w:sz w:val="20"/>
        </w:rPr>
        <w:t>22</w:t>
      </w:r>
      <w:r w:rsidRPr="00B815DE">
        <w:rPr>
          <w:rFonts w:ascii="Arial" w:hAnsi="Arial" w:cs="Arial"/>
          <w:sz w:val="20"/>
        </w:rPr>
        <w:t xml:space="preserve"> </w:t>
      </w:r>
      <w:r>
        <w:rPr>
          <w:rFonts w:ascii="Arial" w:hAnsi="Arial" w:cs="Arial"/>
          <w:sz w:val="20"/>
        </w:rPr>
        <w:t>September</w:t>
      </w:r>
      <w:r w:rsidRPr="00B815DE">
        <w:rPr>
          <w:rFonts w:ascii="Arial" w:hAnsi="Arial" w:cs="Arial"/>
          <w:sz w:val="20"/>
        </w:rPr>
        <w:t xml:space="preserve"> 201</w:t>
      </w:r>
      <w:r>
        <w:rPr>
          <w:rFonts w:ascii="Arial" w:hAnsi="Arial" w:cs="Arial"/>
          <w:sz w:val="20"/>
        </w:rPr>
        <w:t>7</w:t>
      </w:r>
      <w:r w:rsidRPr="00B815DE">
        <w:rPr>
          <w:rFonts w:ascii="Arial" w:hAnsi="Arial" w:cs="Arial"/>
          <w:sz w:val="20"/>
        </w:rPr>
        <w:t>.</w:t>
      </w:r>
    </w:p>
    <w:p w:rsidR="003B0DEE" w:rsidRDefault="003B0DEE" w:rsidP="000D5D90">
      <w:pPr>
        <w:pStyle w:val="EndNoteBibliography"/>
        <w:spacing w:line="360" w:lineRule="auto"/>
        <w:ind w:left="720" w:hanging="720"/>
        <w:rPr>
          <w:rFonts w:ascii="Arial" w:hAnsi="Arial" w:cs="Arial"/>
          <w:b/>
          <w:szCs w:val="28"/>
        </w:rPr>
      </w:pPr>
      <w:r w:rsidRPr="00E87E32">
        <w:rPr>
          <w:rFonts w:ascii="Arial" w:hAnsi="Arial" w:cs="Arial"/>
          <w:sz w:val="20"/>
        </w:rPr>
        <w:t>Carew, A. M.</w:t>
      </w:r>
      <w:r w:rsidRPr="00981BA8">
        <w:rPr>
          <w:rFonts w:ascii="Arial" w:hAnsi="Arial" w:cs="Arial"/>
          <w:sz w:val="20"/>
        </w:rPr>
        <w:t xml:space="preserve"> &amp; </w:t>
      </w:r>
      <w:r w:rsidRPr="00E87E32">
        <w:rPr>
          <w:rFonts w:ascii="Arial" w:hAnsi="Arial" w:cs="Arial"/>
          <w:b/>
          <w:sz w:val="20"/>
        </w:rPr>
        <w:t>Comiskey, C.</w:t>
      </w:r>
      <w:r w:rsidRPr="00981BA8">
        <w:rPr>
          <w:rFonts w:ascii="Arial" w:hAnsi="Arial" w:cs="Arial"/>
          <w:sz w:val="20"/>
        </w:rPr>
        <w:t xml:space="preserve"> (201</w:t>
      </w:r>
      <w:r>
        <w:rPr>
          <w:rFonts w:ascii="Arial" w:hAnsi="Arial" w:cs="Arial"/>
          <w:sz w:val="20"/>
        </w:rPr>
        <w:t>6</w:t>
      </w:r>
      <w:r w:rsidRPr="00981BA8">
        <w:rPr>
          <w:rFonts w:ascii="Arial" w:hAnsi="Arial" w:cs="Arial"/>
          <w:sz w:val="20"/>
        </w:rPr>
        <w:t xml:space="preserve">) </w:t>
      </w:r>
      <w:hyperlink r:id="rId10" w:history="1">
        <w:r w:rsidRPr="00E87E32">
          <w:rPr>
            <w:rFonts w:ascii="Arial" w:hAnsi="Arial" w:cs="Arial"/>
            <w:sz w:val="20"/>
          </w:rPr>
          <w:t>Opioid treatment outcomes in older adults: a systematic review of the literature</w:t>
        </w:r>
      </w:hyperlink>
      <w:r w:rsidRPr="00981BA8">
        <w:rPr>
          <w:rFonts w:ascii="Arial" w:hAnsi="Arial" w:cs="Arial"/>
          <w:sz w:val="20"/>
        </w:rPr>
        <w:t xml:space="preserve">. </w:t>
      </w:r>
      <w:r w:rsidRPr="00E87E32">
        <w:rPr>
          <w:rFonts w:ascii="Arial" w:hAnsi="Arial" w:cs="Arial"/>
          <w:i/>
          <w:sz w:val="20"/>
        </w:rPr>
        <w:t>17th Healthcare Interdisciplinary Research Conference 2016</w:t>
      </w:r>
      <w:r>
        <w:rPr>
          <w:rFonts w:ascii="Arial" w:hAnsi="Arial" w:cs="Arial"/>
          <w:i/>
          <w:sz w:val="20"/>
        </w:rPr>
        <w:t xml:space="preserve">. </w:t>
      </w:r>
      <w:r>
        <w:rPr>
          <w:rFonts w:ascii="Arial" w:hAnsi="Arial" w:cs="Arial"/>
          <w:sz w:val="20"/>
        </w:rPr>
        <w:t>Dublin</w:t>
      </w:r>
      <w:r w:rsidRPr="00E87E32">
        <w:rPr>
          <w:rFonts w:ascii="Arial" w:hAnsi="Arial" w:cs="Arial"/>
          <w:sz w:val="20"/>
        </w:rPr>
        <w:t xml:space="preserve">, </w:t>
      </w:r>
      <w:r>
        <w:rPr>
          <w:rFonts w:ascii="Arial" w:hAnsi="Arial" w:cs="Arial"/>
          <w:sz w:val="20"/>
        </w:rPr>
        <w:t>Ireland</w:t>
      </w:r>
      <w:r w:rsidRPr="00E87E32">
        <w:rPr>
          <w:rFonts w:ascii="Arial" w:hAnsi="Arial" w:cs="Arial"/>
          <w:sz w:val="20"/>
        </w:rPr>
        <w:t>.</w:t>
      </w:r>
      <w:r>
        <w:rPr>
          <w:rFonts w:ascii="Arial" w:hAnsi="Arial" w:cs="Arial"/>
          <w:i/>
          <w:sz w:val="20"/>
        </w:rPr>
        <w:t xml:space="preserve"> </w:t>
      </w:r>
      <w:r>
        <w:rPr>
          <w:rFonts w:ascii="Arial" w:hAnsi="Arial" w:cs="Arial"/>
          <w:sz w:val="20"/>
        </w:rPr>
        <w:t>8</w:t>
      </w:r>
      <w:r w:rsidRPr="00B815DE">
        <w:rPr>
          <w:rFonts w:ascii="Arial" w:hAnsi="Arial" w:cs="Arial"/>
          <w:sz w:val="20"/>
        </w:rPr>
        <w:t>–</w:t>
      </w:r>
      <w:r>
        <w:rPr>
          <w:rFonts w:ascii="Arial" w:hAnsi="Arial" w:cs="Arial"/>
          <w:sz w:val="20"/>
        </w:rPr>
        <w:t>10</w:t>
      </w:r>
      <w:r w:rsidRPr="00B815DE">
        <w:rPr>
          <w:rFonts w:ascii="Arial" w:hAnsi="Arial" w:cs="Arial"/>
          <w:sz w:val="20"/>
        </w:rPr>
        <w:t xml:space="preserve"> </w:t>
      </w:r>
      <w:r>
        <w:rPr>
          <w:rFonts w:ascii="Arial" w:hAnsi="Arial" w:cs="Arial"/>
          <w:sz w:val="20"/>
        </w:rPr>
        <w:t>November</w:t>
      </w:r>
      <w:r w:rsidRPr="00B815DE">
        <w:rPr>
          <w:rFonts w:ascii="Arial" w:hAnsi="Arial" w:cs="Arial"/>
          <w:sz w:val="20"/>
        </w:rPr>
        <w:t xml:space="preserve"> 201</w:t>
      </w:r>
      <w:r>
        <w:rPr>
          <w:rFonts w:ascii="Arial" w:hAnsi="Arial" w:cs="Arial"/>
          <w:sz w:val="20"/>
        </w:rPr>
        <w:t>6</w:t>
      </w:r>
      <w:r w:rsidRPr="00B815DE">
        <w:rPr>
          <w:rFonts w:ascii="Arial" w:hAnsi="Arial" w:cs="Arial"/>
          <w:sz w:val="20"/>
        </w:rPr>
        <w:t>.</w:t>
      </w:r>
    </w:p>
    <w:p w:rsidR="003B0DEE" w:rsidRDefault="003B0DEE" w:rsidP="000D5D90">
      <w:pPr>
        <w:spacing w:before="120" w:after="120" w:line="360" w:lineRule="auto"/>
        <w:jc w:val="center"/>
        <w:rPr>
          <w:rFonts w:ascii="Arial" w:hAnsi="Arial" w:cs="Arial"/>
          <w:b/>
          <w:sz w:val="28"/>
          <w:szCs w:val="28"/>
        </w:rPr>
      </w:pPr>
      <w:r>
        <w:rPr>
          <w:rFonts w:ascii="Arial" w:hAnsi="Arial" w:cs="Arial"/>
          <w:b/>
          <w:sz w:val="28"/>
          <w:szCs w:val="28"/>
        </w:rPr>
        <w:br w:type="page"/>
      </w:r>
      <w:r w:rsidRPr="00CF1ABA">
        <w:rPr>
          <w:rFonts w:ascii="Arial" w:hAnsi="Arial" w:cs="Arial"/>
          <w:b/>
          <w:sz w:val="28"/>
          <w:szCs w:val="28"/>
        </w:rPr>
        <w:lastRenderedPageBreak/>
        <w:t>Acknowledgement</w:t>
      </w:r>
      <w:r>
        <w:rPr>
          <w:rFonts w:ascii="Arial" w:hAnsi="Arial" w:cs="Arial"/>
          <w:b/>
          <w:sz w:val="28"/>
          <w:szCs w:val="28"/>
        </w:rPr>
        <w:t>s</w:t>
      </w:r>
    </w:p>
    <w:p w:rsidR="003B0DEE" w:rsidRDefault="003B0DEE" w:rsidP="000D5D90">
      <w:pPr>
        <w:pStyle w:val="NoSpacing"/>
        <w:spacing w:line="360" w:lineRule="auto"/>
        <w:jc w:val="center"/>
        <w:rPr>
          <w:rFonts w:ascii="Arial" w:hAnsi="Arial" w:cs="Arial"/>
          <w:b/>
          <w:sz w:val="28"/>
          <w:szCs w:val="28"/>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There are many people to thank for their invaluable support. </w:t>
      </w:r>
    </w:p>
    <w:p w:rsidR="003B0DEE" w:rsidRPr="008318E5" w:rsidRDefault="003B0DEE" w:rsidP="000D5D90">
      <w:pPr>
        <w:spacing w:before="120" w:after="120" w:line="360" w:lineRule="auto"/>
        <w:jc w:val="left"/>
        <w:rPr>
          <w:rFonts w:ascii="Arial" w:hAnsi="Arial"/>
          <w:sz w:val="2"/>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First and foremost, I want to thank my supervisor Professor Catherine Comiskey.  I am extremely grateful for your instrumental support and advice over the past number of years.  Thank you for always sharing your knowledge and experience. </w:t>
      </w:r>
    </w:p>
    <w:p w:rsidR="003B0DEE" w:rsidRPr="008318E5" w:rsidRDefault="003B0DEE" w:rsidP="000D5D90">
      <w:pPr>
        <w:spacing w:before="120" w:after="120" w:line="360" w:lineRule="auto"/>
        <w:jc w:val="left"/>
        <w:rPr>
          <w:rFonts w:ascii="Arial" w:hAnsi="Arial"/>
          <w:sz w:val="2"/>
          <w:szCs w:val="2"/>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Secondly, I also want to express my special thanks to the Health Research Board for sponsoring </w:t>
      </w:r>
      <w:r>
        <w:rPr>
          <w:rFonts w:ascii="Arial" w:hAnsi="Arial"/>
          <w:sz w:val="20"/>
        </w:rPr>
        <w:t>this</w:t>
      </w:r>
      <w:r w:rsidRPr="00CB4DC0">
        <w:rPr>
          <w:rFonts w:ascii="Arial" w:hAnsi="Arial"/>
          <w:sz w:val="20"/>
        </w:rPr>
        <w:t xml:space="preserve"> PhD and providing the dataset used in this study.  I have been very fortunate to have the support and encouragement of many colleagues at the Health Research Board, in particular Dr Sarah Craig, Dr Jean Long, Dr Suzi Lyons and Dr Hamish Sinclair. </w:t>
      </w:r>
    </w:p>
    <w:p w:rsidR="003B0DEE" w:rsidRPr="008318E5" w:rsidRDefault="003B0DEE" w:rsidP="000D5D90">
      <w:pPr>
        <w:spacing w:before="120" w:after="120" w:line="360" w:lineRule="auto"/>
        <w:jc w:val="left"/>
        <w:rPr>
          <w:rFonts w:ascii="Arial" w:hAnsi="Arial"/>
          <w:sz w:val="2"/>
          <w:szCs w:val="2"/>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I would like to thank Mr Marcus Keane, Dr Eamon Keenan and Dr Barry Cullen for providing feedback on the study results and insights from the treatment services perspective. </w:t>
      </w:r>
    </w:p>
    <w:p w:rsidR="003B0DEE" w:rsidRPr="008318E5" w:rsidRDefault="003B0DEE" w:rsidP="000D5D90">
      <w:pPr>
        <w:spacing w:before="120" w:after="120" w:line="360" w:lineRule="auto"/>
        <w:jc w:val="left"/>
        <w:rPr>
          <w:rFonts w:ascii="Arial" w:hAnsi="Arial"/>
          <w:sz w:val="2"/>
          <w:szCs w:val="2"/>
        </w:rPr>
      </w:pPr>
    </w:p>
    <w:p w:rsidR="003B0DEE" w:rsidRDefault="003B0DEE" w:rsidP="000D5D90">
      <w:pPr>
        <w:spacing w:before="120" w:after="120" w:line="360" w:lineRule="auto"/>
        <w:jc w:val="left"/>
        <w:rPr>
          <w:rFonts w:ascii="Arial" w:hAnsi="Arial"/>
          <w:sz w:val="20"/>
        </w:rPr>
      </w:pPr>
      <w:proofErr w:type="gramStart"/>
      <w:r w:rsidRPr="00CB4DC0">
        <w:rPr>
          <w:rFonts w:ascii="Arial" w:hAnsi="Arial"/>
          <w:sz w:val="20"/>
        </w:rPr>
        <w:t xml:space="preserve">Ms Jessica Eustace Cook, Ms Louise </w:t>
      </w:r>
      <w:proofErr w:type="spellStart"/>
      <w:r w:rsidRPr="00CB4DC0">
        <w:rPr>
          <w:rFonts w:ascii="Arial" w:hAnsi="Arial"/>
          <w:sz w:val="20"/>
        </w:rPr>
        <w:t>Farragher</w:t>
      </w:r>
      <w:proofErr w:type="spellEnd"/>
      <w:r w:rsidRPr="00CB4DC0">
        <w:rPr>
          <w:rFonts w:ascii="Arial" w:hAnsi="Arial"/>
          <w:sz w:val="20"/>
        </w:rPr>
        <w:t xml:space="preserve"> and Mr Greg Sheaf for providing advice on conducting the search for the systematic review.</w:t>
      </w:r>
      <w:proofErr w:type="gramEnd"/>
      <w:r w:rsidRPr="00CB4DC0">
        <w:rPr>
          <w:rFonts w:ascii="Arial" w:hAnsi="Arial"/>
          <w:sz w:val="20"/>
        </w:rPr>
        <w:t xml:space="preserve">  </w:t>
      </w:r>
    </w:p>
    <w:p w:rsidR="003B0DEE" w:rsidRPr="008318E5" w:rsidRDefault="003B0DEE" w:rsidP="000D5D90">
      <w:pPr>
        <w:spacing w:before="120" w:after="120" w:line="360" w:lineRule="auto"/>
        <w:jc w:val="left"/>
        <w:rPr>
          <w:rFonts w:ascii="Arial" w:hAnsi="Arial"/>
          <w:sz w:val="2"/>
          <w:szCs w:val="2"/>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Ms Mary Dunne, Ms Mariea Nelson for their assistance accessing papers and </w:t>
      </w:r>
      <w:r>
        <w:rPr>
          <w:rFonts w:ascii="Arial" w:hAnsi="Arial"/>
          <w:sz w:val="20"/>
        </w:rPr>
        <w:t xml:space="preserve">regular </w:t>
      </w:r>
      <w:r w:rsidRPr="00CB4DC0">
        <w:rPr>
          <w:rFonts w:ascii="Arial" w:hAnsi="Arial"/>
          <w:sz w:val="20"/>
        </w:rPr>
        <w:t xml:space="preserve">email alerts regarding useful resources.   </w:t>
      </w:r>
    </w:p>
    <w:p w:rsidR="003B0DEE" w:rsidRPr="008318E5" w:rsidRDefault="003B0DEE" w:rsidP="000D5D90">
      <w:pPr>
        <w:spacing w:before="120" w:after="120" w:line="360" w:lineRule="auto"/>
        <w:jc w:val="left"/>
        <w:rPr>
          <w:rFonts w:ascii="Arial" w:hAnsi="Arial"/>
          <w:sz w:val="2"/>
          <w:szCs w:val="2"/>
        </w:rPr>
      </w:pPr>
    </w:p>
    <w:p w:rsidR="003B0DEE" w:rsidRDefault="003B0DEE" w:rsidP="000D5D90">
      <w:pPr>
        <w:spacing w:before="120" w:after="120" w:line="360" w:lineRule="auto"/>
        <w:jc w:val="left"/>
        <w:rPr>
          <w:rFonts w:ascii="Arial" w:hAnsi="Arial"/>
          <w:sz w:val="20"/>
        </w:rPr>
      </w:pPr>
      <w:r w:rsidRPr="00CB4DC0">
        <w:rPr>
          <w:rFonts w:ascii="Arial" w:hAnsi="Arial"/>
          <w:sz w:val="20"/>
        </w:rPr>
        <w:t xml:space="preserve">Last but not least, my family, </w:t>
      </w:r>
      <w:r>
        <w:rPr>
          <w:rFonts w:ascii="Arial" w:hAnsi="Arial"/>
          <w:sz w:val="20"/>
        </w:rPr>
        <w:t xml:space="preserve">David, Katie and Ava, for their endless support.  </w:t>
      </w:r>
      <w:proofErr w:type="gramStart"/>
      <w:r>
        <w:rPr>
          <w:rFonts w:ascii="Arial" w:hAnsi="Arial"/>
          <w:sz w:val="20"/>
        </w:rPr>
        <w:t>A special thank you to my parents, whose work ethic, determination and resilience have been a constant inspiration to me, especially along this PhD journey.</w:t>
      </w:r>
      <w:proofErr w:type="gramEnd"/>
      <w:r>
        <w:rPr>
          <w:rFonts w:ascii="Arial" w:hAnsi="Arial"/>
          <w:sz w:val="20"/>
        </w:rPr>
        <w:t xml:space="preserve"> </w:t>
      </w:r>
    </w:p>
    <w:p w:rsidR="003B0DEE" w:rsidRPr="008318E5" w:rsidRDefault="003B0DEE" w:rsidP="000D5D90">
      <w:pPr>
        <w:spacing w:before="120" w:after="120" w:line="360" w:lineRule="auto"/>
        <w:jc w:val="left"/>
        <w:rPr>
          <w:rFonts w:ascii="Arial" w:hAnsi="Arial"/>
          <w:sz w:val="2"/>
          <w:szCs w:val="2"/>
        </w:rPr>
      </w:pPr>
    </w:p>
    <w:p w:rsidR="003B0DEE" w:rsidRPr="00CB4DC0" w:rsidRDefault="003B0DEE" w:rsidP="000D5D90">
      <w:pPr>
        <w:spacing w:before="120" w:after="120" w:line="360" w:lineRule="auto"/>
        <w:jc w:val="left"/>
        <w:rPr>
          <w:rFonts w:ascii="Arial" w:hAnsi="Arial"/>
          <w:sz w:val="20"/>
        </w:rPr>
        <w:sectPr w:rsidR="003B0DEE" w:rsidRPr="00CB4DC0" w:rsidSect="00FF21E9">
          <w:pgSz w:w="11906" w:h="16838" w:code="9"/>
          <w:pgMar w:top="1134" w:right="1134" w:bottom="1134" w:left="1985" w:header="709" w:footer="709" w:gutter="0"/>
          <w:pgNumType w:fmt="lowerRoman"/>
          <w:cols w:space="708"/>
          <w:docGrid w:linePitch="360"/>
        </w:sectPr>
      </w:pPr>
      <w:r w:rsidRPr="00CB4DC0">
        <w:rPr>
          <w:rFonts w:ascii="Arial" w:hAnsi="Arial"/>
          <w:sz w:val="20"/>
        </w:rPr>
        <w:t xml:space="preserve">I hope that the findings of this study will help improve the experiences of people requiring treatment in future.  </w:t>
      </w:r>
    </w:p>
    <w:p w:rsidR="003B0DEE" w:rsidRDefault="003B0DEE" w:rsidP="000D5D90">
      <w:pPr>
        <w:pStyle w:val="NoSpacing"/>
        <w:spacing w:line="360" w:lineRule="auto"/>
        <w:jc w:val="center"/>
        <w:rPr>
          <w:rFonts w:ascii="Arial" w:hAnsi="Arial" w:cs="Arial"/>
          <w:b/>
          <w:sz w:val="28"/>
          <w:szCs w:val="28"/>
        </w:rPr>
      </w:pPr>
      <w:r>
        <w:rPr>
          <w:rFonts w:ascii="Arial" w:hAnsi="Arial" w:cs="Arial"/>
          <w:b/>
          <w:sz w:val="28"/>
          <w:szCs w:val="28"/>
        </w:rPr>
        <w:lastRenderedPageBreak/>
        <w:t>List of abbreviations</w:t>
      </w:r>
    </w:p>
    <w:p w:rsidR="003B0DEE" w:rsidRDefault="003B0DEE" w:rsidP="000D5D90">
      <w:pPr>
        <w:pStyle w:val="NoSpacing"/>
        <w:spacing w:line="360" w:lineRule="auto"/>
        <w:jc w:val="left"/>
        <w:rPr>
          <w:rFonts w:ascii="Arial" w:hAnsi="Arial" w:cs="Arial"/>
          <w:b/>
          <w:sz w:val="28"/>
          <w:szCs w:val="28"/>
        </w:rPr>
      </w:pPr>
    </w:p>
    <w:p w:rsidR="003B0DEE" w:rsidRPr="00403C3C" w:rsidRDefault="003B0DEE" w:rsidP="000D5D90">
      <w:pPr>
        <w:pStyle w:val="NoSpacing"/>
        <w:spacing w:line="360" w:lineRule="auto"/>
        <w:jc w:val="left"/>
        <w:rPr>
          <w:rFonts w:ascii="Arial" w:hAnsi="Arial"/>
          <w:sz w:val="20"/>
        </w:rPr>
      </w:pPr>
      <w:r>
        <w:rPr>
          <w:rFonts w:ascii="Arial" w:hAnsi="Arial"/>
          <w:b/>
          <w:sz w:val="20"/>
        </w:rPr>
        <w:t>A</w:t>
      </w:r>
      <w:r w:rsidRPr="00403C3C">
        <w:rPr>
          <w:rFonts w:ascii="Arial" w:hAnsi="Arial"/>
          <w:b/>
          <w:sz w:val="20"/>
        </w:rPr>
        <w:t>APC</w:t>
      </w:r>
      <w:r w:rsidRPr="00403C3C">
        <w:rPr>
          <w:rFonts w:ascii="Arial" w:hAnsi="Arial"/>
          <w:sz w:val="20"/>
        </w:rPr>
        <w:tab/>
      </w:r>
      <w:r w:rsidRPr="00403C3C">
        <w:rPr>
          <w:rFonts w:ascii="Arial" w:hAnsi="Arial"/>
          <w:sz w:val="20"/>
        </w:rPr>
        <w:tab/>
      </w:r>
      <w:r w:rsidRPr="00403C3C">
        <w:rPr>
          <w:rFonts w:ascii="Arial" w:hAnsi="Arial"/>
          <w:sz w:val="20"/>
        </w:rPr>
        <w:tab/>
      </w:r>
      <w:r>
        <w:rPr>
          <w:rFonts w:ascii="Arial" w:hAnsi="Arial"/>
          <w:sz w:val="20"/>
        </w:rPr>
        <w:t>Average a</w:t>
      </w:r>
      <w:r w:rsidRPr="00403C3C">
        <w:rPr>
          <w:rFonts w:ascii="Arial" w:hAnsi="Arial"/>
          <w:sz w:val="20"/>
        </w:rPr>
        <w:t>nnual percentage change</w:t>
      </w:r>
    </w:p>
    <w:p w:rsidR="003B0DEE" w:rsidRDefault="003B0DEE" w:rsidP="000D5D90">
      <w:pPr>
        <w:pStyle w:val="NoSpacing"/>
        <w:spacing w:line="360" w:lineRule="auto"/>
        <w:jc w:val="left"/>
        <w:rPr>
          <w:rFonts w:ascii="Arial" w:hAnsi="Arial"/>
          <w:sz w:val="20"/>
        </w:rPr>
      </w:pPr>
      <w:r w:rsidRPr="00403C3C">
        <w:rPr>
          <w:rFonts w:ascii="Arial" w:hAnsi="Arial"/>
          <w:b/>
          <w:sz w:val="20"/>
        </w:rPr>
        <w:t>APC</w:t>
      </w:r>
      <w:r w:rsidRPr="00403C3C">
        <w:rPr>
          <w:rFonts w:ascii="Arial" w:hAnsi="Arial"/>
          <w:sz w:val="20"/>
        </w:rPr>
        <w:tab/>
      </w:r>
      <w:r w:rsidRPr="00403C3C">
        <w:rPr>
          <w:rFonts w:ascii="Arial" w:hAnsi="Arial"/>
          <w:sz w:val="20"/>
        </w:rPr>
        <w:tab/>
      </w:r>
      <w:r w:rsidRPr="00403C3C">
        <w:rPr>
          <w:rFonts w:ascii="Arial" w:hAnsi="Arial"/>
          <w:sz w:val="20"/>
        </w:rPr>
        <w:tab/>
        <w:t>Annual percentage change</w:t>
      </w:r>
    </w:p>
    <w:p w:rsidR="003B0DEE" w:rsidRPr="00403C3C" w:rsidRDefault="003B0DEE" w:rsidP="000D5D90">
      <w:pPr>
        <w:pStyle w:val="NoSpacing"/>
        <w:spacing w:line="360" w:lineRule="auto"/>
        <w:jc w:val="left"/>
        <w:rPr>
          <w:rFonts w:ascii="Arial" w:hAnsi="Arial"/>
          <w:sz w:val="20"/>
        </w:rPr>
      </w:pPr>
      <w:r w:rsidRPr="00403C3C">
        <w:rPr>
          <w:rFonts w:ascii="Arial" w:hAnsi="Arial"/>
          <w:b/>
          <w:sz w:val="20"/>
        </w:rPr>
        <w:t>BIC</w:t>
      </w:r>
      <w:r w:rsidRPr="00403C3C">
        <w:rPr>
          <w:rFonts w:ascii="Arial" w:hAnsi="Arial"/>
          <w:sz w:val="20"/>
        </w:rPr>
        <w:tab/>
      </w:r>
      <w:r w:rsidRPr="00403C3C">
        <w:rPr>
          <w:rFonts w:ascii="Arial" w:hAnsi="Arial"/>
          <w:sz w:val="20"/>
        </w:rPr>
        <w:tab/>
      </w:r>
      <w:r w:rsidRPr="00403C3C">
        <w:rPr>
          <w:rFonts w:ascii="Arial" w:hAnsi="Arial"/>
          <w:sz w:val="20"/>
        </w:rPr>
        <w:tab/>
        <w:t>Bayesian Information Criteria</w:t>
      </w:r>
    </w:p>
    <w:p w:rsidR="003B0DEE" w:rsidRPr="00403C3C" w:rsidRDefault="003B0DEE" w:rsidP="000D5D90">
      <w:pPr>
        <w:pStyle w:val="NoSpacing"/>
        <w:spacing w:line="360" w:lineRule="auto"/>
        <w:jc w:val="left"/>
        <w:rPr>
          <w:rFonts w:ascii="Arial" w:hAnsi="Arial"/>
          <w:sz w:val="20"/>
        </w:rPr>
      </w:pPr>
      <w:r w:rsidRPr="00403C3C">
        <w:rPr>
          <w:rFonts w:ascii="Arial" w:hAnsi="Arial"/>
          <w:b/>
          <w:sz w:val="20"/>
        </w:rPr>
        <w:t xml:space="preserve">CI </w:t>
      </w:r>
      <w:r>
        <w:rPr>
          <w:rFonts w:ascii="Arial" w:hAnsi="Arial"/>
          <w:sz w:val="20"/>
        </w:rPr>
        <w:tab/>
      </w:r>
      <w:r>
        <w:rPr>
          <w:rFonts w:ascii="Arial" w:hAnsi="Arial"/>
          <w:sz w:val="20"/>
        </w:rPr>
        <w:tab/>
      </w:r>
      <w:r>
        <w:rPr>
          <w:rFonts w:ascii="Arial" w:hAnsi="Arial"/>
          <w:sz w:val="20"/>
        </w:rPr>
        <w:tab/>
      </w:r>
      <w:r w:rsidRPr="00403C3C">
        <w:rPr>
          <w:rFonts w:ascii="Arial" w:hAnsi="Arial"/>
          <w:sz w:val="20"/>
        </w:rPr>
        <w:t>Confidence interval</w:t>
      </w:r>
    </w:p>
    <w:p w:rsidR="003B0DEE" w:rsidRPr="00403C3C" w:rsidRDefault="003B0DEE" w:rsidP="000D5D90">
      <w:pPr>
        <w:pStyle w:val="NoSpacing"/>
        <w:spacing w:line="360" w:lineRule="auto"/>
        <w:jc w:val="left"/>
        <w:rPr>
          <w:rFonts w:ascii="Arial" w:hAnsi="Arial"/>
          <w:sz w:val="20"/>
        </w:rPr>
      </w:pPr>
      <w:r w:rsidRPr="00403C3C">
        <w:rPr>
          <w:rFonts w:ascii="Arial" w:hAnsi="Arial"/>
          <w:b/>
          <w:sz w:val="20"/>
        </w:rPr>
        <w:t>EMCDDA</w:t>
      </w:r>
      <w:r w:rsidRPr="00403C3C">
        <w:rPr>
          <w:rFonts w:ascii="Arial" w:hAnsi="Arial"/>
          <w:sz w:val="20"/>
        </w:rPr>
        <w:tab/>
      </w:r>
      <w:r w:rsidRPr="00403C3C">
        <w:rPr>
          <w:rFonts w:ascii="Arial" w:hAnsi="Arial"/>
          <w:sz w:val="20"/>
        </w:rPr>
        <w:tab/>
        <w:t>European Monitoring Centre for Drugs and Drug Addiction</w:t>
      </w:r>
    </w:p>
    <w:p w:rsidR="003B0DEE" w:rsidRDefault="003B0DEE" w:rsidP="000D5D90">
      <w:pPr>
        <w:pStyle w:val="NoSpacing"/>
        <w:spacing w:line="360" w:lineRule="auto"/>
        <w:jc w:val="left"/>
        <w:rPr>
          <w:rFonts w:ascii="Arial" w:hAnsi="Arial"/>
          <w:b/>
          <w:sz w:val="20"/>
        </w:rPr>
      </w:pPr>
      <w:r w:rsidRPr="00403C3C">
        <w:rPr>
          <w:rFonts w:ascii="Arial" w:hAnsi="Arial"/>
          <w:b/>
          <w:sz w:val="20"/>
        </w:rPr>
        <w:t>ESP</w:t>
      </w:r>
      <w:r w:rsidRPr="00403C3C">
        <w:rPr>
          <w:rFonts w:ascii="Arial" w:hAnsi="Arial"/>
          <w:b/>
          <w:sz w:val="20"/>
        </w:rPr>
        <w:tab/>
      </w:r>
      <w:r w:rsidRPr="00403C3C">
        <w:rPr>
          <w:rFonts w:ascii="Arial" w:hAnsi="Arial"/>
          <w:b/>
          <w:sz w:val="20"/>
        </w:rPr>
        <w:tab/>
      </w:r>
      <w:r w:rsidRPr="00403C3C">
        <w:rPr>
          <w:rFonts w:ascii="Arial" w:hAnsi="Arial"/>
          <w:b/>
          <w:sz w:val="20"/>
        </w:rPr>
        <w:tab/>
      </w:r>
      <w:r w:rsidRPr="00403C3C">
        <w:rPr>
          <w:rFonts w:ascii="Arial" w:hAnsi="Arial"/>
          <w:sz w:val="20"/>
        </w:rPr>
        <w:t>European Standard Population</w:t>
      </w:r>
      <w:r w:rsidRPr="00403C3C">
        <w:rPr>
          <w:rFonts w:ascii="Arial" w:hAnsi="Arial"/>
          <w:b/>
          <w:sz w:val="20"/>
        </w:rPr>
        <w:t xml:space="preserve"> </w:t>
      </w:r>
    </w:p>
    <w:p w:rsidR="003B0DEE" w:rsidRPr="000D785C" w:rsidRDefault="003B0DEE" w:rsidP="000D5D90">
      <w:pPr>
        <w:pStyle w:val="NoSpacing"/>
        <w:spacing w:line="360" w:lineRule="auto"/>
        <w:jc w:val="left"/>
        <w:rPr>
          <w:rFonts w:ascii="Arial" w:hAnsi="Arial"/>
          <w:sz w:val="20"/>
        </w:rPr>
      </w:pPr>
      <w:r w:rsidRPr="00403C3C">
        <w:rPr>
          <w:rFonts w:ascii="Arial" w:hAnsi="Arial"/>
          <w:b/>
          <w:sz w:val="20"/>
        </w:rPr>
        <w:t>ESP</w:t>
      </w:r>
      <w:r>
        <w:rPr>
          <w:rFonts w:ascii="Arial" w:hAnsi="Arial"/>
          <w:b/>
          <w:sz w:val="20"/>
        </w:rPr>
        <w:t xml:space="preserve"> 2013</w:t>
      </w:r>
      <w:r w:rsidRPr="00403C3C">
        <w:rPr>
          <w:rFonts w:ascii="Arial" w:hAnsi="Arial"/>
          <w:b/>
          <w:sz w:val="20"/>
        </w:rPr>
        <w:tab/>
      </w:r>
      <w:r w:rsidRPr="00403C3C">
        <w:rPr>
          <w:rFonts w:ascii="Arial" w:hAnsi="Arial"/>
          <w:b/>
          <w:sz w:val="20"/>
        </w:rPr>
        <w:tab/>
      </w:r>
      <w:r w:rsidRPr="00403C3C">
        <w:rPr>
          <w:rFonts w:ascii="Arial" w:hAnsi="Arial"/>
          <w:sz w:val="20"/>
        </w:rPr>
        <w:t xml:space="preserve">European Standard </w:t>
      </w:r>
      <w:r w:rsidRPr="000D785C">
        <w:rPr>
          <w:rFonts w:ascii="Arial" w:hAnsi="Arial"/>
          <w:sz w:val="20"/>
        </w:rPr>
        <w:t>Population 2013</w:t>
      </w:r>
      <w:r>
        <w:rPr>
          <w:rFonts w:ascii="Arial" w:hAnsi="Arial"/>
          <w:sz w:val="20"/>
        </w:rPr>
        <w:t xml:space="preserve"> version</w:t>
      </w:r>
    </w:p>
    <w:p w:rsidR="003B0DEE" w:rsidRDefault="003B0DEE" w:rsidP="000D5D90">
      <w:pPr>
        <w:pStyle w:val="NoSpacing"/>
        <w:spacing w:line="360" w:lineRule="auto"/>
        <w:jc w:val="left"/>
        <w:rPr>
          <w:rFonts w:ascii="Arial" w:hAnsi="Arial"/>
          <w:b/>
          <w:sz w:val="20"/>
        </w:rPr>
      </w:pPr>
      <w:r>
        <w:rPr>
          <w:rFonts w:ascii="Arial" w:hAnsi="Arial"/>
          <w:b/>
          <w:sz w:val="20"/>
        </w:rPr>
        <w:t>HIV</w:t>
      </w:r>
      <w:r>
        <w:rPr>
          <w:rFonts w:ascii="Arial" w:hAnsi="Arial"/>
          <w:b/>
          <w:sz w:val="20"/>
        </w:rPr>
        <w:tab/>
      </w:r>
      <w:r>
        <w:rPr>
          <w:rFonts w:ascii="Arial" w:hAnsi="Arial"/>
          <w:b/>
          <w:sz w:val="20"/>
        </w:rPr>
        <w:tab/>
      </w:r>
      <w:r>
        <w:rPr>
          <w:rFonts w:ascii="Arial" w:hAnsi="Arial"/>
          <w:b/>
          <w:sz w:val="20"/>
        </w:rPr>
        <w:tab/>
      </w:r>
      <w:r w:rsidRPr="00902B86">
        <w:rPr>
          <w:rFonts w:ascii="Arial" w:hAnsi="Arial"/>
          <w:sz w:val="20"/>
        </w:rPr>
        <w:t>Human Immunodeficiency Virus</w:t>
      </w:r>
    </w:p>
    <w:p w:rsidR="003B0DEE" w:rsidRDefault="003B0DEE" w:rsidP="000D5D90">
      <w:pPr>
        <w:pStyle w:val="NoSpacing"/>
        <w:spacing w:line="360" w:lineRule="auto"/>
        <w:jc w:val="left"/>
        <w:rPr>
          <w:rFonts w:ascii="Arial" w:hAnsi="Arial"/>
          <w:b/>
          <w:sz w:val="20"/>
        </w:rPr>
      </w:pPr>
      <w:r>
        <w:rPr>
          <w:rFonts w:ascii="Arial" w:hAnsi="Arial"/>
          <w:b/>
          <w:sz w:val="20"/>
        </w:rPr>
        <w:t>HR</w:t>
      </w:r>
      <w:r>
        <w:rPr>
          <w:rFonts w:ascii="Arial" w:hAnsi="Arial"/>
          <w:b/>
          <w:sz w:val="20"/>
        </w:rPr>
        <w:tab/>
      </w:r>
      <w:r>
        <w:rPr>
          <w:rFonts w:ascii="Arial" w:hAnsi="Arial"/>
          <w:b/>
          <w:sz w:val="20"/>
        </w:rPr>
        <w:tab/>
      </w:r>
      <w:r>
        <w:rPr>
          <w:rFonts w:ascii="Arial" w:hAnsi="Arial"/>
          <w:b/>
          <w:sz w:val="20"/>
        </w:rPr>
        <w:tab/>
      </w:r>
      <w:r>
        <w:rPr>
          <w:rFonts w:ascii="Arial" w:hAnsi="Arial"/>
          <w:sz w:val="20"/>
        </w:rPr>
        <w:t>Hazard ratio</w:t>
      </w:r>
    </w:p>
    <w:p w:rsidR="003B0DEE" w:rsidRDefault="003B0DEE" w:rsidP="000D5D90">
      <w:pPr>
        <w:pStyle w:val="NoSpacing"/>
        <w:spacing w:line="360" w:lineRule="auto"/>
        <w:jc w:val="left"/>
        <w:rPr>
          <w:rFonts w:ascii="Arial" w:hAnsi="Arial"/>
          <w:sz w:val="20"/>
        </w:rPr>
      </w:pPr>
      <w:r>
        <w:rPr>
          <w:rFonts w:ascii="Arial" w:hAnsi="Arial"/>
          <w:b/>
          <w:sz w:val="20"/>
        </w:rPr>
        <w:t>IQR</w:t>
      </w:r>
      <w:r>
        <w:rPr>
          <w:rFonts w:ascii="Arial" w:hAnsi="Arial"/>
          <w:b/>
          <w:sz w:val="20"/>
        </w:rPr>
        <w:tab/>
      </w:r>
      <w:r>
        <w:rPr>
          <w:rFonts w:ascii="Arial" w:hAnsi="Arial"/>
          <w:b/>
          <w:sz w:val="20"/>
        </w:rPr>
        <w:tab/>
      </w:r>
      <w:r>
        <w:rPr>
          <w:rFonts w:ascii="Arial" w:hAnsi="Arial"/>
          <w:b/>
          <w:sz w:val="20"/>
        </w:rPr>
        <w:tab/>
      </w:r>
      <w:r w:rsidRPr="000D785C">
        <w:rPr>
          <w:rFonts w:ascii="Arial" w:hAnsi="Arial"/>
          <w:sz w:val="20"/>
        </w:rPr>
        <w:t>Interquartile range</w:t>
      </w:r>
    </w:p>
    <w:p w:rsidR="003B0DEE" w:rsidRPr="005E0895" w:rsidRDefault="003B0DEE" w:rsidP="000D5D90">
      <w:pPr>
        <w:pStyle w:val="NoSpacing"/>
        <w:spacing w:line="360" w:lineRule="auto"/>
        <w:jc w:val="left"/>
        <w:rPr>
          <w:rFonts w:ascii="Arial" w:hAnsi="Arial"/>
          <w:sz w:val="20"/>
        </w:rPr>
      </w:pPr>
      <w:r w:rsidRPr="00403C3C">
        <w:rPr>
          <w:rFonts w:ascii="Arial" w:hAnsi="Arial"/>
          <w:b/>
          <w:sz w:val="20"/>
        </w:rPr>
        <w:t>ND</w:t>
      </w:r>
      <w:r>
        <w:rPr>
          <w:rFonts w:ascii="Arial" w:hAnsi="Arial"/>
          <w:b/>
          <w:sz w:val="20"/>
        </w:rPr>
        <w:t>RDI</w:t>
      </w:r>
      <w:r w:rsidRPr="00403C3C">
        <w:rPr>
          <w:rFonts w:ascii="Arial" w:hAnsi="Arial"/>
          <w:b/>
          <w:sz w:val="20"/>
        </w:rPr>
        <w:tab/>
      </w:r>
      <w:r w:rsidRPr="00403C3C">
        <w:rPr>
          <w:rFonts w:ascii="Arial" w:hAnsi="Arial"/>
          <w:b/>
          <w:sz w:val="20"/>
        </w:rPr>
        <w:tab/>
      </w:r>
      <w:r>
        <w:rPr>
          <w:rFonts w:ascii="Arial" w:hAnsi="Arial"/>
          <w:b/>
          <w:sz w:val="20"/>
        </w:rPr>
        <w:tab/>
      </w:r>
      <w:r w:rsidRPr="005E0895">
        <w:rPr>
          <w:rFonts w:ascii="Arial" w:hAnsi="Arial"/>
          <w:sz w:val="20"/>
        </w:rPr>
        <w:t>National Drug Related Deaths Index</w:t>
      </w:r>
    </w:p>
    <w:p w:rsidR="003B0DEE" w:rsidRPr="00403C3C" w:rsidRDefault="003B0DEE" w:rsidP="000D5D90">
      <w:pPr>
        <w:pStyle w:val="NoSpacing"/>
        <w:spacing w:line="360" w:lineRule="auto"/>
        <w:jc w:val="left"/>
        <w:rPr>
          <w:rFonts w:ascii="Arial" w:hAnsi="Arial"/>
          <w:sz w:val="20"/>
        </w:rPr>
      </w:pPr>
      <w:r w:rsidRPr="00403C3C">
        <w:rPr>
          <w:rFonts w:ascii="Arial" w:hAnsi="Arial"/>
          <w:b/>
          <w:sz w:val="20"/>
        </w:rPr>
        <w:t>NDTRS</w:t>
      </w:r>
      <w:r w:rsidRPr="00403C3C">
        <w:rPr>
          <w:rFonts w:ascii="Arial" w:hAnsi="Arial"/>
          <w:b/>
          <w:sz w:val="20"/>
        </w:rPr>
        <w:tab/>
      </w:r>
      <w:r w:rsidRPr="00403C3C">
        <w:rPr>
          <w:rFonts w:ascii="Arial" w:hAnsi="Arial"/>
          <w:b/>
          <w:sz w:val="20"/>
        </w:rPr>
        <w:tab/>
      </w:r>
      <w:r>
        <w:rPr>
          <w:rFonts w:ascii="Arial" w:hAnsi="Arial"/>
          <w:b/>
          <w:sz w:val="20"/>
        </w:rPr>
        <w:tab/>
      </w:r>
      <w:r w:rsidRPr="00403C3C">
        <w:rPr>
          <w:rFonts w:ascii="Arial" w:hAnsi="Arial"/>
          <w:sz w:val="20"/>
        </w:rPr>
        <w:t>National Drug Treatment Reporting System</w:t>
      </w:r>
    </w:p>
    <w:p w:rsidR="003B0DEE" w:rsidRDefault="003B0DEE" w:rsidP="000D5D90">
      <w:pPr>
        <w:pStyle w:val="NoSpacing"/>
        <w:spacing w:line="360" w:lineRule="auto"/>
        <w:jc w:val="left"/>
        <w:rPr>
          <w:rFonts w:ascii="Arial" w:hAnsi="Arial"/>
          <w:sz w:val="20"/>
        </w:rPr>
      </w:pPr>
      <w:r>
        <w:rPr>
          <w:rFonts w:ascii="Arial" w:hAnsi="Arial"/>
          <w:b/>
          <w:sz w:val="20"/>
        </w:rPr>
        <w:t>NS</w:t>
      </w:r>
      <w:r>
        <w:rPr>
          <w:rFonts w:ascii="Arial" w:hAnsi="Arial"/>
          <w:b/>
          <w:sz w:val="20"/>
        </w:rPr>
        <w:tab/>
      </w:r>
      <w:r>
        <w:rPr>
          <w:rFonts w:ascii="Arial" w:hAnsi="Arial"/>
          <w:b/>
          <w:sz w:val="20"/>
        </w:rPr>
        <w:tab/>
      </w:r>
      <w:r>
        <w:rPr>
          <w:rFonts w:ascii="Arial" w:hAnsi="Arial"/>
          <w:b/>
          <w:sz w:val="20"/>
        </w:rPr>
        <w:tab/>
      </w:r>
      <w:r w:rsidRPr="00403C3C">
        <w:rPr>
          <w:rFonts w:ascii="Arial" w:hAnsi="Arial"/>
          <w:sz w:val="20"/>
        </w:rPr>
        <w:t>Non-significant result</w:t>
      </w:r>
    </w:p>
    <w:p w:rsidR="003B0DEE" w:rsidRDefault="003B0DEE" w:rsidP="000D5D90">
      <w:pPr>
        <w:pStyle w:val="NoSpacing"/>
        <w:spacing w:line="360" w:lineRule="auto"/>
        <w:jc w:val="left"/>
        <w:rPr>
          <w:rFonts w:ascii="Arial" w:hAnsi="Arial"/>
          <w:sz w:val="20"/>
        </w:rPr>
      </w:pPr>
      <w:r>
        <w:rPr>
          <w:rFonts w:ascii="Arial" w:hAnsi="Arial"/>
          <w:b/>
          <w:sz w:val="20"/>
        </w:rPr>
        <w:t>OR</w:t>
      </w:r>
      <w:r>
        <w:rPr>
          <w:rFonts w:ascii="Arial" w:hAnsi="Arial"/>
          <w:b/>
          <w:sz w:val="20"/>
        </w:rPr>
        <w:tab/>
      </w:r>
      <w:r>
        <w:rPr>
          <w:rFonts w:ascii="Arial" w:hAnsi="Arial"/>
          <w:b/>
          <w:sz w:val="20"/>
        </w:rPr>
        <w:tab/>
      </w:r>
      <w:r>
        <w:rPr>
          <w:rFonts w:ascii="Arial" w:hAnsi="Arial"/>
          <w:b/>
          <w:sz w:val="20"/>
        </w:rPr>
        <w:tab/>
      </w:r>
      <w:r w:rsidRPr="000D785C">
        <w:rPr>
          <w:rFonts w:ascii="Arial" w:hAnsi="Arial"/>
          <w:sz w:val="20"/>
        </w:rPr>
        <w:t>Odds ratio</w:t>
      </w:r>
    </w:p>
    <w:p w:rsidR="003B0DEE" w:rsidRDefault="003B0DEE" w:rsidP="000D5D90">
      <w:pPr>
        <w:pStyle w:val="NoSpacing"/>
        <w:spacing w:line="360" w:lineRule="auto"/>
        <w:jc w:val="left"/>
        <w:rPr>
          <w:rFonts w:ascii="Arial" w:hAnsi="Arial"/>
          <w:b/>
          <w:sz w:val="20"/>
        </w:rPr>
      </w:pPr>
      <w:r w:rsidRPr="0082525E">
        <w:rPr>
          <w:rFonts w:ascii="Arial" w:hAnsi="Arial"/>
          <w:b/>
          <w:sz w:val="20"/>
        </w:rPr>
        <w:t>OST</w:t>
      </w:r>
      <w:r w:rsidRPr="0082525E">
        <w:rPr>
          <w:rFonts w:ascii="Arial" w:hAnsi="Arial"/>
          <w:b/>
          <w:sz w:val="20"/>
        </w:rPr>
        <w:tab/>
      </w:r>
      <w:r>
        <w:rPr>
          <w:rFonts w:ascii="Arial" w:hAnsi="Arial"/>
          <w:sz w:val="20"/>
        </w:rPr>
        <w:tab/>
      </w:r>
      <w:r>
        <w:rPr>
          <w:rFonts w:ascii="Arial" w:hAnsi="Arial"/>
          <w:sz w:val="20"/>
        </w:rPr>
        <w:tab/>
        <w:t>O</w:t>
      </w:r>
      <w:r w:rsidRPr="0082525E">
        <w:rPr>
          <w:rFonts w:ascii="Arial" w:hAnsi="Arial"/>
          <w:sz w:val="20"/>
        </w:rPr>
        <w:t>pioid substitution treatment</w:t>
      </w:r>
    </w:p>
    <w:p w:rsidR="003B0DEE" w:rsidRDefault="003B0DEE" w:rsidP="000D5D90">
      <w:pPr>
        <w:pStyle w:val="NoSpacing"/>
        <w:spacing w:line="360" w:lineRule="auto"/>
        <w:jc w:val="left"/>
        <w:rPr>
          <w:rFonts w:ascii="Arial" w:hAnsi="Arial"/>
          <w:b/>
          <w:sz w:val="20"/>
        </w:rPr>
      </w:pPr>
      <w:r>
        <w:rPr>
          <w:rFonts w:ascii="Arial" w:hAnsi="Arial"/>
          <w:b/>
          <w:sz w:val="20"/>
        </w:rPr>
        <w:t>PRISMA</w:t>
      </w:r>
      <w:r>
        <w:rPr>
          <w:rFonts w:ascii="Arial" w:hAnsi="Arial"/>
          <w:b/>
          <w:sz w:val="20"/>
        </w:rPr>
        <w:tab/>
      </w:r>
      <w:r>
        <w:rPr>
          <w:rFonts w:ascii="Arial" w:hAnsi="Arial"/>
          <w:b/>
          <w:sz w:val="20"/>
        </w:rPr>
        <w:tab/>
      </w:r>
      <w:r w:rsidRPr="000D785C">
        <w:rPr>
          <w:rFonts w:ascii="Arial" w:hAnsi="Arial" w:cs="Arial"/>
          <w:sz w:val="20"/>
        </w:rPr>
        <w:t>Preferred Reporting Items for Systematic Reviews and Meta-Analyses</w:t>
      </w:r>
    </w:p>
    <w:p w:rsidR="003B0DEE" w:rsidRDefault="003B0DEE" w:rsidP="000D5D90">
      <w:pPr>
        <w:pStyle w:val="NoSpacing"/>
        <w:spacing w:line="360" w:lineRule="auto"/>
        <w:jc w:val="left"/>
        <w:rPr>
          <w:rFonts w:ascii="Arial" w:hAnsi="Arial"/>
          <w:sz w:val="20"/>
        </w:rPr>
      </w:pPr>
      <w:r w:rsidRPr="00403C3C">
        <w:rPr>
          <w:rFonts w:ascii="Arial" w:hAnsi="Arial"/>
          <w:b/>
          <w:sz w:val="20"/>
        </w:rPr>
        <w:t>TDI</w:t>
      </w:r>
      <w:r w:rsidRPr="00403C3C">
        <w:rPr>
          <w:rFonts w:ascii="Arial" w:hAnsi="Arial"/>
          <w:b/>
          <w:sz w:val="20"/>
        </w:rPr>
        <w:tab/>
      </w:r>
      <w:r w:rsidRPr="00403C3C">
        <w:rPr>
          <w:rFonts w:ascii="Arial" w:hAnsi="Arial"/>
          <w:b/>
          <w:sz w:val="20"/>
        </w:rPr>
        <w:tab/>
      </w:r>
      <w:r w:rsidRPr="00403C3C">
        <w:rPr>
          <w:rFonts w:ascii="Arial" w:hAnsi="Arial"/>
          <w:b/>
          <w:sz w:val="20"/>
        </w:rPr>
        <w:tab/>
      </w:r>
      <w:r w:rsidRPr="00403C3C">
        <w:rPr>
          <w:rFonts w:ascii="Arial" w:hAnsi="Arial"/>
          <w:sz w:val="20"/>
        </w:rPr>
        <w:t>Treatment Demand Indicator</w:t>
      </w:r>
    </w:p>
    <w:p w:rsidR="003B0DEE" w:rsidRPr="000D785C" w:rsidRDefault="003B0DEE" w:rsidP="000D5D90">
      <w:pPr>
        <w:pStyle w:val="NoSpacing"/>
        <w:spacing w:line="360" w:lineRule="auto"/>
        <w:jc w:val="left"/>
        <w:rPr>
          <w:rFonts w:ascii="Arial" w:hAnsi="Arial"/>
          <w:b/>
          <w:sz w:val="20"/>
        </w:rPr>
      </w:pPr>
      <w:r w:rsidRPr="000D785C">
        <w:rPr>
          <w:rFonts w:ascii="Arial" w:hAnsi="Arial"/>
          <w:b/>
          <w:sz w:val="20"/>
        </w:rPr>
        <w:t>TED</w:t>
      </w:r>
      <w:r>
        <w:rPr>
          <w:rFonts w:ascii="Arial" w:hAnsi="Arial"/>
          <w:b/>
          <w:sz w:val="20"/>
        </w:rPr>
        <w:t>S</w:t>
      </w:r>
      <w:r>
        <w:rPr>
          <w:rFonts w:ascii="Arial" w:hAnsi="Arial"/>
          <w:b/>
          <w:sz w:val="20"/>
        </w:rPr>
        <w:tab/>
      </w:r>
      <w:r>
        <w:rPr>
          <w:rFonts w:ascii="Arial" w:hAnsi="Arial"/>
          <w:b/>
          <w:sz w:val="20"/>
        </w:rPr>
        <w:tab/>
      </w:r>
      <w:r>
        <w:rPr>
          <w:rFonts w:ascii="Arial" w:hAnsi="Arial"/>
          <w:b/>
          <w:sz w:val="20"/>
        </w:rPr>
        <w:tab/>
      </w:r>
      <w:r w:rsidRPr="000D785C">
        <w:rPr>
          <w:rFonts w:ascii="Arial" w:hAnsi="Arial"/>
          <w:sz w:val="20"/>
        </w:rPr>
        <w:t>Treatment Episode Data</w:t>
      </w:r>
      <w:r>
        <w:rPr>
          <w:rFonts w:ascii="Arial" w:hAnsi="Arial"/>
          <w:sz w:val="20"/>
        </w:rPr>
        <w:t xml:space="preserve"> S</w:t>
      </w:r>
      <w:r w:rsidRPr="000D785C">
        <w:rPr>
          <w:rFonts w:ascii="Arial" w:hAnsi="Arial"/>
          <w:sz w:val="20"/>
        </w:rPr>
        <w:t>et</w:t>
      </w:r>
    </w:p>
    <w:p w:rsidR="003B0DEE" w:rsidRPr="00403C3C" w:rsidRDefault="003B0DEE" w:rsidP="000D5D90">
      <w:pPr>
        <w:pStyle w:val="NoSpacing"/>
        <w:spacing w:line="360" w:lineRule="auto"/>
        <w:jc w:val="left"/>
        <w:rPr>
          <w:rFonts w:ascii="Arial" w:hAnsi="Arial"/>
          <w:b/>
          <w:sz w:val="20"/>
        </w:rPr>
      </w:pPr>
    </w:p>
    <w:p w:rsidR="003B0DEE" w:rsidRPr="00403C3C" w:rsidRDefault="003B0DEE" w:rsidP="000D5D90">
      <w:pPr>
        <w:pStyle w:val="NoSpacing"/>
        <w:jc w:val="left"/>
        <w:rPr>
          <w:rFonts w:ascii="Arial" w:hAnsi="Arial"/>
        </w:rPr>
        <w:sectPr w:rsidR="003B0DEE" w:rsidRPr="00403C3C" w:rsidSect="000D5D90">
          <w:pgSz w:w="11906" w:h="16838" w:code="9"/>
          <w:pgMar w:top="1134" w:right="1134" w:bottom="1134" w:left="1985" w:header="709" w:footer="709" w:gutter="0"/>
          <w:pgNumType w:fmt="lowerRoman"/>
          <w:cols w:space="708"/>
          <w:docGrid w:linePitch="360"/>
        </w:sectPr>
      </w:pPr>
    </w:p>
    <w:p w:rsidR="003B0DEE" w:rsidRDefault="003B0DEE" w:rsidP="000D5D90">
      <w:pPr>
        <w:pStyle w:val="NoSpacing"/>
        <w:jc w:val="center"/>
        <w:rPr>
          <w:rFonts w:ascii="Arial" w:hAnsi="Arial" w:cs="Arial"/>
          <w:b/>
          <w:sz w:val="28"/>
          <w:szCs w:val="28"/>
        </w:rPr>
      </w:pPr>
      <w:r w:rsidRPr="00CF1ABA">
        <w:rPr>
          <w:rFonts w:ascii="Arial" w:hAnsi="Arial" w:cs="Arial"/>
          <w:b/>
          <w:sz w:val="28"/>
          <w:szCs w:val="28"/>
        </w:rPr>
        <w:lastRenderedPageBreak/>
        <w:t>Table of Contents</w:t>
      </w:r>
    </w:p>
    <w:p w:rsidR="003B0DEE" w:rsidRPr="001D1337" w:rsidRDefault="003B0DEE" w:rsidP="000D5D90">
      <w:pPr>
        <w:pStyle w:val="NoSpacing"/>
        <w:jc w:val="left"/>
        <w:rPr>
          <w:rFonts w:ascii="Arial" w:hAnsi="Arial" w:cs="Arial"/>
          <w:b/>
          <w:sz w:val="28"/>
          <w:szCs w:val="28"/>
        </w:rPr>
      </w:pPr>
    </w:p>
    <w:p w:rsidR="003B0DEE" w:rsidRPr="007C1DDB" w:rsidRDefault="003B0DEE" w:rsidP="000D5D90">
      <w:pPr>
        <w:pStyle w:val="TOC1"/>
        <w:rPr>
          <w:rFonts w:eastAsiaTheme="minorEastAsia"/>
        </w:rPr>
      </w:pPr>
      <w:r w:rsidRPr="008B1FB9">
        <w:fldChar w:fldCharType="begin"/>
      </w:r>
      <w:r w:rsidRPr="008B1FB9">
        <w:instrText xml:space="preserve"> TOC \o "1-3" \h \z \u </w:instrText>
      </w:r>
      <w:r w:rsidRPr="008B1FB9">
        <w:fldChar w:fldCharType="separate"/>
      </w:r>
      <w:hyperlink w:anchor="_Toc15331625" w:history="1">
        <w:r w:rsidRPr="007C1DDB">
          <w:rPr>
            <w:rStyle w:val="Hyperlink"/>
          </w:rPr>
          <w:t>Chapter 1 Introduction</w:t>
        </w:r>
        <w:r w:rsidRPr="007C1DDB">
          <w:rPr>
            <w:webHidden/>
          </w:rPr>
          <w:tab/>
          <w:t>…………………………………………………………………………………….</w:t>
        </w:r>
        <w:r w:rsidRPr="007C1DDB">
          <w:rPr>
            <w:webHidden/>
          </w:rPr>
          <w:fldChar w:fldCharType="begin"/>
        </w:r>
        <w:r w:rsidRPr="007C1DDB">
          <w:rPr>
            <w:webHidden/>
          </w:rPr>
          <w:instrText xml:space="preserve"> PAGEREF _Toc15331625 \h </w:instrText>
        </w:r>
        <w:r w:rsidRPr="007C1DDB">
          <w:rPr>
            <w:webHidden/>
          </w:rPr>
        </w:r>
        <w:r w:rsidRPr="007C1DDB">
          <w:rPr>
            <w:webHidden/>
          </w:rPr>
          <w:fldChar w:fldCharType="separate"/>
        </w:r>
        <w:r w:rsidR="00551CD8">
          <w:rPr>
            <w:webHidden/>
          </w:rPr>
          <w:t>1</w:t>
        </w:r>
        <w:r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26" w:history="1">
        <w:r w:rsidR="003B0DEE" w:rsidRPr="007C1DDB">
          <w:rPr>
            <w:rStyle w:val="Hyperlink"/>
            <w:rFonts w:ascii="Arial" w:hAnsi="Arial" w:cs="Arial"/>
            <w:noProof/>
            <w:sz w:val="20"/>
          </w:rPr>
          <w:t>1.1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_Toc15331626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27" w:history="1">
        <w:r w:rsidR="003B0DEE" w:rsidRPr="007C1DDB">
          <w:rPr>
            <w:rStyle w:val="Hyperlink"/>
            <w:rFonts w:ascii="Arial" w:hAnsi="Arial" w:cs="Arial"/>
            <w:noProof/>
            <w:sz w:val="20"/>
          </w:rPr>
          <w:t>1.2</w:t>
        </w:r>
        <w:r w:rsidR="003B0DEE" w:rsidRPr="007C1DDB">
          <w:rPr>
            <w:rFonts w:ascii="Arial" w:eastAsiaTheme="minorEastAsia" w:hAnsi="Arial" w:cs="Arial"/>
            <w:noProof/>
            <w:sz w:val="20"/>
          </w:rPr>
          <w:tab/>
        </w:r>
        <w:r w:rsidR="003B0DEE" w:rsidRPr="007C1DDB">
          <w:rPr>
            <w:rStyle w:val="Hyperlink"/>
            <w:rFonts w:ascii="Arial" w:hAnsi="Arial" w:cs="Arial"/>
            <w:noProof/>
            <w:sz w:val="20"/>
          </w:rPr>
          <w:t>Opioid use: a global problem</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_Toc15331627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28" w:history="1">
        <w:r w:rsidR="003B0DEE" w:rsidRPr="007C1DDB">
          <w:rPr>
            <w:rStyle w:val="Hyperlink"/>
            <w:rFonts w:ascii="Arial" w:hAnsi="Arial" w:cs="Arial"/>
            <w:noProof/>
            <w:sz w:val="20"/>
          </w:rPr>
          <w:t>1.2.1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An ageing population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_Toc15331628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29" w:history="1">
        <w:r w:rsidR="003B0DEE" w:rsidRPr="007C1DDB">
          <w:rPr>
            <w:rStyle w:val="Hyperlink"/>
            <w:rFonts w:ascii="Arial" w:hAnsi="Arial" w:cs="Arial"/>
            <w:noProof/>
            <w:sz w:val="20"/>
          </w:rPr>
          <w:t>1.3</w:t>
        </w:r>
        <w:r w:rsidR="003B0DEE" w:rsidRPr="007C1DDB">
          <w:rPr>
            <w:rFonts w:ascii="Arial" w:eastAsiaTheme="minorEastAsia" w:hAnsi="Arial" w:cs="Arial"/>
            <w:noProof/>
            <w:sz w:val="20"/>
          </w:rPr>
          <w:tab/>
        </w:r>
        <w:r w:rsidR="003B0DEE" w:rsidRPr="007C1DDB">
          <w:rPr>
            <w:rStyle w:val="Hyperlink"/>
            <w:rFonts w:ascii="Arial" w:hAnsi="Arial" w:cs="Arial"/>
            <w:noProof/>
            <w:sz w:val="20"/>
          </w:rPr>
          <w:t>Problematic opioid use and treatment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_Toc15331629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30" w:history="1">
        <w:r w:rsidR="003B0DEE" w:rsidRPr="007C1DDB">
          <w:rPr>
            <w:rStyle w:val="Hyperlink"/>
            <w:rFonts w:ascii="Arial" w:hAnsi="Arial" w:cs="Arial"/>
            <w:noProof/>
            <w:sz w:val="20"/>
          </w:rPr>
          <w:t>1.3.1</w:t>
        </w:r>
        <w:r w:rsidR="003B0DEE" w:rsidRPr="007C1DDB">
          <w:rPr>
            <w:rFonts w:ascii="Arial" w:eastAsiaTheme="minorEastAsia" w:hAnsi="Arial" w:cs="Arial"/>
            <w:noProof/>
            <w:sz w:val="20"/>
          </w:rPr>
          <w:tab/>
        </w:r>
        <w:r w:rsidR="003B0DEE" w:rsidRPr="007C1DDB">
          <w:rPr>
            <w:rStyle w:val="Hyperlink"/>
            <w:rFonts w:ascii="Arial" w:hAnsi="Arial" w:cs="Arial"/>
            <w:noProof/>
            <w:sz w:val="20"/>
          </w:rPr>
          <w:t>Problematic opioid use in Ireland</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31" w:history="1">
        <w:r w:rsidR="003B0DEE" w:rsidRPr="007C1DDB">
          <w:rPr>
            <w:rStyle w:val="Hyperlink"/>
            <w:rFonts w:ascii="Arial" w:hAnsi="Arial" w:cs="Arial"/>
            <w:noProof/>
            <w:sz w:val="20"/>
          </w:rPr>
          <w:t>1.3.2</w:t>
        </w:r>
        <w:r w:rsidR="003B0DEE" w:rsidRPr="007C1DDB">
          <w:rPr>
            <w:rFonts w:ascii="Arial" w:eastAsiaTheme="minorEastAsia" w:hAnsi="Arial" w:cs="Arial"/>
            <w:noProof/>
            <w:sz w:val="20"/>
          </w:rPr>
          <w:tab/>
        </w:r>
        <w:r w:rsidR="003B0DEE" w:rsidRPr="007C1DDB">
          <w:rPr>
            <w:rStyle w:val="Hyperlink"/>
            <w:rFonts w:ascii="Arial" w:hAnsi="Arial" w:cs="Arial"/>
            <w:noProof/>
            <w:sz w:val="20"/>
          </w:rPr>
          <w:t>Overview of Irish opioid treatment services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2" w:history="1">
        <w:r w:rsidR="003B0DEE" w:rsidRPr="007C1DDB">
          <w:rPr>
            <w:rStyle w:val="Hyperlink"/>
            <w:rFonts w:ascii="Arial" w:hAnsi="Arial" w:cs="Arial"/>
            <w:noProof/>
            <w:sz w:val="20"/>
          </w:rPr>
          <w:t>1.4</w:t>
        </w:r>
        <w:r w:rsidR="003B0DEE" w:rsidRPr="007C1DDB">
          <w:rPr>
            <w:rFonts w:ascii="Arial" w:eastAsiaTheme="minorEastAsia" w:hAnsi="Arial" w:cs="Arial"/>
            <w:noProof/>
            <w:sz w:val="20"/>
          </w:rPr>
          <w:tab/>
        </w:r>
        <w:r w:rsidR="003B0DEE" w:rsidRPr="007C1DDB">
          <w:rPr>
            <w:rStyle w:val="Hyperlink"/>
            <w:rFonts w:ascii="Arial" w:hAnsi="Arial" w:cs="Arial"/>
            <w:noProof/>
            <w:sz w:val="20"/>
          </w:rPr>
          <w:t>The value of secondary data analysis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3" w:history="1">
        <w:r w:rsidR="003B0DEE" w:rsidRPr="007C1DDB">
          <w:rPr>
            <w:rStyle w:val="Hyperlink"/>
            <w:rFonts w:ascii="Arial" w:hAnsi="Arial" w:cs="Arial"/>
            <w:noProof/>
            <w:sz w:val="20"/>
          </w:rPr>
          <w:t>1.5</w:t>
        </w:r>
        <w:r w:rsidR="003B0DEE" w:rsidRPr="007C1DDB">
          <w:rPr>
            <w:rFonts w:ascii="Arial" w:eastAsiaTheme="minorEastAsia" w:hAnsi="Arial" w:cs="Arial"/>
            <w:noProof/>
            <w:sz w:val="20"/>
          </w:rPr>
          <w:tab/>
        </w:r>
        <w:r w:rsidR="003B0DEE" w:rsidRPr="007C1DDB">
          <w:rPr>
            <w:rStyle w:val="Hyperlink"/>
            <w:rFonts w:ascii="Arial" w:hAnsi="Arial" w:cs="Arial"/>
            <w:noProof/>
            <w:sz w:val="20"/>
          </w:rPr>
          <w:t>Rationale for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4" w:history="1">
        <w:r w:rsidR="003B0DEE" w:rsidRPr="007C1DDB">
          <w:rPr>
            <w:rStyle w:val="Hyperlink"/>
            <w:rFonts w:ascii="Arial" w:hAnsi="Arial" w:cs="Arial"/>
            <w:noProof/>
            <w:sz w:val="20"/>
          </w:rPr>
          <w:t>1.6</w:t>
        </w:r>
        <w:r w:rsidR="003B0DEE" w:rsidRPr="007C1DDB">
          <w:rPr>
            <w:rFonts w:ascii="Arial" w:eastAsiaTheme="minorEastAsia" w:hAnsi="Arial" w:cs="Arial"/>
            <w:noProof/>
            <w:sz w:val="20"/>
          </w:rPr>
          <w:tab/>
        </w:r>
        <w:r w:rsidR="003B0DEE" w:rsidRPr="007C1DDB">
          <w:rPr>
            <w:rStyle w:val="Hyperlink"/>
            <w:rFonts w:ascii="Arial" w:hAnsi="Arial" w:cs="Arial"/>
            <w:noProof/>
            <w:sz w:val="20"/>
          </w:rPr>
          <w:t>Aim and research objectives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35" w:history="1">
        <w:r w:rsidR="003B0DEE" w:rsidRPr="007C1DDB">
          <w:rPr>
            <w:rStyle w:val="Hyperlink"/>
            <w:rFonts w:ascii="Arial" w:hAnsi="Arial" w:cs="Arial"/>
            <w:noProof/>
            <w:sz w:val="20"/>
          </w:rPr>
          <w:t>1.6.1</w:t>
        </w:r>
        <w:r w:rsidR="003B0DEE" w:rsidRPr="007C1DDB">
          <w:rPr>
            <w:rFonts w:ascii="Arial" w:eastAsiaTheme="minorEastAsia" w:hAnsi="Arial" w:cs="Arial"/>
            <w:noProof/>
            <w:sz w:val="20"/>
          </w:rPr>
          <w:tab/>
        </w:r>
        <w:r w:rsidR="003B0DEE" w:rsidRPr="007C1DDB">
          <w:rPr>
            <w:rStyle w:val="Hyperlink"/>
            <w:rFonts w:ascii="Arial" w:hAnsi="Arial" w:cs="Arial"/>
            <w:noProof/>
            <w:sz w:val="20"/>
          </w:rPr>
          <w:t>Aim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36" w:history="1">
        <w:r w:rsidR="003B0DEE" w:rsidRPr="007C1DDB">
          <w:rPr>
            <w:rStyle w:val="Hyperlink"/>
            <w:rFonts w:ascii="Arial" w:hAnsi="Arial" w:cs="Arial"/>
            <w:noProof/>
            <w:sz w:val="20"/>
          </w:rPr>
          <w:t>1.6.2</w:t>
        </w:r>
        <w:r w:rsidR="003B0DEE" w:rsidRPr="007C1DDB">
          <w:rPr>
            <w:rFonts w:ascii="Arial" w:eastAsiaTheme="minorEastAsia" w:hAnsi="Arial" w:cs="Arial"/>
            <w:noProof/>
            <w:sz w:val="20"/>
          </w:rPr>
          <w:tab/>
        </w:r>
        <w:r w:rsidR="003B0DEE" w:rsidRPr="007C1DDB">
          <w:rPr>
            <w:rStyle w:val="Hyperlink"/>
            <w:rFonts w:ascii="Arial" w:hAnsi="Arial" w:cs="Arial"/>
            <w:noProof/>
            <w:sz w:val="20"/>
          </w:rPr>
          <w:t>Objectives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7" w:history="1">
        <w:r w:rsidR="003B0DEE" w:rsidRPr="007C1DDB">
          <w:rPr>
            <w:rStyle w:val="Hyperlink"/>
            <w:rFonts w:ascii="Arial" w:hAnsi="Arial" w:cs="Arial"/>
            <w:noProof/>
            <w:sz w:val="20"/>
          </w:rPr>
          <w:t>1.7</w:t>
        </w:r>
        <w:r w:rsidR="003B0DEE" w:rsidRPr="007C1DDB">
          <w:rPr>
            <w:rFonts w:ascii="Arial" w:eastAsiaTheme="minorEastAsia" w:hAnsi="Arial" w:cs="Arial"/>
            <w:noProof/>
            <w:sz w:val="20"/>
          </w:rPr>
          <w:tab/>
        </w:r>
        <w:r w:rsidR="003B0DEE" w:rsidRPr="007C1DDB">
          <w:rPr>
            <w:rStyle w:val="Hyperlink"/>
            <w:rFonts w:ascii="Arial" w:hAnsi="Arial" w:cs="Arial"/>
            <w:noProof/>
            <w:sz w:val="20"/>
          </w:rPr>
          <w:t>Terminology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8" w:history="1">
        <w:r w:rsidR="003B0DEE" w:rsidRPr="007C1DDB">
          <w:rPr>
            <w:rStyle w:val="Hyperlink"/>
            <w:rFonts w:ascii="Arial" w:hAnsi="Arial" w:cs="Arial"/>
            <w:noProof/>
            <w:sz w:val="20"/>
          </w:rPr>
          <w:t>1.8</w:t>
        </w:r>
        <w:r w:rsidR="003B0DEE" w:rsidRPr="007C1DDB">
          <w:rPr>
            <w:rFonts w:ascii="Arial" w:eastAsiaTheme="minorEastAsia" w:hAnsi="Arial" w:cs="Arial"/>
            <w:noProof/>
            <w:sz w:val="20"/>
          </w:rPr>
          <w:tab/>
        </w:r>
        <w:r w:rsidR="003B0DEE" w:rsidRPr="007C1DDB">
          <w:rPr>
            <w:rStyle w:val="Hyperlink"/>
            <w:rFonts w:ascii="Arial" w:hAnsi="Arial" w:cs="Arial"/>
            <w:noProof/>
            <w:sz w:val="20"/>
          </w:rPr>
          <w:t>Overview of the thesis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39" w:history="1">
        <w:r w:rsidR="003B0DEE" w:rsidRPr="007C1DDB">
          <w:rPr>
            <w:rStyle w:val="Hyperlink"/>
            <w:rFonts w:ascii="Arial" w:hAnsi="Arial" w:cs="Arial"/>
            <w:noProof/>
            <w:sz w:val="20"/>
          </w:rPr>
          <w:t>1.9</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_Toc15331639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640" w:history="1">
        <w:r w:rsidR="003B0DEE" w:rsidRPr="007C1DDB">
          <w:rPr>
            <w:rStyle w:val="Hyperlink"/>
          </w:rPr>
          <w:t>Chapter 2 Literature review</w:t>
        </w:r>
        <w:r w:rsidR="003B0DEE" w:rsidRPr="007C1DDB">
          <w:rPr>
            <w:webHidden/>
          </w:rPr>
          <w:tab/>
          <w:t>……………………………………………………………………………….</w:t>
        </w:r>
        <w:r w:rsidR="003B0DEE" w:rsidRPr="007C1DDB">
          <w:rPr>
            <w:webHidden/>
          </w:rPr>
          <w:fldChar w:fldCharType="begin"/>
        </w:r>
        <w:r w:rsidR="003B0DEE" w:rsidRPr="007C1DDB">
          <w:rPr>
            <w:webHidden/>
          </w:rPr>
          <w:instrText xml:space="preserve"> PAGEREF _Toc15331640 \h </w:instrText>
        </w:r>
        <w:r w:rsidR="003B0DEE" w:rsidRPr="007C1DDB">
          <w:rPr>
            <w:webHidden/>
          </w:rPr>
        </w:r>
        <w:r w:rsidR="003B0DEE" w:rsidRPr="007C1DDB">
          <w:rPr>
            <w:webHidden/>
          </w:rPr>
          <w:fldChar w:fldCharType="separate"/>
        </w:r>
        <w:r w:rsidR="00551CD8">
          <w:rPr>
            <w:webHidden/>
          </w:rPr>
          <w:t>6</w:t>
        </w:r>
        <w:r w:rsidR="003B0DEE"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41" w:history="1">
        <w:r w:rsidR="003B0DEE" w:rsidRPr="007C1DDB">
          <w:rPr>
            <w:rStyle w:val="Hyperlink"/>
            <w:rFonts w:ascii="Arial" w:hAnsi="Arial" w:cs="Arial"/>
            <w:noProof/>
            <w:sz w:val="20"/>
          </w:rPr>
          <w:t>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6</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42" w:history="1">
        <w:r w:rsidR="003B0DEE" w:rsidRPr="007C1DDB">
          <w:rPr>
            <w:rStyle w:val="Hyperlink"/>
            <w:rFonts w:ascii="Arial" w:hAnsi="Arial" w:cs="Arial"/>
            <w:noProof/>
            <w:sz w:val="20"/>
          </w:rPr>
          <w:t>2.2</w:t>
        </w:r>
        <w:r w:rsidR="003B0DEE" w:rsidRPr="007C1DDB">
          <w:rPr>
            <w:rFonts w:ascii="Arial" w:eastAsiaTheme="minorEastAsia" w:hAnsi="Arial" w:cs="Arial"/>
            <w:noProof/>
            <w:sz w:val="20"/>
          </w:rPr>
          <w:tab/>
        </w:r>
        <w:r w:rsidR="003B0DEE" w:rsidRPr="007C1DDB">
          <w:rPr>
            <w:rStyle w:val="Hyperlink"/>
            <w:rFonts w:ascii="Arial" w:hAnsi="Arial" w:cs="Arial"/>
            <w:noProof/>
            <w:sz w:val="20"/>
          </w:rPr>
          <w:t>Search methodology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3" w:history="1">
        <w:r w:rsidR="003B0DEE" w:rsidRPr="007C1DDB">
          <w:rPr>
            <w:rStyle w:val="Hyperlink"/>
            <w:rFonts w:ascii="Arial" w:hAnsi="Arial" w:cs="Arial"/>
            <w:noProof/>
            <w:sz w:val="20"/>
          </w:rPr>
          <w:t>2.2.1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Inclusion and exclusion criteria</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4" w:history="1">
        <w:r w:rsidR="003B0DEE" w:rsidRPr="007C1DDB">
          <w:rPr>
            <w:rStyle w:val="Hyperlink"/>
            <w:rFonts w:ascii="Arial" w:hAnsi="Arial" w:cs="Arial"/>
            <w:noProof/>
            <w:sz w:val="20"/>
          </w:rPr>
          <w:t>2.2.2</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Study selection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45" w:history="1">
        <w:r w:rsidR="003B0DEE" w:rsidRPr="007C1DDB">
          <w:rPr>
            <w:rStyle w:val="Hyperlink"/>
            <w:rFonts w:ascii="Arial" w:hAnsi="Arial" w:cs="Arial"/>
            <w:noProof/>
            <w:sz w:val="20"/>
          </w:rPr>
          <w:t>2.3</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Results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6" w:history="1">
        <w:r w:rsidR="003B0DEE" w:rsidRPr="007C1DDB">
          <w:rPr>
            <w:rStyle w:val="Hyperlink"/>
            <w:rFonts w:ascii="Arial" w:hAnsi="Arial" w:cs="Arial"/>
            <w:noProof/>
            <w:sz w:val="20"/>
          </w:rPr>
          <w:t>2.3.1</w:t>
        </w:r>
        <w:r w:rsidR="003B0DEE" w:rsidRPr="007C1DDB">
          <w:rPr>
            <w:rFonts w:ascii="Arial" w:eastAsiaTheme="minorEastAsia" w:hAnsi="Arial" w:cs="Arial"/>
            <w:noProof/>
            <w:sz w:val="20"/>
          </w:rPr>
          <w:tab/>
        </w:r>
        <w:r w:rsidR="003B0DEE" w:rsidRPr="007C1DDB">
          <w:rPr>
            <w:rStyle w:val="Hyperlink"/>
            <w:rFonts w:ascii="Arial" w:hAnsi="Arial" w:cs="Arial"/>
            <w:noProof/>
            <w:sz w:val="20"/>
          </w:rPr>
          <w:t>Defining ageing based on current literature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7" w:history="1">
        <w:r w:rsidR="003B0DEE" w:rsidRPr="007C1DDB">
          <w:rPr>
            <w:rStyle w:val="Hyperlink"/>
            <w:rFonts w:ascii="Arial" w:hAnsi="Arial" w:cs="Arial"/>
            <w:noProof/>
            <w:sz w:val="20"/>
          </w:rPr>
          <w:t>2.3.2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Ageing among older people who use opioids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8" w:history="1">
        <w:r w:rsidR="003B0DEE" w:rsidRPr="007C1DDB">
          <w:rPr>
            <w:rStyle w:val="Hyperlink"/>
            <w:rFonts w:ascii="Arial" w:hAnsi="Arial" w:cs="Arial"/>
            <w:noProof/>
            <w:sz w:val="20"/>
          </w:rPr>
          <w:t>2.3.3</w:t>
        </w:r>
        <w:r w:rsidR="003B0DEE" w:rsidRPr="007C1DDB">
          <w:rPr>
            <w:rFonts w:ascii="Arial" w:eastAsiaTheme="minorEastAsia" w:hAnsi="Arial" w:cs="Arial"/>
            <w:noProof/>
            <w:sz w:val="20"/>
          </w:rPr>
          <w:tab/>
        </w:r>
        <w:r w:rsidR="003B0DEE" w:rsidRPr="007C1DDB">
          <w:rPr>
            <w:rStyle w:val="Hyperlink"/>
            <w:rFonts w:ascii="Arial" w:hAnsi="Arial" w:cs="Arial"/>
            <w:noProof/>
            <w:sz w:val="20"/>
          </w:rPr>
          <w:t>Types of older opioid users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49" w:history="1">
        <w:r w:rsidR="003B0DEE" w:rsidRPr="007C1DDB">
          <w:rPr>
            <w:rStyle w:val="Hyperlink"/>
            <w:rFonts w:ascii="Arial" w:hAnsi="Arial" w:cs="Arial"/>
            <w:noProof/>
            <w:sz w:val="20"/>
          </w:rPr>
          <w:t>2.3.4</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interventions and 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_Toc15331649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50" w:history="1">
        <w:r w:rsidR="003B0DEE" w:rsidRPr="007C1DDB">
          <w:rPr>
            <w:rStyle w:val="Hyperlink"/>
            <w:rFonts w:ascii="Arial" w:hAnsi="Arial" w:cs="Arial"/>
            <w:noProof/>
            <w:sz w:val="20"/>
          </w:rPr>
          <w:t>2.3.5</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outcome studies and 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51" w:history="1">
        <w:r w:rsidR="003B0DEE" w:rsidRPr="007C1DDB">
          <w:rPr>
            <w:rStyle w:val="Hyperlink"/>
            <w:rFonts w:ascii="Arial" w:hAnsi="Arial" w:cs="Arial"/>
            <w:noProof/>
            <w:sz w:val="20"/>
          </w:rPr>
          <w:t>2.3.6</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outcomes differ by age group</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52" w:history="1">
        <w:r w:rsidR="003B0DEE" w:rsidRPr="007C1DDB">
          <w:rPr>
            <w:rStyle w:val="Hyperlink"/>
            <w:rFonts w:ascii="Arial" w:hAnsi="Arial" w:cs="Arial"/>
            <w:noProof/>
            <w:sz w:val="20"/>
          </w:rPr>
          <w:t>2.3.7</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outcomes differ by gender</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3" w:history="1">
        <w:r w:rsidR="003B0DEE" w:rsidRPr="007C1DDB">
          <w:rPr>
            <w:rStyle w:val="Hyperlink"/>
            <w:rFonts w:ascii="Arial" w:hAnsi="Arial" w:cs="Arial"/>
            <w:noProof/>
            <w:sz w:val="20"/>
          </w:rPr>
          <w:t>2.4</w:t>
        </w:r>
        <w:r w:rsidR="003B0DEE" w:rsidRPr="007C1DDB">
          <w:rPr>
            <w:rFonts w:ascii="Arial" w:eastAsiaTheme="minorEastAsia" w:hAnsi="Arial" w:cs="Arial"/>
            <w:noProof/>
            <w:sz w:val="20"/>
          </w:rPr>
          <w:tab/>
        </w:r>
        <w:r w:rsidR="003B0DEE" w:rsidRPr="007C1DDB">
          <w:rPr>
            <w:rStyle w:val="Hyperlink"/>
            <w:rFonts w:ascii="Arial" w:hAnsi="Arial" w:cs="Arial"/>
            <w:noProof/>
            <w:sz w:val="20"/>
          </w:rPr>
          <w:t>Discussion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4" w:history="1">
        <w:r w:rsidR="003B0DEE" w:rsidRPr="007C1DDB">
          <w:rPr>
            <w:rStyle w:val="Hyperlink"/>
            <w:rFonts w:ascii="Arial" w:hAnsi="Arial" w:cs="Arial"/>
            <w:noProof/>
            <w:sz w:val="20"/>
          </w:rPr>
          <w:t>2.5</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15</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655" w:history="1">
        <w:r w:rsidR="003B0DEE" w:rsidRPr="007C1DDB">
          <w:rPr>
            <w:rStyle w:val="Hyperlink"/>
          </w:rPr>
          <w:t>Chapter 3 Theoretical framework, methodological approach and study methods</w:t>
        </w:r>
        <w:r w:rsidR="003B0DEE" w:rsidRPr="007C1DDB">
          <w:rPr>
            <w:webHidden/>
          </w:rPr>
          <w:tab/>
          <w:t>……………</w:t>
        </w:r>
        <w:r w:rsidR="003B0DEE" w:rsidRPr="007C1DDB">
          <w:rPr>
            <w:webHidden/>
          </w:rPr>
          <w:fldChar w:fldCharType="begin"/>
        </w:r>
        <w:r w:rsidR="003B0DEE" w:rsidRPr="007C1DDB">
          <w:rPr>
            <w:webHidden/>
          </w:rPr>
          <w:instrText xml:space="preserve"> PAGEREF _Toc15331655 \h </w:instrText>
        </w:r>
        <w:r w:rsidR="003B0DEE" w:rsidRPr="007C1DDB">
          <w:rPr>
            <w:webHidden/>
          </w:rPr>
        </w:r>
        <w:r w:rsidR="003B0DEE" w:rsidRPr="007C1DDB">
          <w:rPr>
            <w:webHidden/>
          </w:rPr>
          <w:fldChar w:fldCharType="separate"/>
        </w:r>
        <w:r w:rsidR="00551CD8">
          <w:rPr>
            <w:webHidden/>
          </w:rPr>
          <w:t>23</w:t>
        </w:r>
        <w:r w:rsidR="003B0DEE"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6" w:history="1">
        <w:r w:rsidR="003B0DEE" w:rsidRPr="007C1DDB">
          <w:rPr>
            <w:rStyle w:val="Hyperlink"/>
            <w:rFonts w:ascii="Arial" w:hAnsi="Arial" w:cs="Arial"/>
            <w:noProof/>
            <w:sz w:val="20"/>
          </w:rPr>
          <w:t>3.1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7" w:history="1">
        <w:r w:rsidR="003B0DEE" w:rsidRPr="007C1DDB">
          <w:rPr>
            <w:rStyle w:val="Hyperlink"/>
            <w:rFonts w:ascii="Arial" w:hAnsi="Arial" w:cs="Arial"/>
            <w:noProof/>
            <w:sz w:val="20"/>
          </w:rPr>
          <w:t>3.2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Aim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8" w:history="1">
        <w:r w:rsidR="003B0DEE" w:rsidRPr="007C1DDB">
          <w:rPr>
            <w:rStyle w:val="Hyperlink"/>
            <w:rFonts w:ascii="Arial" w:hAnsi="Arial" w:cs="Arial"/>
            <w:noProof/>
            <w:sz w:val="20"/>
          </w:rPr>
          <w:t>3.3</w:t>
        </w:r>
        <w:r w:rsidR="003B0DEE" w:rsidRPr="007C1DDB">
          <w:rPr>
            <w:rFonts w:ascii="Arial" w:eastAsiaTheme="minorEastAsia" w:hAnsi="Arial" w:cs="Arial"/>
            <w:noProof/>
            <w:sz w:val="20"/>
          </w:rPr>
          <w:tab/>
        </w:r>
        <w:r w:rsidR="003B0DEE" w:rsidRPr="007C1DDB">
          <w:rPr>
            <w:rStyle w:val="Hyperlink"/>
            <w:rFonts w:ascii="Arial" w:hAnsi="Arial" w:cs="Arial"/>
            <w:noProof/>
            <w:sz w:val="20"/>
          </w:rPr>
          <w:t>Objectives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59" w:history="1">
        <w:r w:rsidR="003B0DEE" w:rsidRPr="007C1DDB">
          <w:rPr>
            <w:rStyle w:val="Hyperlink"/>
            <w:rFonts w:ascii="Arial" w:hAnsi="Arial" w:cs="Arial"/>
            <w:noProof/>
            <w:sz w:val="20"/>
          </w:rPr>
          <w:t>3.4</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Research process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_Toc15331659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0" w:history="1">
        <w:r w:rsidR="003B0DEE" w:rsidRPr="007C1DDB">
          <w:rPr>
            <w:rStyle w:val="Hyperlink"/>
            <w:rFonts w:ascii="Arial" w:hAnsi="Arial" w:cs="Arial"/>
            <w:noProof/>
            <w:sz w:val="20"/>
          </w:rPr>
          <w:t>3.4.1</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Study paradigm</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1" w:history="1">
        <w:r w:rsidR="003B0DEE" w:rsidRPr="007C1DDB">
          <w:rPr>
            <w:rStyle w:val="Hyperlink"/>
            <w:rFonts w:ascii="Arial" w:hAnsi="Arial" w:cs="Arial"/>
            <w:noProof/>
            <w:sz w:val="20"/>
          </w:rPr>
          <w:t>3.4.2</w:t>
        </w:r>
        <w:r w:rsidR="003B0DEE" w:rsidRPr="007C1DDB">
          <w:rPr>
            <w:rFonts w:ascii="Arial" w:eastAsiaTheme="minorEastAsia" w:hAnsi="Arial" w:cs="Arial"/>
            <w:noProof/>
            <w:sz w:val="20"/>
          </w:rPr>
          <w:tab/>
        </w:r>
        <w:r w:rsidR="003B0DEE" w:rsidRPr="007C1DDB">
          <w:rPr>
            <w:rStyle w:val="Hyperlink"/>
            <w:rFonts w:ascii="Arial" w:hAnsi="Arial" w:cs="Arial"/>
            <w:noProof/>
            <w:sz w:val="20"/>
          </w:rPr>
          <w:t>Epistemological approach</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2" w:history="1">
        <w:r w:rsidR="003B0DEE" w:rsidRPr="007C1DDB">
          <w:rPr>
            <w:rStyle w:val="Hyperlink"/>
            <w:rFonts w:ascii="Arial" w:hAnsi="Arial" w:cs="Arial"/>
            <w:noProof/>
            <w:sz w:val="20"/>
          </w:rPr>
          <w:t>3.4.3</w:t>
        </w:r>
        <w:r w:rsidR="003B0DEE" w:rsidRPr="007C1DDB">
          <w:rPr>
            <w:rFonts w:ascii="Arial" w:eastAsiaTheme="minorEastAsia" w:hAnsi="Arial" w:cs="Arial"/>
            <w:noProof/>
            <w:sz w:val="20"/>
          </w:rPr>
          <w:tab/>
        </w:r>
        <w:r w:rsidR="003B0DEE" w:rsidRPr="007C1DDB">
          <w:rPr>
            <w:rStyle w:val="Hyperlink"/>
            <w:rFonts w:ascii="Arial" w:hAnsi="Arial" w:cs="Arial"/>
            <w:noProof/>
            <w:sz w:val="20"/>
          </w:rPr>
          <w:t>Theoretical perspective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3" w:history="1">
        <w:r w:rsidR="003B0DEE" w:rsidRPr="007C1DDB">
          <w:rPr>
            <w:rStyle w:val="Hyperlink"/>
            <w:rFonts w:ascii="Arial" w:hAnsi="Arial" w:cs="Arial"/>
            <w:noProof/>
            <w:sz w:val="20"/>
          </w:rPr>
          <w:t>3.4.4</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Research approach</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4" w:history="1">
        <w:r w:rsidR="003B0DEE" w:rsidRPr="007C1DDB">
          <w:rPr>
            <w:rStyle w:val="Hyperlink"/>
            <w:rFonts w:ascii="Arial" w:hAnsi="Arial" w:cs="Arial"/>
            <w:noProof/>
            <w:sz w:val="20"/>
          </w:rPr>
          <w:t>3.4.5</w:t>
        </w:r>
        <w:r w:rsidR="003B0DEE" w:rsidRPr="007C1DDB">
          <w:rPr>
            <w:rFonts w:ascii="Arial" w:eastAsiaTheme="minorEastAsia" w:hAnsi="Arial" w:cs="Arial"/>
            <w:noProof/>
            <w:sz w:val="20"/>
          </w:rPr>
          <w:tab/>
        </w:r>
        <w:r w:rsidR="003B0DEE" w:rsidRPr="007C1DDB">
          <w:rPr>
            <w:rStyle w:val="Hyperlink"/>
            <w:rFonts w:ascii="Arial" w:hAnsi="Arial" w:cs="Arial"/>
            <w:noProof/>
            <w:sz w:val="20"/>
          </w:rPr>
          <w:t>Methodology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5" w:history="1">
        <w:r w:rsidR="003B0DEE" w:rsidRPr="007C1DDB">
          <w:rPr>
            <w:rStyle w:val="Hyperlink"/>
            <w:rFonts w:ascii="Arial" w:hAnsi="Arial" w:cs="Arial"/>
            <w:noProof/>
            <w:sz w:val="20"/>
          </w:rPr>
          <w:t>3.4.6</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Research design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26</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66" w:history="1">
        <w:r w:rsidR="003B0DEE" w:rsidRPr="007C1DDB">
          <w:rPr>
            <w:rStyle w:val="Hyperlink"/>
            <w:rFonts w:ascii="Arial" w:hAnsi="Arial" w:cs="Arial"/>
            <w:noProof/>
            <w:sz w:val="20"/>
          </w:rPr>
          <w:t>3.5</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Study Methods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7" w:history="1">
        <w:r w:rsidR="003B0DEE" w:rsidRPr="007C1DDB">
          <w:rPr>
            <w:rStyle w:val="Hyperlink"/>
            <w:rFonts w:ascii="Arial" w:hAnsi="Arial" w:cs="Arial"/>
            <w:noProof/>
            <w:sz w:val="20"/>
          </w:rPr>
          <w:t>3.5.1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Data collections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8" w:history="1">
        <w:r w:rsidR="003B0DEE" w:rsidRPr="007C1DDB">
          <w:rPr>
            <w:rStyle w:val="Hyperlink"/>
            <w:rFonts w:ascii="Arial" w:hAnsi="Arial" w:cs="Arial"/>
            <w:noProof/>
            <w:sz w:val="20"/>
          </w:rPr>
          <w:t>3.5.2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Data access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27</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69" w:history="1">
        <w:r w:rsidR="003B0DEE" w:rsidRPr="007C1DDB">
          <w:rPr>
            <w:rStyle w:val="Hyperlink"/>
            <w:rFonts w:ascii="Arial" w:hAnsi="Arial" w:cs="Arial"/>
            <w:noProof/>
            <w:sz w:val="20"/>
          </w:rPr>
          <w:t>3.5.3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Study population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_Toc15331669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0" w:history="1">
        <w:r w:rsidR="003B0DEE" w:rsidRPr="007C1DDB">
          <w:rPr>
            <w:rStyle w:val="Hyperlink"/>
            <w:rFonts w:ascii="Arial" w:hAnsi="Arial" w:cs="Arial"/>
            <w:noProof/>
            <w:sz w:val="20"/>
          </w:rPr>
          <w:t>3.5.4</w:t>
        </w:r>
        <w:r w:rsidR="003B0DEE" w:rsidRPr="007C1DDB">
          <w:rPr>
            <w:rFonts w:ascii="Arial" w:eastAsiaTheme="minorEastAsia" w:hAnsi="Arial" w:cs="Arial"/>
            <w:noProof/>
            <w:sz w:val="20"/>
          </w:rPr>
          <w:tab/>
        </w:r>
        <w:r w:rsidR="003B0DEE" w:rsidRPr="007C1DDB">
          <w:rPr>
            <w:rStyle w:val="Hyperlink"/>
            <w:rFonts w:ascii="Arial" w:hAnsi="Arial" w:cs="Arial"/>
            <w:noProof/>
            <w:sz w:val="20"/>
          </w:rPr>
          <w:t>Methods of analysis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28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1" w:history="1">
        <w:r w:rsidR="003B0DEE" w:rsidRPr="007C1DDB">
          <w:rPr>
            <w:rStyle w:val="Hyperlink"/>
            <w:rFonts w:ascii="Arial" w:hAnsi="Arial" w:cs="Arial"/>
            <w:noProof/>
            <w:sz w:val="20"/>
          </w:rPr>
          <w:t>3.5.5</w:t>
        </w:r>
        <w:r w:rsidR="003B0DEE" w:rsidRPr="007C1DDB">
          <w:rPr>
            <w:rFonts w:ascii="Arial" w:eastAsiaTheme="minorEastAsia" w:hAnsi="Arial" w:cs="Arial"/>
            <w:noProof/>
            <w:sz w:val="20"/>
          </w:rPr>
          <w:tab/>
        </w:r>
        <w:r w:rsidR="003B0DEE" w:rsidRPr="007C1DDB">
          <w:rPr>
            <w:rStyle w:val="Hyperlink"/>
            <w:rFonts w:ascii="Arial" w:hAnsi="Arial" w:cs="Arial"/>
            <w:noProof/>
            <w:sz w:val="20"/>
          </w:rPr>
          <w:t>Ethical approval, generalisability and limitations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2" w:history="1">
        <w:r w:rsidR="003B0DEE" w:rsidRPr="007C1DDB">
          <w:rPr>
            <w:rStyle w:val="Hyperlink"/>
            <w:rFonts w:ascii="Arial" w:hAnsi="Arial" w:cs="Arial"/>
            <w:noProof/>
            <w:sz w:val="20"/>
          </w:rPr>
          <w:t>3.5.6</w:t>
        </w:r>
        <w:r w:rsidR="003B0DEE" w:rsidRPr="007C1DDB">
          <w:rPr>
            <w:rFonts w:ascii="Arial" w:eastAsiaTheme="minorEastAsia" w:hAnsi="Arial" w:cs="Arial"/>
            <w:noProof/>
            <w:sz w:val="20"/>
          </w:rPr>
          <w:tab/>
        </w:r>
        <w:r w:rsidR="003B0DEE" w:rsidRPr="007C1DDB">
          <w:rPr>
            <w:rStyle w:val="Hyperlink"/>
            <w:rFonts w:ascii="Arial" w:hAnsi="Arial" w:cs="Arial"/>
            <w:noProof/>
            <w:sz w:val="20"/>
          </w:rPr>
          <w:t>Data quality and auditing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3" w:history="1">
        <w:r w:rsidR="003B0DEE" w:rsidRPr="007C1DDB">
          <w:rPr>
            <w:rStyle w:val="Hyperlink"/>
            <w:rFonts w:ascii="Arial" w:hAnsi="Arial" w:cs="Arial"/>
            <w:noProof/>
            <w:sz w:val="20"/>
          </w:rPr>
          <w:t>3.5.7</w:t>
        </w:r>
        <w:r w:rsidR="003B0DEE" w:rsidRPr="007C1DDB">
          <w:rPr>
            <w:rFonts w:ascii="Arial" w:eastAsiaTheme="minorEastAsia" w:hAnsi="Arial" w:cs="Arial"/>
            <w:noProof/>
            <w:sz w:val="20"/>
          </w:rPr>
          <w:tab/>
        </w:r>
        <w:r w:rsidR="003B0DEE" w:rsidRPr="007C1DDB">
          <w:rPr>
            <w:rStyle w:val="Hyperlink"/>
            <w:rFonts w:ascii="Arial" w:hAnsi="Arial" w:cs="Arial"/>
            <w:noProof/>
            <w:sz w:val="20"/>
          </w:rPr>
          <w:t>Generalisability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4" w:history="1">
        <w:r w:rsidR="003B0DEE" w:rsidRPr="007C1DDB">
          <w:rPr>
            <w:rStyle w:val="Hyperlink"/>
            <w:rFonts w:ascii="Arial" w:hAnsi="Arial" w:cs="Arial"/>
            <w:noProof/>
            <w:sz w:val="20"/>
          </w:rPr>
          <w:t>3.5.8</w:t>
        </w:r>
        <w:r w:rsidR="003B0DEE" w:rsidRPr="007C1DDB">
          <w:rPr>
            <w:rFonts w:ascii="Arial" w:eastAsiaTheme="minorEastAsia" w:hAnsi="Arial" w:cs="Arial"/>
            <w:noProof/>
            <w:sz w:val="20"/>
          </w:rPr>
          <w:tab/>
        </w:r>
        <w:r w:rsidR="003B0DEE" w:rsidRPr="007C1DDB">
          <w:rPr>
            <w:rStyle w:val="Hyperlink"/>
            <w:rFonts w:ascii="Arial" w:hAnsi="Arial" w:cs="Arial"/>
            <w:noProof/>
            <w:sz w:val="20"/>
          </w:rPr>
          <w:t>Limitations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75" w:history="1">
        <w:r w:rsidR="003B0DEE" w:rsidRPr="007C1DDB">
          <w:rPr>
            <w:rStyle w:val="Hyperlink"/>
            <w:rFonts w:ascii="Arial" w:hAnsi="Arial" w:cs="Arial"/>
            <w:noProof/>
            <w:sz w:val="20"/>
          </w:rPr>
          <w:t>3.5.9</w:t>
        </w:r>
        <w:r w:rsidR="003B0DEE" w:rsidRPr="007C1DDB">
          <w:rPr>
            <w:rFonts w:ascii="Arial" w:eastAsiaTheme="minorEastAsia" w:hAnsi="Arial" w:cs="Arial"/>
            <w:noProof/>
            <w:sz w:val="20"/>
          </w:rPr>
          <w:tab/>
        </w:r>
        <w:r w:rsidR="003B0DEE" w:rsidRPr="007C1DDB">
          <w:rPr>
            <w:rStyle w:val="Hyperlink"/>
            <w:rFonts w:ascii="Arial" w:hAnsi="Arial" w:cs="Arial"/>
            <w:noProof/>
            <w:sz w:val="20"/>
          </w:rPr>
          <w:t>Presentation of results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76" w:history="1">
        <w:r w:rsidR="003B0DEE" w:rsidRPr="007C1DDB">
          <w:rPr>
            <w:rStyle w:val="Hyperlink"/>
            <w:rFonts w:ascii="Arial" w:hAnsi="Arial" w:cs="Arial"/>
            <w:noProof/>
            <w:sz w:val="20"/>
          </w:rPr>
          <w:t>3.6</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37</w:t>
        </w:r>
        <w:r w:rsidR="003B0DEE" w:rsidRPr="007C1DDB">
          <w:rPr>
            <w:rFonts w:ascii="Arial" w:hAnsi="Arial" w:cs="Arial"/>
            <w:noProof/>
            <w:webHidden/>
            <w:sz w:val="20"/>
          </w:rPr>
          <w:fldChar w:fldCharType="end"/>
        </w:r>
      </w:hyperlink>
    </w:p>
    <w:p w:rsidR="003B0DEE" w:rsidRPr="007C1DDB" w:rsidRDefault="003B0DEE" w:rsidP="000D5D90">
      <w:pPr>
        <w:pStyle w:val="TOC1"/>
        <w:rPr>
          <w:rStyle w:val="Hyperlink"/>
        </w:rPr>
      </w:pPr>
      <w:r w:rsidRPr="007C1DDB">
        <w:rPr>
          <w:rStyle w:val="Hyperlink"/>
        </w:rPr>
        <w:fldChar w:fldCharType="begin"/>
      </w:r>
      <w:r w:rsidRPr="007C1DDB">
        <w:rPr>
          <w:rStyle w:val="Hyperlink"/>
        </w:rPr>
        <w:instrText xml:space="preserve"> </w:instrText>
      </w:r>
      <w:r w:rsidRPr="007C1DDB">
        <w:instrText>HYPERLINK \l "_Toc15331677"</w:instrText>
      </w:r>
      <w:r w:rsidRPr="007C1DDB">
        <w:rPr>
          <w:rStyle w:val="Hyperlink"/>
        </w:rPr>
        <w:instrText xml:space="preserve"> </w:instrText>
      </w:r>
      <w:r w:rsidR="00551CD8" w:rsidRPr="007C1DDB">
        <w:rPr>
          <w:rStyle w:val="Hyperlink"/>
        </w:rPr>
      </w:r>
      <w:r w:rsidRPr="007C1DDB">
        <w:rPr>
          <w:rStyle w:val="Hyperlink"/>
        </w:rPr>
        <w:fldChar w:fldCharType="separate"/>
      </w:r>
      <w:r w:rsidRPr="007C1DDB">
        <w:rPr>
          <w:rStyle w:val="Hyperlink"/>
        </w:rPr>
        <w:t>Chapter 4 Characteristics of opioid treatment admissions and the rising incidence of ageing</w:t>
      </w:r>
    </w:p>
    <w:p w:rsidR="003B0DEE" w:rsidRPr="007C1DDB" w:rsidRDefault="003B0DEE" w:rsidP="000D5D90">
      <w:pPr>
        <w:pStyle w:val="TOC1"/>
        <w:rPr>
          <w:rFonts w:eastAsiaTheme="minorEastAsia"/>
        </w:rPr>
      </w:pPr>
      <w:r w:rsidRPr="007C1DDB">
        <w:rPr>
          <w:rStyle w:val="Hyperlink"/>
        </w:rPr>
        <w:t xml:space="preserve">  opioid users</w:t>
      </w:r>
      <w:r w:rsidRPr="007C1DDB">
        <w:rPr>
          <w:webHidden/>
        </w:rPr>
        <w:tab/>
        <w:t>……………………………………………………………………………………………..</w:t>
      </w:r>
      <w:r w:rsidRPr="007C1DDB">
        <w:rPr>
          <w:webHidden/>
        </w:rPr>
        <w:fldChar w:fldCharType="begin"/>
      </w:r>
      <w:r w:rsidRPr="007C1DDB">
        <w:rPr>
          <w:webHidden/>
        </w:rPr>
        <w:instrText xml:space="preserve"> PAGEREF _Toc15331677 \h </w:instrText>
      </w:r>
      <w:r w:rsidRPr="007C1DDB">
        <w:rPr>
          <w:webHidden/>
        </w:rPr>
      </w:r>
      <w:r w:rsidRPr="007C1DDB">
        <w:rPr>
          <w:webHidden/>
        </w:rPr>
        <w:fldChar w:fldCharType="separate"/>
      </w:r>
      <w:r w:rsidR="00551CD8">
        <w:rPr>
          <w:webHidden/>
        </w:rPr>
        <w:t>38</w:t>
      </w:r>
      <w:r w:rsidRPr="007C1DDB">
        <w:rPr>
          <w:webHidden/>
        </w:rPr>
        <w:fldChar w:fldCharType="end"/>
      </w:r>
      <w:r w:rsidRPr="007C1DDB">
        <w:rPr>
          <w:rStyle w:val="Hyperlink"/>
        </w:rPr>
        <w:fldChar w:fldCharType="end"/>
      </w:r>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78" w:history="1">
        <w:r w:rsidR="003B0DEE" w:rsidRPr="007C1DDB">
          <w:rPr>
            <w:rStyle w:val="Hyperlink"/>
            <w:rFonts w:ascii="Arial" w:hAnsi="Arial" w:cs="Arial"/>
            <w:noProof/>
            <w:sz w:val="20"/>
          </w:rPr>
          <w:t>4.1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38</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79" w:history="1">
        <w:r w:rsidR="003B0DEE" w:rsidRPr="007C1DDB">
          <w:rPr>
            <w:rStyle w:val="Hyperlink"/>
            <w:rFonts w:ascii="Arial" w:hAnsi="Arial" w:cs="Arial"/>
            <w:noProof/>
            <w:sz w:val="20"/>
          </w:rPr>
          <w:t>4.2</w:t>
        </w:r>
        <w:r w:rsidR="003B0DEE" w:rsidRPr="007C1DDB">
          <w:rPr>
            <w:rFonts w:ascii="Arial" w:eastAsiaTheme="minorEastAsia" w:hAnsi="Arial" w:cs="Arial"/>
            <w:noProof/>
            <w:sz w:val="20"/>
          </w:rPr>
          <w:tab/>
        </w:r>
        <w:r w:rsidR="003B0DEE" w:rsidRPr="007C1DDB">
          <w:rPr>
            <w:rStyle w:val="Hyperlink"/>
            <w:rFonts w:ascii="Arial" w:hAnsi="Arial" w:cs="Arial"/>
            <w:noProof/>
            <w:sz w:val="20"/>
          </w:rPr>
          <w:t>Description of the sample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_Toc15331679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0" w:history="1">
        <w:r w:rsidR="003B0DEE" w:rsidRPr="007C1DDB">
          <w:rPr>
            <w:rStyle w:val="Hyperlink"/>
            <w:rFonts w:ascii="Arial" w:hAnsi="Arial" w:cs="Arial"/>
            <w:noProof/>
            <w:sz w:val="20"/>
          </w:rPr>
          <w:t>4.2.1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Number of treatment admissions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1" w:history="1">
        <w:r w:rsidR="003B0DEE" w:rsidRPr="007C1DDB">
          <w:rPr>
            <w:rStyle w:val="Hyperlink"/>
            <w:rFonts w:ascii="Arial" w:hAnsi="Arial" w:cs="Arial"/>
            <w:noProof/>
            <w:sz w:val="20"/>
          </w:rPr>
          <w:t>4.2.2</w:t>
        </w:r>
        <w:r w:rsidR="003B0DEE" w:rsidRPr="007C1DDB">
          <w:rPr>
            <w:rFonts w:ascii="Arial" w:eastAsiaTheme="minorEastAsia" w:hAnsi="Arial" w:cs="Arial"/>
            <w:noProof/>
            <w:sz w:val="20"/>
          </w:rPr>
          <w:tab/>
        </w:r>
        <w:r w:rsidR="003B0DEE" w:rsidRPr="007C1DDB">
          <w:rPr>
            <w:rStyle w:val="Hyperlink"/>
            <w:rFonts w:ascii="Arial" w:hAnsi="Arial" w:cs="Arial"/>
            <w:noProof/>
            <w:sz w:val="20"/>
          </w:rPr>
          <w:t>Socio demographic characteristics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39</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82" w:history="1">
        <w:r w:rsidR="003B0DEE" w:rsidRPr="007C1DDB">
          <w:rPr>
            <w:rStyle w:val="Hyperlink"/>
            <w:rFonts w:ascii="Arial" w:hAnsi="Arial" w:cs="Arial"/>
            <w:noProof/>
            <w:sz w:val="20"/>
          </w:rPr>
          <w:t>4.3</w:t>
        </w:r>
        <w:r w:rsidR="003B0DEE" w:rsidRPr="007C1DDB">
          <w:rPr>
            <w:rFonts w:ascii="Arial" w:eastAsiaTheme="minorEastAsia" w:hAnsi="Arial" w:cs="Arial"/>
            <w:noProof/>
            <w:sz w:val="20"/>
          </w:rPr>
          <w:tab/>
        </w:r>
        <w:r w:rsidR="003B0DEE" w:rsidRPr="007C1DDB">
          <w:rPr>
            <w:rStyle w:val="Hyperlink"/>
            <w:rFonts w:ascii="Arial" w:hAnsi="Arial" w:cs="Arial"/>
            <w:noProof/>
            <w:sz w:val="20"/>
          </w:rPr>
          <w:t>Drug-using career and opioid-using behaviours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3" w:history="1">
        <w:r w:rsidR="003B0DEE" w:rsidRPr="007C1DDB">
          <w:rPr>
            <w:rStyle w:val="Hyperlink"/>
            <w:rFonts w:ascii="Arial" w:hAnsi="Arial" w:cs="Arial"/>
            <w:noProof/>
            <w:sz w:val="20"/>
          </w:rPr>
          <w:t>4.3.1</w:t>
        </w:r>
        <w:r w:rsidR="003B0DEE" w:rsidRPr="007C1DDB">
          <w:rPr>
            <w:rFonts w:ascii="Arial" w:eastAsiaTheme="minorEastAsia" w:hAnsi="Arial" w:cs="Arial"/>
            <w:noProof/>
            <w:sz w:val="20"/>
          </w:rPr>
          <w:tab/>
        </w:r>
        <w:r w:rsidR="003B0DEE" w:rsidRPr="007C1DDB">
          <w:rPr>
            <w:rStyle w:val="Hyperlink"/>
            <w:rFonts w:ascii="Arial" w:hAnsi="Arial" w:cs="Arial"/>
            <w:noProof/>
            <w:sz w:val="20"/>
          </w:rPr>
          <w:t>Types of drugs used</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4" w:history="1">
        <w:r w:rsidR="003B0DEE" w:rsidRPr="007C1DDB">
          <w:rPr>
            <w:rStyle w:val="Hyperlink"/>
            <w:rFonts w:ascii="Arial" w:hAnsi="Arial" w:cs="Arial"/>
            <w:noProof/>
            <w:sz w:val="20"/>
          </w:rPr>
          <w:t>4.3.2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 of onset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5" w:history="1">
        <w:r w:rsidR="003B0DEE" w:rsidRPr="007C1DDB">
          <w:rPr>
            <w:rStyle w:val="Hyperlink"/>
            <w:rFonts w:ascii="Arial" w:hAnsi="Arial" w:cs="Arial"/>
            <w:noProof/>
            <w:sz w:val="20"/>
          </w:rPr>
          <w:t>4.3.3</w:t>
        </w:r>
        <w:r w:rsidR="003B0DEE" w:rsidRPr="007C1DDB">
          <w:rPr>
            <w:rFonts w:ascii="Arial" w:eastAsiaTheme="minorEastAsia" w:hAnsi="Arial" w:cs="Arial"/>
            <w:noProof/>
            <w:sz w:val="20"/>
          </w:rPr>
          <w:tab/>
        </w:r>
        <w:r w:rsidR="003B0DEE" w:rsidRPr="007C1DDB">
          <w:rPr>
            <w:rStyle w:val="Hyperlink"/>
            <w:rFonts w:ascii="Arial" w:hAnsi="Arial" w:cs="Arial"/>
            <w:noProof/>
            <w:sz w:val="20"/>
          </w:rPr>
          <w:t>Frequency of use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6" w:history="1">
        <w:r w:rsidR="003B0DEE" w:rsidRPr="007C1DDB">
          <w:rPr>
            <w:rStyle w:val="Hyperlink"/>
            <w:rFonts w:ascii="Arial" w:hAnsi="Arial" w:cs="Arial"/>
            <w:noProof/>
            <w:sz w:val="20"/>
          </w:rPr>
          <w:t>4.3.4</w:t>
        </w:r>
        <w:r w:rsidR="003B0DEE" w:rsidRPr="007C1DDB">
          <w:rPr>
            <w:rFonts w:ascii="Arial" w:eastAsiaTheme="minorEastAsia" w:hAnsi="Arial" w:cs="Arial"/>
            <w:noProof/>
            <w:sz w:val="20"/>
          </w:rPr>
          <w:tab/>
        </w:r>
        <w:r w:rsidR="003B0DEE" w:rsidRPr="007C1DDB">
          <w:rPr>
            <w:rStyle w:val="Hyperlink"/>
            <w:rFonts w:ascii="Arial" w:hAnsi="Arial" w:cs="Arial"/>
            <w:noProof/>
            <w:sz w:val="20"/>
          </w:rPr>
          <w:t>Polysubstance use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87" w:history="1">
        <w:r w:rsidR="003B0DEE" w:rsidRPr="007C1DDB">
          <w:rPr>
            <w:rStyle w:val="Hyperlink"/>
            <w:rFonts w:ascii="Arial" w:hAnsi="Arial" w:cs="Arial"/>
            <w:noProof/>
            <w:sz w:val="20"/>
          </w:rPr>
          <w:t>4.3.5</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Injecting risk behaviours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46</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88" w:history="1">
        <w:r w:rsidR="003B0DEE" w:rsidRPr="007C1DDB">
          <w:rPr>
            <w:rStyle w:val="Hyperlink"/>
            <w:rFonts w:ascii="Arial" w:hAnsi="Arial" w:cs="Arial"/>
            <w:noProof/>
            <w:sz w:val="20"/>
          </w:rPr>
          <w:t>4.4</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Incidence of treated opioid use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48</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89" w:history="1">
        <w:r w:rsidR="003B0DEE" w:rsidRPr="007C1DDB">
          <w:rPr>
            <w:rStyle w:val="Hyperlink"/>
            <w:rFonts w:ascii="Arial" w:hAnsi="Arial" w:cs="Arial"/>
            <w:noProof/>
            <w:sz w:val="20"/>
          </w:rPr>
          <w:t>4.5</w:t>
        </w:r>
        <w:r w:rsidR="003B0DEE" w:rsidRPr="007C1DDB">
          <w:rPr>
            <w:rFonts w:ascii="Arial" w:eastAsiaTheme="minorEastAsia" w:hAnsi="Arial" w:cs="Arial"/>
            <w:noProof/>
            <w:sz w:val="20"/>
          </w:rPr>
          <w:tab/>
        </w:r>
        <w:r w:rsidR="003B0DEE" w:rsidRPr="007C1DDB">
          <w:rPr>
            <w:rStyle w:val="Hyperlink"/>
            <w:rFonts w:ascii="Arial" w:hAnsi="Arial" w:cs="Arial"/>
            <w:noProof/>
            <w:sz w:val="20"/>
          </w:rPr>
          <w:t>Discussion of results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_Toc15331689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0" w:history="1">
        <w:r w:rsidR="003B0DEE" w:rsidRPr="007C1DDB">
          <w:rPr>
            <w:rStyle w:val="Hyperlink"/>
            <w:rFonts w:ascii="Arial" w:hAnsi="Arial" w:cs="Arial"/>
            <w:noProof/>
            <w:sz w:val="20"/>
          </w:rPr>
          <w:t>4.5.1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Results in context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1" w:history="1">
        <w:r w:rsidR="003B0DEE" w:rsidRPr="007C1DDB">
          <w:rPr>
            <w:rStyle w:val="Hyperlink"/>
            <w:rFonts w:ascii="Arial" w:hAnsi="Arial" w:cs="Arial"/>
            <w:noProof/>
            <w:sz w:val="20"/>
          </w:rPr>
          <w:t>4.5.2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2" w:history="1">
        <w:r w:rsidR="003B0DEE" w:rsidRPr="007C1DDB">
          <w:rPr>
            <w:rStyle w:val="Hyperlink"/>
            <w:rFonts w:ascii="Arial" w:hAnsi="Arial" w:cs="Arial"/>
            <w:noProof/>
            <w:sz w:val="20"/>
          </w:rPr>
          <w:t>4.5.3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Temporal changes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3" w:history="1">
        <w:r w:rsidR="003B0DEE" w:rsidRPr="007C1DDB">
          <w:rPr>
            <w:rStyle w:val="Hyperlink"/>
            <w:rFonts w:ascii="Arial" w:hAnsi="Arial" w:cs="Arial"/>
            <w:noProof/>
            <w:sz w:val="20"/>
          </w:rPr>
          <w:t>4.5.4</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Strengths and limitations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4" w:history="1">
        <w:r w:rsidR="003B0DEE" w:rsidRPr="007C1DDB">
          <w:rPr>
            <w:rStyle w:val="Hyperlink"/>
            <w:rFonts w:ascii="Arial" w:hAnsi="Arial" w:cs="Arial"/>
            <w:noProof/>
            <w:sz w:val="20"/>
          </w:rPr>
          <w:t>4.5.5</w:t>
        </w:r>
        <w:r w:rsidR="003B0DEE" w:rsidRPr="007C1DDB">
          <w:rPr>
            <w:rFonts w:ascii="Arial" w:eastAsiaTheme="minorEastAsia" w:hAnsi="Arial" w:cs="Arial"/>
            <w:noProof/>
            <w:sz w:val="20"/>
          </w:rPr>
          <w:tab/>
        </w:r>
        <w:r w:rsidR="003B0DEE" w:rsidRPr="007C1DDB">
          <w:rPr>
            <w:rStyle w:val="Hyperlink"/>
            <w:rFonts w:ascii="Arial" w:hAnsi="Arial" w:cs="Arial"/>
            <w:noProof/>
            <w:sz w:val="20"/>
          </w:rPr>
          <w:t>Implications for policy and practice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54</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95" w:history="1">
        <w:r w:rsidR="003B0DEE" w:rsidRPr="007C1DDB">
          <w:rPr>
            <w:rStyle w:val="Hyperlink"/>
            <w:rFonts w:ascii="Arial" w:hAnsi="Arial" w:cs="Arial"/>
            <w:noProof/>
            <w:sz w:val="20"/>
          </w:rPr>
          <w:t>4.6</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56</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696" w:history="1">
        <w:r w:rsidR="003B0DEE" w:rsidRPr="007C1DDB">
          <w:rPr>
            <w:rStyle w:val="Hyperlink"/>
          </w:rPr>
          <w:t>Chapter 5 Using cluster modelling techniques to uncover hidden aspects of the opioids....</w:t>
        </w:r>
        <w:r w:rsidR="003B0DEE" w:rsidRPr="007C1DDB">
          <w:rPr>
            <w:webHidden/>
          </w:rPr>
          <w:tab/>
        </w:r>
        <w:r w:rsidR="003B0DEE" w:rsidRPr="007C1DDB">
          <w:rPr>
            <w:webHidden/>
          </w:rPr>
          <w:fldChar w:fldCharType="begin"/>
        </w:r>
        <w:r w:rsidR="003B0DEE" w:rsidRPr="007C1DDB">
          <w:rPr>
            <w:webHidden/>
          </w:rPr>
          <w:instrText xml:space="preserve"> PAGEREF _Toc15331696 \h </w:instrText>
        </w:r>
        <w:r w:rsidR="003B0DEE" w:rsidRPr="007C1DDB">
          <w:rPr>
            <w:webHidden/>
          </w:rPr>
        </w:r>
        <w:r w:rsidR="003B0DEE" w:rsidRPr="007C1DDB">
          <w:rPr>
            <w:webHidden/>
          </w:rPr>
          <w:fldChar w:fldCharType="separate"/>
        </w:r>
        <w:r w:rsidR="00551CD8">
          <w:rPr>
            <w:webHidden/>
          </w:rPr>
          <w:t>57</w:t>
        </w:r>
        <w:r w:rsidR="003B0DEE"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97" w:history="1">
        <w:r w:rsidR="003B0DEE" w:rsidRPr="007C1DDB">
          <w:rPr>
            <w:rStyle w:val="Hyperlink"/>
            <w:rFonts w:ascii="Arial" w:hAnsi="Arial" w:cs="Arial"/>
            <w:noProof/>
            <w:sz w:val="20"/>
          </w:rPr>
          <w:t>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698" w:history="1">
        <w:r w:rsidR="003B0DEE" w:rsidRPr="007C1DDB">
          <w:rPr>
            <w:rStyle w:val="Hyperlink"/>
            <w:rFonts w:ascii="Arial" w:hAnsi="Arial" w:cs="Arial"/>
            <w:noProof/>
            <w:sz w:val="20"/>
          </w:rPr>
          <w:t>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Description of the sample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57</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699" w:history="1">
        <w:r w:rsidR="003B0DEE" w:rsidRPr="007C1DDB">
          <w:rPr>
            <w:rStyle w:val="Hyperlink"/>
            <w:rFonts w:ascii="Arial" w:hAnsi="Arial" w:cs="Arial"/>
            <w:noProof/>
            <w:sz w:val="20"/>
          </w:rPr>
          <w:t>5.2.1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admissions subsample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_Toc15331699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00" w:history="1">
        <w:r w:rsidR="003B0DEE" w:rsidRPr="007C1DDB">
          <w:rPr>
            <w:rStyle w:val="Hyperlink"/>
            <w:rFonts w:ascii="Arial" w:hAnsi="Arial" w:cs="Arial"/>
            <w:noProof/>
            <w:sz w:val="20"/>
          </w:rPr>
          <w:t>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Cluster solution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01" w:history="1">
        <w:r w:rsidR="003B0DEE" w:rsidRPr="007C1DDB">
          <w:rPr>
            <w:rStyle w:val="Hyperlink"/>
            <w:rFonts w:ascii="Arial" w:hAnsi="Arial" w:cs="Arial"/>
            <w:noProof/>
            <w:sz w:val="20"/>
          </w:rPr>
          <w:t>5.4</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Comparisons across cluster groups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2" w:history="1">
        <w:r w:rsidR="003B0DEE" w:rsidRPr="007C1DDB">
          <w:rPr>
            <w:rStyle w:val="Hyperlink"/>
            <w:rFonts w:ascii="Arial" w:hAnsi="Arial" w:cs="Arial"/>
            <w:noProof/>
            <w:sz w:val="20"/>
          </w:rPr>
          <w:t>5.4.1</w:t>
        </w:r>
        <w:r w:rsidR="003B0DEE" w:rsidRPr="007C1DDB">
          <w:rPr>
            <w:rFonts w:ascii="Arial" w:eastAsiaTheme="minorEastAsia" w:hAnsi="Arial" w:cs="Arial"/>
            <w:noProof/>
            <w:sz w:val="20"/>
          </w:rPr>
          <w:tab/>
        </w:r>
        <w:r w:rsidR="003B0DEE" w:rsidRPr="007C1DDB">
          <w:rPr>
            <w:rStyle w:val="Hyperlink"/>
            <w:rFonts w:ascii="Arial" w:hAnsi="Arial" w:cs="Arial"/>
            <w:noProof/>
            <w:sz w:val="20"/>
          </w:rPr>
          <w:t>Socio demographic characteristics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58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3" w:history="1">
        <w:r w:rsidR="003B0DEE" w:rsidRPr="007C1DDB">
          <w:rPr>
            <w:rStyle w:val="Hyperlink"/>
            <w:rFonts w:ascii="Arial" w:hAnsi="Arial" w:cs="Arial"/>
            <w:noProof/>
            <w:sz w:val="20"/>
          </w:rPr>
          <w:t>5.4.2</w:t>
        </w:r>
        <w:r w:rsidR="003B0DEE" w:rsidRPr="007C1DDB">
          <w:rPr>
            <w:rFonts w:ascii="Arial" w:eastAsiaTheme="minorEastAsia" w:hAnsi="Arial" w:cs="Arial"/>
            <w:noProof/>
            <w:sz w:val="20"/>
          </w:rPr>
          <w:tab/>
        </w:r>
        <w:r w:rsidR="003B0DEE" w:rsidRPr="007C1DDB">
          <w:rPr>
            <w:rStyle w:val="Hyperlink"/>
            <w:rFonts w:ascii="Arial" w:hAnsi="Arial" w:cs="Arial"/>
            <w:noProof/>
            <w:sz w:val="20"/>
          </w:rPr>
          <w:t>Drug-using career and opioid-using behaviours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63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4" w:history="1">
        <w:r w:rsidR="003B0DEE" w:rsidRPr="007C1DDB">
          <w:rPr>
            <w:rStyle w:val="Hyperlink"/>
            <w:rFonts w:ascii="Arial" w:hAnsi="Arial" w:cs="Arial"/>
            <w:noProof/>
            <w:sz w:val="20"/>
          </w:rPr>
          <w:t>5.4.3</w:t>
        </w:r>
        <w:r w:rsidR="003B0DEE" w:rsidRPr="007C1DDB">
          <w:rPr>
            <w:rFonts w:ascii="Arial" w:eastAsiaTheme="minorEastAsia" w:hAnsi="Arial" w:cs="Arial"/>
            <w:noProof/>
            <w:sz w:val="20"/>
          </w:rPr>
          <w:tab/>
        </w:r>
        <w:r w:rsidR="003B0DEE" w:rsidRPr="007C1DDB">
          <w:rPr>
            <w:rStyle w:val="Hyperlink"/>
            <w:rFonts w:ascii="Arial" w:hAnsi="Arial" w:cs="Arial"/>
            <w:noProof/>
            <w:sz w:val="20"/>
          </w:rPr>
          <w:t>Defining ‘older’ opioid users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69</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05" w:history="1">
        <w:r w:rsidR="003B0DEE" w:rsidRPr="007C1DDB">
          <w:rPr>
            <w:rStyle w:val="Hyperlink"/>
            <w:rFonts w:ascii="Arial" w:hAnsi="Arial" w:cs="Arial"/>
            <w:noProof/>
            <w:sz w:val="20"/>
          </w:rPr>
          <w:t>5.5</w:t>
        </w:r>
        <w:r w:rsidR="003B0DEE" w:rsidRPr="007C1DDB">
          <w:rPr>
            <w:rFonts w:ascii="Arial" w:eastAsiaTheme="minorEastAsia" w:hAnsi="Arial" w:cs="Arial"/>
            <w:noProof/>
            <w:sz w:val="20"/>
          </w:rPr>
          <w:tab/>
        </w:r>
        <w:r w:rsidR="003B0DEE" w:rsidRPr="007C1DDB">
          <w:rPr>
            <w:rStyle w:val="Hyperlink"/>
            <w:rFonts w:ascii="Arial" w:hAnsi="Arial" w:cs="Arial"/>
            <w:noProof/>
            <w:sz w:val="20"/>
          </w:rPr>
          <w:t>Discussion of results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70</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6" w:history="1">
        <w:r w:rsidR="003B0DEE" w:rsidRPr="007C1DDB">
          <w:rPr>
            <w:rStyle w:val="Hyperlink"/>
            <w:rFonts w:ascii="Arial" w:hAnsi="Arial" w:cs="Arial"/>
            <w:noProof/>
            <w:sz w:val="20"/>
          </w:rPr>
          <w:t>5.5.1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Results in context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70</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7" w:history="1">
        <w:r w:rsidR="003B0DEE" w:rsidRPr="007C1DDB">
          <w:rPr>
            <w:rStyle w:val="Hyperlink"/>
            <w:rFonts w:ascii="Arial" w:hAnsi="Arial" w:cs="Arial"/>
            <w:noProof/>
            <w:sz w:val="20"/>
          </w:rPr>
          <w:t>5.5.2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8" w:history="1">
        <w:r w:rsidR="003B0DEE" w:rsidRPr="007C1DDB">
          <w:rPr>
            <w:rStyle w:val="Hyperlink"/>
            <w:rFonts w:ascii="Arial" w:hAnsi="Arial" w:cs="Arial"/>
            <w:noProof/>
            <w:sz w:val="20"/>
          </w:rPr>
          <w:t>5.5.3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Strengths and limitations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09" w:history="1">
        <w:r w:rsidR="003B0DEE" w:rsidRPr="007C1DDB">
          <w:rPr>
            <w:rStyle w:val="Hyperlink"/>
            <w:rFonts w:ascii="Arial" w:hAnsi="Arial" w:cs="Arial"/>
            <w:noProof/>
            <w:sz w:val="20"/>
          </w:rPr>
          <w:t>5.5.4</w:t>
        </w:r>
        <w:r w:rsidR="003B0DEE" w:rsidRPr="007C1DDB">
          <w:rPr>
            <w:rFonts w:ascii="Arial" w:eastAsiaTheme="minorEastAsia" w:hAnsi="Arial" w:cs="Arial"/>
            <w:noProof/>
            <w:sz w:val="20"/>
          </w:rPr>
          <w:tab/>
        </w:r>
        <w:r w:rsidR="003B0DEE" w:rsidRPr="007C1DDB">
          <w:rPr>
            <w:rStyle w:val="Hyperlink"/>
            <w:rFonts w:ascii="Arial" w:hAnsi="Arial" w:cs="Arial"/>
            <w:noProof/>
            <w:sz w:val="20"/>
          </w:rPr>
          <w:t>Implications for policy and practice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_Toc15331709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74</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0" w:history="1">
        <w:r w:rsidR="003B0DEE" w:rsidRPr="007C1DDB">
          <w:rPr>
            <w:rStyle w:val="Hyperlink"/>
            <w:rFonts w:ascii="Arial" w:hAnsi="Arial" w:cs="Arial"/>
            <w:noProof/>
            <w:sz w:val="20"/>
          </w:rPr>
          <w:t>5.6</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75</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711" w:history="1">
        <w:r w:rsidR="003B0DEE" w:rsidRPr="007C1DDB">
          <w:rPr>
            <w:rStyle w:val="Hyperlink"/>
          </w:rPr>
          <w:t>Chapter 6 Treatment retention and completion among people who use opioids</w:t>
        </w:r>
        <w:r w:rsidR="003B0DEE" w:rsidRPr="007C1DDB">
          <w:rPr>
            <w:webHidden/>
          </w:rPr>
          <w:tab/>
          <w:t>……………..</w:t>
        </w:r>
        <w:r w:rsidR="003B0DEE" w:rsidRPr="007C1DDB">
          <w:rPr>
            <w:webHidden/>
          </w:rPr>
          <w:fldChar w:fldCharType="begin"/>
        </w:r>
        <w:r w:rsidR="003B0DEE" w:rsidRPr="007C1DDB">
          <w:rPr>
            <w:webHidden/>
          </w:rPr>
          <w:instrText xml:space="preserve"> PAGEREF _Toc15331711 \h </w:instrText>
        </w:r>
        <w:r w:rsidR="003B0DEE" w:rsidRPr="007C1DDB">
          <w:rPr>
            <w:webHidden/>
          </w:rPr>
        </w:r>
        <w:r w:rsidR="003B0DEE" w:rsidRPr="007C1DDB">
          <w:rPr>
            <w:webHidden/>
          </w:rPr>
          <w:fldChar w:fldCharType="separate"/>
        </w:r>
        <w:r w:rsidR="00551CD8">
          <w:rPr>
            <w:webHidden/>
          </w:rPr>
          <w:t>76</w:t>
        </w:r>
        <w:r w:rsidR="003B0DEE"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2" w:history="1">
        <w:r w:rsidR="003B0DEE" w:rsidRPr="007C1DDB">
          <w:rPr>
            <w:rStyle w:val="Hyperlink"/>
            <w:rFonts w:ascii="Arial" w:hAnsi="Arial" w:cs="Arial"/>
            <w:noProof/>
            <w:sz w:val="20"/>
          </w:rPr>
          <w:t>6.1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76</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3" w:history="1">
        <w:r w:rsidR="003B0DEE" w:rsidRPr="007C1DDB">
          <w:rPr>
            <w:rStyle w:val="Hyperlink"/>
            <w:rFonts w:ascii="Arial" w:hAnsi="Arial" w:cs="Arial"/>
            <w:noProof/>
            <w:sz w:val="20"/>
          </w:rPr>
          <w:t>6.2</w:t>
        </w:r>
        <w:r w:rsidR="003B0DEE" w:rsidRPr="007C1DDB">
          <w:rPr>
            <w:rFonts w:ascii="Arial" w:eastAsiaTheme="minorEastAsia" w:hAnsi="Arial" w:cs="Arial"/>
            <w:noProof/>
            <w:sz w:val="20"/>
          </w:rPr>
          <w:tab/>
        </w:r>
        <w:r w:rsidR="003B0DEE" w:rsidRPr="007C1DDB">
          <w:rPr>
            <w:rStyle w:val="Hyperlink"/>
            <w:rFonts w:ascii="Arial" w:hAnsi="Arial" w:cs="Arial"/>
            <w:noProof/>
            <w:sz w:val="20"/>
          </w:rPr>
          <w:t>Description of the discharge study cohort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76</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14" w:history="1">
        <w:r w:rsidR="003B0DEE" w:rsidRPr="007C1DDB">
          <w:rPr>
            <w:rStyle w:val="Hyperlink"/>
            <w:rFonts w:ascii="Arial" w:hAnsi="Arial" w:cs="Arial"/>
            <w:noProof/>
            <w:sz w:val="20"/>
          </w:rPr>
          <w:t>6.2.1</w:t>
        </w:r>
        <w:r w:rsidR="003B0DEE" w:rsidRPr="007C1DDB">
          <w:rPr>
            <w:rFonts w:ascii="Arial" w:eastAsiaTheme="minorEastAsia" w:hAnsi="Arial" w:cs="Arial"/>
            <w:noProof/>
            <w:sz w:val="20"/>
          </w:rPr>
          <w:tab/>
        </w:r>
        <w:r w:rsidR="003B0DEE" w:rsidRPr="007C1DDB">
          <w:rPr>
            <w:rStyle w:val="Hyperlink"/>
            <w:rFonts w:ascii="Arial" w:hAnsi="Arial" w:cs="Arial"/>
            <w:noProof/>
            <w:sz w:val="20"/>
          </w:rPr>
          <w:t>Number of treatment discharges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5" w:history="1">
        <w:r w:rsidR="003B0DEE" w:rsidRPr="007C1DDB">
          <w:rPr>
            <w:rStyle w:val="Hyperlink"/>
            <w:rFonts w:ascii="Arial" w:hAnsi="Arial" w:cs="Arial"/>
            <w:noProof/>
            <w:sz w:val="20"/>
          </w:rPr>
          <w:t>6.3</w:t>
        </w:r>
        <w:r w:rsidR="003B0DEE" w:rsidRPr="007C1DDB">
          <w:rPr>
            <w:rFonts w:ascii="Arial" w:eastAsiaTheme="minorEastAsia" w:hAnsi="Arial" w:cs="Arial"/>
            <w:noProof/>
            <w:sz w:val="20"/>
          </w:rPr>
          <w:tab/>
        </w:r>
        <w:r w:rsidR="003B0DEE" w:rsidRPr="007C1DDB">
          <w:rPr>
            <w:rStyle w:val="Hyperlink"/>
            <w:rFonts w:ascii="Arial" w:hAnsi="Arial" w:cs="Arial"/>
            <w:noProof/>
            <w:sz w:val="20"/>
          </w:rPr>
          <w:t>Characteristics associated with treatment completion and dropout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79</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6" w:history="1">
        <w:r w:rsidR="003B0DEE" w:rsidRPr="007C1DDB">
          <w:rPr>
            <w:rStyle w:val="Hyperlink"/>
            <w:rFonts w:ascii="Arial" w:hAnsi="Arial" w:cs="Arial"/>
            <w:noProof/>
            <w:sz w:val="20"/>
          </w:rPr>
          <w:t>6.4</w:t>
        </w:r>
        <w:r w:rsidR="003B0DEE" w:rsidRPr="007C1DDB">
          <w:rPr>
            <w:rFonts w:ascii="Arial" w:eastAsiaTheme="minorEastAsia" w:hAnsi="Arial" w:cs="Arial"/>
            <w:noProof/>
            <w:sz w:val="20"/>
          </w:rPr>
          <w:tab/>
        </w:r>
        <w:r w:rsidR="003B0DEE" w:rsidRPr="007C1DDB">
          <w:rPr>
            <w:rStyle w:val="Hyperlink"/>
            <w:rFonts w:ascii="Arial" w:hAnsi="Arial" w:cs="Arial"/>
            <w:noProof/>
            <w:sz w:val="20"/>
          </w:rPr>
          <w:t>Predictors of treatment completion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83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17" w:history="1">
        <w:r w:rsidR="003B0DEE" w:rsidRPr="007C1DDB">
          <w:rPr>
            <w:rStyle w:val="Hyperlink"/>
            <w:rFonts w:ascii="Arial" w:hAnsi="Arial" w:cs="Arial"/>
            <w:noProof/>
            <w:sz w:val="20"/>
          </w:rPr>
          <w:t>6.5</w:t>
        </w:r>
        <w:r w:rsidR="003B0DEE" w:rsidRPr="007C1DDB">
          <w:rPr>
            <w:rFonts w:ascii="Arial" w:eastAsiaTheme="minorEastAsia" w:hAnsi="Arial" w:cs="Arial"/>
            <w:noProof/>
            <w:sz w:val="20"/>
          </w:rPr>
          <w:tab/>
        </w:r>
        <w:r w:rsidR="003B0DEE" w:rsidRPr="007C1DDB">
          <w:rPr>
            <w:rStyle w:val="Hyperlink"/>
            <w:rFonts w:ascii="Arial" w:hAnsi="Arial" w:cs="Arial"/>
            <w:noProof/>
            <w:sz w:val="20"/>
          </w:rPr>
          <w:t>Survival analysis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85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18" w:history="1">
        <w:r w:rsidR="003B0DEE" w:rsidRPr="007C1DDB">
          <w:rPr>
            <w:rStyle w:val="Hyperlink"/>
            <w:rFonts w:ascii="Arial" w:hAnsi="Arial" w:cs="Arial"/>
            <w:noProof/>
            <w:sz w:val="20"/>
          </w:rPr>
          <w:t>6.5.1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modalities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88</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19" w:history="1">
        <w:r w:rsidR="003B0DEE" w:rsidRPr="007C1DDB">
          <w:rPr>
            <w:rStyle w:val="Hyperlink"/>
            <w:rFonts w:ascii="Arial" w:hAnsi="Arial" w:cs="Arial"/>
            <w:noProof/>
            <w:sz w:val="20"/>
          </w:rPr>
          <w:t>6.5.2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Opioid substitution modality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_Toc15331719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0" w:history="1">
        <w:r w:rsidR="003B0DEE" w:rsidRPr="007C1DDB">
          <w:rPr>
            <w:rStyle w:val="Hyperlink"/>
            <w:rFonts w:ascii="Arial" w:hAnsi="Arial" w:cs="Arial"/>
            <w:noProof/>
            <w:sz w:val="20"/>
          </w:rPr>
          <w:t>6.5.3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Structured detoxification modality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1" w:history="1">
        <w:r w:rsidR="003B0DEE" w:rsidRPr="007C1DDB">
          <w:rPr>
            <w:rStyle w:val="Hyperlink"/>
            <w:rFonts w:ascii="Arial" w:hAnsi="Arial" w:cs="Arial"/>
            <w:noProof/>
            <w:sz w:val="20"/>
          </w:rPr>
          <w:t>6.5.4</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Counselling only modality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2" w:history="1">
        <w:r w:rsidR="003B0DEE" w:rsidRPr="007C1DDB">
          <w:rPr>
            <w:rStyle w:val="Hyperlink"/>
            <w:rFonts w:ascii="Arial" w:hAnsi="Arial" w:cs="Arial"/>
            <w:noProof/>
            <w:sz w:val="20"/>
          </w:rPr>
          <w:t>6.5.5</w:t>
        </w:r>
        <w:r w:rsidR="003B0DEE" w:rsidRPr="007C1DDB">
          <w:rPr>
            <w:rFonts w:ascii="Arial" w:eastAsiaTheme="minorEastAsia" w:hAnsi="Arial" w:cs="Arial"/>
            <w:noProof/>
            <w:sz w:val="20"/>
          </w:rPr>
          <w:tab/>
        </w:r>
        <w:r w:rsidR="003B0DEE" w:rsidRPr="007C1DDB">
          <w:rPr>
            <w:rStyle w:val="Hyperlink"/>
            <w:rFonts w:ascii="Arial" w:hAnsi="Arial" w:cs="Arial"/>
            <w:noProof/>
            <w:sz w:val="20"/>
          </w:rPr>
          <w:t>Other psychosocial interventions modality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23" w:history="1">
        <w:r w:rsidR="003B0DEE" w:rsidRPr="007C1DDB">
          <w:rPr>
            <w:rStyle w:val="Hyperlink"/>
            <w:rFonts w:ascii="Arial" w:hAnsi="Arial" w:cs="Arial"/>
            <w:noProof/>
            <w:sz w:val="20"/>
          </w:rPr>
          <w:t>6.6</w:t>
        </w:r>
        <w:r w:rsidR="003B0DEE" w:rsidRPr="007C1DDB">
          <w:rPr>
            <w:rFonts w:ascii="Arial" w:eastAsiaTheme="minorEastAsia" w:hAnsi="Arial" w:cs="Arial"/>
            <w:noProof/>
            <w:sz w:val="20"/>
          </w:rPr>
          <w:tab/>
        </w:r>
        <w:r w:rsidR="003B0DEE" w:rsidRPr="007C1DDB">
          <w:rPr>
            <w:rStyle w:val="Hyperlink"/>
            <w:rFonts w:ascii="Arial" w:hAnsi="Arial" w:cs="Arial"/>
            <w:noProof/>
            <w:sz w:val="20"/>
          </w:rPr>
          <w:t>Discussion of results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99</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4" w:history="1">
        <w:r w:rsidR="003B0DEE" w:rsidRPr="007C1DDB">
          <w:rPr>
            <w:rStyle w:val="Hyperlink"/>
            <w:rFonts w:ascii="Arial" w:hAnsi="Arial" w:cs="Arial"/>
            <w:noProof/>
            <w:sz w:val="20"/>
          </w:rPr>
          <w:t>6.6.1</w:t>
        </w:r>
        <w:r w:rsidR="003B0DEE" w:rsidRPr="007C1DDB">
          <w:rPr>
            <w:rFonts w:ascii="Arial" w:eastAsiaTheme="minorEastAsia" w:hAnsi="Arial" w:cs="Arial"/>
            <w:noProof/>
            <w:sz w:val="20"/>
          </w:rPr>
          <w:tab/>
        </w:r>
        <w:r w:rsidR="003B0DEE" w:rsidRPr="007C1DDB">
          <w:rPr>
            <w:rStyle w:val="Hyperlink"/>
            <w:rFonts w:ascii="Arial" w:hAnsi="Arial" w:cs="Arial"/>
            <w:noProof/>
            <w:sz w:val="20"/>
          </w:rPr>
          <w:t>Predictors of treatment completion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100</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5" w:history="1">
        <w:r w:rsidR="003B0DEE" w:rsidRPr="007C1DDB">
          <w:rPr>
            <w:rStyle w:val="Hyperlink"/>
            <w:rFonts w:ascii="Arial" w:hAnsi="Arial" w:cs="Arial"/>
            <w:noProof/>
            <w:sz w:val="20"/>
          </w:rPr>
          <w:t>6.6.2</w:t>
        </w:r>
        <w:r w:rsidR="003B0DEE" w:rsidRPr="007C1DDB">
          <w:rPr>
            <w:rFonts w:ascii="Arial" w:eastAsiaTheme="minorEastAsia" w:hAnsi="Arial" w:cs="Arial"/>
            <w:noProof/>
            <w:sz w:val="20"/>
          </w:rPr>
          <w:tab/>
        </w:r>
        <w:r w:rsidR="003B0DEE" w:rsidRPr="007C1DDB">
          <w:rPr>
            <w:rStyle w:val="Hyperlink"/>
            <w:rFonts w:ascii="Arial" w:hAnsi="Arial" w:cs="Arial"/>
            <w:noProof/>
            <w:sz w:val="20"/>
          </w:rPr>
          <w:t>Risk and protective factors for treatment dropout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6" w:history="1">
        <w:r w:rsidR="003B0DEE" w:rsidRPr="007C1DDB">
          <w:rPr>
            <w:rStyle w:val="Hyperlink"/>
            <w:rFonts w:ascii="Arial" w:hAnsi="Arial" w:cs="Arial"/>
            <w:noProof/>
            <w:sz w:val="20"/>
          </w:rPr>
          <w:t>6.6.3</w:t>
        </w:r>
        <w:r w:rsidR="003B0DEE" w:rsidRPr="007C1DDB">
          <w:rPr>
            <w:rFonts w:ascii="Arial" w:eastAsiaTheme="minorEastAsia" w:hAnsi="Arial" w:cs="Arial"/>
            <w:noProof/>
            <w:sz w:val="20"/>
          </w:rPr>
          <w:tab/>
        </w:r>
        <w:r w:rsidR="003B0DEE" w:rsidRPr="007C1DDB">
          <w:rPr>
            <w:rStyle w:val="Hyperlink"/>
            <w:rFonts w:ascii="Arial" w:hAnsi="Arial" w:cs="Arial"/>
            <w:noProof/>
            <w:sz w:val="20"/>
          </w:rPr>
          <w:t>Treatment exposure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7" w:history="1">
        <w:r w:rsidR="003B0DEE" w:rsidRPr="007C1DDB">
          <w:rPr>
            <w:rStyle w:val="Hyperlink"/>
            <w:rFonts w:ascii="Arial" w:hAnsi="Arial" w:cs="Arial"/>
            <w:noProof/>
            <w:sz w:val="20"/>
          </w:rPr>
          <w:t>6.6.4</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103</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8" w:history="1">
        <w:r w:rsidR="003B0DEE" w:rsidRPr="007C1DDB">
          <w:rPr>
            <w:rStyle w:val="Hyperlink"/>
            <w:rFonts w:ascii="Arial" w:hAnsi="Arial" w:cs="Arial"/>
            <w:noProof/>
            <w:sz w:val="20"/>
          </w:rPr>
          <w:t>6.6.5</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Strengths and limitations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104</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29" w:history="1">
        <w:r w:rsidR="003B0DEE" w:rsidRPr="007C1DDB">
          <w:rPr>
            <w:rStyle w:val="Hyperlink"/>
            <w:rFonts w:ascii="Arial" w:hAnsi="Arial" w:cs="Arial"/>
            <w:noProof/>
            <w:sz w:val="20"/>
          </w:rPr>
          <w:t>6.6.6</w:t>
        </w:r>
        <w:r w:rsidR="003B0DEE" w:rsidRPr="007C1DDB">
          <w:rPr>
            <w:rFonts w:ascii="Arial" w:eastAsiaTheme="minorEastAsia" w:hAnsi="Arial" w:cs="Arial"/>
            <w:noProof/>
            <w:sz w:val="20"/>
          </w:rPr>
          <w:tab/>
        </w:r>
        <w:r w:rsidR="003B0DEE" w:rsidRPr="007C1DDB">
          <w:rPr>
            <w:rStyle w:val="Hyperlink"/>
            <w:rFonts w:ascii="Arial" w:hAnsi="Arial" w:cs="Arial"/>
            <w:noProof/>
            <w:sz w:val="20"/>
          </w:rPr>
          <w:t>Implications for policy and practice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_Toc15331729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30" w:history="1">
        <w:r w:rsidR="003B0DEE" w:rsidRPr="007C1DDB">
          <w:rPr>
            <w:rStyle w:val="Hyperlink"/>
            <w:rFonts w:ascii="Arial" w:hAnsi="Arial" w:cs="Arial"/>
            <w:noProof/>
            <w:sz w:val="20"/>
          </w:rPr>
          <w:t>6.6.7</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Recommendations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108</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31" w:history="1">
        <w:r w:rsidR="003B0DEE" w:rsidRPr="007C1DDB">
          <w:rPr>
            <w:rStyle w:val="Hyperlink"/>
            <w:rFonts w:ascii="Arial" w:hAnsi="Arial" w:cs="Arial"/>
            <w:noProof/>
            <w:sz w:val="20"/>
          </w:rPr>
          <w:t>6.7</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_Toc15331731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108</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732" w:history="1">
        <w:r w:rsidR="003B0DEE" w:rsidRPr="007C1DDB">
          <w:rPr>
            <w:rStyle w:val="Hyperlink"/>
          </w:rPr>
          <w:t>Chapter 7 Conclusions and recommendations</w:t>
        </w:r>
        <w:r w:rsidR="003B0DEE" w:rsidRPr="007C1DDB">
          <w:rPr>
            <w:webHidden/>
          </w:rPr>
          <w:tab/>
          <w:t>…………………………………………………….</w:t>
        </w:r>
        <w:r w:rsidR="003B0DEE" w:rsidRPr="007C1DDB">
          <w:rPr>
            <w:webHidden/>
          </w:rPr>
          <w:fldChar w:fldCharType="begin"/>
        </w:r>
        <w:r w:rsidR="003B0DEE" w:rsidRPr="007C1DDB">
          <w:rPr>
            <w:webHidden/>
          </w:rPr>
          <w:instrText xml:space="preserve"> PAGEREF _Toc15331732 \h </w:instrText>
        </w:r>
        <w:r w:rsidR="003B0DEE" w:rsidRPr="007C1DDB">
          <w:rPr>
            <w:webHidden/>
          </w:rPr>
        </w:r>
        <w:r w:rsidR="003B0DEE" w:rsidRPr="007C1DDB">
          <w:rPr>
            <w:webHidden/>
          </w:rPr>
          <w:fldChar w:fldCharType="separate"/>
        </w:r>
        <w:r w:rsidR="00551CD8">
          <w:rPr>
            <w:webHidden/>
          </w:rPr>
          <w:t>109</w:t>
        </w:r>
        <w:r w:rsidR="003B0DEE" w:rsidRPr="007C1DDB">
          <w:rPr>
            <w:webHidden/>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33" w:history="1">
        <w:r w:rsidR="003B0DEE" w:rsidRPr="007C1DDB">
          <w:rPr>
            <w:rStyle w:val="Hyperlink"/>
            <w:rFonts w:ascii="Arial" w:hAnsi="Arial" w:cs="Arial"/>
            <w:noProof/>
            <w:sz w:val="20"/>
          </w:rPr>
          <w:t>7.1</w:t>
        </w:r>
        <w:r w:rsidR="003B0DEE" w:rsidRPr="007C1DDB">
          <w:rPr>
            <w:rFonts w:ascii="Arial" w:eastAsiaTheme="minorEastAsia" w:hAnsi="Arial" w:cs="Arial"/>
            <w:noProof/>
            <w:sz w:val="20"/>
          </w:rPr>
          <w:tab/>
        </w:r>
        <w:r w:rsidR="003B0DEE" w:rsidRPr="007C1DDB">
          <w:rPr>
            <w:rStyle w:val="Hyperlink"/>
            <w:rFonts w:ascii="Arial" w:hAnsi="Arial" w:cs="Arial"/>
            <w:noProof/>
            <w:sz w:val="20"/>
          </w:rPr>
          <w:t>Introduction</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109</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34" w:history="1">
        <w:r w:rsidR="003B0DEE" w:rsidRPr="007C1DDB">
          <w:rPr>
            <w:rStyle w:val="Hyperlink"/>
            <w:rFonts w:ascii="Arial" w:hAnsi="Arial" w:cs="Arial"/>
            <w:noProof/>
            <w:sz w:val="20"/>
          </w:rPr>
          <w:t>7.2</w:t>
        </w:r>
        <w:r w:rsidR="003B0DEE" w:rsidRPr="007C1DDB">
          <w:rPr>
            <w:rFonts w:ascii="Arial" w:eastAsiaTheme="minorEastAsia" w:hAnsi="Arial" w:cs="Arial"/>
            <w:noProof/>
            <w:sz w:val="20"/>
          </w:rPr>
          <w:tab/>
        </w:r>
        <w:r w:rsidR="003B0DEE" w:rsidRPr="007C1DDB">
          <w:rPr>
            <w:rStyle w:val="Hyperlink"/>
            <w:rFonts w:ascii="Arial" w:hAnsi="Arial" w:cs="Arial"/>
            <w:noProof/>
            <w:sz w:val="20"/>
          </w:rPr>
          <w:t>Thesis summary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109</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35" w:history="1">
        <w:r w:rsidR="003B0DEE" w:rsidRPr="007C1DDB">
          <w:rPr>
            <w:rStyle w:val="Hyperlink"/>
            <w:rFonts w:ascii="Arial" w:hAnsi="Arial" w:cs="Arial"/>
            <w:noProof/>
            <w:sz w:val="20"/>
          </w:rPr>
          <w:t>7.3</w:t>
        </w:r>
        <w:r w:rsidR="003B0DEE" w:rsidRPr="007C1DDB">
          <w:rPr>
            <w:rFonts w:ascii="Arial" w:eastAsiaTheme="minorEastAsia" w:hAnsi="Arial" w:cs="Arial"/>
            <w:noProof/>
            <w:sz w:val="20"/>
          </w:rPr>
          <w:tab/>
        </w:r>
        <w:r w:rsidR="003B0DEE" w:rsidRPr="007C1DDB">
          <w:rPr>
            <w:rStyle w:val="Hyperlink"/>
            <w:rFonts w:ascii="Arial" w:hAnsi="Arial" w:cs="Arial"/>
            <w:noProof/>
            <w:sz w:val="20"/>
          </w:rPr>
          <w:t>Summary of important findings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110</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36" w:history="1">
        <w:r w:rsidR="003B0DEE" w:rsidRPr="007C1DDB">
          <w:rPr>
            <w:rStyle w:val="Hyperlink"/>
            <w:rFonts w:ascii="Arial" w:hAnsi="Arial" w:cs="Arial"/>
            <w:noProof/>
            <w:sz w:val="20"/>
          </w:rPr>
          <w:t>7.4</w:t>
        </w:r>
        <w:r w:rsidR="003B0DEE" w:rsidRPr="007C1DDB">
          <w:rPr>
            <w:rFonts w:ascii="Arial" w:eastAsiaTheme="minorEastAsia" w:hAnsi="Arial" w:cs="Arial"/>
            <w:noProof/>
            <w:sz w:val="20"/>
          </w:rPr>
          <w:tab/>
        </w:r>
        <w:r w:rsidR="003B0DEE" w:rsidRPr="007C1DDB">
          <w:rPr>
            <w:rStyle w:val="Hyperlink"/>
            <w:rFonts w:ascii="Arial" w:hAnsi="Arial" w:cs="Arial"/>
            <w:noProof/>
            <w:sz w:val="20"/>
          </w:rPr>
          <w:t>Discussion of important findings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37" w:history="1">
        <w:r w:rsidR="003B0DEE" w:rsidRPr="007C1DDB">
          <w:rPr>
            <w:rStyle w:val="Hyperlink"/>
            <w:rFonts w:ascii="Arial" w:hAnsi="Arial" w:cs="Arial"/>
            <w:noProof/>
            <w:sz w:val="20"/>
          </w:rPr>
          <w:t>7.4.1</w:t>
        </w:r>
        <w:r w:rsidR="003B0DEE" w:rsidRPr="007C1DDB">
          <w:rPr>
            <w:rFonts w:ascii="Arial" w:eastAsiaTheme="minorEastAsia" w:hAnsi="Arial" w:cs="Arial"/>
            <w:noProof/>
            <w:sz w:val="20"/>
          </w:rPr>
          <w:tab/>
        </w:r>
        <w:r w:rsidR="003B0DEE" w:rsidRPr="007C1DDB">
          <w:rPr>
            <w:rStyle w:val="Hyperlink"/>
            <w:rFonts w:ascii="Arial" w:hAnsi="Arial" w:cs="Arial"/>
            <w:noProof/>
            <w:sz w:val="20"/>
          </w:rPr>
          <w:t>Most important study findings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38" w:history="1">
        <w:r w:rsidR="003B0DEE" w:rsidRPr="007C1DDB">
          <w:rPr>
            <w:rStyle w:val="Hyperlink"/>
            <w:rFonts w:ascii="Arial" w:hAnsi="Arial" w:cs="Arial"/>
            <w:noProof/>
            <w:sz w:val="20"/>
          </w:rPr>
          <w:t>7.4.2</w:t>
        </w:r>
        <w:r w:rsidR="003B0DEE" w:rsidRPr="007C1DDB">
          <w:rPr>
            <w:rFonts w:ascii="Arial" w:eastAsiaTheme="minorEastAsia" w:hAnsi="Arial" w:cs="Arial"/>
            <w:noProof/>
            <w:sz w:val="20"/>
          </w:rPr>
          <w:tab/>
        </w:r>
        <w:r w:rsidR="003B0DEE" w:rsidRPr="007C1DDB">
          <w:rPr>
            <w:rStyle w:val="Hyperlink"/>
            <w:rFonts w:ascii="Arial" w:hAnsi="Arial" w:cs="Arial"/>
            <w:noProof/>
            <w:sz w:val="20"/>
          </w:rPr>
          <w:t>Findings in context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111</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39" w:history="1">
        <w:r w:rsidR="003B0DEE" w:rsidRPr="007C1DDB">
          <w:rPr>
            <w:rStyle w:val="Hyperlink"/>
            <w:rFonts w:ascii="Arial" w:hAnsi="Arial" w:cs="Arial"/>
            <w:noProof/>
            <w:sz w:val="20"/>
          </w:rPr>
          <w:t>7.4.3</w:t>
        </w:r>
        <w:r w:rsidR="003B0DEE" w:rsidRPr="007C1DDB">
          <w:rPr>
            <w:rFonts w:ascii="Arial" w:eastAsiaTheme="minorEastAsia" w:hAnsi="Arial" w:cs="Arial"/>
            <w:noProof/>
            <w:sz w:val="20"/>
          </w:rPr>
          <w:tab/>
        </w:r>
        <w:r w:rsidR="003B0DEE" w:rsidRPr="007C1DDB">
          <w:rPr>
            <w:rStyle w:val="Hyperlink"/>
            <w:rFonts w:ascii="Arial" w:hAnsi="Arial" w:cs="Arial"/>
            <w:noProof/>
            <w:sz w:val="20"/>
          </w:rPr>
          <w:t>Ageing</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_Toc15331739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115</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40" w:history="1">
        <w:r w:rsidR="003B0DEE" w:rsidRPr="007C1DDB">
          <w:rPr>
            <w:rStyle w:val="Hyperlink"/>
            <w:rFonts w:ascii="Arial" w:hAnsi="Arial" w:cs="Arial"/>
            <w:noProof/>
            <w:sz w:val="20"/>
          </w:rPr>
          <w:t>7.4.4</w:t>
        </w:r>
        <w:r w:rsidR="003B0DEE" w:rsidRPr="007C1DDB">
          <w:rPr>
            <w:rFonts w:ascii="Arial" w:eastAsiaTheme="minorEastAsia" w:hAnsi="Arial" w:cs="Arial"/>
            <w:noProof/>
            <w:sz w:val="20"/>
          </w:rPr>
          <w:tab/>
        </w:r>
        <w:r w:rsidR="003B0DEE" w:rsidRPr="007C1DDB">
          <w:rPr>
            <w:rStyle w:val="Hyperlink"/>
            <w:rFonts w:ascii="Arial" w:hAnsi="Arial" w:cs="Arial"/>
            <w:noProof/>
            <w:sz w:val="20"/>
          </w:rPr>
          <w:t>Issues relating to context</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_Toc15331740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117</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42" w:history="1">
        <w:r w:rsidR="003B0DEE" w:rsidRPr="007C1DDB">
          <w:rPr>
            <w:rStyle w:val="Hyperlink"/>
            <w:rFonts w:ascii="Arial" w:hAnsi="Arial" w:cs="Arial"/>
            <w:noProof/>
            <w:sz w:val="20"/>
          </w:rPr>
          <w:t>7.5</w:t>
        </w:r>
        <w:r w:rsidR="003B0DEE" w:rsidRPr="007C1DDB">
          <w:rPr>
            <w:rFonts w:ascii="Arial" w:eastAsiaTheme="minorEastAsia" w:hAnsi="Arial" w:cs="Arial"/>
            <w:noProof/>
            <w:sz w:val="20"/>
          </w:rPr>
          <w:tab/>
        </w:r>
        <w:r w:rsidR="003B0DEE" w:rsidRPr="007C1DDB">
          <w:rPr>
            <w:rStyle w:val="Hyperlink"/>
            <w:rFonts w:ascii="Arial" w:hAnsi="Arial" w:cs="Arial"/>
            <w:noProof/>
            <w:sz w:val="20"/>
          </w:rPr>
          <w:t>Policy and practice implications and future research</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_Toc15331742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119</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43" w:history="1">
        <w:r w:rsidR="003B0DEE" w:rsidRPr="007C1DDB">
          <w:rPr>
            <w:rStyle w:val="Hyperlink"/>
            <w:rFonts w:ascii="Arial" w:hAnsi="Arial" w:cs="Arial"/>
            <w:noProof/>
            <w:sz w:val="20"/>
          </w:rPr>
          <w:t>7.5.1</w:t>
        </w:r>
        <w:r w:rsidR="003B0DEE" w:rsidRPr="007C1DDB">
          <w:rPr>
            <w:rFonts w:ascii="Arial" w:eastAsiaTheme="minorEastAsia" w:hAnsi="Arial" w:cs="Arial"/>
            <w:noProof/>
            <w:sz w:val="20"/>
          </w:rPr>
          <w:tab/>
        </w:r>
        <w:r w:rsidR="003B0DEE" w:rsidRPr="007C1DDB">
          <w:rPr>
            <w:rStyle w:val="Hyperlink"/>
            <w:rFonts w:ascii="Arial" w:hAnsi="Arial" w:cs="Arial"/>
            <w:noProof/>
            <w:sz w:val="20"/>
          </w:rPr>
          <w:t>Key policy and practice recommendations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_Toc15331743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119</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44" w:history="1">
        <w:r w:rsidR="003B0DEE" w:rsidRPr="007C1DDB">
          <w:rPr>
            <w:rStyle w:val="Hyperlink"/>
            <w:rFonts w:ascii="Arial" w:hAnsi="Arial" w:cs="Arial"/>
            <w:noProof/>
            <w:sz w:val="20"/>
          </w:rPr>
          <w:t>7.5.2</w:t>
        </w:r>
        <w:r w:rsidR="003B0DEE" w:rsidRPr="007C1DDB">
          <w:rPr>
            <w:rFonts w:ascii="Arial" w:eastAsiaTheme="minorEastAsia" w:hAnsi="Arial" w:cs="Arial"/>
            <w:noProof/>
            <w:sz w:val="20"/>
          </w:rPr>
          <w:tab/>
        </w:r>
        <w:r w:rsidR="003B0DEE" w:rsidRPr="007C1DDB">
          <w:rPr>
            <w:rStyle w:val="Hyperlink"/>
            <w:rFonts w:ascii="Arial" w:hAnsi="Arial" w:cs="Arial"/>
            <w:noProof/>
            <w:sz w:val="20"/>
          </w:rPr>
          <w:t>Additional recommendations for drug treatment surveillance systems</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_Toc15331744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122</w:t>
        </w:r>
        <w:r w:rsidR="003B0DEE" w:rsidRPr="007C1DDB">
          <w:rPr>
            <w:rFonts w:ascii="Arial" w:hAnsi="Arial" w:cs="Arial"/>
            <w:noProof/>
            <w:webHidden/>
            <w:sz w:val="20"/>
          </w:rPr>
          <w:fldChar w:fldCharType="end"/>
        </w:r>
      </w:hyperlink>
    </w:p>
    <w:p w:rsidR="003B0DEE" w:rsidRPr="007C1DDB" w:rsidRDefault="000D5D90">
      <w:pPr>
        <w:pStyle w:val="TOC3"/>
        <w:tabs>
          <w:tab w:val="left" w:pos="1320"/>
          <w:tab w:val="right" w:leader="dot" w:pos="8777"/>
        </w:tabs>
        <w:rPr>
          <w:rFonts w:ascii="Arial" w:eastAsiaTheme="minorEastAsia" w:hAnsi="Arial" w:cs="Arial"/>
          <w:noProof/>
          <w:sz w:val="20"/>
        </w:rPr>
      </w:pPr>
      <w:hyperlink w:anchor="_Toc15331745" w:history="1">
        <w:r w:rsidR="003B0DEE" w:rsidRPr="007C1DDB">
          <w:rPr>
            <w:rStyle w:val="Hyperlink"/>
            <w:rFonts w:ascii="Arial" w:hAnsi="Arial" w:cs="Arial"/>
            <w:noProof/>
            <w:sz w:val="20"/>
          </w:rPr>
          <w:t>7.5.3</w:t>
        </w:r>
        <w:r w:rsidR="003B0DEE" w:rsidRPr="007C1DDB">
          <w:rPr>
            <w:rFonts w:ascii="Arial" w:eastAsiaTheme="minorEastAsia" w:hAnsi="Arial" w:cs="Arial"/>
            <w:noProof/>
            <w:sz w:val="20"/>
          </w:rPr>
          <w:tab/>
        </w:r>
        <w:r w:rsidR="003B0DEE" w:rsidRPr="007C1DDB">
          <w:rPr>
            <w:rStyle w:val="Hyperlink"/>
            <w:rFonts w:ascii="Arial" w:hAnsi="Arial" w:cs="Arial"/>
            <w:noProof/>
            <w:sz w:val="20"/>
          </w:rPr>
          <w:t>Recommendations for future research</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_Toc15331745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122</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46" w:history="1">
        <w:r w:rsidR="003B0DEE" w:rsidRPr="007C1DDB">
          <w:rPr>
            <w:rStyle w:val="Hyperlink"/>
            <w:rFonts w:ascii="Arial" w:hAnsi="Arial" w:cs="Arial"/>
            <w:noProof/>
            <w:sz w:val="20"/>
          </w:rPr>
          <w:t>7.6</w:t>
        </w:r>
        <w:r w:rsidR="003B0DEE" w:rsidRPr="007C1DDB">
          <w:rPr>
            <w:rFonts w:ascii="Arial" w:eastAsiaTheme="minorEastAsia" w:hAnsi="Arial" w:cs="Arial"/>
            <w:noProof/>
            <w:sz w:val="20"/>
          </w:rPr>
          <w:tab/>
        </w:r>
        <w:r w:rsidR="003B0DEE" w:rsidRPr="007C1DDB">
          <w:rPr>
            <w:rStyle w:val="Hyperlink"/>
            <w:rFonts w:ascii="Arial" w:hAnsi="Arial" w:cs="Arial"/>
            <w:noProof/>
            <w:sz w:val="20"/>
          </w:rPr>
          <w:t>Strengths and limitations of the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_Toc15331746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123</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47" w:history="1">
        <w:r w:rsidR="003B0DEE" w:rsidRPr="007C1DDB">
          <w:rPr>
            <w:rStyle w:val="Hyperlink"/>
            <w:rFonts w:ascii="Arial" w:hAnsi="Arial" w:cs="Arial"/>
            <w:noProof/>
            <w:sz w:val="20"/>
          </w:rPr>
          <w:t>7.7</w:t>
        </w:r>
        <w:r w:rsidR="003B0DEE" w:rsidRPr="007C1DDB">
          <w:rPr>
            <w:rFonts w:ascii="Arial" w:eastAsiaTheme="minorEastAsia" w:hAnsi="Arial" w:cs="Arial"/>
            <w:noProof/>
            <w:sz w:val="20"/>
          </w:rPr>
          <w:tab/>
        </w:r>
        <w:r w:rsidR="003B0DEE" w:rsidRPr="007C1DDB">
          <w:rPr>
            <w:rStyle w:val="Hyperlink"/>
            <w:rFonts w:ascii="Arial" w:hAnsi="Arial" w:cs="Arial"/>
            <w:noProof/>
            <w:sz w:val="20"/>
          </w:rPr>
          <w:t>Unique contribution to knowledge</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_Toc15331747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126</w:t>
        </w:r>
        <w:r w:rsidR="003B0DEE" w:rsidRPr="007C1DDB">
          <w:rPr>
            <w:rFonts w:ascii="Arial" w:hAnsi="Arial" w:cs="Arial"/>
            <w:noProof/>
            <w:webHidden/>
            <w:sz w:val="20"/>
          </w:rPr>
          <w:fldChar w:fldCharType="end"/>
        </w:r>
      </w:hyperlink>
    </w:p>
    <w:p w:rsidR="003B0DEE" w:rsidRPr="007C1DDB" w:rsidRDefault="000D5D90">
      <w:pPr>
        <w:pStyle w:val="TOC2"/>
        <w:tabs>
          <w:tab w:val="left" w:pos="880"/>
          <w:tab w:val="right" w:leader="dot" w:pos="8777"/>
        </w:tabs>
        <w:rPr>
          <w:rFonts w:ascii="Arial" w:eastAsiaTheme="minorEastAsia" w:hAnsi="Arial" w:cs="Arial"/>
          <w:noProof/>
          <w:sz w:val="20"/>
        </w:rPr>
      </w:pPr>
      <w:hyperlink w:anchor="_Toc15331748" w:history="1">
        <w:r w:rsidR="003B0DEE" w:rsidRPr="007C1DDB">
          <w:rPr>
            <w:rStyle w:val="Hyperlink"/>
            <w:rFonts w:ascii="Arial" w:hAnsi="Arial" w:cs="Arial"/>
            <w:noProof/>
            <w:sz w:val="20"/>
          </w:rPr>
          <w:t>7.8</w:t>
        </w:r>
        <w:r w:rsidR="003B0DEE" w:rsidRPr="007C1DDB">
          <w:rPr>
            <w:rFonts w:ascii="Arial" w:eastAsiaTheme="minorEastAsia" w:hAnsi="Arial" w:cs="Arial"/>
            <w:noProof/>
            <w:sz w:val="20"/>
          </w:rPr>
          <w:tab/>
        </w:r>
        <w:r w:rsidR="003B0DEE" w:rsidRPr="007C1DDB">
          <w:rPr>
            <w:rStyle w:val="Hyperlink"/>
            <w:rFonts w:ascii="Arial" w:hAnsi="Arial" w:cs="Arial"/>
            <w:noProof/>
            <w:sz w:val="20"/>
          </w:rPr>
          <w:t>Conclusion of this study</w:t>
        </w:r>
        <w:r w:rsidR="003B0DEE" w:rsidRPr="007C1DDB">
          <w:rPr>
            <w:rFonts w:ascii="Arial" w:hAnsi="Arial" w:cs="Arial"/>
            <w:noProof/>
            <w:webHidden/>
            <w:sz w:val="20"/>
          </w:rPr>
          <w:tab/>
        </w:r>
        <w:r w:rsidR="003B0DEE" w:rsidRPr="007C1DDB">
          <w:rPr>
            <w:rFonts w:ascii="Arial" w:hAnsi="Arial" w:cs="Arial"/>
            <w:noProof/>
            <w:webHidden/>
            <w:sz w:val="20"/>
          </w:rPr>
          <w:fldChar w:fldCharType="begin"/>
        </w:r>
        <w:r w:rsidR="003B0DEE" w:rsidRPr="007C1DDB">
          <w:rPr>
            <w:rFonts w:ascii="Arial" w:hAnsi="Arial" w:cs="Arial"/>
            <w:noProof/>
            <w:webHidden/>
            <w:sz w:val="20"/>
          </w:rPr>
          <w:instrText xml:space="preserve"> PAGEREF _Toc15331748 \h </w:instrText>
        </w:r>
        <w:r w:rsidR="003B0DEE" w:rsidRPr="007C1DDB">
          <w:rPr>
            <w:rFonts w:ascii="Arial" w:hAnsi="Arial" w:cs="Arial"/>
            <w:noProof/>
            <w:webHidden/>
            <w:sz w:val="20"/>
          </w:rPr>
        </w:r>
        <w:r w:rsidR="003B0DEE" w:rsidRPr="007C1DDB">
          <w:rPr>
            <w:rFonts w:ascii="Arial" w:hAnsi="Arial" w:cs="Arial"/>
            <w:noProof/>
            <w:webHidden/>
            <w:sz w:val="20"/>
          </w:rPr>
          <w:fldChar w:fldCharType="separate"/>
        </w:r>
        <w:r w:rsidR="00551CD8">
          <w:rPr>
            <w:rFonts w:ascii="Arial" w:hAnsi="Arial" w:cs="Arial"/>
            <w:noProof/>
            <w:webHidden/>
            <w:sz w:val="20"/>
          </w:rPr>
          <w:t>128</w:t>
        </w:r>
        <w:r w:rsidR="003B0DEE" w:rsidRPr="007C1DDB">
          <w:rPr>
            <w:rFonts w:ascii="Arial" w:hAnsi="Arial" w:cs="Arial"/>
            <w:noProof/>
            <w:webHidden/>
            <w:sz w:val="20"/>
          </w:rPr>
          <w:fldChar w:fldCharType="end"/>
        </w:r>
      </w:hyperlink>
    </w:p>
    <w:p w:rsidR="003B0DEE" w:rsidRPr="007C1DDB" w:rsidRDefault="000D5D90" w:rsidP="000D5D90">
      <w:pPr>
        <w:pStyle w:val="TOC1"/>
        <w:rPr>
          <w:rFonts w:eastAsiaTheme="minorEastAsia"/>
        </w:rPr>
      </w:pPr>
      <w:hyperlink w:anchor="_Toc15331749" w:history="1">
        <w:r w:rsidR="003B0DEE" w:rsidRPr="007C1DDB">
          <w:rPr>
            <w:rStyle w:val="Hyperlink"/>
          </w:rPr>
          <w:t>References</w:t>
        </w:r>
        <w:r w:rsidR="003B0DEE" w:rsidRPr="007C1DDB">
          <w:rPr>
            <w:webHidden/>
          </w:rPr>
          <w:tab/>
          <w:t>………</w:t>
        </w:r>
        <w:r w:rsidR="007C1DDB">
          <w:rPr>
            <w:webHidden/>
          </w:rPr>
          <w:t>……………………………………………………………………………………</w:t>
        </w:r>
        <w:r w:rsidR="003B0DEE" w:rsidRPr="007C1DDB">
          <w:rPr>
            <w:webHidden/>
          </w:rPr>
          <w:t>…</w:t>
        </w:r>
        <w:r w:rsidR="007C1DDB">
          <w:rPr>
            <w:webHidden/>
          </w:rPr>
          <w:t>..</w:t>
        </w:r>
        <w:r w:rsidR="00695031" w:rsidRPr="007C1DDB">
          <w:rPr>
            <w:webHidden/>
          </w:rPr>
          <w:t>.</w:t>
        </w:r>
        <w:r w:rsidR="003B0DEE" w:rsidRPr="007C1DDB">
          <w:rPr>
            <w:webHidden/>
          </w:rPr>
          <w:fldChar w:fldCharType="begin"/>
        </w:r>
        <w:r w:rsidR="003B0DEE" w:rsidRPr="007C1DDB">
          <w:rPr>
            <w:webHidden/>
          </w:rPr>
          <w:instrText xml:space="preserve"> PAGEREF _Toc15331749 \h </w:instrText>
        </w:r>
        <w:r w:rsidR="003B0DEE" w:rsidRPr="007C1DDB">
          <w:rPr>
            <w:webHidden/>
          </w:rPr>
        </w:r>
        <w:r w:rsidR="003B0DEE" w:rsidRPr="007C1DDB">
          <w:rPr>
            <w:webHidden/>
          </w:rPr>
          <w:fldChar w:fldCharType="separate"/>
        </w:r>
        <w:r w:rsidR="00551CD8">
          <w:rPr>
            <w:webHidden/>
          </w:rPr>
          <w:t>129</w:t>
        </w:r>
        <w:r w:rsidR="003B0DEE" w:rsidRPr="007C1DDB">
          <w:rPr>
            <w:webHidden/>
          </w:rPr>
          <w:fldChar w:fldCharType="end"/>
        </w:r>
      </w:hyperlink>
    </w:p>
    <w:p w:rsidR="003B0DEE" w:rsidRDefault="000D5D90" w:rsidP="000D5D90">
      <w:pPr>
        <w:pStyle w:val="TOC1"/>
        <w:rPr>
          <w:rFonts w:asciiTheme="minorHAnsi" w:eastAsiaTheme="minorEastAsia" w:hAnsiTheme="minorHAnsi" w:cstheme="minorBidi"/>
          <w:sz w:val="22"/>
          <w:szCs w:val="22"/>
        </w:rPr>
      </w:pPr>
      <w:hyperlink w:anchor="_Toc15331750" w:history="1">
        <w:r w:rsidR="003B0DEE" w:rsidRPr="007C1DDB">
          <w:rPr>
            <w:rStyle w:val="Hyperlink"/>
          </w:rPr>
          <w:t>Appendices</w:t>
        </w:r>
        <w:r w:rsidR="003B0DEE" w:rsidRPr="007C1DDB">
          <w:rPr>
            <w:webHidden/>
          </w:rPr>
          <w:tab/>
          <w:t>……………………………………………………………………………………………...</w:t>
        </w:r>
        <w:r w:rsidR="007C1DDB">
          <w:rPr>
            <w:webHidden/>
          </w:rPr>
          <w:t>..</w:t>
        </w:r>
        <w:r w:rsidR="003B0DEE" w:rsidRPr="007C1DDB">
          <w:rPr>
            <w:webHidden/>
          </w:rPr>
          <w:fldChar w:fldCharType="begin"/>
        </w:r>
        <w:r w:rsidR="003B0DEE" w:rsidRPr="007C1DDB">
          <w:rPr>
            <w:webHidden/>
          </w:rPr>
          <w:instrText xml:space="preserve"> PAGEREF _Toc15331750 \h </w:instrText>
        </w:r>
        <w:r w:rsidR="003B0DEE" w:rsidRPr="007C1DDB">
          <w:rPr>
            <w:webHidden/>
          </w:rPr>
        </w:r>
        <w:r w:rsidR="003B0DEE" w:rsidRPr="007C1DDB">
          <w:rPr>
            <w:webHidden/>
          </w:rPr>
          <w:fldChar w:fldCharType="separate"/>
        </w:r>
        <w:r w:rsidR="00551CD8">
          <w:rPr>
            <w:webHidden/>
          </w:rPr>
          <w:t>150</w:t>
        </w:r>
        <w:r w:rsidR="003B0DEE" w:rsidRPr="007C1DDB">
          <w:rPr>
            <w:webHidden/>
          </w:rPr>
          <w:fldChar w:fldCharType="end"/>
        </w:r>
      </w:hyperlink>
    </w:p>
    <w:p w:rsidR="003B0DEE" w:rsidRPr="008B1FB9" w:rsidRDefault="003B0DEE" w:rsidP="000D5D90">
      <w:pPr>
        <w:pStyle w:val="TOC1"/>
      </w:pPr>
      <w:r w:rsidRPr="008B1FB9">
        <w:fldChar w:fldCharType="end"/>
      </w:r>
    </w:p>
    <w:p w:rsidR="003B0DEE" w:rsidRPr="001D1337" w:rsidRDefault="003B0DEE" w:rsidP="000D5D90">
      <w:pPr>
        <w:pStyle w:val="NoSpacing"/>
        <w:jc w:val="left"/>
        <w:rPr>
          <w:rFonts w:ascii="Arial" w:hAnsi="Arial" w:cs="Arial"/>
          <w:b/>
          <w:sz w:val="20"/>
        </w:rPr>
        <w:sectPr w:rsidR="003B0DEE" w:rsidRPr="001D1337" w:rsidSect="000D5D90">
          <w:pgSz w:w="11906" w:h="16838" w:code="9"/>
          <w:pgMar w:top="1134" w:right="1134" w:bottom="1134" w:left="1985" w:header="709" w:footer="709" w:gutter="0"/>
          <w:pgNumType w:fmt="lowerRoman"/>
          <w:cols w:space="708"/>
          <w:docGrid w:linePitch="360"/>
        </w:sectPr>
      </w:pPr>
    </w:p>
    <w:p w:rsidR="003B0DEE" w:rsidRPr="00F07F03" w:rsidRDefault="003B0DEE" w:rsidP="000D5D90">
      <w:pPr>
        <w:pStyle w:val="NoSpacing"/>
        <w:jc w:val="center"/>
        <w:rPr>
          <w:rFonts w:ascii="Arial" w:hAnsi="Arial" w:cs="Arial"/>
          <w:b/>
          <w:sz w:val="28"/>
        </w:rPr>
      </w:pPr>
      <w:r w:rsidRPr="00F07F03">
        <w:rPr>
          <w:rFonts w:ascii="Arial" w:hAnsi="Arial" w:cs="Arial"/>
          <w:b/>
          <w:sz w:val="28"/>
        </w:rPr>
        <w:lastRenderedPageBreak/>
        <w:t>List of Figures</w:t>
      </w:r>
    </w:p>
    <w:p w:rsidR="003B0DEE" w:rsidRPr="001D1337" w:rsidRDefault="003B0DEE" w:rsidP="000D5D90">
      <w:pPr>
        <w:pStyle w:val="NoSpacing"/>
        <w:jc w:val="center"/>
        <w:rPr>
          <w:rFonts w:ascii="Arial" w:hAnsi="Arial" w:cs="Arial"/>
          <w:b/>
          <w:sz w:val="20"/>
        </w:rPr>
      </w:pPr>
    </w:p>
    <w:p w:rsidR="003B0DEE" w:rsidRPr="00AA07D8" w:rsidRDefault="003B0DEE">
      <w:pPr>
        <w:pStyle w:val="TableofFigures"/>
        <w:tabs>
          <w:tab w:val="right" w:leader="dot" w:pos="8777"/>
        </w:tabs>
        <w:rPr>
          <w:rFonts w:asciiTheme="minorHAnsi" w:eastAsiaTheme="minorEastAsia" w:hAnsiTheme="minorHAnsi" w:cstheme="minorBidi"/>
          <w:noProof/>
          <w:sz w:val="22"/>
          <w:szCs w:val="22"/>
        </w:rPr>
      </w:pPr>
      <w:r w:rsidRPr="00AA07D8">
        <w:rPr>
          <w:rFonts w:cs="Arial"/>
        </w:rPr>
        <w:fldChar w:fldCharType="begin"/>
      </w:r>
      <w:r w:rsidRPr="00AA07D8">
        <w:rPr>
          <w:rFonts w:cs="Arial"/>
        </w:rPr>
        <w:instrText xml:space="preserve"> TOC \h \z \c "Figure" </w:instrText>
      </w:r>
      <w:r w:rsidRPr="00AA07D8">
        <w:rPr>
          <w:rFonts w:cs="Arial"/>
        </w:rPr>
        <w:fldChar w:fldCharType="separate"/>
      </w:r>
      <w:hyperlink w:anchor="_Toc15331953" w:history="1">
        <w:r w:rsidRPr="00AA07D8">
          <w:rPr>
            <w:rStyle w:val="Hyperlink"/>
            <w:noProof/>
          </w:rPr>
          <w:t>Figure 2</w:t>
        </w:r>
        <w:r w:rsidRPr="00AA07D8">
          <w:rPr>
            <w:rStyle w:val="Hyperlink"/>
            <w:noProof/>
          </w:rPr>
          <w:noBreakHyphen/>
          <w:t xml:space="preserve">1  </w:t>
        </w:r>
        <w:r w:rsidRPr="00AA07D8">
          <w:rPr>
            <w:rStyle w:val="Hyperlink"/>
            <w:rFonts w:cs="Arial"/>
            <w:noProof/>
          </w:rPr>
          <w:t>PRISMA study selection flowchart</w:t>
        </w:r>
        <w:r w:rsidRPr="00AA07D8">
          <w:rPr>
            <w:noProof/>
            <w:webHidden/>
          </w:rPr>
          <w:tab/>
        </w:r>
        <w:r w:rsidRPr="00AA07D8">
          <w:rPr>
            <w:noProof/>
            <w:webHidden/>
          </w:rPr>
          <w:fldChar w:fldCharType="begin"/>
        </w:r>
        <w:r w:rsidRPr="00AA07D8">
          <w:rPr>
            <w:noProof/>
            <w:webHidden/>
          </w:rPr>
          <w:instrText xml:space="preserve"> PAGEREF _Toc15331953 \h </w:instrText>
        </w:r>
        <w:r w:rsidRPr="00AA07D8">
          <w:rPr>
            <w:noProof/>
            <w:webHidden/>
          </w:rPr>
        </w:r>
        <w:r w:rsidRPr="00AA07D8">
          <w:rPr>
            <w:noProof/>
            <w:webHidden/>
          </w:rPr>
          <w:fldChar w:fldCharType="separate"/>
        </w:r>
        <w:r w:rsidR="00551CD8">
          <w:rPr>
            <w:noProof/>
            <w:webHidden/>
          </w:rPr>
          <w:t>8</w:t>
        </w:r>
        <w:r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4" w:history="1">
        <w:r w:rsidR="003B0DEE" w:rsidRPr="00AA07D8">
          <w:rPr>
            <w:rStyle w:val="Hyperlink"/>
            <w:rFonts w:cs="Arial"/>
            <w:noProof/>
          </w:rPr>
          <w:t>Figure 6</w:t>
        </w:r>
        <w:r w:rsidR="003B0DEE" w:rsidRPr="00AA07D8">
          <w:rPr>
            <w:rStyle w:val="Hyperlink"/>
            <w:rFonts w:cs="Arial"/>
            <w:noProof/>
          </w:rPr>
          <w:noBreakHyphen/>
          <w:t>1  Flow chart of the treatment discharge study cohort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_Toc15331954 \h </w:instrText>
        </w:r>
        <w:r w:rsidR="003B0DEE" w:rsidRPr="00AA07D8">
          <w:rPr>
            <w:noProof/>
            <w:webHidden/>
          </w:rPr>
        </w:r>
        <w:r w:rsidR="003B0DEE" w:rsidRPr="00AA07D8">
          <w:rPr>
            <w:noProof/>
            <w:webHidden/>
          </w:rPr>
          <w:fldChar w:fldCharType="separate"/>
        </w:r>
        <w:r w:rsidR="00551CD8">
          <w:rPr>
            <w:noProof/>
            <w:webHidden/>
          </w:rPr>
          <w:t>78</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5" w:history="1">
        <w:r w:rsidR="003B0DEE" w:rsidRPr="00AA07D8">
          <w:rPr>
            <w:rStyle w:val="Hyperlink"/>
            <w:rFonts w:cs="Arial"/>
            <w:noProof/>
          </w:rPr>
          <w:t>Figure 6</w:t>
        </w:r>
        <w:r w:rsidR="003B0DEE" w:rsidRPr="00AA07D8">
          <w:rPr>
            <w:rStyle w:val="Hyperlink"/>
            <w:rFonts w:cs="Arial"/>
            <w:noProof/>
          </w:rPr>
          <w:noBreakHyphen/>
          <w:t>2  Survival sample: Kaplan Meier plot of the cumulative probability of treatment retention in opioid treatment</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_Toc15331955 \h </w:instrText>
        </w:r>
        <w:r w:rsidR="003B0DEE" w:rsidRPr="00AA07D8">
          <w:rPr>
            <w:noProof/>
            <w:webHidden/>
          </w:rPr>
        </w:r>
        <w:r w:rsidR="003B0DEE" w:rsidRPr="00AA07D8">
          <w:rPr>
            <w:noProof/>
            <w:webHidden/>
          </w:rPr>
          <w:fldChar w:fldCharType="separate"/>
        </w:r>
        <w:r w:rsidR="00551CD8">
          <w:rPr>
            <w:noProof/>
            <w:webHidden/>
          </w:rPr>
          <w:t>86</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6" w:history="1">
        <w:r w:rsidR="003B0DEE" w:rsidRPr="00AA07D8">
          <w:rPr>
            <w:rStyle w:val="Hyperlink"/>
            <w:noProof/>
          </w:rPr>
          <w:t>Figure 6</w:t>
        </w:r>
        <w:r w:rsidR="003B0DEE" w:rsidRPr="00AA07D8">
          <w:rPr>
            <w:rStyle w:val="Hyperlink"/>
            <w:noProof/>
          </w:rPr>
          <w:noBreakHyphen/>
          <w:t xml:space="preserve">3  </w:t>
        </w:r>
        <w:r w:rsidR="003B0DEE" w:rsidRPr="00AA07D8">
          <w:rPr>
            <w:rStyle w:val="Hyperlink"/>
            <w:rFonts w:cs="Arial"/>
            <w:noProof/>
          </w:rPr>
          <w:t>Survival sample: Kaplan Meier plot of the cumulative probability of treatment retention in opioid treatment within the first year</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_Toc15331956 \h </w:instrText>
        </w:r>
        <w:r w:rsidR="003B0DEE" w:rsidRPr="00AA07D8">
          <w:rPr>
            <w:noProof/>
            <w:webHidden/>
          </w:rPr>
        </w:r>
        <w:r w:rsidR="003B0DEE" w:rsidRPr="00AA07D8">
          <w:rPr>
            <w:noProof/>
            <w:webHidden/>
          </w:rPr>
          <w:fldChar w:fldCharType="separate"/>
        </w:r>
        <w:r w:rsidR="00551CD8">
          <w:rPr>
            <w:noProof/>
            <w:webHidden/>
          </w:rPr>
          <w:t>87</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7" w:history="1">
        <w:r w:rsidR="003B0DEE" w:rsidRPr="00AA07D8">
          <w:rPr>
            <w:rStyle w:val="Hyperlink"/>
            <w:rFonts w:cs="Arial"/>
            <w:noProof/>
          </w:rPr>
          <w:t>Figure 6</w:t>
        </w:r>
        <w:r w:rsidR="003B0DEE" w:rsidRPr="00AA07D8">
          <w:rPr>
            <w:rStyle w:val="Hyperlink"/>
            <w:rFonts w:cs="Arial"/>
            <w:noProof/>
          </w:rPr>
          <w:noBreakHyphen/>
          <w:t>4  Opioid substitution modality: Kaplan Meier plot of the cumulative probability of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_Toc15331957 \h </w:instrText>
        </w:r>
        <w:r w:rsidR="003B0DEE" w:rsidRPr="00AA07D8">
          <w:rPr>
            <w:noProof/>
            <w:webHidden/>
          </w:rPr>
        </w:r>
        <w:r w:rsidR="003B0DEE" w:rsidRPr="00AA07D8">
          <w:rPr>
            <w:noProof/>
            <w:webHidden/>
          </w:rPr>
          <w:fldChar w:fldCharType="separate"/>
        </w:r>
        <w:r w:rsidR="00551CD8">
          <w:rPr>
            <w:noProof/>
            <w:webHidden/>
          </w:rPr>
          <w:t>91</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8" w:history="1">
        <w:r w:rsidR="003B0DEE" w:rsidRPr="00AA07D8">
          <w:rPr>
            <w:rStyle w:val="Hyperlink"/>
            <w:noProof/>
          </w:rPr>
          <w:t>Figure 6</w:t>
        </w:r>
        <w:r w:rsidR="003B0DEE" w:rsidRPr="00AA07D8">
          <w:rPr>
            <w:rStyle w:val="Hyperlink"/>
            <w:noProof/>
          </w:rPr>
          <w:noBreakHyphen/>
          <w:t xml:space="preserve">5  </w:t>
        </w:r>
        <w:r w:rsidR="003B0DEE" w:rsidRPr="00AA07D8">
          <w:rPr>
            <w:rStyle w:val="Hyperlink"/>
            <w:rFonts w:cs="Arial"/>
            <w:noProof/>
          </w:rPr>
          <w:t>Opioid substitution modality: Kaplan Meier plot of the cumulative probability of treatment retention within the first year of treatment</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_Toc15331958 \h </w:instrText>
        </w:r>
        <w:r w:rsidR="003B0DEE" w:rsidRPr="00AA07D8">
          <w:rPr>
            <w:noProof/>
            <w:webHidden/>
          </w:rPr>
        </w:r>
        <w:r w:rsidR="003B0DEE" w:rsidRPr="00AA07D8">
          <w:rPr>
            <w:noProof/>
            <w:webHidden/>
          </w:rPr>
          <w:fldChar w:fldCharType="separate"/>
        </w:r>
        <w:r w:rsidR="00551CD8">
          <w:rPr>
            <w:noProof/>
            <w:webHidden/>
          </w:rPr>
          <w:t>92</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59" w:history="1">
        <w:r w:rsidR="003B0DEE" w:rsidRPr="00AA07D8">
          <w:rPr>
            <w:rStyle w:val="Hyperlink"/>
            <w:rFonts w:cs="Arial"/>
            <w:noProof/>
          </w:rPr>
          <w:t>Figure 6</w:t>
        </w:r>
        <w:r w:rsidR="003B0DEE" w:rsidRPr="00AA07D8">
          <w:rPr>
            <w:rStyle w:val="Hyperlink"/>
            <w:rFonts w:cs="Arial"/>
            <w:noProof/>
          </w:rPr>
          <w:noBreakHyphen/>
          <w:t>6  Structured detoxification modality: Kaplan Meier plot of the cumulative probability of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_Toc15331959 \h </w:instrText>
        </w:r>
        <w:r w:rsidR="003B0DEE" w:rsidRPr="00AA07D8">
          <w:rPr>
            <w:noProof/>
            <w:webHidden/>
          </w:rPr>
        </w:r>
        <w:r w:rsidR="003B0DEE" w:rsidRPr="00AA07D8">
          <w:rPr>
            <w:noProof/>
            <w:webHidden/>
          </w:rPr>
          <w:fldChar w:fldCharType="separate"/>
        </w:r>
        <w:r w:rsidR="00551CD8">
          <w:rPr>
            <w:noProof/>
            <w:webHidden/>
          </w:rPr>
          <w:t>93</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60" w:history="1">
        <w:r w:rsidR="003B0DEE" w:rsidRPr="00AA07D8">
          <w:rPr>
            <w:rStyle w:val="Hyperlink"/>
            <w:noProof/>
          </w:rPr>
          <w:t>Figure 6</w:t>
        </w:r>
        <w:r w:rsidR="003B0DEE" w:rsidRPr="00AA07D8">
          <w:rPr>
            <w:rStyle w:val="Hyperlink"/>
            <w:noProof/>
          </w:rPr>
          <w:noBreakHyphen/>
          <w:t xml:space="preserve">7  </w:t>
        </w:r>
        <w:r w:rsidR="003B0DEE" w:rsidRPr="00AA07D8">
          <w:rPr>
            <w:rStyle w:val="Hyperlink"/>
            <w:rFonts w:cs="Arial"/>
            <w:noProof/>
          </w:rPr>
          <w:t>Structured detoxification modality: Kaplan Meier plot of the cumulative probability of treatment retention within the first year of treatment</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_Toc15331960 \h </w:instrText>
        </w:r>
        <w:r w:rsidR="003B0DEE" w:rsidRPr="00AA07D8">
          <w:rPr>
            <w:noProof/>
            <w:webHidden/>
          </w:rPr>
        </w:r>
        <w:r w:rsidR="003B0DEE" w:rsidRPr="00AA07D8">
          <w:rPr>
            <w:noProof/>
            <w:webHidden/>
          </w:rPr>
          <w:fldChar w:fldCharType="separate"/>
        </w:r>
        <w:r w:rsidR="00551CD8">
          <w:rPr>
            <w:noProof/>
            <w:webHidden/>
          </w:rPr>
          <w:t>94</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61" w:history="1">
        <w:r w:rsidR="003B0DEE" w:rsidRPr="00AA07D8">
          <w:rPr>
            <w:rStyle w:val="Hyperlink"/>
            <w:rFonts w:cs="Arial"/>
            <w:noProof/>
          </w:rPr>
          <w:t>Figure 6</w:t>
        </w:r>
        <w:r w:rsidR="003B0DEE" w:rsidRPr="00AA07D8">
          <w:rPr>
            <w:rStyle w:val="Hyperlink"/>
            <w:rFonts w:cs="Arial"/>
            <w:noProof/>
          </w:rPr>
          <w:noBreakHyphen/>
          <w:t>8  Counselling only modality: Kaplan Meier plot of the cumulative probability of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_Toc15331961 \h </w:instrText>
        </w:r>
        <w:r w:rsidR="003B0DEE" w:rsidRPr="00AA07D8">
          <w:rPr>
            <w:noProof/>
            <w:webHidden/>
          </w:rPr>
        </w:r>
        <w:r w:rsidR="003B0DEE" w:rsidRPr="00AA07D8">
          <w:rPr>
            <w:noProof/>
            <w:webHidden/>
          </w:rPr>
          <w:fldChar w:fldCharType="separate"/>
        </w:r>
        <w:r w:rsidR="00551CD8">
          <w:rPr>
            <w:noProof/>
            <w:webHidden/>
          </w:rPr>
          <w:t>95</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62" w:history="1">
        <w:r w:rsidR="003B0DEE" w:rsidRPr="00AA07D8">
          <w:rPr>
            <w:rStyle w:val="Hyperlink"/>
            <w:noProof/>
          </w:rPr>
          <w:t>Figure 6</w:t>
        </w:r>
        <w:r w:rsidR="003B0DEE" w:rsidRPr="00AA07D8">
          <w:rPr>
            <w:rStyle w:val="Hyperlink"/>
            <w:noProof/>
          </w:rPr>
          <w:noBreakHyphen/>
          <w:t xml:space="preserve">9  </w:t>
        </w:r>
        <w:r w:rsidR="003B0DEE" w:rsidRPr="00AA07D8">
          <w:rPr>
            <w:rStyle w:val="Hyperlink"/>
            <w:rFonts w:cs="Arial"/>
            <w:noProof/>
          </w:rPr>
          <w:t>Counselling only modality: Kaplan Meier plot of the cumulative probability of treatment retention within the first year of treatment</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_Toc15331962 \h </w:instrText>
        </w:r>
        <w:r w:rsidR="003B0DEE" w:rsidRPr="00AA07D8">
          <w:rPr>
            <w:noProof/>
            <w:webHidden/>
          </w:rPr>
        </w:r>
        <w:r w:rsidR="003B0DEE" w:rsidRPr="00AA07D8">
          <w:rPr>
            <w:noProof/>
            <w:webHidden/>
          </w:rPr>
          <w:fldChar w:fldCharType="separate"/>
        </w:r>
        <w:r w:rsidR="00551CD8">
          <w:rPr>
            <w:noProof/>
            <w:webHidden/>
          </w:rPr>
          <w:t>96</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63" w:history="1">
        <w:r w:rsidR="003B0DEE" w:rsidRPr="00AA07D8">
          <w:rPr>
            <w:rStyle w:val="Hyperlink"/>
            <w:rFonts w:cs="Arial"/>
            <w:noProof/>
          </w:rPr>
          <w:t>Figure 6</w:t>
        </w:r>
        <w:r w:rsidR="003B0DEE" w:rsidRPr="00AA07D8">
          <w:rPr>
            <w:rStyle w:val="Hyperlink"/>
            <w:rFonts w:cs="Arial"/>
            <w:noProof/>
          </w:rPr>
          <w:noBreakHyphen/>
          <w:t>10  Other psychosocial interventions modality: Kaplan Meier plot of the cumulative probability of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_Toc15331963 \h </w:instrText>
        </w:r>
        <w:r w:rsidR="003B0DEE" w:rsidRPr="00AA07D8">
          <w:rPr>
            <w:noProof/>
            <w:webHidden/>
          </w:rPr>
        </w:r>
        <w:r w:rsidR="003B0DEE" w:rsidRPr="00AA07D8">
          <w:rPr>
            <w:noProof/>
            <w:webHidden/>
          </w:rPr>
          <w:fldChar w:fldCharType="separate"/>
        </w:r>
        <w:r w:rsidR="00551CD8">
          <w:rPr>
            <w:noProof/>
            <w:webHidden/>
          </w:rPr>
          <w:t>98</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64" w:history="1">
        <w:r w:rsidR="003B0DEE" w:rsidRPr="00AA07D8">
          <w:rPr>
            <w:rStyle w:val="Hyperlink"/>
            <w:rFonts w:cs="Arial"/>
            <w:noProof/>
          </w:rPr>
          <w:t>Figure 6</w:t>
        </w:r>
        <w:r w:rsidR="003B0DEE" w:rsidRPr="00AA07D8">
          <w:rPr>
            <w:rStyle w:val="Hyperlink"/>
            <w:rFonts w:cs="Arial"/>
            <w:noProof/>
          </w:rPr>
          <w:noBreakHyphen/>
          <w:t>11  Other psychosocial interventions modality: Kaplan Meier plot of the cumulative probability of treatment retention within the first year of treatment</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_Toc15331964 \h </w:instrText>
        </w:r>
        <w:r w:rsidR="003B0DEE" w:rsidRPr="00AA07D8">
          <w:rPr>
            <w:noProof/>
            <w:webHidden/>
          </w:rPr>
        </w:r>
        <w:r w:rsidR="003B0DEE" w:rsidRPr="00AA07D8">
          <w:rPr>
            <w:noProof/>
            <w:webHidden/>
          </w:rPr>
          <w:fldChar w:fldCharType="separate"/>
        </w:r>
        <w:r w:rsidR="00551CD8">
          <w:rPr>
            <w:noProof/>
            <w:webHidden/>
          </w:rPr>
          <w:t>98</w:t>
        </w:r>
        <w:r w:rsidR="003B0DEE" w:rsidRPr="00AA07D8">
          <w:rPr>
            <w:noProof/>
            <w:webHidden/>
          </w:rPr>
          <w:fldChar w:fldCharType="end"/>
        </w:r>
      </w:hyperlink>
    </w:p>
    <w:p w:rsidR="003B0DEE" w:rsidRDefault="003B0DEE" w:rsidP="000D5D90">
      <w:pPr>
        <w:pStyle w:val="NoSpacing"/>
        <w:jc w:val="center"/>
        <w:rPr>
          <w:rFonts w:ascii="Arial" w:hAnsi="Arial" w:cs="Arial"/>
          <w:b/>
          <w:sz w:val="28"/>
          <w:szCs w:val="28"/>
        </w:rPr>
      </w:pPr>
      <w:r w:rsidRPr="00AA07D8">
        <w:rPr>
          <w:rFonts w:ascii="Arial" w:hAnsi="Arial" w:cs="Arial"/>
          <w:sz w:val="20"/>
        </w:rPr>
        <w:fldChar w:fldCharType="end"/>
      </w:r>
    </w:p>
    <w:p w:rsidR="003B0DEE" w:rsidRPr="00CF1ABA" w:rsidRDefault="003B0DEE" w:rsidP="000D5D90">
      <w:pPr>
        <w:pStyle w:val="NoSpacing"/>
        <w:jc w:val="center"/>
        <w:rPr>
          <w:rFonts w:ascii="Arial" w:hAnsi="Arial" w:cs="Arial"/>
          <w:b/>
          <w:sz w:val="28"/>
          <w:szCs w:val="28"/>
        </w:rPr>
        <w:sectPr w:rsidR="003B0DEE" w:rsidRPr="00CF1ABA" w:rsidSect="000D5D90">
          <w:pgSz w:w="11906" w:h="16838" w:code="9"/>
          <w:pgMar w:top="1134" w:right="1134" w:bottom="1134" w:left="1985" w:header="709" w:footer="709" w:gutter="0"/>
          <w:pgNumType w:fmt="lowerRoman"/>
          <w:cols w:space="708"/>
          <w:docGrid w:linePitch="360"/>
        </w:sectPr>
      </w:pPr>
    </w:p>
    <w:p w:rsidR="003B0DEE" w:rsidRDefault="003B0DEE" w:rsidP="000D5D90">
      <w:pPr>
        <w:pStyle w:val="NoSpacing"/>
        <w:jc w:val="center"/>
        <w:rPr>
          <w:rFonts w:ascii="Arial" w:hAnsi="Arial" w:cs="Arial"/>
          <w:b/>
          <w:sz w:val="28"/>
          <w:szCs w:val="28"/>
        </w:rPr>
      </w:pPr>
      <w:r w:rsidRPr="00CF1ABA">
        <w:rPr>
          <w:rFonts w:ascii="Arial" w:hAnsi="Arial" w:cs="Arial"/>
          <w:b/>
          <w:sz w:val="28"/>
          <w:szCs w:val="28"/>
        </w:rPr>
        <w:lastRenderedPageBreak/>
        <w:t>List of Tables</w:t>
      </w:r>
    </w:p>
    <w:p w:rsidR="003B0DEE" w:rsidRDefault="003B0DEE" w:rsidP="000D5D90">
      <w:pPr>
        <w:pStyle w:val="NoSpacing"/>
        <w:jc w:val="center"/>
        <w:rPr>
          <w:rFonts w:ascii="Arial" w:hAnsi="Arial" w:cs="Arial"/>
          <w:b/>
          <w:sz w:val="28"/>
          <w:szCs w:val="28"/>
        </w:rPr>
      </w:pPr>
    </w:p>
    <w:p w:rsidR="003B0DEE" w:rsidRPr="00AA07D8" w:rsidRDefault="003B0DEE">
      <w:pPr>
        <w:pStyle w:val="TableofFigures"/>
        <w:tabs>
          <w:tab w:val="right" w:leader="dot" w:pos="8777"/>
        </w:tabs>
        <w:rPr>
          <w:rFonts w:asciiTheme="minorHAnsi" w:eastAsiaTheme="minorEastAsia" w:hAnsiTheme="minorHAnsi" w:cstheme="minorBidi"/>
          <w:noProof/>
          <w:sz w:val="22"/>
          <w:szCs w:val="22"/>
        </w:rPr>
      </w:pPr>
      <w:r w:rsidRPr="00B6222C">
        <w:rPr>
          <w:rFonts w:cs="Arial"/>
        </w:rPr>
        <w:fldChar w:fldCharType="begin"/>
      </w:r>
      <w:r w:rsidRPr="00B6222C">
        <w:rPr>
          <w:rFonts w:cs="Arial"/>
        </w:rPr>
        <w:instrText xml:space="preserve"> TOC \h \z \c "Table" </w:instrText>
      </w:r>
      <w:r w:rsidRPr="00B6222C">
        <w:rPr>
          <w:rFonts w:cs="Arial"/>
        </w:rPr>
        <w:fldChar w:fldCharType="separate"/>
      </w:r>
      <w:hyperlink w:anchor="_Toc15331990" w:history="1">
        <w:r w:rsidRPr="00AA07D8">
          <w:rPr>
            <w:rStyle w:val="Hyperlink"/>
            <w:noProof/>
          </w:rPr>
          <w:t>Table 2</w:t>
        </w:r>
        <w:r w:rsidRPr="00AA07D8">
          <w:rPr>
            <w:rStyle w:val="Hyperlink"/>
            <w:noProof/>
          </w:rPr>
          <w:noBreakHyphen/>
          <w:t xml:space="preserve">1 </w:t>
        </w:r>
        <w:r w:rsidRPr="00AA07D8">
          <w:rPr>
            <w:rStyle w:val="Hyperlink"/>
            <w:rFonts w:cs="Arial"/>
            <w:noProof/>
          </w:rPr>
          <w:t>Key Opioid treatment studies among older people</w:t>
        </w:r>
        <w:r w:rsidRPr="00AA07D8">
          <w:rPr>
            <w:noProof/>
            <w:webHidden/>
          </w:rPr>
          <w:tab/>
        </w:r>
        <w:r w:rsidRPr="00AA07D8">
          <w:rPr>
            <w:noProof/>
            <w:webHidden/>
          </w:rPr>
          <w:fldChar w:fldCharType="begin"/>
        </w:r>
        <w:r w:rsidRPr="00AA07D8">
          <w:rPr>
            <w:noProof/>
            <w:webHidden/>
          </w:rPr>
          <w:instrText xml:space="preserve"> PAGEREF _Toc15331990 \h </w:instrText>
        </w:r>
        <w:r w:rsidRPr="00AA07D8">
          <w:rPr>
            <w:noProof/>
            <w:webHidden/>
          </w:rPr>
        </w:r>
        <w:r w:rsidRPr="00AA07D8">
          <w:rPr>
            <w:noProof/>
            <w:webHidden/>
          </w:rPr>
          <w:fldChar w:fldCharType="separate"/>
        </w:r>
        <w:r w:rsidR="00551CD8">
          <w:rPr>
            <w:noProof/>
            <w:webHidden/>
          </w:rPr>
          <w:t>16</w:t>
        </w:r>
        <w:r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1" w:history="1">
        <w:r w:rsidR="003B0DEE" w:rsidRPr="00AA07D8">
          <w:rPr>
            <w:rStyle w:val="Hyperlink"/>
            <w:rFonts w:cs="Arial"/>
            <w:noProof/>
          </w:rPr>
          <w:t>Table 4</w:t>
        </w:r>
        <w:r w:rsidR="003B0DEE" w:rsidRPr="00AA07D8">
          <w:rPr>
            <w:rStyle w:val="Hyperlink"/>
            <w:rFonts w:cs="Arial"/>
            <w:noProof/>
          </w:rPr>
          <w:noBreakHyphen/>
          <w:t>1  Number of first-time treatment admissions by opioid type, 1995–2015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_Toc15331991 \h </w:instrText>
        </w:r>
        <w:r w:rsidR="003B0DEE" w:rsidRPr="00AA07D8">
          <w:rPr>
            <w:noProof/>
            <w:webHidden/>
          </w:rPr>
        </w:r>
        <w:r w:rsidR="003B0DEE" w:rsidRPr="00AA07D8">
          <w:rPr>
            <w:noProof/>
            <w:webHidden/>
          </w:rPr>
          <w:fldChar w:fldCharType="separate"/>
        </w:r>
        <w:r w:rsidR="00551CD8">
          <w:rPr>
            <w:noProof/>
            <w:webHidden/>
          </w:rPr>
          <w:t>39</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2" w:history="1">
        <w:r w:rsidR="003B0DEE" w:rsidRPr="00AA07D8">
          <w:rPr>
            <w:rStyle w:val="Hyperlink"/>
            <w:rFonts w:cs="Arial"/>
            <w:noProof/>
          </w:rPr>
          <w:t>Table 4</w:t>
        </w:r>
        <w:r w:rsidR="003B0DEE" w:rsidRPr="00AA07D8">
          <w:rPr>
            <w:rStyle w:val="Hyperlink"/>
            <w:rFonts w:cs="Arial"/>
            <w:noProof/>
          </w:rPr>
          <w:noBreakHyphen/>
          <w:t>2  Sociodemographic characteristics of first-time opioid treatment entrants in 1995 and 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_Toc15331992 \h </w:instrText>
        </w:r>
        <w:r w:rsidR="003B0DEE" w:rsidRPr="00AA07D8">
          <w:rPr>
            <w:noProof/>
            <w:webHidden/>
          </w:rPr>
        </w:r>
        <w:r w:rsidR="003B0DEE" w:rsidRPr="00AA07D8">
          <w:rPr>
            <w:noProof/>
            <w:webHidden/>
          </w:rPr>
          <w:fldChar w:fldCharType="separate"/>
        </w:r>
        <w:r w:rsidR="00551CD8">
          <w:rPr>
            <w:noProof/>
            <w:webHidden/>
          </w:rPr>
          <w:t>41</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3" w:history="1">
        <w:r w:rsidR="003B0DEE" w:rsidRPr="00AA07D8">
          <w:rPr>
            <w:rStyle w:val="Hyperlink"/>
            <w:rFonts w:cs="Arial"/>
            <w:noProof/>
          </w:rPr>
          <w:t>Table 4</w:t>
        </w:r>
        <w:r w:rsidR="003B0DEE" w:rsidRPr="00AA07D8">
          <w:rPr>
            <w:rStyle w:val="Hyperlink"/>
            <w:rFonts w:cs="Arial"/>
            <w:noProof/>
          </w:rPr>
          <w:noBreakHyphen/>
          <w:t>3  Drug-using career and opioid-using behaviours for first-time opioid treatment entrants in 1995 and 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_Toc15331993 \h </w:instrText>
        </w:r>
        <w:r w:rsidR="003B0DEE" w:rsidRPr="00AA07D8">
          <w:rPr>
            <w:noProof/>
            <w:webHidden/>
          </w:rPr>
        </w:r>
        <w:r w:rsidR="003B0DEE" w:rsidRPr="00AA07D8">
          <w:rPr>
            <w:noProof/>
            <w:webHidden/>
          </w:rPr>
          <w:fldChar w:fldCharType="separate"/>
        </w:r>
        <w:r w:rsidR="00551CD8">
          <w:rPr>
            <w:noProof/>
            <w:webHidden/>
          </w:rPr>
          <w:t>43</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4" w:history="1">
        <w:r w:rsidR="003B0DEE" w:rsidRPr="00AA07D8">
          <w:rPr>
            <w:rStyle w:val="Hyperlink"/>
            <w:rFonts w:cs="Arial"/>
            <w:noProof/>
          </w:rPr>
          <w:t>Table 4</w:t>
        </w:r>
        <w:r w:rsidR="003B0DEE" w:rsidRPr="00AA07D8">
          <w:rPr>
            <w:rStyle w:val="Hyperlink"/>
            <w:rFonts w:cs="Arial"/>
            <w:noProof/>
          </w:rPr>
          <w:noBreakHyphen/>
          <w:t>4  Polysubstance use and additional drugs used alongside opioids for first-time opioid treatment entrants in 1995 and 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_Toc15331994 \h </w:instrText>
        </w:r>
        <w:r w:rsidR="003B0DEE" w:rsidRPr="00AA07D8">
          <w:rPr>
            <w:noProof/>
            <w:webHidden/>
          </w:rPr>
        </w:r>
        <w:r w:rsidR="003B0DEE" w:rsidRPr="00AA07D8">
          <w:rPr>
            <w:noProof/>
            <w:webHidden/>
          </w:rPr>
          <w:fldChar w:fldCharType="separate"/>
        </w:r>
        <w:r w:rsidR="00551CD8">
          <w:rPr>
            <w:noProof/>
            <w:webHidden/>
          </w:rPr>
          <w:t>45</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5" w:history="1">
        <w:r w:rsidR="003B0DEE" w:rsidRPr="00AA07D8">
          <w:rPr>
            <w:rStyle w:val="Hyperlink"/>
            <w:rFonts w:cs="Arial"/>
            <w:noProof/>
          </w:rPr>
          <w:t>Table 4</w:t>
        </w:r>
        <w:r w:rsidR="003B0DEE" w:rsidRPr="00AA07D8">
          <w:rPr>
            <w:rStyle w:val="Hyperlink"/>
            <w:rFonts w:cs="Arial"/>
            <w:noProof/>
          </w:rPr>
          <w:noBreakHyphen/>
          <w:t>5  Injecting risk behaviours for first-time opioid treatment entrants in 1995 and 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_Toc15331995 \h </w:instrText>
        </w:r>
        <w:r w:rsidR="003B0DEE" w:rsidRPr="00AA07D8">
          <w:rPr>
            <w:noProof/>
            <w:webHidden/>
          </w:rPr>
        </w:r>
        <w:r w:rsidR="003B0DEE" w:rsidRPr="00AA07D8">
          <w:rPr>
            <w:noProof/>
            <w:webHidden/>
          </w:rPr>
          <w:fldChar w:fldCharType="separate"/>
        </w:r>
        <w:r w:rsidR="00551CD8">
          <w:rPr>
            <w:noProof/>
            <w:webHidden/>
          </w:rPr>
          <w:t>47</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6" w:history="1">
        <w:r w:rsidR="003B0DEE" w:rsidRPr="00AA07D8">
          <w:rPr>
            <w:rStyle w:val="Hyperlink"/>
            <w:rFonts w:cs="Arial"/>
            <w:noProof/>
          </w:rPr>
          <w:t>Table 4</w:t>
        </w:r>
        <w:r w:rsidR="003B0DEE" w:rsidRPr="00AA07D8">
          <w:rPr>
            <w:rStyle w:val="Hyperlink"/>
            <w:rFonts w:cs="Arial"/>
            <w:noProof/>
          </w:rPr>
          <w:noBreakHyphen/>
          <w:t>6  Crude and age-adjusted incidence rates (per 100,000 population) for first-time opioid treatment entrants, 1995–2015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_Toc15331996 \h </w:instrText>
        </w:r>
        <w:r w:rsidR="003B0DEE" w:rsidRPr="00AA07D8">
          <w:rPr>
            <w:noProof/>
            <w:webHidden/>
          </w:rPr>
        </w:r>
        <w:r w:rsidR="003B0DEE" w:rsidRPr="00AA07D8">
          <w:rPr>
            <w:noProof/>
            <w:webHidden/>
          </w:rPr>
          <w:fldChar w:fldCharType="separate"/>
        </w:r>
        <w:r w:rsidR="00551CD8">
          <w:rPr>
            <w:noProof/>
            <w:webHidden/>
          </w:rPr>
          <w:t>49</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7" w:history="1">
        <w:r w:rsidR="003B0DEE" w:rsidRPr="00AA07D8">
          <w:rPr>
            <w:rStyle w:val="Hyperlink"/>
            <w:rFonts w:cs="Arial"/>
            <w:noProof/>
          </w:rPr>
          <w:t>Table 4</w:t>
        </w:r>
        <w:r w:rsidR="003B0DEE" w:rsidRPr="00AA07D8">
          <w:rPr>
            <w:rStyle w:val="Hyperlink"/>
            <w:rFonts w:cs="Arial"/>
            <w:noProof/>
          </w:rPr>
          <w:noBreakHyphen/>
          <w:t>7  Significant trends in incidence rates and annual percentage change (APC) of first-time opioid treatment admissions per year and age group</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_Toc15331997 \h </w:instrText>
        </w:r>
        <w:r w:rsidR="003B0DEE" w:rsidRPr="00AA07D8">
          <w:rPr>
            <w:noProof/>
            <w:webHidden/>
          </w:rPr>
        </w:r>
        <w:r w:rsidR="003B0DEE" w:rsidRPr="00AA07D8">
          <w:rPr>
            <w:noProof/>
            <w:webHidden/>
          </w:rPr>
          <w:fldChar w:fldCharType="separate"/>
        </w:r>
        <w:r w:rsidR="00551CD8">
          <w:rPr>
            <w:noProof/>
            <w:webHidden/>
          </w:rPr>
          <w:t>50</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8" w:history="1">
        <w:r w:rsidR="003B0DEE" w:rsidRPr="00AA07D8">
          <w:rPr>
            <w:rStyle w:val="Hyperlink"/>
            <w:rFonts w:cs="Arial"/>
            <w:noProof/>
          </w:rPr>
          <w:t>Table 5</w:t>
        </w:r>
        <w:r w:rsidR="003B0DEE" w:rsidRPr="00AA07D8">
          <w:rPr>
            <w:rStyle w:val="Hyperlink"/>
            <w:rFonts w:cs="Arial"/>
            <w:noProof/>
          </w:rPr>
          <w:noBreakHyphen/>
          <w:t>1  Typologies of first-time opioid treatment entrants,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_Toc15331998 \h </w:instrText>
        </w:r>
        <w:r w:rsidR="003B0DEE" w:rsidRPr="00AA07D8">
          <w:rPr>
            <w:noProof/>
            <w:webHidden/>
          </w:rPr>
        </w:r>
        <w:r w:rsidR="003B0DEE" w:rsidRPr="00AA07D8">
          <w:rPr>
            <w:noProof/>
            <w:webHidden/>
          </w:rPr>
          <w:fldChar w:fldCharType="separate"/>
        </w:r>
        <w:r w:rsidR="00551CD8">
          <w:rPr>
            <w:noProof/>
            <w:webHidden/>
          </w:rPr>
          <w:t>60</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1999" w:history="1">
        <w:r w:rsidR="003B0DEE" w:rsidRPr="00AA07D8">
          <w:rPr>
            <w:rStyle w:val="Hyperlink"/>
            <w:noProof/>
          </w:rPr>
          <w:t>Table 5</w:t>
        </w:r>
        <w:r w:rsidR="003B0DEE" w:rsidRPr="00AA07D8">
          <w:rPr>
            <w:rStyle w:val="Hyperlink"/>
            <w:noProof/>
          </w:rPr>
          <w:noBreakHyphen/>
          <w:t>2</w:t>
        </w:r>
        <w:r w:rsidR="003B0DEE" w:rsidRPr="00AA07D8">
          <w:rPr>
            <w:rStyle w:val="Hyperlink"/>
            <w:rFonts w:cs="Arial"/>
            <w:noProof/>
          </w:rPr>
          <w:t xml:space="preserve">  Sociodemographic characteristics of first-time opioid treatment entrants,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_Toc15331999 \h </w:instrText>
        </w:r>
        <w:r w:rsidR="003B0DEE" w:rsidRPr="00AA07D8">
          <w:rPr>
            <w:noProof/>
            <w:webHidden/>
          </w:rPr>
        </w:r>
        <w:r w:rsidR="003B0DEE" w:rsidRPr="00AA07D8">
          <w:rPr>
            <w:noProof/>
            <w:webHidden/>
          </w:rPr>
          <w:fldChar w:fldCharType="separate"/>
        </w:r>
        <w:r w:rsidR="00551CD8">
          <w:rPr>
            <w:noProof/>
            <w:webHidden/>
          </w:rPr>
          <w:t>61</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0" w:history="1">
        <w:r w:rsidR="003B0DEE" w:rsidRPr="00AA07D8">
          <w:rPr>
            <w:rStyle w:val="Hyperlink"/>
            <w:noProof/>
          </w:rPr>
          <w:t>Table 5</w:t>
        </w:r>
        <w:r w:rsidR="003B0DEE" w:rsidRPr="00AA07D8">
          <w:rPr>
            <w:rStyle w:val="Hyperlink"/>
            <w:noProof/>
          </w:rPr>
          <w:noBreakHyphen/>
          <w:t>3  Drug-using career and opioid-using behaviours of first-time opioid treatment entrants,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_Toc15332000 \h </w:instrText>
        </w:r>
        <w:r w:rsidR="003B0DEE" w:rsidRPr="00AA07D8">
          <w:rPr>
            <w:noProof/>
            <w:webHidden/>
          </w:rPr>
        </w:r>
        <w:r w:rsidR="003B0DEE" w:rsidRPr="00AA07D8">
          <w:rPr>
            <w:noProof/>
            <w:webHidden/>
          </w:rPr>
          <w:fldChar w:fldCharType="separate"/>
        </w:r>
        <w:r w:rsidR="00551CD8">
          <w:rPr>
            <w:noProof/>
            <w:webHidden/>
          </w:rPr>
          <w:t>65</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1" w:history="1">
        <w:r w:rsidR="003B0DEE" w:rsidRPr="00AA07D8">
          <w:rPr>
            <w:rStyle w:val="Hyperlink"/>
            <w:noProof/>
          </w:rPr>
          <w:t>Table 5</w:t>
        </w:r>
        <w:r w:rsidR="003B0DEE" w:rsidRPr="00AA07D8">
          <w:rPr>
            <w:rStyle w:val="Hyperlink"/>
            <w:noProof/>
          </w:rPr>
          <w:noBreakHyphen/>
          <w:t>4  Change in opioid-using durations of first-time opioid treatment entrants,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_Toc15332001 \h </w:instrText>
        </w:r>
        <w:r w:rsidR="003B0DEE" w:rsidRPr="00AA07D8">
          <w:rPr>
            <w:noProof/>
            <w:webHidden/>
          </w:rPr>
        </w:r>
        <w:r w:rsidR="003B0DEE" w:rsidRPr="00AA07D8">
          <w:rPr>
            <w:noProof/>
            <w:webHidden/>
          </w:rPr>
          <w:fldChar w:fldCharType="separate"/>
        </w:r>
        <w:r w:rsidR="00551CD8">
          <w:rPr>
            <w:noProof/>
            <w:webHidden/>
          </w:rPr>
          <w:t>66</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2" w:history="1">
        <w:r w:rsidR="003B0DEE" w:rsidRPr="00AA07D8">
          <w:rPr>
            <w:rStyle w:val="Hyperlink"/>
            <w:noProof/>
          </w:rPr>
          <w:t>Table 5</w:t>
        </w:r>
        <w:r w:rsidR="003B0DEE" w:rsidRPr="00AA07D8">
          <w:rPr>
            <w:rStyle w:val="Hyperlink"/>
            <w:noProof/>
          </w:rPr>
          <w:noBreakHyphen/>
          <w:t>5  Injecting risk behaviours of first-time opioid treatment entrants, 2009–2015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_Toc15332002 \h </w:instrText>
        </w:r>
        <w:r w:rsidR="003B0DEE" w:rsidRPr="00AA07D8">
          <w:rPr>
            <w:noProof/>
            <w:webHidden/>
          </w:rPr>
        </w:r>
        <w:r w:rsidR="003B0DEE" w:rsidRPr="00AA07D8">
          <w:rPr>
            <w:noProof/>
            <w:webHidden/>
          </w:rPr>
          <w:fldChar w:fldCharType="separate"/>
        </w:r>
        <w:r w:rsidR="00551CD8">
          <w:rPr>
            <w:noProof/>
            <w:webHidden/>
          </w:rPr>
          <w:t>68</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3" w:history="1">
        <w:r w:rsidR="003B0DEE" w:rsidRPr="00AA07D8">
          <w:rPr>
            <w:rStyle w:val="Hyperlink"/>
            <w:noProof/>
          </w:rPr>
          <w:t>Table 5</w:t>
        </w:r>
        <w:r w:rsidR="003B0DEE" w:rsidRPr="00AA07D8">
          <w:rPr>
            <w:rStyle w:val="Hyperlink"/>
            <w:noProof/>
          </w:rPr>
          <w:noBreakHyphen/>
          <w:t>6  Criteria used to develop a definition of ‘older’ opioid user</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_Toc15332003 \h </w:instrText>
        </w:r>
        <w:r w:rsidR="003B0DEE" w:rsidRPr="00AA07D8">
          <w:rPr>
            <w:noProof/>
            <w:webHidden/>
          </w:rPr>
        </w:r>
        <w:r w:rsidR="003B0DEE" w:rsidRPr="00AA07D8">
          <w:rPr>
            <w:noProof/>
            <w:webHidden/>
          </w:rPr>
          <w:fldChar w:fldCharType="separate"/>
        </w:r>
        <w:r w:rsidR="00551CD8">
          <w:rPr>
            <w:noProof/>
            <w:webHidden/>
          </w:rPr>
          <w:t>69</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4" w:history="1">
        <w:r w:rsidR="003B0DEE" w:rsidRPr="00AA07D8">
          <w:rPr>
            <w:rStyle w:val="Hyperlink"/>
            <w:noProof/>
          </w:rPr>
          <w:t>Table 5</w:t>
        </w:r>
        <w:r w:rsidR="003B0DEE" w:rsidRPr="00AA07D8">
          <w:rPr>
            <w:rStyle w:val="Hyperlink"/>
            <w:noProof/>
          </w:rPr>
          <w:noBreakHyphen/>
          <w:t>7  Number of people entering treatment in 2015 classified as ‘older’</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_Toc15332004 \h </w:instrText>
        </w:r>
        <w:r w:rsidR="003B0DEE" w:rsidRPr="00AA07D8">
          <w:rPr>
            <w:noProof/>
            <w:webHidden/>
          </w:rPr>
        </w:r>
        <w:r w:rsidR="003B0DEE" w:rsidRPr="00AA07D8">
          <w:rPr>
            <w:noProof/>
            <w:webHidden/>
          </w:rPr>
          <w:fldChar w:fldCharType="separate"/>
        </w:r>
        <w:r w:rsidR="00551CD8">
          <w:rPr>
            <w:noProof/>
            <w:webHidden/>
          </w:rPr>
          <w:t>69</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5" w:history="1">
        <w:r w:rsidR="003B0DEE" w:rsidRPr="00AA07D8">
          <w:rPr>
            <w:rStyle w:val="Hyperlink"/>
            <w:noProof/>
          </w:rPr>
          <w:t>Table 6</w:t>
        </w:r>
        <w:r w:rsidR="003B0DEE" w:rsidRPr="00AA07D8">
          <w:rPr>
            <w:rStyle w:val="Hyperlink"/>
            <w:noProof/>
          </w:rPr>
          <w:noBreakHyphen/>
          <w:t>1  Reason for treatment discharge for first-time opioid treatment entrants 2009</w:t>
        </w:r>
        <w:r w:rsidR="003B0DEE" w:rsidRPr="00AA07D8">
          <w:rPr>
            <w:rStyle w:val="Hyperlink"/>
            <w:rFonts w:cs="Arial"/>
            <w:noProof/>
          </w:rPr>
          <w:t>–2015</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_Toc15332005 \h </w:instrText>
        </w:r>
        <w:r w:rsidR="003B0DEE" w:rsidRPr="00AA07D8">
          <w:rPr>
            <w:noProof/>
            <w:webHidden/>
          </w:rPr>
        </w:r>
        <w:r w:rsidR="003B0DEE" w:rsidRPr="00AA07D8">
          <w:rPr>
            <w:noProof/>
            <w:webHidden/>
          </w:rPr>
          <w:fldChar w:fldCharType="separate"/>
        </w:r>
        <w:r w:rsidR="00551CD8">
          <w:rPr>
            <w:noProof/>
            <w:webHidden/>
          </w:rPr>
          <w:t>78</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6" w:history="1">
        <w:r w:rsidR="003B0DEE" w:rsidRPr="00AA07D8">
          <w:rPr>
            <w:rStyle w:val="Hyperlink"/>
            <w:noProof/>
          </w:rPr>
          <w:t>Table 6</w:t>
        </w:r>
        <w:r w:rsidR="003B0DEE" w:rsidRPr="00AA07D8">
          <w:rPr>
            <w:rStyle w:val="Hyperlink"/>
            <w:noProof/>
          </w:rPr>
          <w:noBreakHyphen/>
          <w:t>2  Discharge data: Frequencies, percentages completing or dropping out of treatment, and chi-squared test results for client sociodemographic characteristics used in the analysis</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_Toc15332006 \h </w:instrText>
        </w:r>
        <w:r w:rsidR="003B0DEE" w:rsidRPr="00AA07D8">
          <w:rPr>
            <w:noProof/>
            <w:webHidden/>
          </w:rPr>
        </w:r>
        <w:r w:rsidR="003B0DEE" w:rsidRPr="00AA07D8">
          <w:rPr>
            <w:noProof/>
            <w:webHidden/>
          </w:rPr>
          <w:fldChar w:fldCharType="separate"/>
        </w:r>
        <w:r w:rsidR="00551CD8">
          <w:rPr>
            <w:noProof/>
            <w:webHidden/>
          </w:rPr>
          <w:t>81</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7" w:history="1">
        <w:r w:rsidR="003B0DEE" w:rsidRPr="00AA07D8">
          <w:rPr>
            <w:rStyle w:val="Hyperlink"/>
            <w:noProof/>
          </w:rPr>
          <w:t>Table 6</w:t>
        </w:r>
        <w:r w:rsidR="003B0DEE" w:rsidRPr="00AA07D8">
          <w:rPr>
            <w:rStyle w:val="Hyperlink"/>
            <w:noProof/>
          </w:rPr>
          <w:noBreakHyphen/>
          <w:t>3  Discharge data: Frequencies, percentages completing or dropping out of treatment, and chi-squared test results for opioid-using behaviours used in the analysis</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_Toc15332007 \h </w:instrText>
        </w:r>
        <w:r w:rsidR="003B0DEE" w:rsidRPr="00AA07D8">
          <w:rPr>
            <w:noProof/>
            <w:webHidden/>
          </w:rPr>
        </w:r>
        <w:r w:rsidR="003B0DEE" w:rsidRPr="00AA07D8">
          <w:rPr>
            <w:noProof/>
            <w:webHidden/>
          </w:rPr>
          <w:fldChar w:fldCharType="separate"/>
        </w:r>
        <w:r w:rsidR="00551CD8">
          <w:rPr>
            <w:noProof/>
            <w:webHidden/>
          </w:rPr>
          <w:t>82</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8" w:history="1">
        <w:r w:rsidR="003B0DEE" w:rsidRPr="00AA07D8">
          <w:rPr>
            <w:rStyle w:val="Hyperlink"/>
            <w:rFonts w:cs="Arial"/>
            <w:noProof/>
          </w:rPr>
          <w:t>Table 6</w:t>
        </w:r>
        <w:r w:rsidR="003B0DEE" w:rsidRPr="00AA07D8">
          <w:rPr>
            <w:rStyle w:val="Hyperlink"/>
            <w:rFonts w:cs="Arial"/>
            <w:noProof/>
          </w:rPr>
          <w:noBreakHyphen/>
          <w:t>4  Discharge data: Frequencies, percentages completing or dropping out of treatment, and chi-squared test results for treatment service variables and cluster grouping used in the analysis</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_Toc15332008 \h </w:instrText>
        </w:r>
        <w:r w:rsidR="003B0DEE" w:rsidRPr="00AA07D8">
          <w:rPr>
            <w:noProof/>
            <w:webHidden/>
          </w:rPr>
        </w:r>
        <w:r w:rsidR="003B0DEE" w:rsidRPr="00AA07D8">
          <w:rPr>
            <w:noProof/>
            <w:webHidden/>
          </w:rPr>
          <w:fldChar w:fldCharType="separate"/>
        </w:r>
        <w:r w:rsidR="00551CD8">
          <w:rPr>
            <w:noProof/>
            <w:webHidden/>
          </w:rPr>
          <w:t>83</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09" w:history="1">
        <w:r w:rsidR="003B0DEE" w:rsidRPr="00AA07D8">
          <w:rPr>
            <w:rStyle w:val="Hyperlink"/>
            <w:noProof/>
          </w:rPr>
          <w:t>Table 6</w:t>
        </w:r>
        <w:r w:rsidR="003B0DEE" w:rsidRPr="00AA07D8">
          <w:rPr>
            <w:rStyle w:val="Hyperlink"/>
            <w:noProof/>
          </w:rPr>
          <w:noBreakHyphen/>
          <w:t>5  Results of the logistic regression model to predict treatment completion: odds ratios, confidence interval and level of significance</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_Toc15332009 \h </w:instrText>
        </w:r>
        <w:r w:rsidR="003B0DEE" w:rsidRPr="00AA07D8">
          <w:rPr>
            <w:noProof/>
            <w:webHidden/>
          </w:rPr>
        </w:r>
        <w:r w:rsidR="003B0DEE" w:rsidRPr="00AA07D8">
          <w:rPr>
            <w:noProof/>
            <w:webHidden/>
          </w:rPr>
          <w:fldChar w:fldCharType="separate"/>
        </w:r>
        <w:r w:rsidR="00551CD8">
          <w:rPr>
            <w:noProof/>
            <w:webHidden/>
          </w:rPr>
          <w:t>85</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0" w:history="1">
        <w:r w:rsidR="003B0DEE" w:rsidRPr="00AA07D8">
          <w:rPr>
            <w:rStyle w:val="Hyperlink"/>
            <w:noProof/>
          </w:rPr>
          <w:t>Table 6</w:t>
        </w:r>
        <w:r w:rsidR="003B0DEE" w:rsidRPr="00AA07D8">
          <w:rPr>
            <w:rStyle w:val="Hyperlink"/>
            <w:noProof/>
          </w:rPr>
          <w:noBreakHyphen/>
          <w:t>6  Survival sample: Selected cumulative probabilities for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_Toc15332010 \h </w:instrText>
        </w:r>
        <w:r w:rsidR="003B0DEE" w:rsidRPr="00AA07D8">
          <w:rPr>
            <w:noProof/>
            <w:webHidden/>
          </w:rPr>
        </w:r>
        <w:r w:rsidR="003B0DEE" w:rsidRPr="00AA07D8">
          <w:rPr>
            <w:noProof/>
            <w:webHidden/>
          </w:rPr>
          <w:fldChar w:fldCharType="separate"/>
        </w:r>
        <w:r w:rsidR="00551CD8">
          <w:rPr>
            <w:noProof/>
            <w:webHidden/>
          </w:rPr>
          <w:t>87</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1" w:history="1">
        <w:r w:rsidR="003B0DEE" w:rsidRPr="00AA07D8">
          <w:rPr>
            <w:rStyle w:val="Hyperlink"/>
            <w:noProof/>
          </w:rPr>
          <w:t>Table 6</w:t>
        </w:r>
        <w:r w:rsidR="003B0DEE" w:rsidRPr="00AA07D8">
          <w:rPr>
            <w:rStyle w:val="Hyperlink"/>
            <w:noProof/>
          </w:rPr>
          <w:noBreakHyphen/>
          <w:t>7  Treatment modality: frequencies, percentages censored or dropping out of treatment, and treatment durations by modality.</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_Toc15332011 \h </w:instrText>
        </w:r>
        <w:r w:rsidR="003B0DEE" w:rsidRPr="00AA07D8">
          <w:rPr>
            <w:noProof/>
            <w:webHidden/>
          </w:rPr>
        </w:r>
        <w:r w:rsidR="003B0DEE" w:rsidRPr="00AA07D8">
          <w:rPr>
            <w:noProof/>
            <w:webHidden/>
          </w:rPr>
          <w:fldChar w:fldCharType="separate"/>
        </w:r>
        <w:r w:rsidR="00551CD8">
          <w:rPr>
            <w:noProof/>
            <w:webHidden/>
          </w:rPr>
          <w:t>89</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2" w:history="1">
        <w:r w:rsidR="003B0DEE" w:rsidRPr="00AA07D8">
          <w:rPr>
            <w:rStyle w:val="Hyperlink"/>
            <w:noProof/>
          </w:rPr>
          <w:t>Table 6</w:t>
        </w:r>
        <w:r w:rsidR="003B0DEE" w:rsidRPr="00AA07D8">
          <w:rPr>
            <w:rStyle w:val="Hyperlink"/>
            <w:noProof/>
          </w:rPr>
          <w:noBreakHyphen/>
          <w:t>8  Summary of Cox regression analysis: risk and protective factors by modality</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_Toc15332012 \h </w:instrText>
        </w:r>
        <w:r w:rsidR="003B0DEE" w:rsidRPr="00AA07D8">
          <w:rPr>
            <w:noProof/>
            <w:webHidden/>
          </w:rPr>
        </w:r>
        <w:r w:rsidR="003B0DEE" w:rsidRPr="00AA07D8">
          <w:rPr>
            <w:noProof/>
            <w:webHidden/>
          </w:rPr>
          <w:fldChar w:fldCharType="separate"/>
        </w:r>
        <w:r w:rsidR="00551CD8">
          <w:rPr>
            <w:noProof/>
            <w:webHidden/>
          </w:rPr>
          <w:t>90</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3" w:history="1">
        <w:r w:rsidR="003B0DEE" w:rsidRPr="00AA07D8">
          <w:rPr>
            <w:rStyle w:val="Hyperlink"/>
            <w:rFonts w:cs="Arial"/>
            <w:noProof/>
          </w:rPr>
          <w:t>Table 6</w:t>
        </w:r>
        <w:r w:rsidR="003B0DEE" w:rsidRPr="00AA07D8">
          <w:rPr>
            <w:rStyle w:val="Hyperlink"/>
            <w:rFonts w:cs="Arial"/>
            <w:noProof/>
          </w:rPr>
          <w:noBreakHyphen/>
          <w:t>9  Opioid substitution modality: selected cumulative probabilities for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_Toc15332013 \h </w:instrText>
        </w:r>
        <w:r w:rsidR="003B0DEE" w:rsidRPr="00AA07D8">
          <w:rPr>
            <w:noProof/>
            <w:webHidden/>
          </w:rPr>
        </w:r>
        <w:r w:rsidR="003B0DEE" w:rsidRPr="00AA07D8">
          <w:rPr>
            <w:noProof/>
            <w:webHidden/>
          </w:rPr>
          <w:fldChar w:fldCharType="separate"/>
        </w:r>
        <w:r w:rsidR="00551CD8">
          <w:rPr>
            <w:noProof/>
            <w:webHidden/>
          </w:rPr>
          <w:t>92</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4" w:history="1">
        <w:r w:rsidR="003B0DEE" w:rsidRPr="00AA07D8">
          <w:rPr>
            <w:rStyle w:val="Hyperlink"/>
            <w:rFonts w:cs="Arial"/>
            <w:noProof/>
          </w:rPr>
          <w:t>Table 6</w:t>
        </w:r>
        <w:r w:rsidR="003B0DEE" w:rsidRPr="00AA07D8">
          <w:rPr>
            <w:rStyle w:val="Hyperlink"/>
            <w:rFonts w:cs="Arial"/>
            <w:noProof/>
          </w:rPr>
          <w:noBreakHyphen/>
          <w:t>10  Structured detoxification modality: selected cumulative probabilities for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_Toc15332014 \h </w:instrText>
        </w:r>
        <w:r w:rsidR="003B0DEE" w:rsidRPr="00AA07D8">
          <w:rPr>
            <w:noProof/>
            <w:webHidden/>
          </w:rPr>
        </w:r>
        <w:r w:rsidR="003B0DEE" w:rsidRPr="00AA07D8">
          <w:rPr>
            <w:noProof/>
            <w:webHidden/>
          </w:rPr>
          <w:fldChar w:fldCharType="separate"/>
        </w:r>
        <w:r w:rsidR="00551CD8">
          <w:rPr>
            <w:noProof/>
            <w:webHidden/>
          </w:rPr>
          <w:t>94</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5" w:history="1">
        <w:r w:rsidR="003B0DEE" w:rsidRPr="00AA07D8">
          <w:rPr>
            <w:rStyle w:val="Hyperlink"/>
            <w:rFonts w:cs="Arial"/>
            <w:noProof/>
          </w:rPr>
          <w:t>Table 6</w:t>
        </w:r>
        <w:r w:rsidR="003B0DEE" w:rsidRPr="00AA07D8">
          <w:rPr>
            <w:rStyle w:val="Hyperlink"/>
            <w:rFonts w:cs="Arial"/>
            <w:noProof/>
          </w:rPr>
          <w:noBreakHyphen/>
          <w:t>11  Counselling only modality: selected cumulative probabilities for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_Toc15332015 \h </w:instrText>
        </w:r>
        <w:r w:rsidR="003B0DEE" w:rsidRPr="00AA07D8">
          <w:rPr>
            <w:noProof/>
            <w:webHidden/>
          </w:rPr>
        </w:r>
        <w:r w:rsidR="003B0DEE" w:rsidRPr="00AA07D8">
          <w:rPr>
            <w:noProof/>
            <w:webHidden/>
          </w:rPr>
          <w:fldChar w:fldCharType="separate"/>
        </w:r>
        <w:r w:rsidR="00551CD8">
          <w:rPr>
            <w:noProof/>
            <w:webHidden/>
          </w:rPr>
          <w:t>96</w:t>
        </w:r>
        <w:r w:rsidR="003B0DEE" w:rsidRPr="00AA07D8">
          <w:rPr>
            <w:noProof/>
            <w:webHidden/>
          </w:rPr>
          <w:fldChar w:fldCharType="end"/>
        </w:r>
      </w:hyperlink>
    </w:p>
    <w:p w:rsidR="003B0DEE" w:rsidRPr="00AA07D8" w:rsidRDefault="000D5D90">
      <w:pPr>
        <w:pStyle w:val="TableofFigures"/>
        <w:tabs>
          <w:tab w:val="right" w:leader="dot" w:pos="8777"/>
        </w:tabs>
        <w:rPr>
          <w:rFonts w:asciiTheme="minorHAnsi" w:eastAsiaTheme="minorEastAsia" w:hAnsiTheme="minorHAnsi" w:cstheme="minorBidi"/>
          <w:noProof/>
          <w:sz w:val="22"/>
          <w:szCs w:val="22"/>
        </w:rPr>
      </w:pPr>
      <w:hyperlink w:anchor="_Toc15332016" w:history="1">
        <w:r w:rsidR="003B0DEE" w:rsidRPr="00AA07D8">
          <w:rPr>
            <w:rStyle w:val="Hyperlink"/>
            <w:rFonts w:cs="Arial"/>
            <w:noProof/>
          </w:rPr>
          <w:t>Table 6</w:t>
        </w:r>
        <w:r w:rsidR="003B0DEE" w:rsidRPr="00AA07D8">
          <w:rPr>
            <w:rStyle w:val="Hyperlink"/>
            <w:rFonts w:cs="Arial"/>
            <w:noProof/>
          </w:rPr>
          <w:noBreakHyphen/>
          <w:t>12  Other psychosocial interventions modality: selected cumulative probabilities for treatment retention</w:t>
        </w:r>
        <w:r w:rsidR="003B0DEE" w:rsidRPr="00AA07D8">
          <w:rPr>
            <w:noProof/>
            <w:webHidden/>
          </w:rPr>
          <w:tab/>
        </w:r>
        <w:r w:rsidR="003B0DEE" w:rsidRPr="00AA07D8">
          <w:rPr>
            <w:noProof/>
            <w:webHidden/>
          </w:rPr>
          <w:fldChar w:fldCharType="begin"/>
        </w:r>
        <w:r w:rsidR="003B0DEE" w:rsidRPr="00AA07D8">
          <w:rPr>
            <w:noProof/>
            <w:webHidden/>
          </w:rPr>
          <w:instrText xml:space="preserve"> PAGEREF _Toc15332016 \h </w:instrText>
        </w:r>
        <w:r w:rsidR="003B0DEE" w:rsidRPr="00AA07D8">
          <w:rPr>
            <w:noProof/>
            <w:webHidden/>
          </w:rPr>
        </w:r>
        <w:r w:rsidR="003B0DEE" w:rsidRPr="00AA07D8">
          <w:rPr>
            <w:noProof/>
            <w:webHidden/>
          </w:rPr>
          <w:fldChar w:fldCharType="separate"/>
        </w:r>
        <w:r w:rsidR="00551CD8">
          <w:rPr>
            <w:noProof/>
            <w:webHidden/>
          </w:rPr>
          <w:t>99</w:t>
        </w:r>
        <w:r w:rsidR="003B0DEE" w:rsidRPr="00AA07D8">
          <w:rPr>
            <w:noProof/>
            <w:webHidden/>
          </w:rPr>
          <w:fldChar w:fldCharType="end"/>
        </w:r>
      </w:hyperlink>
    </w:p>
    <w:p w:rsidR="003B0DEE" w:rsidRPr="00AA07D8" w:rsidRDefault="003B0DEE">
      <w:pPr>
        <w:pStyle w:val="TableofFigures"/>
        <w:tabs>
          <w:tab w:val="right" w:leader="dot" w:pos="8777"/>
        </w:tabs>
        <w:rPr>
          <w:rFonts w:asciiTheme="minorHAnsi" w:eastAsiaTheme="minorEastAsia" w:hAnsiTheme="minorHAnsi" w:cstheme="minorBidi"/>
          <w:noProof/>
          <w:sz w:val="22"/>
          <w:szCs w:val="22"/>
        </w:rPr>
      </w:pPr>
    </w:p>
    <w:p w:rsidR="003B0DEE" w:rsidRPr="00CF1ABA" w:rsidRDefault="003B0DEE" w:rsidP="000D5D90">
      <w:pPr>
        <w:pStyle w:val="NoSpacing"/>
        <w:jc w:val="center"/>
        <w:rPr>
          <w:rFonts w:ascii="Arial" w:hAnsi="Arial" w:cs="Arial"/>
          <w:b/>
          <w:sz w:val="28"/>
          <w:szCs w:val="28"/>
        </w:rPr>
        <w:sectPr w:rsidR="003B0DEE" w:rsidRPr="00CF1ABA" w:rsidSect="000D5D90">
          <w:pgSz w:w="11906" w:h="16838" w:code="9"/>
          <w:pgMar w:top="1134" w:right="1134" w:bottom="1134" w:left="1985" w:header="709" w:footer="709" w:gutter="0"/>
          <w:pgNumType w:fmt="lowerRoman"/>
          <w:cols w:space="708"/>
          <w:docGrid w:linePitch="360"/>
        </w:sectPr>
      </w:pPr>
      <w:r w:rsidRPr="00B6222C">
        <w:rPr>
          <w:rFonts w:ascii="Arial" w:hAnsi="Arial" w:cs="Arial"/>
          <w:sz w:val="20"/>
        </w:rPr>
        <w:fldChar w:fldCharType="end"/>
      </w:r>
    </w:p>
    <w:p w:rsidR="003B0DEE" w:rsidRPr="007C2B59" w:rsidRDefault="003B0DEE" w:rsidP="000D5D90">
      <w:pPr>
        <w:pStyle w:val="Heading1"/>
        <w:rPr>
          <w:color w:val="FFFFFF"/>
          <w:sz w:val="20"/>
        </w:rPr>
      </w:pPr>
      <w:bookmarkStart w:id="0" w:name="_Toc15331625"/>
      <w:r w:rsidRPr="007C2B59">
        <w:rPr>
          <w:color w:val="FFFFFF"/>
          <w:sz w:val="20"/>
        </w:rPr>
        <w:lastRenderedPageBreak/>
        <w:t>Chapter 1</w:t>
      </w:r>
      <w:r w:rsidRPr="007C2B59">
        <w:rPr>
          <w:color w:val="FFFFFF"/>
          <w:sz w:val="20"/>
        </w:rPr>
        <w:tab/>
        <w:t>Introduction</w:t>
      </w:r>
      <w:bookmarkEnd w:id="0"/>
    </w:p>
    <w:p w:rsidR="003B0DEE" w:rsidRDefault="003B0DEE" w:rsidP="000D5D90">
      <w:pPr>
        <w:pStyle w:val="Chapter"/>
      </w:pPr>
      <w:r w:rsidRPr="00E141DE">
        <w:t>Chapter 1</w:t>
      </w:r>
    </w:p>
    <w:p w:rsidR="003B0DEE" w:rsidRPr="00924821" w:rsidRDefault="003B0DEE" w:rsidP="000D5D90">
      <w:pPr>
        <w:pStyle w:val="Chapter"/>
      </w:pPr>
      <w:r w:rsidRPr="00924821">
        <w:t>Introduction</w:t>
      </w:r>
    </w:p>
    <w:p w:rsidR="003B0DEE" w:rsidRPr="00924821" w:rsidRDefault="003B0DEE" w:rsidP="000D5D90">
      <w:pPr>
        <w:pStyle w:val="Heading2"/>
      </w:pPr>
      <w:bookmarkStart w:id="1" w:name="_Toc15331626"/>
      <w:r w:rsidRPr="00924821">
        <w:t>Introduction</w:t>
      </w:r>
      <w:bookmarkEnd w:id="1"/>
    </w:p>
    <w:p w:rsidR="003B0DEE" w:rsidRPr="00077E22" w:rsidRDefault="003B0DEE" w:rsidP="000D5D90">
      <w:pPr>
        <w:spacing w:line="360" w:lineRule="auto"/>
        <w:jc w:val="left"/>
        <w:rPr>
          <w:rFonts w:ascii="Arial" w:hAnsi="Arial" w:cs="Arial"/>
          <w:sz w:val="20"/>
        </w:rPr>
      </w:pPr>
      <w:r>
        <w:rPr>
          <w:rFonts w:ascii="Arial" w:hAnsi="Arial" w:cs="Arial"/>
          <w:sz w:val="20"/>
        </w:rPr>
        <w:t>This f</w:t>
      </w:r>
      <w:r w:rsidRPr="00077E22">
        <w:rPr>
          <w:rFonts w:ascii="Arial" w:hAnsi="Arial" w:cs="Arial"/>
          <w:sz w:val="20"/>
        </w:rPr>
        <w:t>irst chapter</w:t>
      </w:r>
      <w:r>
        <w:rPr>
          <w:rFonts w:ascii="Arial" w:hAnsi="Arial" w:cs="Arial"/>
          <w:sz w:val="20"/>
        </w:rPr>
        <w:t xml:space="preserve"> introduces </w:t>
      </w:r>
      <w:r w:rsidRPr="00077E22">
        <w:rPr>
          <w:rFonts w:ascii="Arial" w:hAnsi="Arial" w:cs="Arial"/>
          <w:sz w:val="20"/>
        </w:rPr>
        <w:t xml:space="preserve">the topic of ageing </w:t>
      </w:r>
      <w:r>
        <w:rPr>
          <w:rFonts w:ascii="Arial" w:hAnsi="Arial" w:cs="Arial"/>
          <w:sz w:val="20"/>
        </w:rPr>
        <w:t>among the population who use opioid drugs</w:t>
      </w:r>
      <w:r w:rsidRPr="00077E22">
        <w:rPr>
          <w:rFonts w:ascii="Arial" w:hAnsi="Arial" w:cs="Arial"/>
          <w:sz w:val="20"/>
        </w:rPr>
        <w:t xml:space="preserve">. </w:t>
      </w:r>
      <w:r>
        <w:rPr>
          <w:rFonts w:ascii="Arial" w:hAnsi="Arial" w:cs="Arial"/>
          <w:sz w:val="20"/>
        </w:rPr>
        <w:t xml:space="preserve"> </w:t>
      </w:r>
      <w:r w:rsidRPr="00077E22">
        <w:rPr>
          <w:rFonts w:ascii="Arial" w:hAnsi="Arial" w:cs="Arial"/>
          <w:sz w:val="20"/>
        </w:rPr>
        <w:t xml:space="preserve">The background also gives an overview of the </w:t>
      </w:r>
      <w:r>
        <w:rPr>
          <w:rFonts w:ascii="Arial" w:hAnsi="Arial" w:cs="Arial"/>
          <w:sz w:val="20"/>
        </w:rPr>
        <w:t xml:space="preserve">problem globally and in the European </w:t>
      </w:r>
      <w:r w:rsidRPr="00077E22">
        <w:rPr>
          <w:rFonts w:ascii="Arial" w:hAnsi="Arial" w:cs="Arial"/>
          <w:sz w:val="20"/>
        </w:rPr>
        <w:t xml:space="preserve">context.  A more in-depth account of the literature concerning ageing opioid users in treatment and their associated treatment outcomes is further described in </w:t>
      </w:r>
      <w:r>
        <w:rPr>
          <w:rFonts w:ascii="Arial" w:hAnsi="Arial" w:cs="Arial"/>
          <w:sz w:val="20"/>
        </w:rPr>
        <w:t>C</w:t>
      </w:r>
      <w:r w:rsidRPr="00077E22">
        <w:rPr>
          <w:rFonts w:ascii="Arial" w:hAnsi="Arial" w:cs="Arial"/>
          <w:sz w:val="20"/>
        </w:rPr>
        <w:t xml:space="preserve">hapter </w:t>
      </w:r>
      <w:r>
        <w:rPr>
          <w:rFonts w:ascii="Arial" w:hAnsi="Arial" w:cs="Arial"/>
          <w:sz w:val="20"/>
        </w:rPr>
        <w:t>2</w:t>
      </w:r>
      <w:r w:rsidRPr="00077E22">
        <w:rPr>
          <w:rFonts w:ascii="Arial" w:hAnsi="Arial" w:cs="Arial"/>
          <w:sz w:val="20"/>
        </w:rPr>
        <w:t xml:space="preserve"> and </w:t>
      </w:r>
      <w:r>
        <w:rPr>
          <w:rFonts w:ascii="Arial" w:hAnsi="Arial" w:cs="Arial"/>
          <w:sz w:val="20"/>
        </w:rPr>
        <w:t>C</w:t>
      </w:r>
      <w:r w:rsidRPr="00077E22">
        <w:rPr>
          <w:rFonts w:ascii="Arial" w:hAnsi="Arial" w:cs="Arial"/>
          <w:sz w:val="20"/>
        </w:rPr>
        <w:t xml:space="preserve">hapter </w:t>
      </w:r>
      <w:r>
        <w:rPr>
          <w:rFonts w:ascii="Arial" w:hAnsi="Arial" w:cs="Arial"/>
          <w:sz w:val="20"/>
        </w:rPr>
        <w:t>3</w:t>
      </w:r>
      <w:r w:rsidRPr="00077E22">
        <w:rPr>
          <w:rFonts w:ascii="Arial" w:hAnsi="Arial" w:cs="Arial"/>
          <w:sz w:val="20"/>
        </w:rPr>
        <w:t>.  The rationale for this PhD study (Section 1.5) and the research aim and objectives (Section 1.6) are outlined.  Finally, in Section 1.8, an overview of all seven chapters of this thesis is presented.</w:t>
      </w:r>
    </w:p>
    <w:p w:rsidR="003B0DEE" w:rsidRDefault="003B0DEE" w:rsidP="000D5D90">
      <w:pPr>
        <w:pStyle w:val="Heading2"/>
      </w:pPr>
      <w:bookmarkStart w:id="2" w:name="_Toc15331627"/>
      <w:r>
        <w:t>Opioid use: a global problem</w:t>
      </w:r>
      <w:bookmarkEnd w:id="2"/>
      <w:r>
        <w:t xml:space="preserve"> </w:t>
      </w:r>
    </w:p>
    <w:p w:rsidR="003B0DEE" w:rsidRPr="00EA47C2" w:rsidRDefault="003B0DEE" w:rsidP="000D5D90">
      <w:pPr>
        <w:spacing w:line="360" w:lineRule="auto"/>
        <w:jc w:val="left"/>
        <w:rPr>
          <w:rFonts w:ascii="Arial" w:hAnsi="Arial" w:cs="Arial"/>
          <w:sz w:val="20"/>
        </w:rPr>
      </w:pPr>
      <w:r w:rsidRPr="00EA47C2">
        <w:rPr>
          <w:rFonts w:ascii="Arial" w:hAnsi="Arial" w:cs="Arial"/>
          <w:sz w:val="20"/>
        </w:rPr>
        <w:t xml:space="preserve">Opioid use is the second most prevalent illicit drug use disorder worldwide and is a serious health concern associated with significant morbidity and mortality </w:t>
      </w:r>
      <w:r>
        <w:rPr>
          <w:rFonts w:ascii="Arial" w:hAnsi="Arial" w:cs="Arial"/>
          <w:noProof/>
          <w:sz w:val="20"/>
        </w:rPr>
        <w:t>(United Nations Office on Drugs and Crime 2017)</w:t>
      </w:r>
      <w:r w:rsidRPr="00EA47C2">
        <w:rPr>
          <w:rFonts w:ascii="Arial" w:hAnsi="Arial" w:cs="Arial"/>
          <w:sz w:val="20"/>
        </w:rPr>
        <w:t xml:space="preserve">. </w:t>
      </w:r>
      <w:r>
        <w:rPr>
          <w:rFonts w:ascii="Arial" w:hAnsi="Arial" w:cs="Arial"/>
          <w:sz w:val="20"/>
        </w:rPr>
        <w:t xml:space="preserve"> </w:t>
      </w:r>
      <w:r w:rsidRPr="00EA47C2">
        <w:rPr>
          <w:rFonts w:ascii="Arial" w:hAnsi="Arial" w:cs="Arial"/>
          <w:sz w:val="20"/>
        </w:rPr>
        <w:t>There are currently 1.3 million people with high-risk opioid use in Europe.  European data across thirty countries shows that 177,000 clients entered treatment in 2016 with opioids as their primary drug problem.  Heroin accounts for 83% of all new opioid-related treatment admissions in Europe, and the decline in heroin-related treatme</w:t>
      </w:r>
      <w:r>
        <w:rPr>
          <w:rFonts w:ascii="Arial" w:hAnsi="Arial" w:cs="Arial"/>
          <w:sz w:val="20"/>
        </w:rPr>
        <w:t>nt demand witnessed since 2007 wa</w:t>
      </w:r>
      <w:r w:rsidRPr="00EA47C2">
        <w:rPr>
          <w:rFonts w:ascii="Arial" w:hAnsi="Arial" w:cs="Arial"/>
          <w:sz w:val="20"/>
        </w:rPr>
        <w:t xml:space="preserve">s no longer evident </w:t>
      </w:r>
      <w:r>
        <w:rPr>
          <w:rFonts w:ascii="Arial" w:hAnsi="Arial" w:cs="Arial"/>
          <w:sz w:val="20"/>
        </w:rPr>
        <w:t xml:space="preserve">in 2016 </w:t>
      </w:r>
      <w:r>
        <w:rPr>
          <w:rFonts w:ascii="Arial" w:hAnsi="Arial" w:cs="Arial"/>
          <w:noProof/>
          <w:sz w:val="20"/>
        </w:rPr>
        <w:t>(European Monitoring Centre for Drugs and Drug Addiction 2018b)</w:t>
      </w:r>
      <w:r w:rsidRPr="00EA47C2">
        <w:rPr>
          <w:rFonts w:ascii="Arial" w:hAnsi="Arial" w:cs="Arial"/>
          <w:sz w:val="20"/>
        </w:rPr>
        <w:t xml:space="preserve">. </w:t>
      </w:r>
    </w:p>
    <w:p w:rsidR="003B0DEE" w:rsidRPr="00307FA2" w:rsidRDefault="003B0DEE" w:rsidP="000D5D90">
      <w:pPr>
        <w:pStyle w:val="Heading3"/>
      </w:pPr>
      <w:bookmarkStart w:id="3" w:name="_Toc15331628"/>
      <w:r w:rsidRPr="00C442F2">
        <w:t>An ageing population</w:t>
      </w:r>
      <w:bookmarkEnd w:id="3"/>
    </w:p>
    <w:p w:rsidR="003B0DEE" w:rsidRDefault="003B0DEE" w:rsidP="000D5D90">
      <w:pPr>
        <w:pStyle w:val="BodyText"/>
      </w:pPr>
      <w:r w:rsidRPr="00387AB5">
        <w:t xml:space="preserve">Changes in global demographics indicate increased numbers and proportions of older people across all regions.  Drug use among older people is an under-researched area, </w:t>
      </w:r>
      <w:r>
        <w:t xml:space="preserve">despite </w:t>
      </w:r>
      <w:r w:rsidRPr="00387AB5">
        <w:t>evidence of increased use among older people</w:t>
      </w:r>
      <w:r>
        <w:t xml:space="preserve">.  During the last decade, the </w:t>
      </w:r>
      <w:r w:rsidRPr="00387AB5">
        <w:t xml:space="preserve">prevalence </w:t>
      </w:r>
      <w:r>
        <w:t>of drug use</w:t>
      </w:r>
      <w:r w:rsidRPr="00387AB5">
        <w:t xml:space="preserve"> </w:t>
      </w:r>
      <w:r>
        <w:t xml:space="preserve">among older people increased, </w:t>
      </w:r>
      <w:r w:rsidRPr="00387AB5">
        <w:t xml:space="preserve">and did so faster than rates among younger age groups </w:t>
      </w:r>
      <w:r>
        <w:rPr>
          <w:noProof/>
        </w:rPr>
        <w:t>(United Nations Office on Drugs and Crime 2018)</w:t>
      </w:r>
      <w:r w:rsidRPr="00387AB5">
        <w:t>.</w:t>
      </w:r>
      <w:r>
        <w:t xml:space="preserve">  Drug related deaths increased by 60% between 2000 and 2015, with older people accounting for 39% of all deaths in 2015, and 75% of these deaths linked to opioids </w:t>
      </w:r>
      <w:r>
        <w:rPr>
          <w:noProof/>
        </w:rPr>
        <w:t>(United Nations Office on Drugs and Crime 2018)</w:t>
      </w:r>
      <w:r>
        <w:t xml:space="preserve">.  </w:t>
      </w:r>
    </w:p>
    <w:p w:rsidR="003B0DEE" w:rsidRDefault="003B0DEE" w:rsidP="000D5D90">
      <w:pPr>
        <w:pStyle w:val="BodyText"/>
      </w:pPr>
    </w:p>
    <w:p w:rsidR="003B0DEE" w:rsidRDefault="003B0DEE" w:rsidP="000D5D90">
      <w:pPr>
        <w:pStyle w:val="BodyText"/>
      </w:pPr>
      <w:r w:rsidRPr="002154E9">
        <w:t xml:space="preserve">Reasons for the growing trend of older people who use drugs include demographic changes, drug availability, increased life expectancy, improved treatment access and the development of harm reduction services </w:t>
      </w:r>
      <w:r>
        <w:rPr>
          <w:noProof/>
        </w:rPr>
        <w:t>(Hartnoll 1986, Substance Abuse and Mental Health Services Administration 1998, Gfroerer</w:t>
      </w:r>
      <w:r w:rsidRPr="00E40AAD">
        <w:rPr>
          <w:i/>
          <w:noProof/>
        </w:rPr>
        <w:t xml:space="preserve"> et al.</w:t>
      </w:r>
      <w:r>
        <w:rPr>
          <w:noProof/>
        </w:rPr>
        <w:t xml:space="preserve"> 2003, Colliver</w:t>
      </w:r>
      <w:r w:rsidRPr="00E40AAD">
        <w:rPr>
          <w:i/>
          <w:noProof/>
        </w:rPr>
        <w:t xml:space="preserve"> et al.</w:t>
      </w:r>
      <w:r>
        <w:rPr>
          <w:noProof/>
        </w:rPr>
        <w:t xml:space="preserve"> 2006, Simoni-Wastila &amp; Yang 2006, Substance Abuse and Mental Health Services Administration 2007, Beynon 2009, Burns</w:t>
      </w:r>
      <w:r w:rsidRPr="00E40AAD">
        <w:rPr>
          <w:i/>
          <w:noProof/>
        </w:rPr>
        <w:t xml:space="preserve"> et al.</w:t>
      </w:r>
      <w:r>
        <w:rPr>
          <w:noProof/>
        </w:rPr>
        <w:t xml:space="preserve"> 2009, Han</w:t>
      </w:r>
      <w:r w:rsidRPr="00E40AAD">
        <w:rPr>
          <w:i/>
          <w:noProof/>
        </w:rPr>
        <w:t xml:space="preserve"> et al.</w:t>
      </w:r>
      <w:r>
        <w:rPr>
          <w:noProof/>
        </w:rPr>
        <w:t xml:space="preserve"> 2009a, Johnson &amp; Sung 2009, European Monitoring Centre for Drugs and Drug Addiction 2010a, Hartnoll</w:t>
      </w:r>
      <w:r w:rsidRPr="00E40AAD">
        <w:rPr>
          <w:i/>
          <w:noProof/>
        </w:rPr>
        <w:t xml:space="preserve"> et al.</w:t>
      </w:r>
      <w:r>
        <w:rPr>
          <w:noProof/>
        </w:rPr>
        <w:t xml:space="preserve"> 2010, Australian Injecting Illicit Drug Users League 2011, Vincent &amp; Velkoff 2011, Institute of Medicine 2012, Crome</w:t>
      </w:r>
      <w:r w:rsidRPr="00E40AAD">
        <w:rPr>
          <w:i/>
          <w:noProof/>
        </w:rPr>
        <w:t xml:space="preserve"> et al.</w:t>
      </w:r>
      <w:r>
        <w:rPr>
          <w:noProof/>
        </w:rPr>
        <w:t xml:space="preserve"> 2015, Pirona</w:t>
      </w:r>
      <w:r w:rsidRPr="00E40AAD">
        <w:rPr>
          <w:i/>
          <w:noProof/>
        </w:rPr>
        <w:t xml:space="preserve"> et al.</w:t>
      </w:r>
      <w:r>
        <w:rPr>
          <w:noProof/>
        </w:rPr>
        <w:t xml:space="preserve"> 2015, United States Department of Health &amp; Human Services. Substance Abuse Mental Health Services Administration. </w:t>
      </w:r>
      <w:proofErr w:type="gramStart"/>
      <w:r>
        <w:rPr>
          <w:noProof/>
        </w:rPr>
        <w:t xml:space="preserve">Center for Behavioral </w:t>
      </w:r>
      <w:r>
        <w:rPr>
          <w:noProof/>
        </w:rPr>
        <w:lastRenderedPageBreak/>
        <w:t>Health Statistics Quality 2015)</w:t>
      </w:r>
      <w:r>
        <w:t>.</w:t>
      </w:r>
      <w:proofErr w:type="gramEnd"/>
      <w:r>
        <w:t xml:space="preserve">  In Europe, evidence from opioid treatment figures and overdose deaths point to a large cohort of ageing opioid users who commenced use during the heroin epidemics of the 1980s and 1990s. </w:t>
      </w:r>
    </w:p>
    <w:p w:rsidR="003B0DEE" w:rsidRDefault="003B0DEE" w:rsidP="000D5D90">
      <w:pPr>
        <w:pStyle w:val="Heading2"/>
      </w:pPr>
      <w:bookmarkStart w:id="4" w:name="_Toc15331629"/>
      <w:r>
        <w:t>Problematic opioid use and treatment</w:t>
      </w:r>
      <w:bookmarkEnd w:id="4"/>
    </w:p>
    <w:p w:rsidR="003B0DEE" w:rsidRPr="00DF44C1" w:rsidRDefault="003B0DEE" w:rsidP="000D5D90">
      <w:pPr>
        <w:pStyle w:val="Heading3"/>
      </w:pPr>
      <w:bookmarkStart w:id="5" w:name="_Toc15331630"/>
      <w:r w:rsidRPr="00DF44C1">
        <w:t>Problematic opioid use in Ireland</w:t>
      </w:r>
      <w:bookmarkEnd w:id="5"/>
    </w:p>
    <w:p w:rsidR="003B0DEE" w:rsidRPr="005E63D6" w:rsidRDefault="003B0DEE" w:rsidP="000D5D90">
      <w:pPr>
        <w:pStyle w:val="BodyText"/>
      </w:pPr>
      <w:r w:rsidRPr="00CC7963">
        <w:t>There were an estimated 18,720 to 21,454 opioid users in the Republic of Ireland in 2014, the m</w:t>
      </w:r>
      <w:r w:rsidRPr="005E63D6">
        <w:t xml:space="preserve">ajority were male (70%) with approximately two-thirds aged 35–64 years old </w:t>
      </w:r>
      <w:r>
        <w:rPr>
          <w:noProof/>
        </w:rPr>
        <w:t>(Hay</w:t>
      </w:r>
      <w:r w:rsidRPr="00791A95">
        <w:rPr>
          <w:i/>
          <w:noProof/>
        </w:rPr>
        <w:t xml:space="preserve"> et al.</w:t>
      </w:r>
      <w:r>
        <w:rPr>
          <w:noProof/>
        </w:rPr>
        <w:t xml:space="preserve"> 2017)</w:t>
      </w:r>
      <w:r w:rsidR="007C1DDB" w:rsidRPr="005E63D6">
        <w:t xml:space="preserve">. </w:t>
      </w:r>
      <w:r w:rsidR="007C1DDB">
        <w:t xml:space="preserve"> </w:t>
      </w:r>
      <w:r w:rsidRPr="005E63D6">
        <w:t xml:space="preserve">The estimated prevalence rate is one of the highest in Europe </w:t>
      </w:r>
      <w:r>
        <w:t xml:space="preserve">at </w:t>
      </w:r>
      <w:r w:rsidRPr="005E63D6">
        <w:t>6.18 per thousand population aged 15-64</w:t>
      </w:r>
      <w:r>
        <w:t xml:space="preserve"> years</w:t>
      </w:r>
      <w:r w:rsidRPr="005E63D6">
        <w:t xml:space="preserve"> (95% CI: 6.09 to 6.98) </w:t>
      </w:r>
      <w:r>
        <w:rPr>
          <w:noProof/>
        </w:rPr>
        <w:t>(Darker</w:t>
      </w:r>
      <w:r w:rsidRPr="00791A95">
        <w:rPr>
          <w:i/>
          <w:noProof/>
        </w:rPr>
        <w:t xml:space="preserve"> et al.</w:t>
      </w:r>
      <w:r>
        <w:rPr>
          <w:noProof/>
        </w:rPr>
        <w:t xml:space="preserve"> 2016, Hay</w:t>
      </w:r>
      <w:r w:rsidRPr="00791A95">
        <w:rPr>
          <w:i/>
          <w:noProof/>
        </w:rPr>
        <w:t xml:space="preserve"> et al.</w:t>
      </w:r>
      <w:r>
        <w:rPr>
          <w:noProof/>
        </w:rPr>
        <w:t xml:space="preserve"> 2017)</w:t>
      </w:r>
      <w:r w:rsidRPr="005E63D6">
        <w:t>.  In the past, opioid use was concentrated in the greater Dublin area</w:t>
      </w:r>
      <w:r>
        <w:t>.</w:t>
      </w:r>
      <w:r w:rsidRPr="005E63D6">
        <w:t xml:space="preserve"> </w:t>
      </w:r>
      <w:r>
        <w:t xml:space="preserve"> H</w:t>
      </w:r>
      <w:r w:rsidRPr="005E63D6">
        <w:t xml:space="preserve">owever, there is evidence </w:t>
      </w:r>
      <w:r>
        <w:t xml:space="preserve">that </w:t>
      </w:r>
      <w:r w:rsidRPr="005E63D6">
        <w:t>use has increased in other areas in recent years</w:t>
      </w:r>
      <w:r>
        <w:t xml:space="preserve"> </w:t>
      </w:r>
      <w:r>
        <w:rPr>
          <w:noProof/>
        </w:rPr>
        <w:t>(Hay</w:t>
      </w:r>
      <w:r w:rsidRPr="00791A95">
        <w:rPr>
          <w:i/>
          <w:noProof/>
        </w:rPr>
        <w:t xml:space="preserve"> et al.</w:t>
      </w:r>
      <w:r>
        <w:rPr>
          <w:noProof/>
        </w:rPr>
        <w:t xml:space="preserve"> 2017)</w:t>
      </w:r>
      <w:r w:rsidRPr="005E63D6">
        <w:t>.</w:t>
      </w:r>
      <w:r>
        <w:t xml:space="preserve">  T</w:t>
      </w:r>
      <w:r w:rsidRPr="005E63D6">
        <w:t xml:space="preserve">he rate of use </w:t>
      </w:r>
      <w:r>
        <w:t xml:space="preserve">is declining </w:t>
      </w:r>
      <w:r w:rsidRPr="005E63D6">
        <w:t>among young</w:t>
      </w:r>
      <w:r>
        <w:t xml:space="preserve"> people </w:t>
      </w:r>
      <w:r w:rsidRPr="005E63D6">
        <w:t>aged 15–24 years</w:t>
      </w:r>
      <w:r>
        <w:t>.</w:t>
      </w:r>
      <w:r w:rsidRPr="005E63D6">
        <w:t xml:space="preserve"> </w:t>
      </w:r>
      <w:r>
        <w:t xml:space="preserve"> However, there is </w:t>
      </w:r>
      <w:r w:rsidRPr="005E63D6">
        <w:t xml:space="preserve">a visible ageing cohort effect </w:t>
      </w:r>
      <w:r>
        <w:t xml:space="preserve">among people aged </w:t>
      </w:r>
      <w:r w:rsidRPr="005E63D6">
        <w:t xml:space="preserve">35–64 years </w:t>
      </w:r>
      <w:r>
        <w:rPr>
          <w:noProof/>
        </w:rPr>
        <w:t>(Hay</w:t>
      </w:r>
      <w:r w:rsidRPr="00791A95">
        <w:rPr>
          <w:i/>
          <w:noProof/>
        </w:rPr>
        <w:t xml:space="preserve"> et al.</w:t>
      </w:r>
      <w:r>
        <w:rPr>
          <w:noProof/>
        </w:rPr>
        <w:t xml:space="preserve"> 2017)</w:t>
      </w:r>
      <w:r>
        <w:t xml:space="preserve">.  </w:t>
      </w:r>
      <w:r w:rsidRPr="005E63D6">
        <w:t xml:space="preserve">Opioids </w:t>
      </w:r>
      <w:r>
        <w:t xml:space="preserve">are </w:t>
      </w:r>
      <w:r w:rsidRPr="005E63D6">
        <w:t xml:space="preserve">the </w:t>
      </w:r>
      <w:r>
        <w:t xml:space="preserve">second </w:t>
      </w:r>
      <w:r w:rsidRPr="005E63D6">
        <w:t>most common main problem drug reported by drug treatment entrants (47.6% of all drug treatments</w:t>
      </w:r>
      <w:r>
        <w:t xml:space="preserve"> in 2015</w:t>
      </w:r>
      <w:r w:rsidRPr="005E63D6">
        <w:t>)</w:t>
      </w:r>
      <w:r w:rsidRPr="003A030F">
        <w:t xml:space="preserve"> </w:t>
      </w:r>
      <w:r>
        <w:rPr>
          <w:noProof/>
        </w:rPr>
        <w:t>(Health Research Board 2018)</w:t>
      </w:r>
      <w:r w:rsidRPr="005E63D6">
        <w:t xml:space="preserve">.  </w:t>
      </w:r>
    </w:p>
    <w:p w:rsidR="003B0DEE" w:rsidRPr="00DF44C1" w:rsidRDefault="003B0DEE" w:rsidP="000D5D90">
      <w:pPr>
        <w:pStyle w:val="Heading3"/>
      </w:pPr>
      <w:bookmarkStart w:id="6" w:name="_Toc15331631"/>
      <w:r w:rsidRPr="00DF44C1">
        <w:t>Overview of Irish opioid treatment services</w:t>
      </w:r>
      <w:bookmarkEnd w:id="6"/>
    </w:p>
    <w:p w:rsidR="003B0DEE" w:rsidRPr="00EA47C2" w:rsidRDefault="003B0DEE" w:rsidP="000D5D90">
      <w:pPr>
        <w:autoSpaceDE w:val="0"/>
        <w:autoSpaceDN w:val="0"/>
        <w:adjustRightInd w:val="0"/>
        <w:spacing w:line="360" w:lineRule="auto"/>
        <w:jc w:val="left"/>
        <w:rPr>
          <w:rFonts w:ascii="Arial" w:hAnsi="Arial" w:cs="Arial"/>
          <w:sz w:val="20"/>
        </w:rPr>
      </w:pPr>
      <w:r w:rsidRPr="00EA47C2">
        <w:rPr>
          <w:rFonts w:ascii="Arial" w:hAnsi="Arial" w:cs="Arial"/>
          <w:sz w:val="20"/>
        </w:rPr>
        <w:t>There are several approaches to the treatment for problem opioid use in Ireland, including opioid agonist pharmacotherapies (</w:t>
      </w:r>
      <w:r>
        <w:rPr>
          <w:rFonts w:ascii="Arial" w:hAnsi="Arial" w:cs="Arial"/>
          <w:sz w:val="20"/>
        </w:rPr>
        <w:t>methadone,</w:t>
      </w:r>
      <w:r w:rsidRPr="00EA47C2">
        <w:rPr>
          <w:rFonts w:ascii="Arial" w:hAnsi="Arial" w:cs="Arial"/>
          <w:sz w:val="20"/>
        </w:rPr>
        <w:t xml:space="preserve"> buprenorphine</w:t>
      </w:r>
      <w:r>
        <w:rPr>
          <w:rFonts w:ascii="Arial" w:hAnsi="Arial" w:cs="Arial"/>
          <w:sz w:val="20"/>
        </w:rPr>
        <w:t xml:space="preserve">, </w:t>
      </w:r>
      <w:proofErr w:type="gramStart"/>
      <w:r w:rsidRPr="00EA47C2">
        <w:rPr>
          <w:rFonts w:ascii="Arial" w:hAnsi="Arial" w:cs="Arial"/>
          <w:sz w:val="20"/>
        </w:rPr>
        <w:t>buprenorphine</w:t>
      </w:r>
      <w:proofErr w:type="gramEnd"/>
      <w:r w:rsidRPr="00EA47C2">
        <w:rPr>
          <w:rFonts w:ascii="Arial" w:hAnsi="Arial" w:cs="Arial"/>
          <w:sz w:val="20"/>
        </w:rPr>
        <w:t>-naloxone) and psychosocial interventions.  Treatment is provided by both statutory and non-statutory services, in residential and non-residential settings.  Pharmacological treatments are provided in specialised clinics or by specialised general practitioners.  Psychosocial treatments include counselling, complementary therapy</w:t>
      </w:r>
      <w:r>
        <w:rPr>
          <w:rFonts w:ascii="Arial" w:hAnsi="Arial" w:cs="Arial"/>
          <w:sz w:val="20"/>
        </w:rPr>
        <w:t>,</w:t>
      </w:r>
      <w:r w:rsidRPr="00EA47C2">
        <w:rPr>
          <w:rFonts w:ascii="Arial" w:hAnsi="Arial" w:cs="Arial"/>
          <w:sz w:val="20"/>
        </w:rPr>
        <w:t xml:space="preserve"> </w:t>
      </w:r>
      <w:proofErr w:type="gramStart"/>
      <w:r w:rsidRPr="00EA47C2">
        <w:rPr>
          <w:rFonts w:ascii="Arial" w:hAnsi="Arial" w:cs="Arial"/>
          <w:sz w:val="20"/>
        </w:rPr>
        <w:t>psychiatric</w:t>
      </w:r>
      <w:proofErr w:type="gramEnd"/>
      <w:r w:rsidRPr="00EA47C2">
        <w:rPr>
          <w:rFonts w:ascii="Arial" w:hAnsi="Arial" w:cs="Arial"/>
          <w:sz w:val="20"/>
        </w:rPr>
        <w:t xml:space="preserve"> treatment,</w:t>
      </w:r>
      <w:r>
        <w:rPr>
          <w:rFonts w:ascii="Arial" w:hAnsi="Arial" w:cs="Arial"/>
          <w:sz w:val="20"/>
        </w:rPr>
        <w:t xml:space="preserve"> </w:t>
      </w:r>
      <w:r w:rsidRPr="00EA47C2">
        <w:rPr>
          <w:rFonts w:ascii="Arial" w:hAnsi="Arial" w:cs="Arial"/>
          <w:sz w:val="20"/>
        </w:rPr>
        <w:t xml:space="preserve">social and occupational reintegration </w:t>
      </w:r>
      <w:r>
        <w:rPr>
          <w:rFonts w:ascii="Arial" w:hAnsi="Arial" w:cs="Arial"/>
          <w:noProof/>
          <w:sz w:val="20"/>
        </w:rPr>
        <w:t>(Health Research Board 2018)</w:t>
      </w:r>
      <w:r w:rsidRPr="00EA47C2">
        <w:rPr>
          <w:rFonts w:ascii="Arial" w:hAnsi="Arial" w:cs="Arial"/>
          <w:sz w:val="20"/>
        </w:rPr>
        <w:t xml:space="preserve"> and are provided in a range of settings.</w:t>
      </w:r>
    </w:p>
    <w:p w:rsidR="003B0DEE" w:rsidRPr="00DF44C1" w:rsidRDefault="003B0DEE" w:rsidP="000D5D90">
      <w:pPr>
        <w:pStyle w:val="Heading4"/>
      </w:pPr>
      <w:r w:rsidRPr="00DF44C1">
        <w:t>Opioid agonist pharmacotherapies</w:t>
      </w:r>
    </w:p>
    <w:p w:rsidR="003B0DEE" w:rsidRDefault="003B0DEE" w:rsidP="000D5D90">
      <w:pPr>
        <w:pStyle w:val="BodyText"/>
      </w:pPr>
      <w:r w:rsidRPr="008800CB">
        <w:t>In Ireland, pharmacological options to treat problematic opioid use include methadone</w:t>
      </w:r>
      <w:r>
        <w:t xml:space="preserve">, </w:t>
      </w:r>
      <w:r w:rsidRPr="008800CB">
        <w:t xml:space="preserve">buprenorphine </w:t>
      </w:r>
      <w:r>
        <w:t xml:space="preserve">and </w:t>
      </w:r>
      <w:r w:rsidRPr="008800CB">
        <w:t>buprenorphine-naloxone</w:t>
      </w:r>
      <w:r>
        <w:t xml:space="preserve">.  </w:t>
      </w:r>
      <w:r w:rsidRPr="00D84BDD">
        <w:t xml:space="preserve">Methadone based substitution treatment was introduced in Ireland in 1971 as the standardised therapeutic approach for the treatment of </w:t>
      </w:r>
      <w:r>
        <w:t xml:space="preserve">problem </w:t>
      </w:r>
      <w:r w:rsidRPr="00D84BDD">
        <w:t xml:space="preserve">opioid </w:t>
      </w:r>
      <w:r>
        <w:t xml:space="preserve">use </w:t>
      </w:r>
      <w:r>
        <w:rPr>
          <w:noProof/>
        </w:rPr>
        <w:t>(Delargy</w:t>
      </w:r>
      <w:r w:rsidRPr="00791A95">
        <w:rPr>
          <w:i/>
          <w:noProof/>
        </w:rPr>
        <w:t xml:space="preserve"> et al.</w:t>
      </w:r>
      <w:r>
        <w:rPr>
          <w:noProof/>
        </w:rPr>
        <w:t xml:space="preserve"> 2019)</w:t>
      </w:r>
      <w:r w:rsidRPr="00D84BDD">
        <w:t xml:space="preserve">. </w:t>
      </w:r>
      <w:r>
        <w:t xml:space="preserve"> Methadone is the </w:t>
      </w:r>
      <w:r w:rsidRPr="00D84BDD">
        <w:t>main form of treatment for problematic opioid use</w:t>
      </w:r>
      <w:r>
        <w:t xml:space="preserve"> and </w:t>
      </w:r>
      <w:r w:rsidRPr="003F395F">
        <w:t xml:space="preserve">is provided </w:t>
      </w:r>
      <w:r>
        <w:t xml:space="preserve">via </w:t>
      </w:r>
      <w:r w:rsidRPr="003F395F">
        <w:t>a tiered approach ranging from large specialist clinics with multidisciplinary teams</w:t>
      </w:r>
      <w:r>
        <w:t>,</w:t>
      </w:r>
      <w:r w:rsidRPr="003F395F">
        <w:t xml:space="preserve"> to primary care settings with </w:t>
      </w:r>
      <w:r>
        <w:t>general practitioner</w:t>
      </w:r>
      <w:r w:rsidRPr="003F395F">
        <w:t>s</w:t>
      </w:r>
      <w:r>
        <w:t xml:space="preserve"> </w:t>
      </w:r>
      <w:r>
        <w:rPr>
          <w:noProof/>
        </w:rPr>
        <w:t>(Farrell &amp; Barry 2010)</w:t>
      </w:r>
      <w:r w:rsidRPr="003F395F">
        <w:t>.</w:t>
      </w:r>
      <w:r>
        <w:t xml:space="preserve">  At the end of </w:t>
      </w:r>
      <w:r w:rsidRPr="002E4401">
        <w:t>2017</w:t>
      </w:r>
      <w:r>
        <w:t xml:space="preserve">, there were 10,087 people </w:t>
      </w:r>
      <w:r w:rsidRPr="00D84BDD">
        <w:t>receiving methadone treatment</w:t>
      </w:r>
      <w:r>
        <w:t xml:space="preserve"> </w:t>
      </w:r>
      <w:r>
        <w:rPr>
          <w:noProof/>
        </w:rPr>
        <w:t>(Health Research Board 2018)</w:t>
      </w:r>
      <w:r>
        <w:t>.  B</w:t>
      </w:r>
      <w:r w:rsidRPr="008800CB">
        <w:t>uprenorphine-naloxone</w:t>
      </w:r>
      <w:r>
        <w:t xml:space="preserve"> was licensed for use in 2006 and has been deemed appropriate for some patient cohorts </w:t>
      </w:r>
      <w:r>
        <w:rPr>
          <w:noProof/>
        </w:rPr>
        <w:t>(Health Research Board 2018)</w:t>
      </w:r>
      <w:r w:rsidR="007C1DDB">
        <w:t xml:space="preserve">.  </w:t>
      </w:r>
      <w:r>
        <w:t xml:space="preserve">In 2018 it was </w:t>
      </w:r>
      <w:r w:rsidRPr="008800CB">
        <w:t xml:space="preserve">prescribed to approximately 100 </w:t>
      </w:r>
      <w:r>
        <w:t>individuals</w:t>
      </w:r>
      <w:r w:rsidRPr="008800CB">
        <w:t xml:space="preserve"> </w:t>
      </w:r>
      <w:r>
        <w:rPr>
          <w:noProof/>
        </w:rPr>
        <w:t>(Delargy</w:t>
      </w:r>
      <w:r w:rsidRPr="00791A95">
        <w:rPr>
          <w:i/>
          <w:noProof/>
        </w:rPr>
        <w:t xml:space="preserve"> et al.</w:t>
      </w:r>
      <w:r>
        <w:rPr>
          <w:noProof/>
        </w:rPr>
        <w:t xml:space="preserve"> 2019)</w:t>
      </w:r>
      <w:r w:rsidRPr="00D84BDD">
        <w:t>.</w:t>
      </w:r>
    </w:p>
    <w:p w:rsidR="003B0DEE" w:rsidRPr="00D84BDD" w:rsidRDefault="003B0DEE" w:rsidP="000D5D90">
      <w:pPr>
        <w:pStyle w:val="BodyText"/>
        <w:rPr>
          <w:noProof/>
        </w:rPr>
      </w:pPr>
      <w:r w:rsidRPr="0042131C">
        <w:rPr>
          <w:noProof/>
        </w:rPr>
        <w:t>The purpose of detoxification treatment for opioid use is to eliminate the effects of</w:t>
      </w:r>
      <w:r>
        <w:rPr>
          <w:noProof/>
        </w:rPr>
        <w:t xml:space="preserve"> </w:t>
      </w:r>
      <w:r w:rsidRPr="0042131C">
        <w:rPr>
          <w:noProof/>
        </w:rPr>
        <w:t>opioid drugs in a safe and effective manner</w:t>
      </w:r>
      <w:r>
        <w:rPr>
          <w:noProof/>
        </w:rPr>
        <w:t xml:space="preserve"> (World Health Organization 1994)</w:t>
      </w:r>
      <w:r w:rsidRPr="0042131C">
        <w:rPr>
          <w:noProof/>
        </w:rPr>
        <w:t>.</w:t>
      </w:r>
      <w:r w:rsidRPr="008A1E3C">
        <w:rPr>
          <w:noProof/>
        </w:rPr>
        <w:t xml:space="preserve"> </w:t>
      </w:r>
      <w:r>
        <w:rPr>
          <w:noProof/>
        </w:rPr>
        <w:t xml:space="preserve"> The </w:t>
      </w:r>
      <w:r w:rsidRPr="008800CB">
        <w:rPr>
          <w:noProof/>
        </w:rPr>
        <w:t xml:space="preserve">estimated </w:t>
      </w:r>
      <w:r>
        <w:rPr>
          <w:noProof/>
        </w:rPr>
        <w:t xml:space="preserve">number of </w:t>
      </w:r>
      <w:r w:rsidRPr="008800CB">
        <w:rPr>
          <w:noProof/>
        </w:rPr>
        <w:t>annual detoxification</w:t>
      </w:r>
      <w:r>
        <w:rPr>
          <w:noProof/>
        </w:rPr>
        <w:t>s in Ireland</w:t>
      </w:r>
      <w:r w:rsidRPr="008800CB">
        <w:rPr>
          <w:noProof/>
        </w:rPr>
        <w:t xml:space="preserve"> is </w:t>
      </w:r>
      <w:r>
        <w:rPr>
          <w:noProof/>
        </w:rPr>
        <w:t>approximately 100 courses of treatment (Delargy</w:t>
      </w:r>
      <w:r w:rsidRPr="00791A95">
        <w:rPr>
          <w:i/>
          <w:noProof/>
        </w:rPr>
        <w:t xml:space="preserve"> et al.</w:t>
      </w:r>
      <w:r>
        <w:rPr>
          <w:noProof/>
        </w:rPr>
        <w:t xml:space="preserve"> 2019).</w:t>
      </w:r>
    </w:p>
    <w:p w:rsidR="003B0DEE" w:rsidRPr="00DF44C1" w:rsidRDefault="003B0DEE" w:rsidP="000D5D90">
      <w:pPr>
        <w:pStyle w:val="Heading4"/>
      </w:pPr>
      <w:r w:rsidRPr="00DF44C1">
        <w:lastRenderedPageBreak/>
        <w:t>Psychosocial supports</w:t>
      </w:r>
    </w:p>
    <w:p w:rsidR="003B0DEE" w:rsidRPr="00A12F8A" w:rsidRDefault="003B0DEE" w:rsidP="000D5D90">
      <w:pPr>
        <w:pStyle w:val="BodyText"/>
        <w:rPr>
          <w:b/>
          <w:bCs/>
          <w:kern w:val="32"/>
          <w:sz w:val="24"/>
          <w:szCs w:val="26"/>
        </w:rPr>
      </w:pPr>
      <w:r w:rsidRPr="0028220C">
        <w:t>Psychosocial interventions are described as formal structured psychological or social interventions</w:t>
      </w:r>
      <w:r>
        <w:t xml:space="preserve"> which are used to </w:t>
      </w:r>
      <w:r w:rsidRPr="0028220C">
        <w:t xml:space="preserve">address substance-related problems </w:t>
      </w:r>
      <w:r>
        <w:rPr>
          <w:noProof/>
        </w:rPr>
        <w:t>(European Monitoring Centre for Drugs and Drug Addiction 2016)</w:t>
      </w:r>
      <w:r w:rsidRPr="0028220C">
        <w:t xml:space="preserve">.  </w:t>
      </w:r>
      <w:r w:rsidRPr="0028220C">
        <w:rPr>
          <w:lang w:val="en"/>
        </w:rPr>
        <w:t>The most frequently used psychosocial interventions in Ireland include brief interventions,</w:t>
      </w:r>
      <w:r>
        <w:rPr>
          <w:lang w:val="en"/>
        </w:rPr>
        <w:t xml:space="preserve"> structured</w:t>
      </w:r>
      <w:r w:rsidRPr="0028220C">
        <w:rPr>
          <w:lang w:val="en"/>
        </w:rPr>
        <w:t xml:space="preserve"> counselling, cognitive-behavio</w:t>
      </w:r>
      <w:r>
        <w:rPr>
          <w:lang w:val="en"/>
        </w:rPr>
        <w:t>u</w:t>
      </w:r>
      <w:r w:rsidRPr="0028220C">
        <w:rPr>
          <w:lang w:val="en"/>
        </w:rPr>
        <w:t>ral therapy, motivational interviewing, family therapy, 12-step program</w:t>
      </w:r>
      <w:r>
        <w:rPr>
          <w:lang w:val="en"/>
        </w:rPr>
        <w:t>me</w:t>
      </w:r>
      <w:r w:rsidRPr="0028220C">
        <w:rPr>
          <w:lang w:val="en"/>
        </w:rPr>
        <w:t xml:space="preserve">s, and therapeutic communities. </w:t>
      </w:r>
      <w:r>
        <w:rPr>
          <w:lang w:val="en"/>
        </w:rPr>
        <w:t xml:space="preserve"> </w:t>
      </w:r>
      <w:r w:rsidRPr="0028220C">
        <w:rPr>
          <w:lang w:val="en"/>
        </w:rPr>
        <w:t xml:space="preserve">Detailed descriptions are outlined in the Cochrane review by Amato </w:t>
      </w:r>
      <w:r w:rsidRPr="0028220C">
        <w:rPr>
          <w:rStyle w:val="Emphasis"/>
          <w:lang w:val="en"/>
        </w:rPr>
        <w:t>et al</w:t>
      </w:r>
      <w:r w:rsidRPr="0028220C">
        <w:rPr>
          <w:lang w:val="en"/>
        </w:rPr>
        <w:t xml:space="preserve">. </w:t>
      </w:r>
      <w:r>
        <w:rPr>
          <w:noProof/>
          <w:lang w:val="en"/>
        </w:rPr>
        <w:t>(Amato</w:t>
      </w:r>
      <w:r w:rsidRPr="0062594C">
        <w:rPr>
          <w:i/>
          <w:noProof/>
          <w:lang w:val="en"/>
        </w:rPr>
        <w:t xml:space="preserve"> et al.</w:t>
      </w:r>
      <w:r>
        <w:rPr>
          <w:noProof/>
          <w:lang w:val="en"/>
        </w:rPr>
        <w:t xml:space="preserve"> 2011a)</w:t>
      </w:r>
      <w:r w:rsidRPr="0028220C">
        <w:rPr>
          <w:lang w:val="en"/>
        </w:rPr>
        <w:t>.</w:t>
      </w:r>
    </w:p>
    <w:p w:rsidR="003B0DEE" w:rsidRPr="00C26F69" w:rsidRDefault="003B0DEE" w:rsidP="000D5D90">
      <w:pPr>
        <w:pStyle w:val="Heading2"/>
      </w:pPr>
      <w:bookmarkStart w:id="7" w:name="_Toc15331632"/>
      <w:r w:rsidRPr="00C26F69">
        <w:t>The value of secondary data analysis</w:t>
      </w:r>
      <w:bookmarkEnd w:id="7"/>
    </w:p>
    <w:p w:rsidR="003B0DEE" w:rsidRDefault="003B0DEE" w:rsidP="000D5D90">
      <w:pPr>
        <w:pStyle w:val="BodyText"/>
      </w:pPr>
      <w:r w:rsidRPr="003D19AD">
        <w:t xml:space="preserve">Secondary data analysis </w:t>
      </w:r>
      <w:r>
        <w:t xml:space="preserve">is the use of pre-existing data by a researcher to answer new research questions </w:t>
      </w:r>
      <w:r>
        <w:rPr>
          <w:noProof/>
        </w:rPr>
        <w:t>(Goodwin 2012)</w:t>
      </w:r>
      <w:r>
        <w:t>.  Collecting reliable, representative and good quality data can be time consuming and expensive.  Secondary data has many benefits, including time, economic (financial, effort, availability), quality (protocol adherence, pre-cleaned, electronic format), breadth (scale, extended time periods), expertise (</w:t>
      </w:r>
      <w:r w:rsidRPr="00A076E2">
        <w:t xml:space="preserve">experienced, professional staff </w:t>
      </w:r>
      <w:r>
        <w:t>dedicated to</w:t>
      </w:r>
      <w:r w:rsidRPr="00A076E2">
        <w:t xml:space="preserve"> large scale </w:t>
      </w:r>
      <w:r>
        <w:t>projects</w:t>
      </w:r>
      <w:r w:rsidRPr="00A076E2">
        <w:t>)</w:t>
      </w:r>
      <w:r>
        <w:t xml:space="preserve">.  Secondary analysis permits valuable research to be conducted rapidly, efficiently, transparently and with negligible or no burden to the respondent </w:t>
      </w:r>
      <w:r>
        <w:rPr>
          <w:noProof/>
        </w:rPr>
        <w:t>(Goodwin 2012)</w:t>
      </w:r>
      <w:r>
        <w:t xml:space="preserve">. </w:t>
      </w:r>
    </w:p>
    <w:p w:rsidR="003B0DEE" w:rsidRPr="003C1E30" w:rsidRDefault="003B0DEE" w:rsidP="000D5D90">
      <w:pPr>
        <w:pStyle w:val="Heading2"/>
      </w:pPr>
      <w:bookmarkStart w:id="8" w:name="_Toc15331633"/>
      <w:r w:rsidRPr="003C1E30">
        <w:t>Rationale for the study</w:t>
      </w:r>
      <w:bookmarkEnd w:id="8"/>
    </w:p>
    <w:p w:rsidR="003B0DEE" w:rsidRDefault="003B0DEE" w:rsidP="000D5D90">
      <w:pPr>
        <w:pStyle w:val="BodyText"/>
      </w:pPr>
      <w:r>
        <w:t>P</w:t>
      </w:r>
      <w:r w:rsidRPr="007145C7">
        <w:t>roblematic</w:t>
      </w:r>
      <w:r>
        <w:t xml:space="preserve"> </w:t>
      </w:r>
      <w:r w:rsidRPr="007145C7">
        <w:t xml:space="preserve">drug use (of which opioids make up the largest proportion) had been incorrectly assumed to end as </w:t>
      </w:r>
      <w:r>
        <w:t>people</w:t>
      </w:r>
      <w:r w:rsidRPr="007145C7">
        <w:t xml:space="preserve"> age.</w:t>
      </w:r>
      <w:r>
        <w:t xml:space="preserve">  </w:t>
      </w:r>
      <w:r w:rsidRPr="00BD3884">
        <w:t xml:space="preserve">Issues relating to problem </w:t>
      </w:r>
      <w:r>
        <w:t>opioid</w:t>
      </w:r>
      <w:r w:rsidRPr="00BD3884">
        <w:t xml:space="preserve"> use among older people have received little attention </w:t>
      </w:r>
      <w:r>
        <w:t xml:space="preserve">in the literature and </w:t>
      </w:r>
      <w:r w:rsidRPr="00BD3884">
        <w:t xml:space="preserve">have only recently been recognised.  </w:t>
      </w:r>
      <w:r>
        <w:t>Significant future needs have been identified and t</w:t>
      </w:r>
      <w:r w:rsidRPr="00BD3884">
        <w:t xml:space="preserve">he lack of data is cited as the greatest limitation to understanding illicit substance use among older adults.  </w:t>
      </w:r>
      <w:r w:rsidRPr="002C0D5B">
        <w:rPr>
          <w:lang w:val="en-IE"/>
        </w:rPr>
        <w:t xml:space="preserve">Much of the body of knowledge pertaining to the ageing opioid treatment population originates from small </w:t>
      </w:r>
      <w:r w:rsidR="00695031" w:rsidRPr="002C0D5B">
        <w:rPr>
          <w:lang w:val="en-IE"/>
        </w:rPr>
        <w:t>studies</w:t>
      </w:r>
      <w:r w:rsidRPr="002C0D5B">
        <w:rPr>
          <w:lang w:val="en-IE"/>
        </w:rPr>
        <w:t xml:space="preserve"> treats older adults as a homogenous group and often making simple comparisons to their younger counterparts.  </w:t>
      </w:r>
    </w:p>
    <w:p w:rsidR="003B0DEE" w:rsidRDefault="003B0DEE" w:rsidP="000D5D90">
      <w:pPr>
        <w:pStyle w:val="BodyText"/>
      </w:pPr>
      <w:r w:rsidRPr="007145C7">
        <w:t>Currently, addiction and healthcare services are</w:t>
      </w:r>
      <w:r>
        <w:t xml:space="preserve"> </w:t>
      </w:r>
      <w:r w:rsidRPr="007145C7">
        <w:t>unaware of the extent of the needs of older users.</w:t>
      </w:r>
      <w:r>
        <w:t xml:space="preserve">  </w:t>
      </w:r>
      <w:r w:rsidRPr="00BD3884">
        <w:t xml:space="preserve">It is important to understand the specific needs of this ageing population in order to deliver appropriate care.  Empirical research is required to </w:t>
      </w:r>
      <w:r>
        <w:t xml:space="preserve">adequately describe the problem.  </w:t>
      </w:r>
      <w:r w:rsidRPr="00BD3884">
        <w:t xml:space="preserve">Despite being extremely well positioned, existing treatment monitoring systems have not being utilised to assess </w:t>
      </w:r>
      <w:r>
        <w:t xml:space="preserve">or </w:t>
      </w:r>
      <w:r w:rsidRPr="00BD3884">
        <w:t xml:space="preserve">monitor ageing trends.  Treatment outcomes for the ageing opioid population are discussed in the literature in general terms and the area is yet to be extensively studied.  </w:t>
      </w:r>
    </w:p>
    <w:p w:rsidR="003B0DEE" w:rsidRPr="00EA47C2" w:rsidRDefault="003B0DEE" w:rsidP="000D5D90">
      <w:pPr>
        <w:spacing w:line="360" w:lineRule="auto"/>
        <w:jc w:val="left"/>
        <w:rPr>
          <w:rFonts w:ascii="Arial" w:hAnsi="Arial" w:cs="Arial"/>
          <w:sz w:val="20"/>
        </w:rPr>
      </w:pPr>
      <w:r w:rsidRPr="00EA47C2">
        <w:rPr>
          <w:rFonts w:ascii="Arial" w:hAnsi="Arial" w:cs="Arial"/>
          <w:sz w:val="20"/>
        </w:rPr>
        <w:t xml:space="preserve">The rationale for conducting this research was, firstly to determine what is known about </w:t>
      </w:r>
      <w:r>
        <w:rPr>
          <w:rFonts w:ascii="Arial" w:hAnsi="Arial" w:cs="Arial"/>
          <w:sz w:val="20"/>
        </w:rPr>
        <w:t xml:space="preserve">problem </w:t>
      </w:r>
      <w:r w:rsidRPr="00EA47C2">
        <w:rPr>
          <w:rFonts w:ascii="Arial" w:hAnsi="Arial" w:cs="Arial"/>
          <w:sz w:val="20"/>
        </w:rPr>
        <w:t xml:space="preserve">opioid </w:t>
      </w:r>
      <w:r>
        <w:rPr>
          <w:rFonts w:ascii="Arial" w:hAnsi="Arial" w:cs="Arial"/>
          <w:sz w:val="20"/>
        </w:rPr>
        <w:t>use</w:t>
      </w:r>
      <w:r w:rsidRPr="00EA47C2">
        <w:rPr>
          <w:rFonts w:ascii="Arial" w:hAnsi="Arial" w:cs="Arial"/>
          <w:sz w:val="20"/>
        </w:rPr>
        <w:t xml:space="preserve"> and treatment outcomes among </w:t>
      </w:r>
      <w:r>
        <w:rPr>
          <w:rFonts w:ascii="Arial" w:hAnsi="Arial" w:cs="Arial"/>
          <w:sz w:val="20"/>
        </w:rPr>
        <w:t xml:space="preserve">the </w:t>
      </w:r>
      <w:r w:rsidRPr="00EA47C2">
        <w:rPr>
          <w:rFonts w:ascii="Arial" w:hAnsi="Arial" w:cs="Arial"/>
          <w:sz w:val="20"/>
        </w:rPr>
        <w:t xml:space="preserve">ageing </w:t>
      </w:r>
      <w:r>
        <w:rPr>
          <w:rFonts w:ascii="Arial" w:hAnsi="Arial" w:cs="Arial"/>
          <w:sz w:val="20"/>
        </w:rPr>
        <w:t xml:space="preserve">cohort of </w:t>
      </w:r>
      <w:r w:rsidRPr="00EA47C2">
        <w:rPr>
          <w:rFonts w:ascii="Arial" w:hAnsi="Arial" w:cs="Arial"/>
          <w:sz w:val="20"/>
        </w:rPr>
        <w:t>opioid users</w:t>
      </w:r>
      <w:r>
        <w:rPr>
          <w:rFonts w:ascii="Arial" w:hAnsi="Arial" w:cs="Arial"/>
          <w:sz w:val="20"/>
        </w:rPr>
        <w:t>,</w:t>
      </w:r>
      <w:r w:rsidRPr="00EA47C2">
        <w:rPr>
          <w:rFonts w:ascii="Arial" w:hAnsi="Arial" w:cs="Arial"/>
          <w:sz w:val="20"/>
        </w:rPr>
        <w:t xml:space="preserve"> and secondly to utilise existing treatment </w:t>
      </w:r>
      <w:r>
        <w:rPr>
          <w:rFonts w:ascii="Arial" w:hAnsi="Arial" w:cs="Arial"/>
          <w:sz w:val="20"/>
        </w:rPr>
        <w:t>surveillance</w:t>
      </w:r>
      <w:r w:rsidRPr="00EA47C2">
        <w:rPr>
          <w:rFonts w:ascii="Arial" w:hAnsi="Arial" w:cs="Arial"/>
          <w:sz w:val="20"/>
        </w:rPr>
        <w:t xml:space="preserve"> data over two decades</w:t>
      </w:r>
      <w:r>
        <w:rPr>
          <w:rFonts w:ascii="Arial" w:hAnsi="Arial" w:cs="Arial"/>
          <w:sz w:val="20"/>
        </w:rPr>
        <w:t xml:space="preserve"> to maximise our knowledge of this group</w:t>
      </w:r>
      <w:r w:rsidRPr="00EA47C2">
        <w:rPr>
          <w:rFonts w:ascii="Arial" w:hAnsi="Arial" w:cs="Arial"/>
          <w:sz w:val="20"/>
        </w:rPr>
        <w:t xml:space="preserve">. </w:t>
      </w:r>
      <w:r>
        <w:rPr>
          <w:rFonts w:ascii="Arial" w:hAnsi="Arial" w:cs="Arial"/>
          <w:sz w:val="20"/>
        </w:rPr>
        <w:t xml:space="preserve"> </w:t>
      </w:r>
      <w:r>
        <w:rPr>
          <w:rFonts w:ascii="Arial" w:eastAsia="Arial" w:hAnsi="Arial" w:cs="Arial"/>
          <w:sz w:val="20"/>
          <w:szCs w:val="24"/>
          <w:lang w:val="en-US" w:eastAsia="en-US"/>
        </w:rPr>
        <w:t>E</w:t>
      </w:r>
      <w:r w:rsidRPr="00BF335C">
        <w:rPr>
          <w:rFonts w:ascii="Arial" w:eastAsia="Arial" w:hAnsi="Arial" w:cs="Arial"/>
          <w:sz w:val="20"/>
          <w:szCs w:val="24"/>
          <w:lang w:val="en-US" w:eastAsia="en-US"/>
        </w:rPr>
        <w:t>pidemiological treatment data</w:t>
      </w:r>
      <w:r>
        <w:rPr>
          <w:rFonts w:ascii="Arial" w:eastAsia="Arial" w:hAnsi="Arial" w:cs="Arial"/>
          <w:sz w:val="20"/>
          <w:szCs w:val="24"/>
          <w:lang w:val="en-US" w:eastAsia="en-US"/>
        </w:rPr>
        <w:t xml:space="preserve"> is systematically collected following a common protocol across the 28 countries of the EU along with Norway, Turkey, and several countries in Africa, South America and the Balkan region.  </w:t>
      </w:r>
      <w:proofErr w:type="gramStart"/>
      <w:r>
        <w:rPr>
          <w:rFonts w:ascii="Arial" w:eastAsia="Arial" w:hAnsi="Arial" w:cs="Arial"/>
          <w:sz w:val="20"/>
          <w:szCs w:val="24"/>
          <w:lang w:val="en-US" w:eastAsia="en-US"/>
        </w:rPr>
        <w:t>Similar, although slightly different systems also exist in other regions such as North America and Australia.</w:t>
      </w:r>
      <w:proofErr w:type="gramEnd"/>
      <w:r>
        <w:rPr>
          <w:rFonts w:ascii="Arial" w:eastAsia="Arial" w:hAnsi="Arial" w:cs="Arial"/>
          <w:sz w:val="20"/>
          <w:szCs w:val="24"/>
          <w:lang w:val="en-US" w:eastAsia="en-US"/>
        </w:rPr>
        <w:t xml:space="preserve">  </w:t>
      </w:r>
      <w:r w:rsidRPr="00EA47C2">
        <w:rPr>
          <w:rFonts w:ascii="Arial" w:hAnsi="Arial" w:cs="Arial"/>
          <w:sz w:val="20"/>
        </w:rPr>
        <w:t xml:space="preserve">This study seeks to contribute to the elimination of a gap in the literature by providing key insights into this population and highlighting an approach which may be replicated in other international treatment monitoring systems.  </w:t>
      </w:r>
    </w:p>
    <w:p w:rsidR="003B0DEE" w:rsidRDefault="003B0DEE" w:rsidP="000D5D90">
      <w:pPr>
        <w:pStyle w:val="Heading2"/>
      </w:pPr>
      <w:bookmarkStart w:id="9" w:name="_Toc15331634"/>
      <w:r>
        <w:lastRenderedPageBreak/>
        <w:t>Aim and research objectives of the study</w:t>
      </w:r>
      <w:bookmarkEnd w:id="9"/>
    </w:p>
    <w:p w:rsidR="003B0DEE" w:rsidRPr="00DF44C1" w:rsidRDefault="003B0DEE" w:rsidP="000D5D90">
      <w:pPr>
        <w:pStyle w:val="Heading3"/>
      </w:pPr>
      <w:bookmarkStart w:id="10" w:name="_Toc15331635"/>
      <w:r w:rsidRPr="00DF44C1">
        <w:t>Aim of the study</w:t>
      </w:r>
      <w:bookmarkEnd w:id="10"/>
    </w:p>
    <w:p w:rsidR="003B0DEE" w:rsidRPr="00FA494D" w:rsidRDefault="003B0DEE" w:rsidP="000D5D90">
      <w:pPr>
        <w:pStyle w:val="BodyText"/>
      </w:pPr>
      <w:r w:rsidRPr="00FA494D">
        <w:t>The aim of this study was to investigate the age profile of the opioid tre</w:t>
      </w:r>
      <w:r>
        <w:t>atment population over a twenty-one-year-period</w:t>
      </w:r>
      <w:r w:rsidRPr="00FA494D">
        <w:t xml:space="preserve"> </w:t>
      </w:r>
      <w:r>
        <w:t xml:space="preserve">(1995–2015) </w:t>
      </w:r>
      <w:r w:rsidRPr="00FA494D">
        <w:t>using routine health surveillance data</w:t>
      </w:r>
      <w:r>
        <w:t xml:space="preserve"> from the largest drug dataset in Europe</w:t>
      </w:r>
      <w:r w:rsidRPr="00FA494D">
        <w:t xml:space="preserve">, and to explore typologies of client characteristics, behaviours and associated treatment discharge outcomes.  </w:t>
      </w:r>
    </w:p>
    <w:p w:rsidR="003B0DEE" w:rsidRPr="00DF44C1" w:rsidRDefault="003B0DEE" w:rsidP="000D5D90">
      <w:pPr>
        <w:pStyle w:val="Heading3"/>
      </w:pPr>
      <w:bookmarkStart w:id="11" w:name="_Toc15331636"/>
      <w:r w:rsidRPr="00DF44C1">
        <w:t>Objectives of the study</w:t>
      </w:r>
      <w:bookmarkEnd w:id="11"/>
    </w:p>
    <w:p w:rsidR="003B0DEE" w:rsidRPr="00FA494D" w:rsidRDefault="003B0DEE" w:rsidP="000D5D90">
      <w:pPr>
        <w:pStyle w:val="BodyText"/>
      </w:pPr>
      <w:r w:rsidRPr="00FA494D">
        <w:t xml:space="preserve">The aim was broken down further into the following objectives: </w:t>
      </w:r>
    </w:p>
    <w:p w:rsidR="003B0DEE" w:rsidRPr="00FA494D" w:rsidRDefault="003B0DEE" w:rsidP="000D5D90">
      <w:pPr>
        <w:pStyle w:val="BodyText"/>
        <w:numPr>
          <w:ilvl w:val="0"/>
          <w:numId w:val="14"/>
        </w:numPr>
      </w:pPr>
      <w:r w:rsidRPr="00FA494D">
        <w:t>To undertake a systematic literature review to identify the published literature associated with ageing among people treated for opioid use and outcomes of that treatment.</w:t>
      </w:r>
    </w:p>
    <w:p w:rsidR="003B0DEE" w:rsidRPr="00FA494D" w:rsidRDefault="003B0DEE" w:rsidP="000D5D90">
      <w:pPr>
        <w:pStyle w:val="BodyText"/>
        <w:numPr>
          <w:ilvl w:val="0"/>
          <w:numId w:val="14"/>
        </w:numPr>
      </w:pPr>
      <w:r w:rsidRPr="00FA494D">
        <w:t>To utilise epidemiological treatment data mandated by the European Union to explore and document how the opioid treatmen</w:t>
      </w:r>
      <w:r>
        <w:t>t population has aged over a 21-year-</w:t>
      </w:r>
      <w:r w:rsidRPr="00FA494D">
        <w:t>period</w:t>
      </w:r>
      <w:r>
        <w:t>, 1995 to 2015</w:t>
      </w:r>
      <w:r w:rsidRPr="00FA494D">
        <w:t xml:space="preserve">. </w:t>
      </w:r>
    </w:p>
    <w:p w:rsidR="003B0DEE" w:rsidRPr="00FA494D" w:rsidRDefault="003B0DEE" w:rsidP="000D5D90">
      <w:pPr>
        <w:pStyle w:val="BodyText"/>
        <w:numPr>
          <w:ilvl w:val="0"/>
          <w:numId w:val="14"/>
        </w:numPr>
      </w:pPr>
      <w:r w:rsidRPr="00FA494D">
        <w:t xml:space="preserve">To examine the typology of </w:t>
      </w:r>
      <w:r>
        <w:t>opioid-using</w:t>
      </w:r>
      <w:r w:rsidRPr="00FA494D">
        <w:t xml:space="preserve"> behaviours and client characteristics among opioid treatment entrants. </w:t>
      </w:r>
    </w:p>
    <w:p w:rsidR="003B0DEE" w:rsidRPr="00FA494D" w:rsidRDefault="003B0DEE" w:rsidP="000D5D90">
      <w:pPr>
        <w:pStyle w:val="BodyText"/>
        <w:numPr>
          <w:ilvl w:val="0"/>
          <w:numId w:val="14"/>
        </w:numPr>
      </w:pPr>
      <w:r w:rsidRPr="00FA494D">
        <w:t xml:space="preserve">To report treatment retention and completion rates for opioid treatment entrants and explore which characteristics </w:t>
      </w:r>
      <w:r>
        <w:t xml:space="preserve">(such as age) </w:t>
      </w:r>
      <w:r w:rsidRPr="00FA494D">
        <w:t>may be associated with treatment completion, retention and dropout.</w:t>
      </w:r>
    </w:p>
    <w:p w:rsidR="003B0DEE" w:rsidRPr="008C3303" w:rsidRDefault="003B0DEE" w:rsidP="000D5D90">
      <w:pPr>
        <w:pStyle w:val="BodyText"/>
      </w:pPr>
      <w:r w:rsidRPr="008C3303">
        <w:t xml:space="preserve">Objectives </w:t>
      </w:r>
      <w:r>
        <w:t>2</w:t>
      </w:r>
      <w:r w:rsidRPr="008C3303">
        <w:t xml:space="preserve"> to 4 were examined </w:t>
      </w:r>
      <w:r>
        <w:t>by</w:t>
      </w:r>
      <w:r w:rsidRPr="008C3303">
        <w:t xml:space="preserve"> </w:t>
      </w:r>
      <w:r>
        <w:t xml:space="preserve">using </w:t>
      </w:r>
      <w:r w:rsidRPr="008C3303">
        <w:t>quantitative</w:t>
      </w:r>
      <w:r>
        <w:t xml:space="preserve"> health surveillance data which is routinely collected following a common European protocol in thirty countries. </w:t>
      </w:r>
    </w:p>
    <w:p w:rsidR="003B0DEE" w:rsidRDefault="003B0DEE" w:rsidP="000D5D90">
      <w:pPr>
        <w:pStyle w:val="Heading2"/>
      </w:pPr>
      <w:bookmarkStart w:id="12" w:name="_Toc15331637"/>
      <w:r>
        <w:t>Terminology</w:t>
      </w:r>
      <w:bookmarkEnd w:id="12"/>
      <w:r>
        <w:t xml:space="preserve"> </w:t>
      </w:r>
    </w:p>
    <w:p w:rsidR="003B0DEE" w:rsidRDefault="003B0DEE" w:rsidP="000D5D90">
      <w:pPr>
        <w:pStyle w:val="BodyText"/>
        <w:rPr>
          <w:szCs w:val="22"/>
        </w:rPr>
      </w:pPr>
      <w:r>
        <w:t xml:space="preserve">A great variety of terms have been used in the addiction field to describe the problem use of opioid drugs and related treatment.  </w:t>
      </w:r>
      <w:r w:rsidRPr="00E41BF3">
        <w:rPr>
          <w:szCs w:val="22"/>
        </w:rPr>
        <w:t xml:space="preserve">The terms below are used throughout this thesis: </w:t>
      </w:r>
    </w:p>
    <w:p w:rsidR="003B0DEE" w:rsidRPr="00E41BF3" w:rsidRDefault="003B0DEE" w:rsidP="000D5D90">
      <w:pPr>
        <w:pStyle w:val="BodyText"/>
        <w:rPr>
          <w:szCs w:val="22"/>
        </w:rPr>
      </w:pPr>
    </w:p>
    <w:p w:rsidR="003B0DEE" w:rsidRDefault="003B0DEE" w:rsidP="000D5D90">
      <w:pPr>
        <w:pStyle w:val="BodyText"/>
        <w:rPr>
          <w:rStyle w:val="apple-converted-space"/>
          <w:shd w:val="clear" w:color="auto" w:fill="FFFFFF"/>
        </w:rPr>
      </w:pPr>
      <w:r w:rsidRPr="00E41BF3">
        <w:rPr>
          <w:rStyle w:val="apple-converted-space"/>
          <w:b/>
          <w:shd w:val="clear" w:color="auto" w:fill="FFFFFF"/>
        </w:rPr>
        <w:t xml:space="preserve">Opioid </w:t>
      </w:r>
      <w:r w:rsidRPr="00E41BF3">
        <w:rPr>
          <w:rStyle w:val="apple-converted-space"/>
          <w:shd w:val="clear" w:color="auto" w:fill="FFFFFF"/>
        </w:rPr>
        <w:t xml:space="preserve">is the generic term used for the family of drugs including opiates and synthetic opioids.  Opiates are the naturally occurring derivatives of the opium poppy (e.g. opium, codeine, morphine, </w:t>
      </w:r>
      <w:proofErr w:type="gramStart"/>
      <w:r w:rsidRPr="00E41BF3">
        <w:rPr>
          <w:rStyle w:val="apple-converted-space"/>
          <w:shd w:val="clear" w:color="auto" w:fill="FFFFFF"/>
        </w:rPr>
        <w:t>heroin</w:t>
      </w:r>
      <w:proofErr w:type="gramEnd"/>
      <w:r w:rsidRPr="00E41BF3">
        <w:rPr>
          <w:rStyle w:val="apple-converted-space"/>
          <w:shd w:val="clear" w:color="auto" w:fill="FFFFFF"/>
        </w:rPr>
        <w:t>), while synthetically derived opioids give opiate-like effects such as methadone, fentanyl, oxycodone, tramadol and hydrocodone)</w:t>
      </w:r>
      <w:r>
        <w:rPr>
          <w:rStyle w:val="apple-converted-space"/>
          <w:shd w:val="clear" w:color="auto" w:fill="FFFFFF"/>
        </w:rPr>
        <w:t xml:space="preserve">.  </w:t>
      </w:r>
    </w:p>
    <w:p w:rsidR="003B0DEE" w:rsidRPr="00E41BF3" w:rsidRDefault="003B0DEE" w:rsidP="000D5D90">
      <w:pPr>
        <w:pStyle w:val="BodyText"/>
        <w:rPr>
          <w:rStyle w:val="apple-converted-space"/>
          <w:shd w:val="clear" w:color="auto" w:fill="FFFFFF"/>
        </w:rPr>
      </w:pPr>
    </w:p>
    <w:p w:rsidR="003B0DEE" w:rsidRDefault="003B0DEE" w:rsidP="000D5D90">
      <w:pPr>
        <w:pStyle w:val="BodyText"/>
        <w:rPr>
          <w:rFonts w:cs="Futura"/>
          <w:color w:val="000000"/>
          <w:sz w:val="18"/>
          <w:szCs w:val="18"/>
        </w:rPr>
      </w:pPr>
      <w:r>
        <w:rPr>
          <w:b/>
        </w:rPr>
        <w:t xml:space="preserve">Primary drug </w:t>
      </w:r>
      <w:r w:rsidRPr="009D13F7">
        <w:t>is defined as “</w:t>
      </w:r>
      <w:r w:rsidRPr="009D13F7">
        <w:rPr>
          <w:shd w:val="clear" w:color="auto" w:fill="FFFFFF"/>
        </w:rPr>
        <w:t>the drug that causes the client the most problems at the start of treatment.  This is usually based on the request made by the clients and (or) on the diagnosis made by a therapist, commonly using international standard instruments (e.g. ICD-10; DSM-IV (</w:t>
      </w:r>
      <w:r>
        <w:rPr>
          <w:shd w:val="clear" w:color="auto" w:fill="FFFFFF"/>
        </w:rPr>
        <w:t>5), ASI) or clinical assessment”</w:t>
      </w:r>
      <w:r w:rsidRPr="009D13F7">
        <w:rPr>
          <w:shd w:val="clear" w:color="auto" w:fill="FFFFFF"/>
        </w:rPr>
        <w:t xml:space="preserve"> </w:t>
      </w:r>
      <w:r>
        <w:rPr>
          <w:noProof/>
          <w:shd w:val="clear" w:color="auto" w:fill="FFFFFF"/>
        </w:rPr>
        <w:t>(European Monitoring Centre for Drugs and Drug Addiction 2012a)</w:t>
      </w:r>
      <w:r w:rsidRPr="009D13F7">
        <w:rPr>
          <w:shd w:val="clear" w:color="auto" w:fill="FFFFFF"/>
        </w:rPr>
        <w:t xml:space="preserve">. </w:t>
      </w:r>
    </w:p>
    <w:p w:rsidR="003B0DEE" w:rsidRPr="009D13F7" w:rsidRDefault="003B0DEE" w:rsidP="000D5D90">
      <w:pPr>
        <w:pStyle w:val="BodyText"/>
        <w:rPr>
          <w:b/>
          <w:lang w:val="en-IE"/>
        </w:rPr>
      </w:pPr>
    </w:p>
    <w:p w:rsidR="003B0DEE" w:rsidRDefault="003B0DEE" w:rsidP="000D5D90">
      <w:pPr>
        <w:pStyle w:val="BodyText"/>
        <w:rPr>
          <w:shd w:val="clear" w:color="auto" w:fill="FFFFFF"/>
        </w:rPr>
      </w:pPr>
      <w:r w:rsidRPr="00E41BF3">
        <w:rPr>
          <w:b/>
        </w:rPr>
        <w:t>Problematic</w:t>
      </w:r>
      <w:r w:rsidRPr="00E41BF3">
        <w:t xml:space="preserve"> </w:t>
      </w:r>
      <w:r w:rsidRPr="00E41BF3">
        <w:rPr>
          <w:b/>
        </w:rPr>
        <w:t>use</w:t>
      </w:r>
      <w:r w:rsidRPr="00E41BF3">
        <w:rPr>
          <w:rStyle w:val="apple-converted-space"/>
          <w:shd w:val="clear" w:color="auto" w:fill="FFFFFF"/>
        </w:rPr>
        <w:t> </w:t>
      </w:r>
      <w:r>
        <w:rPr>
          <w:rStyle w:val="apple-converted-space"/>
          <w:shd w:val="clear" w:color="auto" w:fill="FFFFFF"/>
        </w:rPr>
        <w:t xml:space="preserve">refers to </w:t>
      </w:r>
      <w:r w:rsidRPr="00E41BF3">
        <w:rPr>
          <w:rStyle w:val="apple-converted-space"/>
          <w:shd w:val="clear" w:color="auto" w:fill="FFFFFF"/>
        </w:rPr>
        <w:t xml:space="preserve">the </w:t>
      </w:r>
      <w:r w:rsidRPr="00E41BF3">
        <w:rPr>
          <w:shd w:val="clear" w:color="auto" w:fill="FFFFFF"/>
        </w:rPr>
        <w:t>recurrent use of drugs causing a person harm or negative consequences (such as drug dependence, health, psychological or social problems), or places a person at a high risk of suffering harm.</w:t>
      </w:r>
    </w:p>
    <w:p w:rsidR="003B0DEE" w:rsidRPr="00E41BF3" w:rsidRDefault="003B0DEE" w:rsidP="000D5D90">
      <w:pPr>
        <w:pStyle w:val="BodyText"/>
        <w:rPr>
          <w:shd w:val="clear" w:color="auto" w:fill="FFFFFF"/>
        </w:rPr>
      </w:pPr>
    </w:p>
    <w:p w:rsidR="003B0DEE" w:rsidRPr="00160DE3" w:rsidRDefault="003B0DEE" w:rsidP="000D5D90">
      <w:pPr>
        <w:autoSpaceDE w:val="0"/>
        <w:autoSpaceDN w:val="0"/>
        <w:adjustRightInd w:val="0"/>
        <w:spacing w:line="360" w:lineRule="auto"/>
        <w:jc w:val="left"/>
        <w:rPr>
          <w:rStyle w:val="apple-converted-space"/>
          <w:rFonts w:ascii="Arial" w:eastAsia="Arial" w:hAnsi="Arial" w:cs="Arial"/>
          <w:sz w:val="20"/>
          <w:shd w:val="clear" w:color="auto" w:fill="FFFFFF"/>
          <w:lang w:val="en-US" w:eastAsia="en-US"/>
        </w:rPr>
      </w:pPr>
      <w:r w:rsidRPr="00160DE3">
        <w:rPr>
          <w:rFonts w:ascii="Arial" w:hAnsi="Arial" w:cs="Arial"/>
          <w:b/>
          <w:sz w:val="20"/>
        </w:rPr>
        <w:t>Treatment</w:t>
      </w:r>
      <w:r w:rsidRPr="00160DE3">
        <w:rPr>
          <w:rFonts w:ascii="Arial" w:hAnsi="Arial" w:cs="Arial"/>
          <w:sz w:val="20"/>
        </w:rPr>
        <w:t xml:space="preserve"> </w:t>
      </w:r>
      <w:r w:rsidRPr="00160DE3">
        <w:rPr>
          <w:rStyle w:val="apple-converted-space"/>
          <w:rFonts w:ascii="Arial" w:eastAsia="Arial" w:hAnsi="Arial" w:cs="Arial"/>
          <w:sz w:val="20"/>
          <w:shd w:val="clear" w:color="auto" w:fill="FFFFFF"/>
          <w:lang w:val="en-US" w:eastAsia="en-US"/>
        </w:rPr>
        <w:t xml:space="preserve">refers to </w:t>
      </w:r>
      <w:r>
        <w:rPr>
          <w:rStyle w:val="apple-converted-space"/>
          <w:rFonts w:ascii="Arial" w:eastAsia="Arial" w:hAnsi="Arial" w:cs="Arial"/>
          <w:sz w:val="20"/>
          <w:shd w:val="clear" w:color="auto" w:fill="FFFFFF"/>
          <w:lang w:val="en-US" w:eastAsia="en-US"/>
        </w:rPr>
        <w:t>“</w:t>
      </w:r>
      <w:r w:rsidRPr="00160DE3">
        <w:rPr>
          <w:rStyle w:val="apple-converted-space"/>
          <w:rFonts w:ascii="Arial" w:eastAsia="Arial" w:hAnsi="Arial" w:cs="Arial"/>
          <w:sz w:val="20"/>
          <w:shd w:val="clear" w:color="auto" w:fill="FFFFFF"/>
          <w:lang w:val="en-US" w:eastAsia="en-US"/>
        </w:rPr>
        <w:t>any activity which</w:t>
      </w:r>
      <w:r>
        <w:rPr>
          <w:rStyle w:val="apple-converted-space"/>
          <w:rFonts w:ascii="Arial" w:eastAsia="Arial" w:hAnsi="Arial" w:cs="Arial"/>
          <w:sz w:val="20"/>
          <w:shd w:val="clear" w:color="auto" w:fill="FFFFFF"/>
          <w:lang w:val="en-US" w:eastAsia="en-US"/>
        </w:rPr>
        <w:t xml:space="preserve"> </w:t>
      </w:r>
      <w:r w:rsidRPr="00160DE3">
        <w:rPr>
          <w:rStyle w:val="apple-converted-space"/>
          <w:rFonts w:ascii="Arial" w:eastAsia="Arial" w:hAnsi="Arial" w:cs="Arial"/>
          <w:sz w:val="20"/>
          <w:shd w:val="clear" w:color="auto" w:fill="FFFFFF"/>
          <w:lang w:val="en-US" w:eastAsia="en-US"/>
        </w:rPr>
        <w:t>directly targets people who have problems with their drug</w:t>
      </w:r>
    </w:p>
    <w:p w:rsidR="003B0DEE" w:rsidRPr="00160DE3" w:rsidRDefault="003B0DEE" w:rsidP="000D5D90">
      <w:pPr>
        <w:autoSpaceDE w:val="0"/>
        <w:autoSpaceDN w:val="0"/>
        <w:adjustRightInd w:val="0"/>
        <w:spacing w:line="360" w:lineRule="auto"/>
        <w:jc w:val="left"/>
        <w:rPr>
          <w:rStyle w:val="apple-converted-space"/>
          <w:rFonts w:ascii="Arial" w:hAnsi="Arial" w:cs="Arial"/>
          <w:sz w:val="20"/>
          <w:shd w:val="clear" w:color="auto" w:fill="FFFFFF"/>
        </w:rPr>
      </w:pPr>
      <w:r w:rsidRPr="00160DE3">
        <w:rPr>
          <w:rStyle w:val="apple-converted-space"/>
          <w:rFonts w:ascii="Arial" w:eastAsia="Arial" w:hAnsi="Arial" w:cs="Arial"/>
          <w:sz w:val="20"/>
          <w:shd w:val="clear" w:color="auto" w:fill="FFFFFF"/>
          <w:lang w:val="en-US" w:eastAsia="en-US"/>
        </w:rPr>
        <w:lastRenderedPageBreak/>
        <w:t>use and aims to achieve defined objectives with regard to the</w:t>
      </w:r>
      <w:r>
        <w:rPr>
          <w:rStyle w:val="apple-converted-space"/>
          <w:rFonts w:ascii="Arial" w:eastAsia="Arial" w:hAnsi="Arial" w:cs="Arial"/>
          <w:sz w:val="20"/>
          <w:shd w:val="clear" w:color="auto" w:fill="FFFFFF"/>
          <w:lang w:val="en-US" w:eastAsia="en-US"/>
        </w:rPr>
        <w:t xml:space="preserve"> </w:t>
      </w:r>
      <w:r w:rsidRPr="00160DE3">
        <w:rPr>
          <w:rStyle w:val="apple-converted-space"/>
          <w:rFonts w:ascii="Arial" w:eastAsia="Arial" w:hAnsi="Arial" w:cs="Arial"/>
          <w:sz w:val="20"/>
          <w:shd w:val="clear" w:color="auto" w:fill="FFFFFF"/>
          <w:lang w:val="en-US" w:eastAsia="en-US"/>
        </w:rPr>
        <w:t>alleviation and/or elimination of these problems, provided by</w:t>
      </w:r>
      <w:r>
        <w:rPr>
          <w:rStyle w:val="apple-converted-space"/>
          <w:rFonts w:ascii="Arial" w:eastAsia="Arial" w:hAnsi="Arial" w:cs="Arial"/>
          <w:sz w:val="20"/>
          <w:shd w:val="clear" w:color="auto" w:fill="FFFFFF"/>
          <w:lang w:val="en-US" w:eastAsia="en-US"/>
        </w:rPr>
        <w:t xml:space="preserve"> </w:t>
      </w:r>
      <w:r w:rsidRPr="00160DE3">
        <w:rPr>
          <w:rStyle w:val="apple-converted-space"/>
          <w:rFonts w:ascii="Arial" w:eastAsia="Arial" w:hAnsi="Arial" w:cs="Arial"/>
          <w:sz w:val="20"/>
          <w:shd w:val="clear" w:color="auto" w:fill="FFFFFF"/>
          <w:lang w:val="en-US" w:eastAsia="en-US"/>
        </w:rPr>
        <w:t>experienced or accredited professionals, in the framework of</w:t>
      </w:r>
      <w:r>
        <w:rPr>
          <w:rStyle w:val="apple-converted-space"/>
          <w:rFonts w:ascii="Arial" w:eastAsia="Arial" w:hAnsi="Arial" w:cs="Arial"/>
          <w:sz w:val="20"/>
          <w:shd w:val="clear" w:color="auto" w:fill="FFFFFF"/>
          <w:lang w:val="en-US" w:eastAsia="en-US"/>
        </w:rPr>
        <w:t xml:space="preserve"> </w:t>
      </w:r>
      <w:r w:rsidRPr="00160DE3">
        <w:rPr>
          <w:rStyle w:val="apple-converted-space"/>
          <w:rFonts w:ascii="Arial" w:hAnsi="Arial" w:cs="Arial"/>
          <w:sz w:val="20"/>
          <w:shd w:val="clear" w:color="auto" w:fill="FFFFFF"/>
        </w:rPr>
        <w:t>recognized medical, psychological or social assistance practice</w:t>
      </w:r>
      <w:r>
        <w:rPr>
          <w:rStyle w:val="apple-converted-space"/>
          <w:rFonts w:ascii="Arial" w:hAnsi="Arial" w:cs="Arial"/>
          <w:sz w:val="20"/>
          <w:shd w:val="clear" w:color="auto" w:fill="FFFFFF"/>
        </w:rPr>
        <w:t xml:space="preserve">” </w:t>
      </w:r>
      <w:r>
        <w:rPr>
          <w:rStyle w:val="apple-converted-space"/>
          <w:rFonts w:ascii="Arial" w:hAnsi="Arial" w:cs="Arial"/>
          <w:noProof/>
          <w:sz w:val="20"/>
          <w:shd w:val="clear" w:color="auto" w:fill="FFFFFF"/>
        </w:rPr>
        <w:t>(Montanari</w:t>
      </w:r>
      <w:r w:rsidRPr="0044667A">
        <w:rPr>
          <w:rStyle w:val="apple-converted-space"/>
          <w:rFonts w:ascii="Arial" w:hAnsi="Arial" w:cs="Arial"/>
          <w:i/>
          <w:noProof/>
          <w:sz w:val="20"/>
          <w:shd w:val="clear" w:color="auto" w:fill="FFFFFF"/>
        </w:rPr>
        <w:t xml:space="preserve"> et al.</w:t>
      </w:r>
      <w:r>
        <w:rPr>
          <w:rStyle w:val="apple-converted-space"/>
          <w:rFonts w:ascii="Arial" w:hAnsi="Arial" w:cs="Arial"/>
          <w:noProof/>
          <w:sz w:val="20"/>
          <w:shd w:val="clear" w:color="auto" w:fill="FFFFFF"/>
        </w:rPr>
        <w:t xml:space="preserve"> 2019)</w:t>
      </w:r>
      <w:r w:rsidRPr="00160DE3">
        <w:rPr>
          <w:rStyle w:val="apple-converted-space"/>
          <w:rFonts w:ascii="Arial" w:hAnsi="Arial" w:cs="Arial"/>
          <w:sz w:val="20"/>
          <w:shd w:val="clear" w:color="auto" w:fill="FFFFFF"/>
        </w:rPr>
        <w:t>.</w:t>
      </w:r>
    </w:p>
    <w:p w:rsidR="003B0DEE" w:rsidRDefault="003B0DEE" w:rsidP="000D5D90">
      <w:pPr>
        <w:pStyle w:val="BodyText"/>
      </w:pPr>
    </w:p>
    <w:p w:rsidR="003B0DEE" w:rsidRDefault="003B0DEE" w:rsidP="000D5D90">
      <w:pPr>
        <w:pStyle w:val="BodyText"/>
        <w:rPr>
          <w:rFonts w:cs="Futura"/>
          <w:color w:val="000000"/>
          <w:sz w:val="18"/>
          <w:szCs w:val="18"/>
        </w:rPr>
      </w:pPr>
      <w:r w:rsidRPr="00A23A24">
        <w:rPr>
          <w:b/>
        </w:rPr>
        <w:t xml:space="preserve">Start of treatment </w:t>
      </w:r>
      <w:r w:rsidRPr="00A23A24">
        <w:t>refers to</w:t>
      </w:r>
      <w:r>
        <w:rPr>
          <w:b/>
        </w:rPr>
        <w:t xml:space="preserve"> </w:t>
      </w:r>
      <w:r w:rsidRPr="003A030F">
        <w:t>‘</w:t>
      </w:r>
      <w:r w:rsidRPr="00A23A24">
        <w:t xml:space="preserve">the earliest formalised face-to-face contact(s) between the client and the centre…..to assess the client’s characteristics and needs related to their drug problem’ </w:t>
      </w:r>
      <w:r>
        <w:rPr>
          <w:noProof/>
        </w:rPr>
        <w:t>(European Monitoring Centre for Drugs and Drug Addiction 2012a)</w:t>
      </w:r>
      <w:r w:rsidRPr="00A23A24">
        <w:t xml:space="preserve">. </w:t>
      </w:r>
    </w:p>
    <w:p w:rsidR="003B0DEE" w:rsidRPr="00A23A24" w:rsidRDefault="003B0DEE" w:rsidP="000D5D90">
      <w:pPr>
        <w:pStyle w:val="BodyText"/>
        <w:rPr>
          <w:b/>
          <w:lang w:val="en-IE"/>
        </w:rPr>
      </w:pPr>
    </w:p>
    <w:p w:rsidR="003B0DEE" w:rsidRPr="00A23A24" w:rsidRDefault="003B0DEE" w:rsidP="000D5D90">
      <w:pPr>
        <w:pStyle w:val="Pa18"/>
        <w:spacing w:after="100" w:line="360" w:lineRule="auto"/>
        <w:rPr>
          <w:rFonts w:ascii="Arial" w:hAnsi="Arial" w:cs="Arial"/>
          <w:sz w:val="20"/>
          <w:szCs w:val="20"/>
        </w:rPr>
      </w:pPr>
      <w:r w:rsidRPr="00A23A24">
        <w:rPr>
          <w:rFonts w:ascii="Arial" w:hAnsi="Arial" w:cs="Arial"/>
          <w:b/>
          <w:sz w:val="20"/>
          <w:szCs w:val="20"/>
        </w:rPr>
        <w:t>Treatment discharge</w:t>
      </w:r>
      <w:r w:rsidRPr="00A23A24">
        <w:rPr>
          <w:rFonts w:ascii="Arial" w:hAnsi="Arial" w:cs="Arial"/>
          <w:sz w:val="20"/>
          <w:szCs w:val="20"/>
        </w:rPr>
        <w:t xml:space="preserve"> denotes</w:t>
      </w:r>
      <w:r>
        <w:rPr>
          <w:rFonts w:ascii="Arial" w:hAnsi="Arial" w:cs="Arial"/>
          <w:sz w:val="20"/>
          <w:szCs w:val="20"/>
        </w:rPr>
        <w:t xml:space="preserve"> the end of treatment</w:t>
      </w:r>
      <w:r w:rsidRPr="00A23A24">
        <w:rPr>
          <w:rFonts w:ascii="Arial" w:hAnsi="Arial" w:cs="Arial"/>
          <w:sz w:val="20"/>
          <w:szCs w:val="20"/>
        </w:rPr>
        <w:t xml:space="preserve"> </w:t>
      </w:r>
      <w:r>
        <w:rPr>
          <w:rFonts w:ascii="Arial" w:hAnsi="Arial" w:cs="Arial"/>
          <w:sz w:val="20"/>
          <w:szCs w:val="20"/>
        </w:rPr>
        <w:t xml:space="preserve">whereby </w:t>
      </w:r>
      <w:r w:rsidRPr="00A23A24">
        <w:rPr>
          <w:rFonts w:ascii="Arial" w:hAnsi="Arial" w:cs="Arial"/>
          <w:sz w:val="20"/>
          <w:szCs w:val="20"/>
        </w:rPr>
        <w:t>‘there is a formal conclusion (agreed or not) or when the client stops attending the treatment centre or dies‘</w:t>
      </w:r>
      <w:r>
        <w:rPr>
          <w:rFonts w:ascii="Arial" w:hAnsi="Arial" w:cs="Arial"/>
          <w:sz w:val="20"/>
          <w:szCs w:val="20"/>
        </w:rPr>
        <w:t xml:space="preserve"> </w:t>
      </w:r>
      <w:r w:rsidRPr="001D1655">
        <w:rPr>
          <w:rFonts w:ascii="Arial" w:hAnsi="Arial" w:cs="Arial"/>
          <w:noProof/>
          <w:sz w:val="20"/>
        </w:rPr>
        <w:t>(European Monitoring Centre for Drugs and Drug Addiction 2012a)</w:t>
      </w:r>
      <w:r w:rsidRPr="00A23A24">
        <w:rPr>
          <w:rFonts w:ascii="Arial" w:hAnsi="Arial" w:cs="Arial"/>
          <w:sz w:val="20"/>
          <w:szCs w:val="20"/>
        </w:rPr>
        <w:t xml:space="preserve">. </w:t>
      </w:r>
    </w:p>
    <w:p w:rsidR="003B0DEE" w:rsidRPr="00A23A24" w:rsidRDefault="003B0DEE" w:rsidP="000D5D90">
      <w:pPr>
        <w:pStyle w:val="BodyText"/>
        <w:rPr>
          <w:lang w:val="en-IE"/>
        </w:rPr>
      </w:pPr>
    </w:p>
    <w:p w:rsidR="003B0DEE" w:rsidRDefault="003B0DEE" w:rsidP="000D5D90">
      <w:pPr>
        <w:pStyle w:val="Heading2"/>
      </w:pPr>
      <w:bookmarkStart w:id="13" w:name="_Toc15331638"/>
      <w:r>
        <w:t>Overview of the thesis</w:t>
      </w:r>
      <w:bookmarkEnd w:id="13"/>
    </w:p>
    <w:p w:rsidR="003B0DEE" w:rsidRPr="00EA47C2" w:rsidRDefault="003B0DEE" w:rsidP="000D5D90">
      <w:pPr>
        <w:spacing w:line="360" w:lineRule="auto"/>
        <w:jc w:val="left"/>
        <w:rPr>
          <w:rFonts w:ascii="Arial" w:hAnsi="Arial" w:cs="Arial"/>
          <w:sz w:val="20"/>
        </w:rPr>
      </w:pPr>
      <w:r w:rsidRPr="00EA47C2">
        <w:rPr>
          <w:rFonts w:ascii="Arial" w:hAnsi="Arial" w:cs="Arial"/>
          <w:sz w:val="20"/>
        </w:rPr>
        <w:t xml:space="preserve">This thesis consists of seven chapters.  Each chapter has an introduction that sets the chapter in the wider context of the thesis, and a conclusion to summarise the key elements of the chapter.  Chapter </w:t>
      </w:r>
      <w:r>
        <w:rPr>
          <w:rFonts w:ascii="Arial" w:hAnsi="Arial" w:cs="Arial"/>
          <w:sz w:val="20"/>
        </w:rPr>
        <w:t>1</w:t>
      </w:r>
      <w:r w:rsidRPr="00EA47C2">
        <w:rPr>
          <w:rFonts w:ascii="Arial" w:hAnsi="Arial" w:cs="Arial"/>
          <w:sz w:val="20"/>
        </w:rPr>
        <w:t xml:space="preserve"> describes the rationale for this study via consideration of the existing global epidemiology and specifies the aim and objectives.  Chapter </w:t>
      </w:r>
      <w:r>
        <w:rPr>
          <w:rFonts w:ascii="Arial" w:hAnsi="Arial" w:cs="Arial"/>
          <w:sz w:val="20"/>
        </w:rPr>
        <w:t>2</w:t>
      </w:r>
      <w:r w:rsidRPr="00EA47C2">
        <w:rPr>
          <w:rFonts w:ascii="Arial" w:hAnsi="Arial" w:cs="Arial"/>
          <w:sz w:val="20"/>
        </w:rPr>
        <w:t xml:space="preserve"> consists of a systematic review of the literature specifically related to ageing opioid use and associated treatment outcomes.  The results of this systematic review were used to guide the specific factors considered in designing the study methods.  In Chapter </w:t>
      </w:r>
      <w:r>
        <w:rPr>
          <w:rFonts w:ascii="Arial" w:hAnsi="Arial" w:cs="Arial"/>
          <w:sz w:val="20"/>
        </w:rPr>
        <w:t>3</w:t>
      </w:r>
      <w:r w:rsidRPr="00EA47C2">
        <w:rPr>
          <w:rFonts w:ascii="Arial" w:hAnsi="Arial" w:cs="Arial"/>
          <w:sz w:val="20"/>
        </w:rPr>
        <w:t>, the broader theoretical framework of this study, a detailed description of this study’s paradigm, and study design is provided.  This framework is used to interpret and discuss the results of this study (Chapters 4-</w:t>
      </w:r>
      <w:r>
        <w:rPr>
          <w:rFonts w:ascii="Arial" w:hAnsi="Arial" w:cs="Arial"/>
          <w:sz w:val="20"/>
        </w:rPr>
        <w:t>6</w:t>
      </w:r>
      <w:r w:rsidRPr="00EA47C2">
        <w:rPr>
          <w:rFonts w:ascii="Arial" w:hAnsi="Arial" w:cs="Arial"/>
          <w:sz w:val="20"/>
        </w:rPr>
        <w:t>).  The rationale for choosing a quantitative approach is given and the methods used in this study are also outlined in detail.</w:t>
      </w:r>
    </w:p>
    <w:p w:rsidR="003B0DEE" w:rsidRPr="00782EB3" w:rsidRDefault="003B0DEE" w:rsidP="000D5D90">
      <w:pPr>
        <w:pStyle w:val="BodyText"/>
      </w:pPr>
      <w:r w:rsidRPr="00782EB3">
        <w:t xml:space="preserve">Chapter </w:t>
      </w:r>
      <w:r>
        <w:t>4</w:t>
      </w:r>
      <w:r w:rsidRPr="00782EB3">
        <w:t xml:space="preserve"> is the first of the three results chapters presenting the findings of this study. </w:t>
      </w:r>
      <w:r>
        <w:t xml:space="preserve"> </w:t>
      </w:r>
      <w:r w:rsidRPr="00782EB3">
        <w:t xml:space="preserve">The results of an investigation of age related incidence rates and the characteristics of opioid treatment admissions are reported and placed in the context of the existing literature concerning ageing opioid use.  In Chapter </w:t>
      </w:r>
      <w:r>
        <w:t>5</w:t>
      </w:r>
      <w:r w:rsidRPr="00782EB3">
        <w:t xml:space="preserve">, the typology of </w:t>
      </w:r>
      <w:r>
        <w:t>opioid-using</w:t>
      </w:r>
      <w:r w:rsidRPr="00782EB3">
        <w:t xml:space="preserve"> behaviours </w:t>
      </w:r>
      <w:r>
        <w:t>is</w:t>
      </w:r>
      <w:r w:rsidRPr="00782EB3">
        <w:t xml:space="preserve"> presented and discussed in the context of pertinent literature.  Chapter </w:t>
      </w:r>
      <w:r>
        <w:t>6</w:t>
      </w:r>
      <w:r w:rsidRPr="00782EB3">
        <w:t xml:space="preserve"> is the last of the three results chapters.  The findings regarding treatment </w:t>
      </w:r>
      <w:r>
        <w:t xml:space="preserve">exposure and </w:t>
      </w:r>
      <w:r w:rsidRPr="00782EB3">
        <w:t xml:space="preserve">retention are reported and discussed.  Chapter </w:t>
      </w:r>
      <w:r>
        <w:t>7</w:t>
      </w:r>
      <w:r w:rsidRPr="00782EB3">
        <w:t xml:space="preserve"> is the final chapter of this thesis.  It consists of a summary of key findings, a discussion of the strength and weaknesses of the study, recommendations for policy and practice, and future research in relation to ageing</w:t>
      </w:r>
      <w:r>
        <w:t xml:space="preserve"> opioid users</w:t>
      </w:r>
      <w:r w:rsidRPr="00782EB3">
        <w:t>.</w:t>
      </w:r>
    </w:p>
    <w:p w:rsidR="003B0DEE" w:rsidRPr="00C06295" w:rsidRDefault="003B0DEE" w:rsidP="000D5D90">
      <w:pPr>
        <w:pStyle w:val="Heading2"/>
      </w:pPr>
      <w:bookmarkStart w:id="14" w:name="_Toc15331639"/>
      <w:r>
        <w:t>Conclusion</w:t>
      </w:r>
      <w:bookmarkEnd w:id="14"/>
    </w:p>
    <w:p w:rsidR="003B0DEE" w:rsidRPr="00077E22" w:rsidRDefault="003B0DEE" w:rsidP="000D5D90">
      <w:pPr>
        <w:pStyle w:val="BodyText"/>
        <w:rPr>
          <w:lang w:val="en-IE"/>
        </w:rPr>
      </w:pPr>
      <w:r w:rsidRPr="00782EB3">
        <w:t xml:space="preserve">This chapter outlined the rationale, aim and objectives of this study.  Problematic drug use had been incorrectly assumed to end as people age.  Significant future needs have been identified </w:t>
      </w:r>
      <w:r>
        <w:t xml:space="preserve">and </w:t>
      </w:r>
      <w:r w:rsidRPr="00782EB3">
        <w:t>there is a need to understand the specific needs of this ageing population in order to deliver appropriate care.  The next chapter gives a more detailed account of the literature concerning the ageing opioid treatment population and their associated treatment outcomes.</w:t>
      </w:r>
    </w:p>
    <w:p w:rsidR="003B0DEE" w:rsidRPr="007C2B59" w:rsidRDefault="003B0DEE" w:rsidP="000D5D90">
      <w:pPr>
        <w:pStyle w:val="Heading1"/>
        <w:rPr>
          <w:color w:val="FFFFFF"/>
          <w:sz w:val="18"/>
        </w:rPr>
      </w:pPr>
      <w:r>
        <w:br w:type="page"/>
      </w:r>
      <w:bookmarkStart w:id="15" w:name="_Toc15331640"/>
      <w:r w:rsidRPr="007C2B59">
        <w:rPr>
          <w:color w:val="FFFFFF"/>
          <w:sz w:val="20"/>
        </w:rPr>
        <w:lastRenderedPageBreak/>
        <w:t>Chapter 2</w:t>
      </w:r>
      <w:r w:rsidRPr="007C2B59">
        <w:rPr>
          <w:color w:val="FFFFFF"/>
          <w:sz w:val="20"/>
        </w:rPr>
        <w:tab/>
        <w:t>Literature review</w:t>
      </w:r>
      <w:bookmarkEnd w:id="15"/>
    </w:p>
    <w:p w:rsidR="003B0DEE" w:rsidRDefault="003B0DEE" w:rsidP="000D5D90">
      <w:pPr>
        <w:pStyle w:val="Chapter"/>
      </w:pPr>
      <w:r w:rsidRPr="00697C05">
        <w:t xml:space="preserve">Chapter </w:t>
      </w:r>
      <w:r>
        <w:t>2</w:t>
      </w:r>
    </w:p>
    <w:p w:rsidR="003B0DEE" w:rsidRPr="00267119" w:rsidRDefault="003B0DEE" w:rsidP="000D5D90">
      <w:pPr>
        <w:pStyle w:val="Chapter"/>
      </w:pPr>
      <w:r>
        <w:t>Literature review</w:t>
      </w:r>
    </w:p>
    <w:p w:rsidR="003B0DEE" w:rsidRPr="00F338F3" w:rsidRDefault="003B0DEE" w:rsidP="000D5D90">
      <w:pPr>
        <w:pStyle w:val="Heading2"/>
      </w:pPr>
      <w:bookmarkStart w:id="16" w:name="_Toc15331641"/>
      <w:r w:rsidRPr="00F338F3">
        <w:t>Introduction</w:t>
      </w:r>
      <w:bookmarkEnd w:id="16"/>
    </w:p>
    <w:p w:rsidR="003B0DEE" w:rsidRDefault="003B0DEE" w:rsidP="000D5D90">
      <w:pPr>
        <w:pStyle w:val="BodyText"/>
      </w:pPr>
      <w:r w:rsidRPr="009F3799">
        <w:t xml:space="preserve">This chapter explores the literature relating to the treatment of opioid use and outcomes in older adults.  </w:t>
      </w:r>
      <w:r w:rsidRPr="00B4588B">
        <w:t>The purpose of the literature review is to identify and understand the published literature associated</w:t>
      </w:r>
      <w:r w:rsidRPr="00FA494D">
        <w:t xml:space="preserve"> with ageing among people treated for opioid use and outcomes of that treatment</w:t>
      </w:r>
      <w:r>
        <w:t xml:space="preserve">.  </w:t>
      </w:r>
      <w:r w:rsidRPr="00494192">
        <w:t>The chapter begins with a description of how the search of the literature was conducted and then goes on to expand on the literature identified.</w:t>
      </w:r>
      <w:r>
        <w:t xml:space="preserve">  </w:t>
      </w:r>
      <w:r w:rsidRPr="00B4588B">
        <w:t>This literature review contains literature published up until the</w:t>
      </w:r>
      <w:r>
        <w:t xml:space="preserve"> end of October 2015</w:t>
      </w:r>
      <w:r w:rsidRPr="00B4588B">
        <w:t xml:space="preserve">. </w:t>
      </w:r>
      <w:r>
        <w:t xml:space="preserve"> </w:t>
      </w:r>
      <w:r w:rsidRPr="00B4588B">
        <w:t xml:space="preserve">Any relevant studies published after </w:t>
      </w:r>
      <w:proofErr w:type="gramStart"/>
      <w:r w:rsidRPr="00B4588B">
        <w:t>this date</w:t>
      </w:r>
      <w:r>
        <w:t xml:space="preserve"> </w:t>
      </w:r>
      <w:r w:rsidRPr="00B4588B">
        <w:t>are</w:t>
      </w:r>
      <w:proofErr w:type="gramEnd"/>
      <w:r w:rsidRPr="00B4588B">
        <w:t xml:space="preserve"> incorporated in the discussion </w:t>
      </w:r>
      <w:r>
        <w:t xml:space="preserve">of results </w:t>
      </w:r>
      <w:r w:rsidRPr="00B4588B">
        <w:t>(Chapter</w:t>
      </w:r>
      <w:r>
        <w:t>s</w:t>
      </w:r>
      <w:r w:rsidRPr="00B4588B">
        <w:t xml:space="preserve"> </w:t>
      </w:r>
      <w:r>
        <w:t>4, 5, 6</w:t>
      </w:r>
      <w:r w:rsidRPr="00B4588B">
        <w:t>)</w:t>
      </w:r>
      <w:r>
        <w:t xml:space="preserve"> and the study conclusions (Chapter 7).</w:t>
      </w:r>
    </w:p>
    <w:p w:rsidR="003B0DEE" w:rsidRPr="00B50E22" w:rsidRDefault="003B0DEE" w:rsidP="000D5D90">
      <w:pPr>
        <w:pStyle w:val="Heading2"/>
      </w:pPr>
      <w:bookmarkStart w:id="17" w:name="_Toc15331642"/>
      <w:r w:rsidRPr="00B50E22">
        <w:t>Search methodology</w:t>
      </w:r>
      <w:bookmarkEnd w:id="17"/>
    </w:p>
    <w:p w:rsidR="003B0DEE" w:rsidRPr="00177AA3" w:rsidRDefault="003B0DEE" w:rsidP="000D5D90">
      <w:pPr>
        <w:pStyle w:val="BodyText"/>
      </w:pPr>
      <w:r w:rsidRPr="00177AA3">
        <w:t xml:space="preserve">ASSIA, CINAHL, MEDLINE, PsycINFO, Pubmed, and Cochrane Library databases were searched up to the end of October 2015 using subject headings and keywords (and their variants) under the following concepts: addiction (substance-related disorders; addict; drug use; drug dependent; problematic use; etc.); opioid drugs (e.g.; opiate alkaloids; opioid; heroin; methadone; etc.); intervention (e.g.; treatment; therapy; intervention; rehabilitation; etc.); treatment outcomes (e.g.; immediate treatment outcomes such as retention and post-treatment outcomes; such as abstinence); study type (cohort studies; longitudinal; </w:t>
      </w:r>
      <w:r>
        <w:t>follow-up</w:t>
      </w:r>
      <w:r w:rsidRPr="00177AA3">
        <w:t xml:space="preserve">; prospective; evaluation etc.). </w:t>
      </w:r>
      <w:r>
        <w:t xml:space="preserve"> </w:t>
      </w:r>
      <w:r w:rsidRPr="00177AA3">
        <w:t xml:space="preserve">Targeted searches were supplemented with manual searches.  </w:t>
      </w:r>
      <w:r>
        <w:t>Searches of g</w:t>
      </w:r>
      <w:r w:rsidRPr="00177AA3">
        <w:t>rey literature databases, library databases and general online searches (e.g.; websites of the</w:t>
      </w:r>
      <w:r>
        <w:t xml:space="preserve"> university library; government</w:t>
      </w:r>
      <w:r w:rsidRPr="00177AA3">
        <w:t xml:space="preserve"> </w:t>
      </w:r>
      <w:proofErr w:type="spellStart"/>
      <w:r w:rsidRPr="00177AA3">
        <w:t>organisations</w:t>
      </w:r>
      <w:proofErr w:type="spellEnd"/>
      <w:r w:rsidRPr="00177AA3">
        <w:t xml:space="preserve"> and Google) were </w:t>
      </w:r>
      <w:r>
        <w:t>undertaken</w:t>
      </w:r>
      <w:r w:rsidRPr="00177AA3">
        <w:t xml:space="preserve"> for books and grey literature</w:t>
      </w:r>
      <w:r>
        <w:t>; including policy documents,</w:t>
      </w:r>
      <w:r w:rsidRPr="00177AA3">
        <w:t xml:space="preserve"> reports and conference documentation. </w:t>
      </w:r>
      <w:r>
        <w:t xml:space="preserve"> </w:t>
      </w:r>
      <w:r w:rsidRPr="00177AA3">
        <w:t>References included in relevant articles retrieved were screened for additional references to supplement the review.</w:t>
      </w:r>
    </w:p>
    <w:p w:rsidR="003B0DEE" w:rsidRPr="00DF44C1" w:rsidRDefault="003B0DEE" w:rsidP="000D5D90">
      <w:pPr>
        <w:pStyle w:val="Heading3"/>
      </w:pPr>
      <w:bookmarkStart w:id="18" w:name="_Toc15331643"/>
      <w:r w:rsidRPr="00DF44C1">
        <w:t>Inclusion and exclusion criteria</w:t>
      </w:r>
      <w:bookmarkEnd w:id="18"/>
    </w:p>
    <w:p w:rsidR="003B0DEE" w:rsidRPr="00177AA3" w:rsidRDefault="003B0DEE" w:rsidP="000D5D90">
      <w:pPr>
        <w:pStyle w:val="BodyText"/>
      </w:pPr>
      <w:r w:rsidRPr="00177AA3">
        <w:t xml:space="preserve">The search was restricted by subject type (humans) and English language publications. </w:t>
      </w:r>
      <w:r>
        <w:t xml:space="preserve"> </w:t>
      </w:r>
      <w:r w:rsidRPr="00177AA3">
        <w:t>No restrictions were applied to publication dates to ensure all relevant research was captured.</w:t>
      </w:r>
    </w:p>
    <w:p w:rsidR="003B0DEE" w:rsidRPr="00177AA3" w:rsidRDefault="003B0DEE" w:rsidP="000D5D90">
      <w:pPr>
        <w:pStyle w:val="BodyText"/>
      </w:pPr>
      <w:r w:rsidRPr="00177AA3">
        <w:t>The search included:</w:t>
      </w:r>
    </w:p>
    <w:p w:rsidR="003B0DEE" w:rsidRPr="00177AA3" w:rsidRDefault="003B0DEE" w:rsidP="000D5D90">
      <w:pPr>
        <w:pStyle w:val="ListParagraph"/>
        <w:numPr>
          <w:ilvl w:val="0"/>
          <w:numId w:val="2"/>
        </w:numPr>
        <w:rPr>
          <w:rFonts w:cs="Arial"/>
        </w:rPr>
      </w:pPr>
      <w:r w:rsidRPr="00177AA3">
        <w:rPr>
          <w:rFonts w:cs="Arial"/>
        </w:rPr>
        <w:t>any opioid use disorder, including disorders related to prescription medications, and illicit drugs;</w:t>
      </w:r>
    </w:p>
    <w:p w:rsidR="003B0DEE" w:rsidRPr="00177AA3" w:rsidRDefault="003B0DEE" w:rsidP="000D5D90">
      <w:pPr>
        <w:pStyle w:val="ListParagraph"/>
        <w:numPr>
          <w:ilvl w:val="0"/>
          <w:numId w:val="2"/>
        </w:numPr>
        <w:rPr>
          <w:rFonts w:cs="Arial"/>
        </w:rPr>
      </w:pPr>
      <w:proofErr w:type="gramStart"/>
      <w:r w:rsidRPr="00177AA3">
        <w:rPr>
          <w:rFonts w:cs="Arial"/>
        </w:rPr>
        <w:t>any</w:t>
      </w:r>
      <w:proofErr w:type="gramEnd"/>
      <w:r w:rsidRPr="00177AA3">
        <w:rPr>
          <w:rFonts w:cs="Arial"/>
        </w:rPr>
        <w:t xml:space="preserve"> intervention, including psychosocial interventions and/or pharmacological interventions.</w:t>
      </w:r>
    </w:p>
    <w:p w:rsidR="003B0DEE" w:rsidRPr="00177AA3" w:rsidRDefault="003B0DEE" w:rsidP="000D5D90">
      <w:pPr>
        <w:jc w:val="left"/>
        <w:rPr>
          <w:rFonts w:cs="Arial"/>
        </w:rPr>
      </w:pPr>
      <w:r w:rsidRPr="00177AA3">
        <w:rPr>
          <w:rFonts w:cs="Arial"/>
        </w:rPr>
        <w:t>The search and selection criteria excluded:</w:t>
      </w:r>
    </w:p>
    <w:p w:rsidR="003B0DEE" w:rsidRPr="00177AA3" w:rsidRDefault="003B0DEE" w:rsidP="000D5D90">
      <w:pPr>
        <w:pStyle w:val="ListParagraph"/>
        <w:numPr>
          <w:ilvl w:val="0"/>
          <w:numId w:val="3"/>
        </w:numPr>
        <w:rPr>
          <w:rFonts w:cs="Arial"/>
        </w:rPr>
      </w:pPr>
      <w:r w:rsidRPr="00177AA3">
        <w:rPr>
          <w:rFonts w:cs="Arial"/>
        </w:rPr>
        <w:lastRenderedPageBreak/>
        <w:t>disorders related to alcohol, nicotine, prescription medications, and illicit drugs other than opioids;</w:t>
      </w:r>
    </w:p>
    <w:p w:rsidR="003B0DEE" w:rsidRPr="00177AA3" w:rsidRDefault="003B0DEE" w:rsidP="000D5D90">
      <w:pPr>
        <w:pStyle w:val="ListParagraph"/>
        <w:numPr>
          <w:ilvl w:val="0"/>
          <w:numId w:val="3"/>
        </w:numPr>
        <w:rPr>
          <w:rFonts w:cs="Arial"/>
        </w:rPr>
      </w:pPr>
      <w:r w:rsidRPr="00177AA3">
        <w:rPr>
          <w:rFonts w:cs="Arial"/>
        </w:rPr>
        <w:t xml:space="preserve">substance abuse disorder/s comorbid with other mental disorder/s where mental disorder/s were the primary focus; </w:t>
      </w:r>
    </w:p>
    <w:p w:rsidR="003B0DEE" w:rsidRPr="00177AA3" w:rsidRDefault="003B0DEE" w:rsidP="000D5D90">
      <w:pPr>
        <w:pStyle w:val="ListParagraph"/>
        <w:numPr>
          <w:ilvl w:val="0"/>
          <w:numId w:val="3"/>
        </w:numPr>
        <w:rPr>
          <w:rFonts w:cs="Arial"/>
        </w:rPr>
      </w:pPr>
      <w:r w:rsidRPr="00177AA3">
        <w:rPr>
          <w:rFonts w:cs="Arial"/>
        </w:rPr>
        <w:t>interventions not administered to the person with substance abuse disorder;</w:t>
      </w:r>
    </w:p>
    <w:p w:rsidR="003B0DEE" w:rsidRPr="00177AA3" w:rsidRDefault="003B0DEE" w:rsidP="000D5D90">
      <w:pPr>
        <w:pStyle w:val="ListParagraph"/>
        <w:numPr>
          <w:ilvl w:val="0"/>
          <w:numId w:val="3"/>
        </w:numPr>
        <w:rPr>
          <w:rFonts w:cs="Arial"/>
        </w:rPr>
      </w:pPr>
      <w:proofErr w:type="gramStart"/>
      <w:r w:rsidRPr="00177AA3">
        <w:rPr>
          <w:rFonts w:cs="Arial"/>
        </w:rPr>
        <w:t>studies</w:t>
      </w:r>
      <w:proofErr w:type="gramEnd"/>
      <w:r w:rsidRPr="00177AA3">
        <w:rPr>
          <w:rFonts w:cs="Arial"/>
        </w:rPr>
        <w:t xml:space="preserve"> not reporting primary research data, with the exception of relevant systematic reviews.</w:t>
      </w:r>
    </w:p>
    <w:p w:rsidR="003B0DEE" w:rsidRPr="00DF44C1" w:rsidRDefault="003B0DEE" w:rsidP="000D5D90">
      <w:pPr>
        <w:pStyle w:val="Heading3"/>
      </w:pPr>
      <w:bookmarkStart w:id="19" w:name="_Toc15331644"/>
      <w:r w:rsidRPr="00DF44C1">
        <w:t>Study selection</w:t>
      </w:r>
      <w:bookmarkEnd w:id="19"/>
    </w:p>
    <w:p w:rsidR="003B0DEE" w:rsidRPr="00177AA3" w:rsidRDefault="003B0DEE" w:rsidP="000D5D90">
      <w:pPr>
        <w:pStyle w:val="BodyText"/>
      </w:pPr>
      <w:r w:rsidRPr="00177AA3">
        <w:t xml:space="preserve">Papers explicitly involving individuals who received addiction treatment for their opioid use were candidates for inclusion. </w:t>
      </w:r>
      <w:r>
        <w:t xml:space="preserve"> </w:t>
      </w:r>
      <w:r w:rsidRPr="00177AA3">
        <w:t xml:space="preserve">As studies of a longitudinal nature follow people over time during which people grow older, no age restrictions were made to the search criteria to avoid inadvertently excluding appropriate studies. </w:t>
      </w:r>
      <w:r>
        <w:t xml:space="preserve"> </w:t>
      </w:r>
      <w:r w:rsidRPr="00177AA3">
        <w:t xml:space="preserve">Results were filtered to include studies examining age or proxies for age such as length of drug career. </w:t>
      </w:r>
      <w:r>
        <w:t xml:space="preserve"> </w:t>
      </w:r>
      <w:r w:rsidRPr="00177AA3">
        <w:t>Search results were managed in EndNote software.</w:t>
      </w:r>
      <w:r>
        <w:t xml:space="preserve"> </w:t>
      </w:r>
      <w:r w:rsidRPr="00177AA3">
        <w:t xml:space="preserve"> Abstracts were assessed against inclusion/exclusion criteria and following this process, full papers were retrieved for review. </w:t>
      </w:r>
      <w:r>
        <w:t xml:space="preserve"> </w:t>
      </w:r>
      <w:r w:rsidRPr="00177AA3">
        <w:t>A systematic review of relevant primary material was conducted using the PRISMA approach and the PRISMA flow chart (Figure</w:t>
      </w:r>
      <w:r>
        <w:t xml:space="preserve"> 2-</w:t>
      </w:r>
      <w:r w:rsidRPr="00177AA3">
        <w:t xml:space="preserve">1) outlines the process by which literature was selected for inclusion </w:t>
      </w:r>
      <w:r w:rsidRPr="00791A95">
        <w:rPr>
          <w:noProof/>
        </w:rPr>
        <w:t>(Moher</w:t>
      </w:r>
      <w:r w:rsidRPr="00791A95">
        <w:rPr>
          <w:i/>
          <w:noProof/>
        </w:rPr>
        <w:t xml:space="preserve"> et al.</w:t>
      </w:r>
      <w:r w:rsidRPr="00791A95">
        <w:rPr>
          <w:noProof/>
        </w:rPr>
        <w:t xml:space="preserve"> 2010)</w:t>
      </w:r>
      <w:r w:rsidRPr="00177AA3">
        <w:t>.</w:t>
      </w:r>
    </w:p>
    <w:p w:rsidR="003B0DEE" w:rsidRDefault="003B0DEE" w:rsidP="000D5D90">
      <w:pPr>
        <w:pStyle w:val="BodyText"/>
        <w:rPr>
          <w:b/>
          <w:bCs/>
          <w:szCs w:val="18"/>
        </w:rPr>
      </w:pPr>
      <w:r>
        <w:br w:type="page"/>
      </w:r>
    </w:p>
    <w:p w:rsidR="003B0DEE" w:rsidRDefault="003B0DEE" w:rsidP="000D5D90">
      <w:pPr>
        <w:pStyle w:val="Caption"/>
        <w:keepNext/>
        <w:rPr>
          <w:rFonts w:cs="Arial"/>
          <w:b w:val="0"/>
        </w:rPr>
      </w:pPr>
      <w:bookmarkStart w:id="20" w:name="_Toc15331953"/>
      <w:r>
        <w:lastRenderedPageBreak/>
        <w:t xml:space="preserve">Figure </w:t>
      </w:r>
      <w:fldSimple w:instr=" STYLEREF 1 \s ">
        <w:r>
          <w:rPr>
            <w:noProof/>
          </w:rPr>
          <w:t>2</w:t>
        </w:r>
      </w:fldSimple>
      <w:r>
        <w:noBreakHyphen/>
      </w:r>
      <w:fldSimple w:instr=" SEQ Figure \* ARABIC \s 1 ">
        <w:r>
          <w:rPr>
            <w:noProof/>
          </w:rPr>
          <w:t>1</w:t>
        </w:r>
      </w:fldSimple>
      <w:r>
        <w:t xml:space="preserve">  </w:t>
      </w:r>
      <w:r w:rsidRPr="000539F8">
        <w:rPr>
          <w:rFonts w:cs="Arial"/>
          <w:b w:val="0"/>
        </w:rPr>
        <w:t>PRISMA study selection flowchart</w:t>
      </w:r>
      <w:bookmarkEnd w:id="20"/>
    </w:p>
    <w:p w:rsidR="003B0DEE" w:rsidRPr="000441F0" w:rsidRDefault="003B0DEE" w:rsidP="000D5D90">
      <w:pPr>
        <w:rPr>
          <w:b/>
        </w:rPr>
      </w:pPr>
      <w:r>
        <w:rPr>
          <w:noProof/>
        </w:rPr>
        <w:drawing>
          <wp:inline distT="0" distB="0" distL="0" distR="0" wp14:anchorId="4C4FB421" wp14:editId="28BE2B09">
            <wp:extent cx="5598000" cy="54360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98000" cy="5436000"/>
                    </a:xfrm>
                    <a:prstGeom prst="rect">
                      <a:avLst/>
                    </a:prstGeom>
                  </pic:spPr>
                </pic:pic>
              </a:graphicData>
            </a:graphic>
          </wp:inline>
        </w:drawing>
      </w:r>
    </w:p>
    <w:p w:rsidR="003B0DEE" w:rsidRPr="00AB1CE7" w:rsidRDefault="003B0DEE" w:rsidP="000D5D90">
      <w:pPr>
        <w:pStyle w:val="Heading2"/>
      </w:pPr>
      <w:bookmarkStart w:id="21" w:name="_Toc15331645"/>
      <w:r>
        <w:t>Results</w:t>
      </w:r>
      <w:bookmarkEnd w:id="21"/>
    </w:p>
    <w:p w:rsidR="003B0DEE" w:rsidRPr="009F3799" w:rsidRDefault="003B0DEE" w:rsidP="000D5D90">
      <w:pPr>
        <w:pStyle w:val="BodyText"/>
      </w:pPr>
      <w:r w:rsidRPr="009F3799">
        <w:t>The search resulted in the identification of 15,5</w:t>
      </w:r>
      <w:r>
        <w:t>73</w:t>
      </w:r>
      <w:r w:rsidRPr="009F3799">
        <w:t xml:space="preserve"> titles. </w:t>
      </w:r>
      <w:r>
        <w:t xml:space="preserve"> </w:t>
      </w:r>
      <w:r w:rsidRPr="009F3799">
        <w:t xml:space="preserve">After excluding duplicates, 7,519 records were eligible for title/abstract screening and a further 6,561 were excluded as they did not fulfil the eligibility criteria. </w:t>
      </w:r>
      <w:r>
        <w:t xml:space="preserve"> </w:t>
      </w:r>
      <w:r w:rsidRPr="009F3799">
        <w:t xml:space="preserve">Full texts of the remaining 958 records were examined and 882 were excluded as the study design and/or disorder were not relevant.  Seventy-six papers were included in the review (Figure </w:t>
      </w:r>
      <w:r>
        <w:t>2-</w:t>
      </w:r>
      <w:r w:rsidRPr="009F3799">
        <w:t xml:space="preserve">1). </w:t>
      </w:r>
      <w:r>
        <w:t xml:space="preserve"> </w:t>
      </w:r>
      <w:r w:rsidRPr="009F3799">
        <w:t xml:space="preserve">Papers were reviewed to identify major findings and recommendations.  Information was extracted and thematically compiled for synthesis. </w:t>
      </w:r>
      <w:r>
        <w:t xml:space="preserve"> </w:t>
      </w:r>
      <w:r w:rsidRPr="002F53C2">
        <w:t xml:space="preserve">The synthesis systematically and comprehensively identified and explored patterns in study results relating to ageing and opioids.  The results of each study were identified and explored, along with study recommendations concerned with opioid treatment and/or outcomes for older adults.  Study design attributes including the study size and location, along with definition of older applied were also reviewed for patterns and consistency.  </w:t>
      </w:r>
      <w:r>
        <w:t xml:space="preserve">An extraction sheet was developed using the headings in Table 2-1.  The review was most interested in the scope of the literature rather than taking precise evidence-based actions and thus a </w:t>
      </w:r>
      <w:r>
        <w:rPr>
          <w:rStyle w:val="ilfuvd"/>
          <w:color w:val="222222"/>
        </w:rPr>
        <w:t xml:space="preserve">quality of evidence rating </w:t>
      </w:r>
      <w:r>
        <w:t xml:space="preserve">was not applied.  </w:t>
      </w:r>
      <w:r w:rsidRPr="009F3799">
        <w:t xml:space="preserve">Results were organised into two themes based on the study objectives (1) ageing among people who use </w:t>
      </w:r>
      <w:proofErr w:type="gramStart"/>
      <w:r w:rsidRPr="009F3799">
        <w:t xml:space="preserve">opioids, and (2) </w:t>
      </w:r>
      <w:r w:rsidRPr="009F3799">
        <w:lastRenderedPageBreak/>
        <w:t>treatment outcomes</w:t>
      </w:r>
      <w:proofErr w:type="gramEnd"/>
      <w:r w:rsidRPr="009F3799">
        <w:t xml:space="preserve"> and ageing</w:t>
      </w:r>
      <w:r w:rsidR="007C1DDB" w:rsidRPr="009F3799">
        <w:t>.</w:t>
      </w:r>
      <w:r w:rsidR="007C1DDB">
        <w:t xml:space="preserve">  </w:t>
      </w:r>
      <w:r w:rsidRPr="009F3799">
        <w:t xml:space="preserve">Table </w:t>
      </w:r>
      <w:r>
        <w:t>2-</w:t>
      </w:r>
      <w:r w:rsidRPr="009F3799">
        <w:t xml:space="preserve">1 outlines </w:t>
      </w:r>
      <w:r>
        <w:t xml:space="preserve">the key </w:t>
      </w:r>
      <w:r w:rsidRPr="009F3799">
        <w:t>opioid treatment studies among older people</w:t>
      </w:r>
      <w:r>
        <w:t>, and relates to a subset (n=15) of the seventy-six papers included in the overall synthesis</w:t>
      </w:r>
      <w:r w:rsidRPr="009F3799">
        <w:t xml:space="preserve">. </w:t>
      </w:r>
      <w:r>
        <w:t xml:space="preserve"> </w:t>
      </w:r>
    </w:p>
    <w:p w:rsidR="003B0DEE" w:rsidRPr="00DF44C1" w:rsidRDefault="003B0DEE" w:rsidP="000D5D90">
      <w:pPr>
        <w:pStyle w:val="Heading3"/>
      </w:pPr>
      <w:bookmarkStart w:id="22" w:name="_Toc15331646"/>
      <w:r w:rsidRPr="00DF44C1">
        <w:t>Defining ageing based on current literature</w:t>
      </w:r>
      <w:bookmarkEnd w:id="22"/>
    </w:p>
    <w:p w:rsidR="003B0DEE" w:rsidRPr="00177AA3" w:rsidRDefault="003B0DEE" w:rsidP="000D5D90">
      <w:pPr>
        <w:pStyle w:val="BodyText"/>
      </w:pPr>
      <w:r w:rsidRPr="009F3799">
        <w:t xml:space="preserve">Traditionally, opioid misuse has been perceived as a problem largely among those aged 40 years and younger. </w:t>
      </w:r>
      <w:r>
        <w:t xml:space="preserve"> </w:t>
      </w:r>
      <w:r w:rsidRPr="009F3799">
        <w:t>As people who use opioids are surviving longer than 40 years, the cut-off point of 40 years h</w:t>
      </w:r>
      <w:r>
        <w:t>ad</w:t>
      </w:r>
      <w:r w:rsidRPr="009F3799">
        <w:t xml:space="preserve"> been used </w:t>
      </w:r>
      <w:r>
        <w:t xml:space="preserve">in studies </w:t>
      </w:r>
      <w:r w:rsidRPr="009F3799">
        <w:t>to define the ‘older’ population</w:t>
      </w:r>
      <w:r>
        <w:t xml:space="preserve"> </w:t>
      </w:r>
      <w:r>
        <w:rPr>
          <w:noProof/>
        </w:rPr>
        <w:t>(Crome</w:t>
      </w:r>
      <w:r w:rsidRPr="00791A95">
        <w:rPr>
          <w:i/>
          <w:noProof/>
        </w:rPr>
        <w:t xml:space="preserve"> et al.</w:t>
      </w:r>
      <w:r>
        <w:rPr>
          <w:noProof/>
        </w:rPr>
        <w:t xml:space="preserve"> 2009)</w:t>
      </w:r>
      <w:r w:rsidRPr="00177AA3">
        <w:t xml:space="preserve">. </w:t>
      </w:r>
      <w:r>
        <w:t xml:space="preserve"> </w:t>
      </w:r>
      <w:r w:rsidRPr="00177AA3">
        <w:t xml:space="preserve">There is no consensus in the literature on what ‘old’ is; it ranges from 37 to 55, 40+, 45+, 50+, 60+, 65+, 49 to 61, 50 to 59, and 50 to 74 </w:t>
      </w:r>
      <w:r>
        <w:rPr>
          <w:noProof/>
        </w:rPr>
        <w:t>(Raffoul</w:t>
      </w:r>
      <w:r w:rsidRPr="0062594C">
        <w:rPr>
          <w:i/>
          <w:noProof/>
        </w:rPr>
        <w:t xml:space="preserve"> et al.</w:t>
      </w:r>
      <w:r>
        <w:rPr>
          <w:noProof/>
        </w:rPr>
        <w:t xml:space="preserve"> 1981, Schonfeld</w:t>
      </w:r>
      <w:r w:rsidRPr="0062594C">
        <w:rPr>
          <w:i/>
          <w:noProof/>
        </w:rPr>
        <w:t xml:space="preserve"> et al.</w:t>
      </w:r>
      <w:r>
        <w:rPr>
          <w:noProof/>
        </w:rPr>
        <w:t xml:space="preserve"> 2000, Beynon</w:t>
      </w:r>
      <w:r w:rsidRPr="0062594C">
        <w:rPr>
          <w:i/>
          <w:noProof/>
        </w:rPr>
        <w:t xml:space="preserve"> et al.</w:t>
      </w:r>
      <w:r>
        <w:rPr>
          <w:noProof/>
        </w:rPr>
        <w:t xml:space="preserve"> 2007, Lofwall</w:t>
      </w:r>
      <w:r w:rsidRPr="0062594C">
        <w:rPr>
          <w:i/>
          <w:noProof/>
        </w:rPr>
        <w:t xml:space="preserve"> et al.</w:t>
      </w:r>
      <w:r>
        <w:rPr>
          <w:noProof/>
        </w:rPr>
        <w:t xml:space="preserve"> 2008, Han</w:t>
      </w:r>
      <w:r w:rsidRPr="0062594C">
        <w:rPr>
          <w:i/>
          <w:noProof/>
        </w:rPr>
        <w:t xml:space="preserve"> et al.</w:t>
      </w:r>
      <w:r>
        <w:rPr>
          <w:noProof/>
        </w:rPr>
        <w:t xml:space="preserve"> 2009a, European Monitoring Centre for Drugs and Drug Addiction 2010a, Roe</w:t>
      </w:r>
      <w:r w:rsidRPr="0062594C">
        <w:rPr>
          <w:i/>
          <w:noProof/>
        </w:rPr>
        <w:t xml:space="preserve"> et al.</w:t>
      </w:r>
      <w:r>
        <w:rPr>
          <w:noProof/>
        </w:rPr>
        <w:t xml:space="preserve"> 2010, Boeri</w:t>
      </w:r>
      <w:r w:rsidRPr="0062594C">
        <w:rPr>
          <w:i/>
          <w:noProof/>
        </w:rPr>
        <w:t xml:space="preserve"> et al.</w:t>
      </w:r>
      <w:r>
        <w:rPr>
          <w:noProof/>
        </w:rPr>
        <w:t xml:space="preserve"> 2011, Crome</w:t>
      </w:r>
      <w:r w:rsidRPr="0062594C">
        <w:rPr>
          <w:i/>
          <w:noProof/>
        </w:rPr>
        <w:t xml:space="preserve"> et al.</w:t>
      </w:r>
      <w:r>
        <w:rPr>
          <w:noProof/>
        </w:rPr>
        <w:t xml:space="preserve"> 2011b, Crome</w:t>
      </w:r>
      <w:r w:rsidRPr="0062594C">
        <w:rPr>
          <w:i/>
          <w:noProof/>
        </w:rPr>
        <w:t xml:space="preserve"> et al.</w:t>
      </w:r>
      <w:r>
        <w:rPr>
          <w:noProof/>
        </w:rPr>
        <w:t xml:space="preserve"> 2011a, Doukas 2011, Rosen</w:t>
      </w:r>
      <w:r w:rsidRPr="0062594C">
        <w:rPr>
          <w:i/>
          <w:noProof/>
        </w:rPr>
        <w:t xml:space="preserve"> et al.</w:t>
      </w:r>
      <w:r>
        <w:rPr>
          <w:noProof/>
        </w:rPr>
        <w:t xml:space="preserve"> 2011, Wu &amp; Blazer 2011, Institute of Medicine 2012, Outlaw</w:t>
      </w:r>
      <w:r w:rsidRPr="0062594C">
        <w:rPr>
          <w:i/>
          <w:noProof/>
        </w:rPr>
        <w:t xml:space="preserve"> et al.</w:t>
      </w:r>
      <w:r>
        <w:rPr>
          <w:noProof/>
        </w:rPr>
        <w:t xml:space="preserve"> 2012, Han</w:t>
      </w:r>
      <w:r w:rsidRPr="0062594C">
        <w:rPr>
          <w:i/>
          <w:noProof/>
        </w:rPr>
        <w:t xml:space="preserve"> et al.</w:t>
      </w:r>
      <w:r>
        <w:rPr>
          <w:noProof/>
        </w:rPr>
        <w:t xml:space="preserve"> 2015)</w:t>
      </w:r>
      <w:r w:rsidRPr="00177AA3">
        <w:t>.</w:t>
      </w:r>
    </w:p>
    <w:p w:rsidR="003B0DEE" w:rsidRPr="00DF44C1" w:rsidRDefault="003B0DEE" w:rsidP="000D5D90">
      <w:pPr>
        <w:pStyle w:val="Heading3"/>
      </w:pPr>
      <w:bookmarkStart w:id="23" w:name="_Toc15331647"/>
      <w:r w:rsidRPr="00DF44C1">
        <w:t>Ageing among older people who use opioids</w:t>
      </w:r>
      <w:bookmarkEnd w:id="23"/>
      <w:r w:rsidRPr="00DF44C1">
        <w:t xml:space="preserve"> </w:t>
      </w:r>
    </w:p>
    <w:p w:rsidR="003B0DEE" w:rsidRPr="00177AA3" w:rsidRDefault="003B0DEE" w:rsidP="000D5D90">
      <w:pPr>
        <w:pStyle w:val="BodyText"/>
      </w:pPr>
      <w:r w:rsidRPr="009F3799">
        <w:t xml:space="preserve">Epidemiological surveys and admissions to addiction services in developed countries indicate a growing proportion of older opioid users along with decreased numbers of younger users, and this trend is likely to continue for the next two decades </w:t>
      </w:r>
      <w:r>
        <w:rPr>
          <w:noProof/>
        </w:rPr>
        <w:t>(Beynon</w:t>
      </w:r>
      <w:r w:rsidRPr="0062594C">
        <w:rPr>
          <w:i/>
          <w:noProof/>
        </w:rPr>
        <w:t xml:space="preserve"> et al.</w:t>
      </w:r>
      <w:r>
        <w:rPr>
          <w:noProof/>
        </w:rPr>
        <w:t xml:space="preserve"> 2007, Gossop 2008, Han</w:t>
      </w:r>
      <w:r w:rsidRPr="0062594C">
        <w:rPr>
          <w:i/>
          <w:noProof/>
        </w:rPr>
        <w:t xml:space="preserve"> et al.</w:t>
      </w:r>
      <w:r>
        <w:rPr>
          <w:noProof/>
        </w:rPr>
        <w:t xml:space="preserve"> 2009a, Australian Injecting Illicit Drug Users League 2011, Crome</w:t>
      </w:r>
      <w:r w:rsidRPr="0062594C">
        <w:rPr>
          <w:i/>
          <w:noProof/>
        </w:rPr>
        <w:t xml:space="preserve"> et al.</w:t>
      </w:r>
      <w:r>
        <w:rPr>
          <w:noProof/>
        </w:rPr>
        <w:t xml:space="preserve"> 2011b, Crome</w:t>
      </w:r>
      <w:r w:rsidRPr="0062594C">
        <w:rPr>
          <w:i/>
          <w:noProof/>
        </w:rPr>
        <w:t xml:space="preserve"> et al.</w:t>
      </w:r>
      <w:r>
        <w:rPr>
          <w:noProof/>
        </w:rPr>
        <w:t xml:space="preserve"> 2011a, Frances 2011, Wu &amp; Blazer 2011, Han</w:t>
      </w:r>
      <w:r w:rsidRPr="0062594C">
        <w:rPr>
          <w:i/>
          <w:noProof/>
        </w:rPr>
        <w:t xml:space="preserve"> et al.</w:t>
      </w:r>
      <w:r>
        <w:rPr>
          <w:noProof/>
        </w:rPr>
        <w:t xml:space="preserve"> 2015)</w:t>
      </w:r>
      <w:r w:rsidRPr="00177AA3">
        <w:t xml:space="preserve">.  Reasons for the growing trend of older people who use drugs include demographic changes, drug availability, increased life expectancy, improved treatment access and the development of harm reduction services </w:t>
      </w:r>
      <w:r>
        <w:rPr>
          <w:noProof/>
        </w:rPr>
        <w:t>(Hartnoll 1986, Substance Abuse and Mental Health Services Administration 1998, Gfroerer</w:t>
      </w:r>
      <w:r w:rsidRPr="00E40AAD">
        <w:rPr>
          <w:i/>
          <w:noProof/>
        </w:rPr>
        <w:t xml:space="preserve"> et al.</w:t>
      </w:r>
      <w:r>
        <w:rPr>
          <w:noProof/>
        </w:rPr>
        <w:t xml:space="preserve"> 2003, Colliver</w:t>
      </w:r>
      <w:r w:rsidRPr="00E40AAD">
        <w:rPr>
          <w:i/>
          <w:noProof/>
        </w:rPr>
        <w:t xml:space="preserve"> et al.</w:t>
      </w:r>
      <w:r>
        <w:rPr>
          <w:noProof/>
        </w:rPr>
        <w:t xml:space="preserve"> 2006, Simoni-Wastila &amp; Yang 2006, Substance Abuse and Mental Health Services Administration 2007, Beynon 2009, Burns</w:t>
      </w:r>
      <w:r w:rsidRPr="00E40AAD">
        <w:rPr>
          <w:i/>
          <w:noProof/>
        </w:rPr>
        <w:t xml:space="preserve"> et al.</w:t>
      </w:r>
      <w:r>
        <w:rPr>
          <w:noProof/>
        </w:rPr>
        <w:t xml:space="preserve"> 2009, Han</w:t>
      </w:r>
      <w:r w:rsidRPr="00E40AAD">
        <w:rPr>
          <w:i/>
          <w:noProof/>
        </w:rPr>
        <w:t xml:space="preserve"> et al.</w:t>
      </w:r>
      <w:r>
        <w:rPr>
          <w:noProof/>
        </w:rPr>
        <w:t xml:space="preserve"> 2009a, Johnson &amp; Sung 2009, European Monitoring Centre for Drugs and Drug Addiction 2010a, Hartnoll</w:t>
      </w:r>
      <w:r w:rsidRPr="00E40AAD">
        <w:rPr>
          <w:i/>
          <w:noProof/>
        </w:rPr>
        <w:t xml:space="preserve"> et al.</w:t>
      </w:r>
      <w:r>
        <w:rPr>
          <w:noProof/>
        </w:rPr>
        <w:t xml:space="preserve"> 2010, Australian Injecting Illicit Drug Users League 2011, Vincent &amp; Velkoff 2011, Institute of Medicine 2012, Crome</w:t>
      </w:r>
      <w:r w:rsidRPr="00E40AAD">
        <w:rPr>
          <w:i/>
          <w:noProof/>
        </w:rPr>
        <w:t xml:space="preserve"> et al.</w:t>
      </w:r>
      <w:r>
        <w:rPr>
          <w:noProof/>
        </w:rPr>
        <w:t xml:space="preserve"> 2015, Pirona</w:t>
      </w:r>
      <w:r w:rsidRPr="00E40AAD">
        <w:rPr>
          <w:i/>
          <w:noProof/>
        </w:rPr>
        <w:t xml:space="preserve"> et al.</w:t>
      </w:r>
      <w:r>
        <w:rPr>
          <w:noProof/>
        </w:rPr>
        <w:t xml:space="preserve"> 2015, United States Department of Health &amp; Human Services. Substance Abuse Mental Health Services Administration. </w:t>
      </w:r>
      <w:proofErr w:type="gramStart"/>
      <w:r>
        <w:rPr>
          <w:noProof/>
        </w:rPr>
        <w:t>Center for Behavioral Health Statistics Quality 2015)</w:t>
      </w:r>
      <w:r w:rsidRPr="00177AA3">
        <w:t>.</w:t>
      </w:r>
      <w:proofErr w:type="gramEnd"/>
    </w:p>
    <w:p w:rsidR="003B0DEE" w:rsidRPr="00177AA3" w:rsidRDefault="003B0DEE" w:rsidP="000D5D90">
      <w:pPr>
        <w:pStyle w:val="BodyText"/>
      </w:pPr>
      <w:r w:rsidRPr="00177AA3">
        <w:t xml:space="preserve">The “baby boomer” generation in the United States (people born between 1946 and 1964) are the largest generation </w:t>
      </w:r>
      <w:proofErr w:type="gramStart"/>
      <w:r w:rsidRPr="00177AA3">
        <w:t>alive</w:t>
      </w:r>
      <w:proofErr w:type="gramEnd"/>
      <w:r w:rsidRPr="00177AA3">
        <w:t xml:space="preserve"> (78 million people) </w:t>
      </w:r>
      <w:r>
        <w:rPr>
          <w:noProof/>
        </w:rPr>
        <w:t>(Crome</w:t>
      </w:r>
      <w:r w:rsidRPr="00791A95">
        <w:rPr>
          <w:i/>
          <w:noProof/>
        </w:rPr>
        <w:t xml:space="preserve"> et al.</w:t>
      </w:r>
      <w:r>
        <w:rPr>
          <w:noProof/>
        </w:rPr>
        <w:t xml:space="preserve"> 2015)</w:t>
      </w:r>
      <w:r w:rsidRPr="00177AA3">
        <w:t xml:space="preserve">. </w:t>
      </w:r>
      <w:r>
        <w:t xml:space="preserve"> </w:t>
      </w:r>
      <w:r w:rsidRPr="00177AA3">
        <w:t xml:space="preserve">The prevalence of drug use among those aged 50 years and older is increasing and is expected to continue growing as baby boomers age </w:t>
      </w:r>
      <w:r>
        <w:rPr>
          <w:noProof/>
        </w:rPr>
        <w:t>(Gfroerer</w:t>
      </w:r>
      <w:r w:rsidRPr="00791A95">
        <w:rPr>
          <w:i/>
          <w:noProof/>
        </w:rPr>
        <w:t xml:space="preserve"> et al.</w:t>
      </w:r>
      <w:r>
        <w:rPr>
          <w:noProof/>
        </w:rPr>
        <w:t xml:space="preserve"> 2003)</w:t>
      </w:r>
      <w:r w:rsidRPr="00177AA3">
        <w:t xml:space="preserve">. </w:t>
      </w:r>
      <w:r>
        <w:t xml:space="preserve"> </w:t>
      </w:r>
      <w:r w:rsidRPr="00177AA3">
        <w:t xml:space="preserve">One-in-four older people have used medications with potential to abuse, a figure likely to increase as the baby boomer generation ages </w:t>
      </w:r>
      <w:r>
        <w:rPr>
          <w:noProof/>
        </w:rPr>
        <w:t>(Simoni-Wastila &amp; Yang 2006)</w:t>
      </w:r>
      <w:r w:rsidRPr="00177AA3">
        <w:t>.</w:t>
      </w:r>
      <w:r>
        <w:t xml:space="preserve"> </w:t>
      </w:r>
      <w:r w:rsidRPr="00177AA3">
        <w:t xml:space="preserve"> Projections indicate a doubling of older illicit substance misusers between 2006 and 2020 </w:t>
      </w:r>
      <w:r>
        <w:rPr>
          <w:noProof/>
        </w:rPr>
        <w:t>(Han</w:t>
      </w:r>
      <w:r w:rsidRPr="001D1655">
        <w:rPr>
          <w:i/>
          <w:noProof/>
        </w:rPr>
        <w:t xml:space="preserve"> et al.</w:t>
      </w:r>
      <w:r>
        <w:rPr>
          <w:noProof/>
        </w:rPr>
        <w:t xml:space="preserve"> 2009a)</w:t>
      </w:r>
      <w:r w:rsidRPr="00177AA3">
        <w:t xml:space="preserve"> with an estimated 5 million older people having substance</w:t>
      </w:r>
      <w:r>
        <w:t xml:space="preserve"> use</w:t>
      </w:r>
      <w:r w:rsidRPr="00177AA3">
        <w:t xml:space="preserve"> problems by 2020 </w:t>
      </w:r>
      <w:r>
        <w:rPr>
          <w:noProof/>
        </w:rPr>
        <w:t>(Gfroerer</w:t>
      </w:r>
      <w:r w:rsidRPr="00791A95">
        <w:rPr>
          <w:i/>
          <w:noProof/>
        </w:rPr>
        <w:t xml:space="preserve"> et al.</w:t>
      </w:r>
      <w:r>
        <w:rPr>
          <w:noProof/>
        </w:rPr>
        <w:t xml:space="preserve"> 2003)</w:t>
      </w:r>
      <w:r w:rsidRPr="00177AA3">
        <w:t xml:space="preserve">. </w:t>
      </w:r>
      <w:r>
        <w:t xml:space="preserve"> </w:t>
      </w:r>
      <w:r w:rsidRPr="00177AA3">
        <w:t xml:space="preserve">However, the true number is likely to be much higher due to the fact that, by 2020, only half of the baby boomers will have reached 65 years of age (Johnson and Sung, 2009). </w:t>
      </w:r>
      <w:r>
        <w:t xml:space="preserve"> </w:t>
      </w:r>
      <w:r w:rsidRPr="00177AA3">
        <w:t xml:space="preserve">An estimated 21.6 million people required treatment for substance abuse in 2011, while 3.8 million received treatment </w:t>
      </w:r>
      <w:r>
        <w:rPr>
          <w:noProof/>
        </w:rPr>
        <w:t>(Substance Abuse and Mental Health Services Administration 2012)</w:t>
      </w:r>
      <w:r w:rsidRPr="00177AA3">
        <w:t xml:space="preserve">. </w:t>
      </w:r>
      <w:r>
        <w:t xml:space="preserve"> </w:t>
      </w:r>
      <w:r w:rsidRPr="00177AA3">
        <w:t xml:space="preserve">The Treatment Episode Data Set (TEDs) shows increased admissions involving drugs among those aged 50 years and older between 1992 and 2005 </w:t>
      </w:r>
      <w:r>
        <w:rPr>
          <w:noProof/>
        </w:rPr>
        <w:t>(Lofwall</w:t>
      </w:r>
      <w:r w:rsidRPr="00791A95">
        <w:rPr>
          <w:i/>
          <w:noProof/>
        </w:rPr>
        <w:t xml:space="preserve"> et al.</w:t>
      </w:r>
      <w:r>
        <w:rPr>
          <w:noProof/>
        </w:rPr>
        <w:t xml:space="preserve"> 2008)</w:t>
      </w:r>
      <w:r w:rsidRPr="00177AA3">
        <w:t xml:space="preserve">. </w:t>
      </w:r>
      <w:r>
        <w:t xml:space="preserve"> </w:t>
      </w:r>
      <w:r w:rsidRPr="00177AA3">
        <w:t xml:space="preserve">Treatment admissions for opioid use among those aged 65 years and older increased by 3.9% between 1995 </w:t>
      </w:r>
      <w:r w:rsidRPr="00177AA3">
        <w:lastRenderedPageBreak/>
        <w:t xml:space="preserve">and 2005 (6.6% in 1995, 10.5% in 2005) </w:t>
      </w:r>
      <w:r>
        <w:rPr>
          <w:noProof/>
        </w:rPr>
        <w:t>(Substance Abuse and Mental Health Services Administration 2007)</w:t>
      </w:r>
      <w:r w:rsidRPr="00177AA3">
        <w:t xml:space="preserve">. </w:t>
      </w:r>
      <w:r>
        <w:t xml:space="preserve"> </w:t>
      </w:r>
      <w:r w:rsidRPr="00177AA3">
        <w:t xml:space="preserve">There are increased proportions of older people (aged 45 years+) using heroin (11.4% in 1992, 17.5% in 2012), methadone (0.3% in 1992, 0.6% in 2012) and other opiates (1.6% in 1992, 8.4% in 2012) </w:t>
      </w:r>
      <w:r>
        <w:rPr>
          <w:noProof/>
        </w:rPr>
        <w:t xml:space="preserve">(United States Department of Health &amp; Human Services. Substance Abuse Mental Health Services Administration. </w:t>
      </w:r>
      <w:proofErr w:type="gramStart"/>
      <w:r>
        <w:rPr>
          <w:noProof/>
        </w:rPr>
        <w:t>Center for Behavioral Health Statistics Quality 2015)</w:t>
      </w:r>
      <w:r w:rsidRPr="00177AA3">
        <w:t>.</w:t>
      </w:r>
      <w:proofErr w:type="gramEnd"/>
      <w:r w:rsidRPr="00177AA3">
        <w:t xml:space="preserve"> </w:t>
      </w:r>
      <w:r>
        <w:t xml:space="preserve"> </w:t>
      </w:r>
      <w:r w:rsidRPr="00177AA3">
        <w:t xml:space="preserve">Although much of what is known about the ageing opioid treatment population comes from </w:t>
      </w:r>
      <w:r>
        <w:t xml:space="preserve">the </w:t>
      </w:r>
      <w:r w:rsidRPr="00177AA3">
        <w:t xml:space="preserve">TEDs, it is limited by its definition of older, which is confined to greater than age 50 or 55 </w:t>
      </w:r>
      <w:r>
        <w:rPr>
          <w:noProof/>
        </w:rPr>
        <w:t>(Lofwall</w:t>
      </w:r>
      <w:r w:rsidRPr="00791A95">
        <w:rPr>
          <w:i/>
          <w:noProof/>
        </w:rPr>
        <w:t xml:space="preserve"> et al.</w:t>
      </w:r>
      <w:r>
        <w:rPr>
          <w:noProof/>
        </w:rPr>
        <w:t xml:space="preserve"> 2005)</w:t>
      </w:r>
      <w:r w:rsidRPr="00177AA3">
        <w:t xml:space="preserve"> and is therefore limited in its analysis of age trends </w:t>
      </w:r>
      <w:r>
        <w:rPr>
          <w:noProof/>
        </w:rPr>
        <w:t>(Han</w:t>
      </w:r>
      <w:r w:rsidRPr="00791A95">
        <w:rPr>
          <w:i/>
          <w:noProof/>
        </w:rPr>
        <w:t xml:space="preserve"> et al.</w:t>
      </w:r>
      <w:r>
        <w:rPr>
          <w:noProof/>
        </w:rPr>
        <w:t xml:space="preserve"> 2015)</w:t>
      </w:r>
      <w:r w:rsidRPr="00177AA3">
        <w:t xml:space="preserve">. </w:t>
      </w:r>
    </w:p>
    <w:p w:rsidR="003B0DEE" w:rsidRPr="00177AA3" w:rsidRDefault="003B0DEE" w:rsidP="000D5D90">
      <w:pPr>
        <w:pStyle w:val="BodyText"/>
      </w:pPr>
      <w:r w:rsidRPr="00177AA3">
        <w:t xml:space="preserve">As a continent, Europe has the oldest population with one-in-five aged 60 years and older, a figure expected to increase to one-in-four by 2050 </w:t>
      </w:r>
      <w:r>
        <w:rPr>
          <w:noProof/>
        </w:rPr>
        <w:t>(European Monitoring Centre for Drugs and Drug Addiction 2010a)</w:t>
      </w:r>
      <w:r w:rsidRPr="00177AA3">
        <w:t xml:space="preserve">. </w:t>
      </w:r>
      <w:r>
        <w:t xml:space="preserve"> </w:t>
      </w:r>
      <w:r w:rsidRPr="00177AA3">
        <w:t xml:space="preserve">Historically, the largest </w:t>
      </w:r>
      <w:proofErr w:type="gramStart"/>
      <w:r w:rsidRPr="00177AA3">
        <w:t>group to receive specialised drug treatment in Europe are</w:t>
      </w:r>
      <w:proofErr w:type="gramEnd"/>
      <w:r w:rsidRPr="00177AA3">
        <w:t xml:space="preserve"> problem opiate users, mainly heroin users and injectors. </w:t>
      </w:r>
      <w:r>
        <w:t xml:space="preserve"> </w:t>
      </w:r>
      <w:r w:rsidRPr="00177AA3">
        <w:t>Almost 700,000 Europeans receive opioid</w:t>
      </w:r>
      <w:r>
        <w:t xml:space="preserve"> </w:t>
      </w:r>
      <w:r w:rsidRPr="00177AA3">
        <w:t xml:space="preserve">substitution treatment (OST), making up a substantial proportion of the European treatment population </w:t>
      </w:r>
      <w:r>
        <w:rPr>
          <w:noProof/>
        </w:rPr>
        <w:t>(Pirona</w:t>
      </w:r>
      <w:r w:rsidRPr="00791A95">
        <w:rPr>
          <w:i/>
          <w:noProof/>
        </w:rPr>
        <w:t xml:space="preserve"> et al.</w:t>
      </w:r>
      <w:r>
        <w:rPr>
          <w:noProof/>
        </w:rPr>
        <w:t xml:space="preserve"> 2015)</w:t>
      </w:r>
      <w:r w:rsidRPr="00177AA3">
        <w:t xml:space="preserve">. </w:t>
      </w:r>
      <w:r>
        <w:t xml:space="preserve"> </w:t>
      </w:r>
      <w:r w:rsidRPr="00177AA3">
        <w:t xml:space="preserve">The Amsterdam Cohort Study was the first to highlight ageing and its findings challenged the view that the majority of </w:t>
      </w:r>
      <w:r>
        <w:t xml:space="preserve">people who use </w:t>
      </w:r>
      <w:r w:rsidRPr="00177AA3">
        <w:t>drug</w:t>
      </w:r>
      <w:r>
        <w:t>s</w:t>
      </w:r>
      <w:r w:rsidRPr="00177AA3">
        <w:t xml:space="preserve"> ‘mature out’ and become drug free (Institute of Medicine, 2012). </w:t>
      </w:r>
      <w:r>
        <w:t xml:space="preserve"> </w:t>
      </w:r>
      <w:r w:rsidRPr="00177AA3">
        <w:t xml:space="preserve">The Treatment Demand Indicator </w:t>
      </w:r>
      <w:r>
        <w:rPr>
          <w:noProof/>
        </w:rPr>
        <w:t>(European Monitoring Centre for Drugs and Drug Addiction 2012a)</w:t>
      </w:r>
      <w:r w:rsidRPr="00177AA3">
        <w:t xml:space="preserve"> has identified an ageing cohort of opioid users soon to become the largest drug treatment population in Europe </w:t>
      </w:r>
      <w:r>
        <w:rPr>
          <w:noProof/>
        </w:rPr>
        <w:t>(Pirona</w:t>
      </w:r>
      <w:r w:rsidRPr="00791A95">
        <w:rPr>
          <w:i/>
          <w:noProof/>
        </w:rPr>
        <w:t xml:space="preserve"> et al.</w:t>
      </w:r>
      <w:r>
        <w:rPr>
          <w:noProof/>
        </w:rPr>
        <w:t xml:space="preserve"> 2015)</w:t>
      </w:r>
      <w:r w:rsidRPr="00177AA3">
        <w:t xml:space="preserve">. </w:t>
      </w:r>
      <w:r>
        <w:t xml:space="preserve"> </w:t>
      </w:r>
      <w:r w:rsidRPr="00177AA3">
        <w:t xml:space="preserve">Almost all European countries reported increasing proportions of older clients entering drug treatment </w:t>
      </w:r>
      <w:r>
        <w:rPr>
          <w:noProof/>
        </w:rPr>
        <w:t>(European Monitoring Centre for Drugs and Drug Addiction 2010a)</w:t>
      </w:r>
      <w:r w:rsidRPr="00177AA3">
        <w:t xml:space="preserve">. </w:t>
      </w:r>
      <w:r>
        <w:t xml:space="preserve"> </w:t>
      </w:r>
      <w:r w:rsidRPr="00177AA3">
        <w:t xml:space="preserve">Between 2002 and 2005, the proportion aged 40 years and older in treatment for opioid problems more than doubled </w:t>
      </w:r>
      <w:r>
        <w:rPr>
          <w:noProof/>
        </w:rPr>
        <w:t>(Gossop 2008)</w:t>
      </w:r>
      <w:r w:rsidRPr="00177AA3">
        <w:t xml:space="preserve">. </w:t>
      </w:r>
      <w:r>
        <w:t xml:space="preserve"> </w:t>
      </w:r>
      <w:r w:rsidRPr="00177AA3">
        <w:t xml:space="preserve">In 2008, </w:t>
      </w:r>
      <w:proofErr w:type="gramStart"/>
      <w:r>
        <w:t>opioid</w:t>
      </w:r>
      <w:r w:rsidRPr="00177AA3">
        <w:t>s (mainly heroin) was</w:t>
      </w:r>
      <w:proofErr w:type="gramEnd"/>
      <w:r w:rsidRPr="00177AA3">
        <w:t xml:space="preserve"> the primary drug among 65% of people aged 40 years and older entering treatment </w:t>
      </w:r>
      <w:r>
        <w:rPr>
          <w:noProof/>
        </w:rPr>
        <w:t>(European Monitoring Centre for Drugs and Drug Addiction 2010a)</w:t>
      </w:r>
      <w:r w:rsidRPr="00177AA3">
        <w:t xml:space="preserve">. </w:t>
      </w:r>
      <w:r>
        <w:t xml:space="preserve"> </w:t>
      </w:r>
      <w:r w:rsidRPr="00177AA3">
        <w:t xml:space="preserve">Recent European trends (2006–2013) show a 21% decrease in the numbers of </w:t>
      </w:r>
      <w:r>
        <w:t>opioid</w:t>
      </w:r>
      <w:r w:rsidRPr="00177AA3">
        <w:t xml:space="preserve"> users entering treatment, while the average age of entries increased from 33 to 36 years and the median age increased by 5 years. </w:t>
      </w:r>
      <w:r>
        <w:t xml:space="preserve"> </w:t>
      </w:r>
      <w:r w:rsidRPr="00177AA3">
        <w:t xml:space="preserve">The proportion of </w:t>
      </w:r>
      <w:r>
        <w:t>opioid</w:t>
      </w:r>
      <w:r w:rsidRPr="00177AA3">
        <w:t xml:space="preserve"> cases aged 40 years or older increased from 1-in-5 to 1-in-3 </w:t>
      </w:r>
      <w:r>
        <w:rPr>
          <w:noProof/>
        </w:rPr>
        <w:t>(Pirona</w:t>
      </w:r>
      <w:r w:rsidRPr="00791A95">
        <w:rPr>
          <w:i/>
          <w:noProof/>
        </w:rPr>
        <w:t xml:space="preserve"> et al.</w:t>
      </w:r>
      <w:r>
        <w:rPr>
          <w:noProof/>
        </w:rPr>
        <w:t xml:space="preserve"> 2015)</w:t>
      </w:r>
      <w:r w:rsidRPr="00177AA3">
        <w:t>.</w:t>
      </w:r>
      <w:r>
        <w:t xml:space="preserve"> </w:t>
      </w:r>
      <w:r w:rsidRPr="00177AA3">
        <w:t xml:space="preserve"> These findings have raised concern at a European level regarding the readiness of treatment systems to meet the needs of this ageing cohort of </w:t>
      </w:r>
      <w:r>
        <w:t>opioid</w:t>
      </w:r>
      <w:r w:rsidRPr="00177AA3">
        <w:t xml:space="preserve"> users with increasing and complex drug, health and social needs </w:t>
      </w:r>
      <w:r>
        <w:rPr>
          <w:noProof/>
        </w:rPr>
        <w:t>(Pirona</w:t>
      </w:r>
      <w:r w:rsidRPr="00791A95">
        <w:rPr>
          <w:i/>
          <w:noProof/>
        </w:rPr>
        <w:t xml:space="preserve"> et al.</w:t>
      </w:r>
      <w:r>
        <w:rPr>
          <w:noProof/>
        </w:rPr>
        <w:t xml:space="preserve"> 2015)</w:t>
      </w:r>
      <w:r w:rsidRPr="00177AA3">
        <w:t>.</w:t>
      </w:r>
    </w:p>
    <w:p w:rsidR="003B0DEE" w:rsidRPr="00177AA3" w:rsidRDefault="003B0DEE" w:rsidP="000D5D90">
      <w:pPr>
        <w:pStyle w:val="BodyText"/>
      </w:pPr>
      <w:r w:rsidRPr="00177AA3">
        <w:t xml:space="preserve">Changing age profiles for opioid users in treatment have also been reported in Australia. </w:t>
      </w:r>
      <w:r>
        <w:t xml:space="preserve"> </w:t>
      </w:r>
      <w:r w:rsidRPr="00177AA3">
        <w:t xml:space="preserve">Similar to the U.S. and Europe, there is evidence of an ageing cohort receiving OST, along with decreasing numbers of new entrants </w:t>
      </w:r>
      <w:r>
        <w:rPr>
          <w:noProof/>
        </w:rPr>
        <w:t>(Burns</w:t>
      </w:r>
      <w:r w:rsidRPr="00791A95">
        <w:rPr>
          <w:i/>
          <w:noProof/>
        </w:rPr>
        <w:t xml:space="preserve"> et al.</w:t>
      </w:r>
      <w:r>
        <w:rPr>
          <w:noProof/>
        </w:rPr>
        <w:t xml:space="preserve"> 2009)</w:t>
      </w:r>
      <w:r w:rsidRPr="00177AA3">
        <w:t xml:space="preserve">. </w:t>
      </w:r>
      <w:r>
        <w:t xml:space="preserve"> </w:t>
      </w:r>
      <w:r w:rsidRPr="00177AA3">
        <w:t xml:space="preserve">Between 1986 and 2006, the proportion of new entrants aged 40 years and older increased significantly and the median age of those retained in treatment increased from 29 to 37 years. </w:t>
      </w:r>
      <w:r>
        <w:t xml:space="preserve"> </w:t>
      </w:r>
      <w:r w:rsidRPr="00177AA3">
        <w:t xml:space="preserve">An estimated 30,000 regular opioid users are aged 40 years or older </w:t>
      </w:r>
      <w:r>
        <w:rPr>
          <w:noProof/>
        </w:rPr>
        <w:t>(Australian Injecting Illicit Drug Users League 2011)</w:t>
      </w:r>
      <w:r w:rsidRPr="00177AA3">
        <w:t xml:space="preserve">. </w:t>
      </w:r>
      <w:r>
        <w:t xml:space="preserve"> </w:t>
      </w:r>
      <w:proofErr w:type="gramStart"/>
      <w:r w:rsidRPr="00177AA3">
        <w:t xml:space="preserve">A literature review comments that studies from the U.S and Europe “establish little beyond the existence of a fast-growing cohort of older drug users and the expectation that this cohort will continue to grow over the coming decades” </w:t>
      </w:r>
      <w:r>
        <w:rPr>
          <w:noProof/>
        </w:rPr>
        <w:t>(Australian Injecting Illicit Drug Users League 2011)</w:t>
      </w:r>
      <w:r w:rsidRPr="00177AA3">
        <w:t>.</w:t>
      </w:r>
      <w:proofErr w:type="gramEnd"/>
    </w:p>
    <w:p w:rsidR="003B0DEE" w:rsidRPr="00DF44C1" w:rsidRDefault="003B0DEE" w:rsidP="000D5D90">
      <w:pPr>
        <w:pStyle w:val="Heading3"/>
      </w:pPr>
      <w:bookmarkStart w:id="24" w:name="_Toc15331648"/>
      <w:r w:rsidRPr="00DF44C1">
        <w:t>Types of older opioid users</w:t>
      </w:r>
      <w:bookmarkEnd w:id="24"/>
    </w:p>
    <w:p w:rsidR="003B0DEE" w:rsidRPr="00177AA3" w:rsidRDefault="003B0DEE" w:rsidP="000D5D90">
      <w:pPr>
        <w:pStyle w:val="BodyText"/>
      </w:pPr>
      <w:r w:rsidRPr="00177AA3">
        <w:t xml:space="preserve">The literature points to two distinct types of problem substance users among older people; “early-onset” and “late-onset” users. </w:t>
      </w:r>
      <w:r>
        <w:t xml:space="preserve"> </w:t>
      </w:r>
      <w:r w:rsidRPr="00177AA3">
        <w:t xml:space="preserve">“Early onset” refers to those who have a long history of substance </w:t>
      </w:r>
      <w:r w:rsidRPr="00177AA3">
        <w:lastRenderedPageBreak/>
        <w:t xml:space="preserve">abuse, who continue to abuse as they age, while “late-onset” includes individuals who develop a new habit as elders </w:t>
      </w:r>
      <w:r>
        <w:rPr>
          <w:noProof/>
        </w:rPr>
        <w:t>(Roe</w:t>
      </w:r>
      <w:r w:rsidRPr="00265898">
        <w:rPr>
          <w:i/>
          <w:noProof/>
        </w:rPr>
        <w:t xml:space="preserve"> et al.</w:t>
      </w:r>
      <w:r>
        <w:rPr>
          <w:noProof/>
        </w:rPr>
        <w:t xml:space="preserve"> 2010)</w:t>
      </w:r>
      <w:r w:rsidRPr="00177AA3">
        <w:t xml:space="preserve">. </w:t>
      </w:r>
      <w:r>
        <w:t xml:space="preserve"> </w:t>
      </w:r>
      <w:r w:rsidRPr="00177AA3">
        <w:t xml:space="preserve">Current research lacks data exploring these groups </w:t>
      </w:r>
      <w:r>
        <w:rPr>
          <w:noProof/>
        </w:rPr>
        <w:t>(Taylor &amp; Grossberg 2012)</w:t>
      </w:r>
      <w:r w:rsidRPr="00177AA3">
        <w:t>.</w:t>
      </w:r>
    </w:p>
    <w:p w:rsidR="003B0DEE" w:rsidRPr="00DF44C1" w:rsidRDefault="003B0DEE" w:rsidP="000D5D90">
      <w:pPr>
        <w:pStyle w:val="Heading3"/>
      </w:pPr>
      <w:bookmarkStart w:id="25" w:name="_Toc15331649"/>
      <w:r w:rsidRPr="00DF44C1">
        <w:t>Treatment interventions and ageing</w:t>
      </w:r>
      <w:bookmarkEnd w:id="25"/>
    </w:p>
    <w:p w:rsidR="003B0DEE" w:rsidRPr="00177AA3" w:rsidRDefault="003B0DEE" w:rsidP="000D5D90">
      <w:pPr>
        <w:pStyle w:val="BodyText"/>
      </w:pPr>
      <w:r w:rsidRPr="00177AA3">
        <w:t xml:space="preserve">Currently there are two known systematic reviews of drug treatments among older people </w:t>
      </w:r>
      <w:r>
        <w:rPr>
          <w:noProof/>
        </w:rPr>
        <w:t>(Moy</w:t>
      </w:r>
      <w:r w:rsidRPr="00791A95">
        <w:rPr>
          <w:i/>
          <w:noProof/>
        </w:rPr>
        <w:t xml:space="preserve"> et al.</w:t>
      </w:r>
      <w:r>
        <w:rPr>
          <w:noProof/>
        </w:rPr>
        <w:t xml:space="preserve"> 2011, Bhatia</w:t>
      </w:r>
      <w:r w:rsidRPr="00791A95">
        <w:rPr>
          <w:i/>
          <w:noProof/>
        </w:rPr>
        <w:t xml:space="preserve"> et al.</w:t>
      </w:r>
      <w:r>
        <w:rPr>
          <w:noProof/>
        </w:rPr>
        <w:t xml:space="preserve"> 2015)</w:t>
      </w:r>
      <w:r w:rsidRPr="00177AA3">
        <w:t xml:space="preserve">.  Having reviewed problem substance use treatments in older people, Bhatia </w:t>
      </w:r>
      <w:r w:rsidRPr="00500EAC">
        <w:rPr>
          <w:i/>
        </w:rPr>
        <w:t>et al.</w:t>
      </w:r>
      <w:r w:rsidRPr="00177AA3">
        <w:t xml:space="preserve"> did not find any evidence on treatments for illicit drug use among older people, a point previously made by Moy et al. </w:t>
      </w:r>
      <w:r>
        <w:rPr>
          <w:noProof/>
        </w:rPr>
        <w:t>(Moy</w:t>
      </w:r>
      <w:r w:rsidRPr="00791A95">
        <w:rPr>
          <w:i/>
          <w:noProof/>
        </w:rPr>
        <w:t xml:space="preserve"> et al.</w:t>
      </w:r>
      <w:r>
        <w:rPr>
          <w:noProof/>
        </w:rPr>
        <w:t xml:space="preserve"> 2011, Bhatia</w:t>
      </w:r>
      <w:r w:rsidRPr="00791A95">
        <w:rPr>
          <w:i/>
          <w:noProof/>
        </w:rPr>
        <w:t xml:space="preserve"> et al.</w:t>
      </w:r>
      <w:r>
        <w:rPr>
          <w:noProof/>
        </w:rPr>
        <w:t xml:space="preserve"> 2015)</w:t>
      </w:r>
      <w:r w:rsidRPr="00177AA3">
        <w:t xml:space="preserve">.  Bhatia </w:t>
      </w:r>
      <w:r w:rsidRPr="00500EAC">
        <w:rPr>
          <w:i/>
        </w:rPr>
        <w:t>et al.</w:t>
      </w:r>
      <w:r w:rsidRPr="00177AA3">
        <w:t xml:space="preserve"> called for epidemiological research in this area and the need to develop health care responses. </w:t>
      </w:r>
      <w:r>
        <w:t xml:space="preserve"> </w:t>
      </w:r>
      <w:r w:rsidRPr="00177AA3">
        <w:t xml:space="preserve">Moy </w:t>
      </w:r>
      <w:r w:rsidRPr="00500EAC">
        <w:rPr>
          <w:i/>
        </w:rPr>
        <w:t>et al.</w:t>
      </w:r>
      <w:r w:rsidRPr="00177AA3">
        <w:t xml:space="preserve"> reviewed studies on substance treatment among older people published between 1984 and 2005, and found 11 studies on alcohol, three on nicotine, one on prescription medications and one on opiate dependence </w:t>
      </w:r>
      <w:r>
        <w:rPr>
          <w:noProof/>
        </w:rPr>
        <w:t>(Moy</w:t>
      </w:r>
      <w:r w:rsidRPr="00791A95">
        <w:rPr>
          <w:i/>
          <w:noProof/>
        </w:rPr>
        <w:t xml:space="preserve"> et al.</w:t>
      </w:r>
      <w:r>
        <w:rPr>
          <w:noProof/>
        </w:rPr>
        <w:t xml:space="preserve"> 2011)</w:t>
      </w:r>
      <w:r w:rsidRPr="00177AA3">
        <w:t xml:space="preserve">. </w:t>
      </w:r>
      <w:r>
        <w:t xml:space="preserve"> </w:t>
      </w:r>
      <w:r w:rsidRPr="00177AA3">
        <w:t xml:space="preserve">Rosen </w:t>
      </w:r>
      <w:r w:rsidRPr="00500EAC">
        <w:rPr>
          <w:i/>
        </w:rPr>
        <w:t>et al.</w:t>
      </w:r>
      <w:r w:rsidRPr="00177AA3">
        <w:t xml:space="preserve"> reviewed the characteristics and consequences of heroin use among older adults in the U.S. </w:t>
      </w:r>
      <w:r>
        <w:t xml:space="preserve"> </w:t>
      </w:r>
      <w:r w:rsidRPr="00177AA3">
        <w:t xml:space="preserve">Having found just 9 eligible studies, the review concluded that research on heroin use and methadone treatment was scant, quantitative findings were inconsistent, and called for additional research with larger samples, as all of the research was conducted using small sample sizes </w:t>
      </w:r>
      <w:r>
        <w:rPr>
          <w:noProof/>
        </w:rPr>
        <w:t>(Rosen</w:t>
      </w:r>
      <w:r w:rsidRPr="00791A95">
        <w:rPr>
          <w:i/>
          <w:noProof/>
        </w:rPr>
        <w:t xml:space="preserve"> et al.</w:t>
      </w:r>
      <w:r>
        <w:rPr>
          <w:noProof/>
        </w:rPr>
        <w:t xml:space="preserve"> 2011)</w:t>
      </w:r>
      <w:r w:rsidRPr="00177AA3">
        <w:t xml:space="preserve">. </w:t>
      </w:r>
      <w:r>
        <w:t xml:space="preserve"> </w:t>
      </w:r>
      <w:r w:rsidRPr="00177AA3">
        <w:t xml:space="preserve">The literature notes that research mostly originates in the United States, and, therefore, it is difficult to generalise findings given societal differences and differences in the organisation of and accessibility to health care systems internationally </w:t>
      </w:r>
      <w:r>
        <w:rPr>
          <w:noProof/>
        </w:rPr>
        <w:t>(Bhatia</w:t>
      </w:r>
      <w:r w:rsidRPr="00791A95">
        <w:rPr>
          <w:i/>
          <w:noProof/>
        </w:rPr>
        <w:t xml:space="preserve"> et al.</w:t>
      </w:r>
      <w:r>
        <w:rPr>
          <w:noProof/>
        </w:rPr>
        <w:t xml:space="preserve"> 2015, Crome</w:t>
      </w:r>
      <w:r w:rsidRPr="00791A95">
        <w:rPr>
          <w:i/>
          <w:noProof/>
        </w:rPr>
        <w:t xml:space="preserve"> et al.</w:t>
      </w:r>
      <w:r>
        <w:rPr>
          <w:noProof/>
        </w:rPr>
        <w:t xml:space="preserve"> 2015)</w:t>
      </w:r>
      <w:r w:rsidRPr="00177AA3">
        <w:t xml:space="preserve">. </w:t>
      </w:r>
      <w:r>
        <w:t xml:space="preserve"> </w:t>
      </w:r>
      <w:r w:rsidRPr="00177AA3">
        <w:t xml:space="preserve">The need for European countries to develop epidemiological databases, services and research has been highlighted </w:t>
      </w:r>
      <w:r>
        <w:rPr>
          <w:noProof/>
        </w:rPr>
        <w:t>(Crome</w:t>
      </w:r>
      <w:r w:rsidRPr="00791A95">
        <w:rPr>
          <w:i/>
          <w:noProof/>
        </w:rPr>
        <w:t xml:space="preserve"> et al.</w:t>
      </w:r>
      <w:r>
        <w:rPr>
          <w:noProof/>
        </w:rPr>
        <w:t xml:space="preserve"> 2015)</w:t>
      </w:r>
      <w:r w:rsidRPr="00177AA3">
        <w:t xml:space="preserve">. </w:t>
      </w:r>
      <w:r>
        <w:t xml:space="preserve"> </w:t>
      </w:r>
      <w:r w:rsidRPr="00177AA3">
        <w:t xml:space="preserve">A U.K. report on older substance misusers states that the “examination of trends in the extent, nature and predictors of substance use problems among older people is required” </w:t>
      </w:r>
      <w:r>
        <w:rPr>
          <w:noProof/>
        </w:rPr>
        <w:t>(Crome</w:t>
      </w:r>
      <w:r w:rsidRPr="0062594C">
        <w:rPr>
          <w:i/>
          <w:noProof/>
        </w:rPr>
        <w:t xml:space="preserve"> et al.</w:t>
      </w:r>
      <w:r>
        <w:rPr>
          <w:noProof/>
        </w:rPr>
        <w:t xml:space="preserve"> 2011a)</w:t>
      </w:r>
      <w:r w:rsidRPr="00177AA3">
        <w:t>.</w:t>
      </w:r>
    </w:p>
    <w:p w:rsidR="003B0DEE" w:rsidRPr="00DF44C1" w:rsidRDefault="003B0DEE" w:rsidP="000D5D90">
      <w:pPr>
        <w:pStyle w:val="Heading3"/>
      </w:pPr>
      <w:bookmarkStart w:id="26" w:name="_Toc15331650"/>
      <w:r w:rsidRPr="00DF44C1">
        <w:t>Treatment outcome studies and ageing</w:t>
      </w:r>
      <w:bookmarkEnd w:id="26"/>
    </w:p>
    <w:p w:rsidR="003B0DEE" w:rsidRPr="00177AA3" w:rsidRDefault="003B0DEE" w:rsidP="000D5D90">
      <w:pPr>
        <w:pStyle w:val="BodyText"/>
      </w:pPr>
      <w:r w:rsidRPr="00177AA3">
        <w:t xml:space="preserve">This review focuses on immediate outcomes </w:t>
      </w:r>
      <w:r>
        <w:t>of</w:t>
      </w:r>
      <w:r w:rsidRPr="00177AA3">
        <w:t xml:space="preserve"> a treatment intervention for ageing opioid users and includes outcomes such as retention and abstinence. </w:t>
      </w:r>
      <w:r>
        <w:t xml:space="preserve"> </w:t>
      </w:r>
      <w:r w:rsidRPr="00177AA3">
        <w:t>Three studies examined treatment profiles over time, of which just one study specifically investigated ageing.</w:t>
      </w:r>
      <w:r>
        <w:t xml:space="preserve"> </w:t>
      </w:r>
      <w:r w:rsidRPr="00177AA3">
        <w:t xml:space="preserve"> Han </w:t>
      </w:r>
      <w:r w:rsidRPr="00500EAC">
        <w:rPr>
          <w:i/>
        </w:rPr>
        <w:t>et al.</w:t>
      </w:r>
      <w:r w:rsidRPr="00177AA3">
        <w:t xml:space="preserve"> examined age trends and characteristics of older adults in opioid treatment</w:t>
      </w:r>
      <w:r w:rsidRPr="00C03340">
        <w:rPr>
          <w:lang w:val="en-GB"/>
        </w:rPr>
        <w:t xml:space="preserve"> programmes</w:t>
      </w:r>
      <w:r w:rsidRPr="00177AA3">
        <w:t xml:space="preserve"> in New York City between 1996 and 2012. </w:t>
      </w:r>
      <w:r>
        <w:t xml:space="preserve"> </w:t>
      </w:r>
      <w:r w:rsidRPr="00177AA3">
        <w:t xml:space="preserve">In 1996 the majority (56.2%) were less than 40 years old.  By 2012, 35.9% were aged 50–59 years, with large increases in numbers aged 60 and older (1.7% in 2006, 13.1% in 2012). </w:t>
      </w:r>
      <w:r>
        <w:t xml:space="preserve"> </w:t>
      </w:r>
      <w:r w:rsidRPr="00177AA3">
        <w:t xml:space="preserve">Multiple drug use was high (particularly cocaine,&gt;30%) and there was a small, but consistent change in the type of primary opioid used, with more frequent use of non-heroin and prescription opioids </w:t>
      </w:r>
      <w:r>
        <w:rPr>
          <w:noProof/>
        </w:rPr>
        <w:t>(Han</w:t>
      </w:r>
      <w:r w:rsidRPr="00791A95">
        <w:rPr>
          <w:i/>
          <w:noProof/>
        </w:rPr>
        <w:t xml:space="preserve"> et al.</w:t>
      </w:r>
      <w:r>
        <w:rPr>
          <w:noProof/>
        </w:rPr>
        <w:t xml:space="preserve"> 2015)</w:t>
      </w:r>
      <w:r w:rsidRPr="00177AA3">
        <w:t>.</w:t>
      </w:r>
    </w:p>
    <w:p w:rsidR="003B0DEE" w:rsidRPr="00177AA3" w:rsidRDefault="003B0DEE" w:rsidP="000D5D90">
      <w:pPr>
        <w:pStyle w:val="BodyText"/>
      </w:pPr>
      <w:r w:rsidRPr="00177AA3">
        <w:t>Five longitudinal studies included proxies for age (i.e., length of drug career), but none specifically investigate</w:t>
      </w:r>
      <w:r>
        <w:t>d</w:t>
      </w:r>
      <w:r w:rsidRPr="00177AA3">
        <w:t xml:space="preserve"> age or ageing. </w:t>
      </w:r>
      <w:r>
        <w:t xml:space="preserve"> </w:t>
      </w:r>
      <w:r w:rsidRPr="00177AA3">
        <w:t xml:space="preserve">These studies examined treatment outcomes over 30 or more years in two California based treatment groups. </w:t>
      </w:r>
      <w:r>
        <w:t xml:space="preserve"> </w:t>
      </w:r>
      <w:r w:rsidRPr="00177AA3">
        <w:t>Grella and Lovinger investigated 30-year trajectories of heroin use among people participating in public</w:t>
      </w:r>
      <w:r>
        <w:t>ly</w:t>
      </w:r>
      <w:r w:rsidRPr="00177AA3">
        <w:t xml:space="preserve"> funded methadone maintenance programmes between 1978 and 1981. </w:t>
      </w:r>
      <w:r>
        <w:t xml:space="preserve"> </w:t>
      </w:r>
      <w:r w:rsidRPr="00177AA3">
        <w:t>The study identified four heroin trajector</w:t>
      </w:r>
      <w:r>
        <w:t>ies</w:t>
      </w:r>
      <w:r w:rsidRPr="00177AA3">
        <w:t xml:space="preserve">: (1) women were more likely to enter remission quickly, (2) rapid decreases in heroin use are associated with increased use of other drugs, (3) gradual decreases in heroin use were associated with gradual decreases in the use of other drugs, and (4) problems in school, age first arrested and younger onset of heroin use are associated with persistent use of heroin. </w:t>
      </w:r>
      <w:r>
        <w:t xml:space="preserve"> </w:t>
      </w:r>
      <w:r w:rsidRPr="00177AA3">
        <w:t xml:space="preserve">The authors concluded that high rates of persistent </w:t>
      </w:r>
      <w:r w:rsidRPr="00177AA3">
        <w:lastRenderedPageBreak/>
        <w:t xml:space="preserve">drug use over 30 years follow-up suggest that ageing heroin users are in need of treatment </w:t>
      </w:r>
      <w:r>
        <w:rPr>
          <w:noProof/>
        </w:rPr>
        <w:t>(Grella &amp; Lovinger 2011)</w:t>
      </w:r>
      <w:r w:rsidRPr="00177AA3">
        <w:t xml:space="preserve">. </w:t>
      </w:r>
      <w:r>
        <w:t xml:space="preserve"> </w:t>
      </w:r>
      <w:proofErr w:type="spellStart"/>
      <w:proofErr w:type="gramStart"/>
      <w:r w:rsidRPr="00177AA3">
        <w:t>Hser</w:t>
      </w:r>
      <w:proofErr w:type="spellEnd"/>
      <w:r w:rsidRPr="00177AA3">
        <w:t xml:space="preserve"> and colleagues published four articles based on a 33-year longitudinal study (1974–1997), examining outcomes among men attending compulsory treatment for heroin</w:t>
      </w:r>
      <w:r w:rsidRPr="00C03340">
        <w:rPr>
          <w:lang w:val="en-GB"/>
        </w:rPr>
        <w:t xml:space="preserve"> dependant</w:t>
      </w:r>
      <w:r w:rsidRPr="00177AA3">
        <w:t>, criminal offenders.</w:t>
      </w:r>
      <w:proofErr w:type="gramEnd"/>
      <w:r w:rsidRPr="00177AA3">
        <w:t xml:space="preserve"> </w:t>
      </w:r>
      <w:r>
        <w:t xml:space="preserve"> </w:t>
      </w:r>
      <w:r w:rsidRPr="00177AA3">
        <w:t xml:space="preserve">They found: a steady increase in deaths and stable heroin use </w:t>
      </w:r>
      <w:r>
        <w:rPr>
          <w:noProof/>
        </w:rPr>
        <w:t>(Hser</w:t>
      </w:r>
      <w:r w:rsidRPr="00791A95">
        <w:rPr>
          <w:i/>
          <w:noProof/>
        </w:rPr>
        <w:t xml:space="preserve"> et al.</w:t>
      </w:r>
      <w:r>
        <w:rPr>
          <w:noProof/>
        </w:rPr>
        <w:t xml:space="preserve"> 2001)</w:t>
      </w:r>
      <w:r w:rsidRPr="00177AA3">
        <w:t xml:space="preserve">, poor health conditions and high mortality </w:t>
      </w:r>
      <w:r>
        <w:rPr>
          <w:noProof/>
        </w:rPr>
        <w:t>(Hser</w:t>
      </w:r>
      <w:r w:rsidRPr="00791A95">
        <w:rPr>
          <w:i/>
          <w:noProof/>
        </w:rPr>
        <w:t xml:space="preserve"> et al.</w:t>
      </w:r>
      <w:r>
        <w:rPr>
          <w:noProof/>
        </w:rPr>
        <w:t xml:space="preserve"> 2004)</w:t>
      </w:r>
      <w:r w:rsidRPr="00177AA3">
        <w:t xml:space="preserve">, adverse consequences of chronic heroin addiction </w:t>
      </w:r>
      <w:r>
        <w:rPr>
          <w:noProof/>
        </w:rPr>
        <w:t>(Hser</w:t>
      </w:r>
      <w:r w:rsidRPr="00791A95">
        <w:rPr>
          <w:i/>
          <w:noProof/>
        </w:rPr>
        <w:t xml:space="preserve"> et al.</w:t>
      </w:r>
      <w:r>
        <w:rPr>
          <w:noProof/>
        </w:rPr>
        <w:t xml:space="preserve"> 2007)</w:t>
      </w:r>
      <w:r w:rsidRPr="00177AA3">
        <w:t xml:space="preserve">, and interventions likely to enhance long-term stable recovery </w:t>
      </w:r>
      <w:r>
        <w:rPr>
          <w:noProof/>
        </w:rPr>
        <w:t>(Hser 2007)</w:t>
      </w:r>
      <w:r w:rsidRPr="00177AA3">
        <w:t>.</w:t>
      </w:r>
    </w:p>
    <w:p w:rsidR="003B0DEE" w:rsidRPr="00DF44C1" w:rsidRDefault="003B0DEE" w:rsidP="000D5D90">
      <w:pPr>
        <w:pStyle w:val="Heading3"/>
      </w:pPr>
      <w:bookmarkStart w:id="27" w:name="_Toc15331651"/>
      <w:r w:rsidRPr="00DF44C1">
        <w:t>Treatment outcomes differ by age group</w:t>
      </w:r>
      <w:bookmarkEnd w:id="27"/>
    </w:p>
    <w:p w:rsidR="003B0DEE" w:rsidRPr="00177AA3" w:rsidRDefault="003B0DEE" w:rsidP="000D5D90">
      <w:pPr>
        <w:pStyle w:val="BodyText"/>
      </w:pPr>
      <w:r w:rsidRPr="00177AA3">
        <w:t xml:space="preserve">Three studies </w:t>
      </w:r>
      <w:r>
        <w:rPr>
          <w:noProof/>
        </w:rPr>
        <w:t>(Firoz &amp; Carlson 2004, Lofwall</w:t>
      </w:r>
      <w:r w:rsidRPr="00791A95">
        <w:rPr>
          <w:i/>
          <w:noProof/>
        </w:rPr>
        <w:t xml:space="preserve"> et al.</w:t>
      </w:r>
      <w:r>
        <w:rPr>
          <w:noProof/>
        </w:rPr>
        <w:t xml:space="preserve"> 2005, Rajaratnam</w:t>
      </w:r>
      <w:r w:rsidRPr="00791A95">
        <w:rPr>
          <w:i/>
          <w:noProof/>
        </w:rPr>
        <w:t xml:space="preserve"> et al.</w:t>
      </w:r>
      <w:r>
        <w:rPr>
          <w:noProof/>
        </w:rPr>
        <w:t xml:space="preserve"> 2009)</w:t>
      </w:r>
      <w:r w:rsidRPr="00177AA3">
        <w:t xml:space="preserve"> compared treatment outcomes among younger and older groups and found that older clients achieved better outcomes than their younger counterparts. </w:t>
      </w:r>
      <w:r>
        <w:t xml:space="preserve"> </w:t>
      </w:r>
      <w:r w:rsidRPr="00177AA3">
        <w:t xml:space="preserve">Although the age cut-offs were not identical, differences were found in treatment retention and drug use. </w:t>
      </w:r>
      <w:r>
        <w:t xml:space="preserve"> </w:t>
      </w:r>
      <w:r w:rsidRPr="00177AA3">
        <w:t xml:space="preserve">Firoz and Carlson found that older methadone patients did significantly better in treatment. </w:t>
      </w:r>
      <w:r>
        <w:t xml:space="preserve"> </w:t>
      </w:r>
      <w:r w:rsidRPr="00177AA3">
        <w:t xml:space="preserve">At nine months post-treatment admission, the older group (age 55 years and older) had improved outcomes for drug use measures compared to the younger group (61% of older and 35% of younger patients had no positive urine-drug-screens) </w:t>
      </w:r>
      <w:r>
        <w:rPr>
          <w:noProof/>
        </w:rPr>
        <w:t>(Firoz &amp; Carlson 2004)</w:t>
      </w:r>
      <w:r w:rsidRPr="00177AA3">
        <w:t xml:space="preserve">. </w:t>
      </w:r>
      <w:r>
        <w:t xml:space="preserve"> </w:t>
      </w:r>
      <w:r w:rsidRPr="00177AA3">
        <w:t xml:space="preserve">Rajaratnam </w:t>
      </w:r>
      <w:r w:rsidRPr="00500EAC">
        <w:rPr>
          <w:i/>
        </w:rPr>
        <w:t>et al.</w:t>
      </w:r>
      <w:r w:rsidRPr="00177AA3">
        <w:t xml:space="preserve"> found that older adults (aged 55 years and older) were more likely to have longer treatment durations (p&lt; 0.01), a history of problem alcohol use (p&lt; 0.01), and were less likely to report current heroin (p&lt; 0.05) and overall drug use (p&lt; 0.05) than younger counterparts </w:t>
      </w:r>
      <w:r>
        <w:rPr>
          <w:noProof/>
        </w:rPr>
        <w:t>(Rajaratnam</w:t>
      </w:r>
      <w:r w:rsidRPr="00791A95">
        <w:rPr>
          <w:i/>
          <w:noProof/>
        </w:rPr>
        <w:t xml:space="preserve"> et al.</w:t>
      </w:r>
      <w:r>
        <w:rPr>
          <w:noProof/>
        </w:rPr>
        <w:t xml:space="preserve"> 2009)</w:t>
      </w:r>
      <w:r w:rsidRPr="00177AA3">
        <w:t xml:space="preserve">. </w:t>
      </w:r>
      <w:r>
        <w:t xml:space="preserve"> </w:t>
      </w:r>
      <w:r w:rsidRPr="00177AA3">
        <w:t xml:space="preserve">Lofwall </w:t>
      </w:r>
      <w:r w:rsidRPr="00500EAC">
        <w:rPr>
          <w:i/>
        </w:rPr>
        <w:t xml:space="preserve">et al. </w:t>
      </w:r>
      <w:r w:rsidRPr="00177AA3">
        <w:t xml:space="preserve">found several age differences when comparing groups (age 50–66 years, age 25–34 years). </w:t>
      </w:r>
      <w:r>
        <w:t xml:space="preserve"> </w:t>
      </w:r>
      <w:r w:rsidRPr="00177AA3">
        <w:t xml:space="preserve">The older group was in treatment longer (averaged 4.2 years versus 1.3 years), had fewer positive urine results (3.7% versus 6.9% opiate positive), was older at drug use initiation (except alcohol) (marijuana: 20.6 versus 14.2 years, heroin: 24.2 versus 19.3 years, cocaine 29.4 versus 20.2 years), had poorer physical health and took more prescribed medications daily (43.9% versus 3.8% with three or more daily medications) </w:t>
      </w:r>
      <w:r>
        <w:rPr>
          <w:noProof/>
        </w:rPr>
        <w:t>(Lofwall</w:t>
      </w:r>
      <w:r w:rsidRPr="00791A95">
        <w:rPr>
          <w:i/>
          <w:noProof/>
        </w:rPr>
        <w:t xml:space="preserve"> et al.</w:t>
      </w:r>
      <w:r>
        <w:rPr>
          <w:noProof/>
        </w:rPr>
        <w:t xml:space="preserve"> 2005)</w:t>
      </w:r>
      <w:r w:rsidRPr="00177AA3">
        <w:t xml:space="preserve">.  Two additional studies by Fareed </w:t>
      </w:r>
      <w:r w:rsidRPr="00500EAC">
        <w:rPr>
          <w:i/>
        </w:rPr>
        <w:t xml:space="preserve">et al. </w:t>
      </w:r>
      <w:r w:rsidRPr="00177AA3">
        <w:t xml:space="preserve">and Rosen </w:t>
      </w:r>
      <w:r w:rsidRPr="00500EAC">
        <w:rPr>
          <w:i/>
        </w:rPr>
        <w:t xml:space="preserve">et al. </w:t>
      </w:r>
      <w:r w:rsidRPr="00177AA3">
        <w:t xml:space="preserve">investigated outcomes among older treatment cohorts, but neither made comparisons to younger counterparts. </w:t>
      </w:r>
      <w:r>
        <w:t xml:space="preserve"> </w:t>
      </w:r>
      <w:r w:rsidRPr="00177AA3">
        <w:t xml:space="preserve">Fareed </w:t>
      </w:r>
      <w:r w:rsidRPr="00500EAC">
        <w:rPr>
          <w:i/>
        </w:rPr>
        <w:t xml:space="preserve">et al. </w:t>
      </w:r>
      <w:r w:rsidRPr="00177AA3">
        <w:t xml:space="preserve">found improved outcomes for older patients retained in treatment, whereby those aged 40 years and older had significant reductions in drug use (p&lt; 0.0001 for opiates and cocaine), psychiatric (p&lt; 0.016) and legal problems (p&lt; 0.02) compared with treatment drop-outs </w:t>
      </w:r>
      <w:r>
        <w:rPr>
          <w:noProof/>
        </w:rPr>
        <w:t>(Fareed</w:t>
      </w:r>
      <w:r w:rsidRPr="00791A95">
        <w:rPr>
          <w:i/>
          <w:noProof/>
        </w:rPr>
        <w:t xml:space="preserve"> et al.</w:t>
      </w:r>
      <w:r>
        <w:rPr>
          <w:noProof/>
        </w:rPr>
        <w:t xml:space="preserve"> 2009)</w:t>
      </w:r>
      <w:r w:rsidRPr="00177AA3">
        <w:t xml:space="preserve">. </w:t>
      </w:r>
      <w:r>
        <w:t xml:space="preserve"> </w:t>
      </w:r>
      <w:r w:rsidRPr="00177AA3">
        <w:t xml:space="preserve">Rosen </w:t>
      </w:r>
      <w:r w:rsidRPr="00500EAC">
        <w:rPr>
          <w:i/>
        </w:rPr>
        <w:t xml:space="preserve">et al. </w:t>
      </w:r>
      <w:r w:rsidRPr="00177AA3">
        <w:t xml:space="preserve">compared drug and alcohol use one year preceding and following interview, but did not find differences in urine test results </w:t>
      </w:r>
      <w:r>
        <w:rPr>
          <w:noProof/>
        </w:rPr>
        <w:t>(Rosen</w:t>
      </w:r>
      <w:r w:rsidRPr="00791A95">
        <w:rPr>
          <w:i/>
          <w:noProof/>
        </w:rPr>
        <w:t xml:space="preserve"> et al.</w:t>
      </w:r>
      <w:r>
        <w:rPr>
          <w:noProof/>
        </w:rPr>
        <w:t xml:space="preserve"> 2008)</w:t>
      </w:r>
      <w:r w:rsidRPr="00177AA3">
        <w:t>.</w:t>
      </w:r>
    </w:p>
    <w:p w:rsidR="003B0DEE" w:rsidRPr="00DF44C1" w:rsidRDefault="003B0DEE" w:rsidP="000D5D90">
      <w:pPr>
        <w:pStyle w:val="Heading3"/>
      </w:pPr>
      <w:bookmarkStart w:id="28" w:name="_Toc15331652"/>
      <w:r w:rsidRPr="00DF44C1">
        <w:t>Treatment outcomes differ by gender</w:t>
      </w:r>
      <w:bookmarkEnd w:id="28"/>
    </w:p>
    <w:p w:rsidR="003B0DEE" w:rsidRPr="00177AA3" w:rsidRDefault="003B0DEE" w:rsidP="000D5D90">
      <w:pPr>
        <w:pStyle w:val="BodyText"/>
      </w:pPr>
      <w:r w:rsidRPr="00177AA3">
        <w:t xml:space="preserve">Two studies investigating treatment outcomes and gender found that women achieved better outcomes.  Rosen </w:t>
      </w:r>
      <w:r w:rsidRPr="00500EAC">
        <w:rPr>
          <w:i/>
        </w:rPr>
        <w:t xml:space="preserve">et al. </w:t>
      </w:r>
      <w:r w:rsidRPr="00177AA3">
        <w:t xml:space="preserve">examined the prevalence of mental and physical health disorders in 140 older methadone maintenance patients (aged 50 years and older). </w:t>
      </w:r>
      <w:r>
        <w:t xml:space="preserve"> </w:t>
      </w:r>
      <w:r w:rsidRPr="00177AA3">
        <w:t xml:space="preserve">Physical health appeared better among older women who had significantly lower rates of hypertension and diabetes </w:t>
      </w:r>
      <w:r>
        <w:rPr>
          <w:noProof/>
        </w:rPr>
        <w:t>(Rosen</w:t>
      </w:r>
      <w:r w:rsidRPr="00791A95">
        <w:rPr>
          <w:i/>
          <w:noProof/>
        </w:rPr>
        <w:t xml:space="preserve"> et al.</w:t>
      </w:r>
      <w:r>
        <w:rPr>
          <w:noProof/>
        </w:rPr>
        <w:t xml:space="preserve"> 2008)</w:t>
      </w:r>
      <w:r w:rsidRPr="00177AA3">
        <w:t xml:space="preserve">. </w:t>
      </w:r>
      <w:r>
        <w:t xml:space="preserve"> </w:t>
      </w:r>
      <w:r w:rsidRPr="00177AA3">
        <w:t xml:space="preserve">Grella and Lovinger investigated 30-year trajectories of heroin use and found one trajectory where women were more likely than men to enter remission quickly </w:t>
      </w:r>
      <w:r>
        <w:rPr>
          <w:noProof/>
        </w:rPr>
        <w:t>(Grella &amp; Lovinger 2011)</w:t>
      </w:r>
      <w:r w:rsidRPr="00177AA3">
        <w:t>.</w:t>
      </w:r>
    </w:p>
    <w:p w:rsidR="003B0DEE" w:rsidRDefault="003B0DEE" w:rsidP="000D5D90">
      <w:pPr>
        <w:pStyle w:val="Heading2"/>
      </w:pPr>
      <w:bookmarkStart w:id="29" w:name="_Toc15331653"/>
      <w:r>
        <w:t>Discussion</w:t>
      </w:r>
      <w:bookmarkEnd w:id="29"/>
    </w:p>
    <w:p w:rsidR="003B0DEE" w:rsidRPr="00177AA3" w:rsidRDefault="003B0DEE" w:rsidP="000D5D90">
      <w:pPr>
        <w:pStyle w:val="BodyText"/>
      </w:pPr>
      <w:r w:rsidRPr="00177AA3">
        <w:t xml:space="preserve">The literature has identified a neglected ageing population who use opioids and a dearth of </w:t>
      </w:r>
      <w:r w:rsidRPr="00177AA3">
        <w:lastRenderedPageBreak/>
        <w:t xml:space="preserve">available research and evidence for treating this group. </w:t>
      </w:r>
      <w:r>
        <w:t xml:space="preserve"> </w:t>
      </w:r>
      <w:r w:rsidRPr="00177AA3">
        <w:t xml:space="preserve">Historically issues relating to problem substance use among older people have received little attention, and are only recently being recognised. </w:t>
      </w:r>
      <w:r>
        <w:t xml:space="preserve"> </w:t>
      </w:r>
      <w:r w:rsidRPr="00177AA3">
        <w:t xml:space="preserve">Larger scale longitudinal studies tracking treatment and health outcomes have not included a significant sample of older people </w:t>
      </w:r>
      <w:r>
        <w:rPr>
          <w:noProof/>
        </w:rPr>
        <w:t>(Korper &amp; Council 2002, Hubbard</w:t>
      </w:r>
      <w:r w:rsidRPr="00791A95">
        <w:rPr>
          <w:i/>
          <w:noProof/>
        </w:rPr>
        <w:t xml:space="preserve"> et al.</w:t>
      </w:r>
      <w:r>
        <w:rPr>
          <w:noProof/>
        </w:rPr>
        <w:t xml:space="preserve"> 2003, Ross</w:t>
      </w:r>
      <w:r w:rsidRPr="00791A95">
        <w:rPr>
          <w:i/>
          <w:noProof/>
        </w:rPr>
        <w:t xml:space="preserve"> et al.</w:t>
      </w:r>
      <w:r>
        <w:rPr>
          <w:noProof/>
        </w:rPr>
        <w:t xml:space="preserve"> 2005)</w:t>
      </w:r>
      <w:r w:rsidRPr="00177AA3">
        <w:t>.  Most of the existing literature involving older adults treats them as a homogenous group and/or compares them to their younger counterparts</w:t>
      </w:r>
      <w:r>
        <w:t>.</w:t>
      </w:r>
      <w:r w:rsidRPr="00177AA3">
        <w:t xml:space="preserve"> </w:t>
      </w:r>
      <w:r>
        <w:t xml:space="preserve"> H</w:t>
      </w:r>
      <w:r w:rsidRPr="00177AA3">
        <w:t>owever</w:t>
      </w:r>
      <w:r>
        <w:t>,</w:t>
      </w:r>
      <w:r w:rsidRPr="00177AA3">
        <w:t xml:space="preserve"> there is some evidence of different subgroups within the ageing opioid population </w:t>
      </w:r>
      <w:r>
        <w:rPr>
          <w:noProof/>
        </w:rPr>
        <w:t>(Roe</w:t>
      </w:r>
      <w:r w:rsidRPr="00791A95">
        <w:rPr>
          <w:i/>
          <w:noProof/>
        </w:rPr>
        <w:t xml:space="preserve"> et al.</w:t>
      </w:r>
      <w:r>
        <w:rPr>
          <w:noProof/>
        </w:rPr>
        <w:t xml:space="preserve"> 2010, Taylor &amp; Grossberg 2012)</w:t>
      </w:r>
      <w:r w:rsidRPr="00177AA3">
        <w:t xml:space="preserve">, gender differences </w:t>
      </w:r>
      <w:r>
        <w:rPr>
          <w:noProof/>
        </w:rPr>
        <w:t>(Satre</w:t>
      </w:r>
      <w:r w:rsidRPr="00791A95">
        <w:rPr>
          <w:i/>
          <w:noProof/>
        </w:rPr>
        <w:t xml:space="preserve"> et al.</w:t>
      </w:r>
      <w:r>
        <w:rPr>
          <w:noProof/>
        </w:rPr>
        <w:t xml:space="preserve"> 2004, Satre</w:t>
      </w:r>
      <w:r w:rsidRPr="00791A95">
        <w:rPr>
          <w:i/>
          <w:noProof/>
        </w:rPr>
        <w:t xml:space="preserve"> et al.</w:t>
      </w:r>
      <w:r>
        <w:rPr>
          <w:noProof/>
        </w:rPr>
        <w:t xml:space="preserve"> 2007, Rosen</w:t>
      </w:r>
      <w:r w:rsidRPr="00791A95">
        <w:rPr>
          <w:i/>
          <w:noProof/>
        </w:rPr>
        <w:t xml:space="preserve"> et al.</w:t>
      </w:r>
      <w:r>
        <w:rPr>
          <w:noProof/>
        </w:rPr>
        <w:t xml:space="preserve"> 2008, Grella &amp; Lovinger 2011)</w:t>
      </w:r>
      <w:r w:rsidRPr="00177AA3">
        <w:t xml:space="preserve">, and drug use trajectories </w:t>
      </w:r>
      <w:r>
        <w:rPr>
          <w:noProof/>
        </w:rPr>
        <w:t>(Gfroerer</w:t>
      </w:r>
      <w:r w:rsidRPr="00791A95">
        <w:rPr>
          <w:i/>
          <w:noProof/>
        </w:rPr>
        <w:t xml:space="preserve"> et al.</w:t>
      </w:r>
      <w:r>
        <w:rPr>
          <w:noProof/>
        </w:rPr>
        <w:t xml:space="preserve"> 2003, Aharonovich</w:t>
      </w:r>
      <w:r w:rsidRPr="00791A95">
        <w:rPr>
          <w:i/>
          <w:noProof/>
        </w:rPr>
        <w:t xml:space="preserve"> et al.</w:t>
      </w:r>
      <w:r>
        <w:rPr>
          <w:noProof/>
        </w:rPr>
        <w:t xml:space="preserve"> 2005, Lofwall</w:t>
      </w:r>
      <w:r w:rsidRPr="00791A95">
        <w:rPr>
          <w:i/>
          <w:noProof/>
        </w:rPr>
        <w:t xml:space="preserve"> et al.</w:t>
      </w:r>
      <w:r>
        <w:rPr>
          <w:noProof/>
        </w:rPr>
        <w:t xml:space="preserve"> 2005, Colliver</w:t>
      </w:r>
      <w:r w:rsidRPr="00791A95">
        <w:rPr>
          <w:i/>
          <w:noProof/>
        </w:rPr>
        <w:t xml:space="preserve"> et al.</w:t>
      </w:r>
      <w:r>
        <w:rPr>
          <w:noProof/>
        </w:rPr>
        <w:t xml:space="preserve"> 2006, Grella &amp; Lovinger 2011, Vincent &amp; Velkoff 2011, Bhatia</w:t>
      </w:r>
      <w:r w:rsidRPr="00791A95">
        <w:rPr>
          <w:i/>
          <w:noProof/>
        </w:rPr>
        <w:t xml:space="preserve"> et al.</w:t>
      </w:r>
      <w:r>
        <w:rPr>
          <w:noProof/>
        </w:rPr>
        <w:t xml:space="preserve"> 2015)</w:t>
      </w:r>
      <w:r w:rsidR="007C1DDB" w:rsidRPr="00177AA3">
        <w:t xml:space="preserve">.  </w:t>
      </w:r>
      <w:r w:rsidRPr="00177AA3">
        <w:t xml:space="preserve">These and other factors may have important implications for treatment services </w:t>
      </w:r>
      <w:r>
        <w:rPr>
          <w:noProof/>
        </w:rPr>
        <w:t>(Gfroerer</w:t>
      </w:r>
      <w:r w:rsidRPr="00791A95">
        <w:rPr>
          <w:i/>
          <w:noProof/>
        </w:rPr>
        <w:t xml:space="preserve"> et al.</w:t>
      </w:r>
      <w:r>
        <w:rPr>
          <w:noProof/>
        </w:rPr>
        <w:t xml:space="preserve"> 2003, Vincent &amp; Velkoff 2011)</w:t>
      </w:r>
      <w:r w:rsidRPr="00177AA3">
        <w:t xml:space="preserve">.  </w:t>
      </w:r>
    </w:p>
    <w:p w:rsidR="003B0DEE" w:rsidRPr="00177AA3" w:rsidRDefault="003B0DEE" w:rsidP="000D5D90">
      <w:pPr>
        <w:pStyle w:val="BodyText"/>
      </w:pPr>
      <w:r w:rsidRPr="00177AA3">
        <w:t xml:space="preserve">The articles reviewed indicate significant future needs, yet currently there is insufficient research and evidence for interventions that treat older people. </w:t>
      </w:r>
      <w:r>
        <w:t xml:space="preserve"> </w:t>
      </w:r>
      <w:r w:rsidRPr="00177AA3">
        <w:t xml:space="preserve">Addiction and other healthcare services are insufficiently aware of the needs of ageing </w:t>
      </w:r>
      <w:r>
        <w:t xml:space="preserve">among people who use </w:t>
      </w:r>
      <w:r w:rsidRPr="00177AA3">
        <w:t>drug</w:t>
      </w:r>
      <w:r>
        <w:t>s</w:t>
      </w:r>
      <w:r w:rsidRPr="00177AA3">
        <w:t xml:space="preserve"> and must anticipate and prepare for increased demand from this group. </w:t>
      </w:r>
      <w:r>
        <w:t xml:space="preserve"> </w:t>
      </w:r>
      <w:r w:rsidRPr="00177AA3">
        <w:t xml:space="preserve">Age related information is important epidemiologically to understand the dynamics of epidemics </w:t>
      </w:r>
      <w:r>
        <w:rPr>
          <w:noProof/>
        </w:rPr>
        <w:t>(Barrio</w:t>
      </w:r>
      <w:r w:rsidRPr="00791A95">
        <w:rPr>
          <w:i/>
          <w:noProof/>
        </w:rPr>
        <w:t xml:space="preserve"> et al.</w:t>
      </w:r>
      <w:r>
        <w:rPr>
          <w:noProof/>
        </w:rPr>
        <w:t xml:space="preserve"> 2013)</w:t>
      </w:r>
      <w:r w:rsidRPr="00177AA3">
        <w:t xml:space="preserve">. </w:t>
      </w:r>
      <w:r>
        <w:t xml:space="preserve"> </w:t>
      </w:r>
      <w:r w:rsidRPr="00177AA3">
        <w:t xml:space="preserve">Research lacks large quantitative studies explicitly examining the area. </w:t>
      </w:r>
      <w:r>
        <w:t xml:space="preserve"> </w:t>
      </w:r>
      <w:r w:rsidRPr="00177AA3">
        <w:t xml:space="preserve">Large samples are also required to accurately assess the needs of the population and monitor ageing trends. </w:t>
      </w:r>
      <w:r>
        <w:t xml:space="preserve"> </w:t>
      </w:r>
      <w:r w:rsidRPr="00177AA3">
        <w:t xml:space="preserve">Existing treatment monitoring systems are not being utilised to this end. </w:t>
      </w:r>
      <w:r>
        <w:t xml:space="preserve"> </w:t>
      </w:r>
      <w:r w:rsidRPr="00177AA3">
        <w:t xml:space="preserve">Empirical research is required to adequately describe the problem and to develop appropriate treatment programmes and interventions for older opioid users. </w:t>
      </w:r>
    </w:p>
    <w:p w:rsidR="003B0DEE" w:rsidRPr="00177AA3" w:rsidRDefault="003B0DEE" w:rsidP="000D5D90">
      <w:pPr>
        <w:pStyle w:val="BodyText"/>
      </w:pPr>
      <w:r w:rsidRPr="00177AA3">
        <w:t xml:space="preserve">The small </w:t>
      </w:r>
      <w:proofErr w:type="gramStart"/>
      <w:r w:rsidRPr="00177AA3">
        <w:t>number of studies meeting the review criteria were</w:t>
      </w:r>
      <w:proofErr w:type="gramEnd"/>
      <w:r w:rsidRPr="00177AA3">
        <w:t xml:space="preserve"> all based in high income countries, therefore generalisability to other settings may be potentially impacted. </w:t>
      </w:r>
      <w:r>
        <w:t xml:space="preserve"> </w:t>
      </w:r>
      <w:r w:rsidRPr="00177AA3">
        <w:t xml:space="preserve">Almost all studies reviewed involved convenience samples taken from methadone treatment centres in large urban areas.  Many studies were excluded due to their sampling criteria. </w:t>
      </w:r>
      <w:r>
        <w:t xml:space="preserve"> </w:t>
      </w:r>
      <w:r w:rsidRPr="00177AA3">
        <w:t xml:space="preserve">For example, many papers from the Australian Treatment Outcome Study included individuals attending needle exchange services </w:t>
      </w:r>
      <w:proofErr w:type="gramStart"/>
      <w:r w:rsidRPr="00177AA3">
        <w:t>who</w:t>
      </w:r>
      <w:proofErr w:type="gramEnd"/>
      <w:r w:rsidRPr="00177AA3">
        <w:t xml:space="preserve"> were not treated for their opiate problem </w:t>
      </w:r>
      <w:r>
        <w:rPr>
          <w:noProof/>
        </w:rPr>
        <w:t>(Teesson</w:t>
      </w:r>
      <w:r w:rsidRPr="00791A95">
        <w:rPr>
          <w:i/>
          <w:noProof/>
        </w:rPr>
        <w:t xml:space="preserve"> et al.</w:t>
      </w:r>
      <w:r>
        <w:rPr>
          <w:noProof/>
        </w:rPr>
        <w:t xml:space="preserve"> 2007, Darke</w:t>
      </w:r>
      <w:r w:rsidRPr="00791A95">
        <w:rPr>
          <w:i/>
          <w:noProof/>
        </w:rPr>
        <w:t xml:space="preserve"> et al.</w:t>
      </w:r>
      <w:r>
        <w:rPr>
          <w:noProof/>
        </w:rPr>
        <w:t xml:space="preserve"> 2009, Darke 2011, Darke</w:t>
      </w:r>
      <w:r w:rsidRPr="00791A95">
        <w:rPr>
          <w:i/>
          <w:noProof/>
        </w:rPr>
        <w:t xml:space="preserve"> et al.</w:t>
      </w:r>
      <w:r>
        <w:rPr>
          <w:noProof/>
        </w:rPr>
        <w:t xml:space="preserve"> 2011, Teesson</w:t>
      </w:r>
      <w:r w:rsidRPr="00791A95">
        <w:rPr>
          <w:i/>
          <w:noProof/>
        </w:rPr>
        <w:t xml:space="preserve"> et al.</w:t>
      </w:r>
      <w:r>
        <w:rPr>
          <w:noProof/>
        </w:rPr>
        <w:t xml:space="preserve"> 2015)</w:t>
      </w:r>
      <w:r w:rsidRPr="00177AA3">
        <w:t xml:space="preserve">. </w:t>
      </w:r>
      <w:r>
        <w:t xml:space="preserve"> </w:t>
      </w:r>
      <w:r w:rsidRPr="00177AA3">
        <w:t xml:space="preserve">There is substantial variation in what the term “older” or “ageing” encompasses and, therefore, the body of evidence for the target population is small, and the majority of studies do not give their reasoning for their choice of age cut-offs. </w:t>
      </w:r>
      <w:r>
        <w:t xml:space="preserve"> </w:t>
      </w:r>
      <w:r w:rsidRPr="00177AA3">
        <w:t xml:space="preserve">Due to the narrow focus of the review objectives, important issues related to the care of older </w:t>
      </w:r>
      <w:r>
        <w:t>people</w:t>
      </w:r>
      <w:r w:rsidRPr="00177AA3">
        <w:t xml:space="preserve"> with substance use problems (including medical, psychiatric, multimorbidity, cognitive decline, social isolation, mediation drug interactions, and burden of medications among other things) have not been discussed. </w:t>
      </w:r>
      <w:r>
        <w:t xml:space="preserve"> </w:t>
      </w:r>
      <w:r w:rsidRPr="00177AA3">
        <w:t>Outcome measures such as employment and involvement in criminality may be less appropriate for the older population, particularly in the case of the late-onset group who are at a later stage of life and financial security.</w:t>
      </w:r>
    </w:p>
    <w:p w:rsidR="003B0DEE" w:rsidRPr="00177AA3" w:rsidRDefault="003B0DEE" w:rsidP="000D5D90">
      <w:pPr>
        <w:pStyle w:val="BodyText"/>
      </w:pPr>
      <w:r w:rsidRPr="00177AA3">
        <w:t xml:space="preserve">The literature discusses treatment outcomes for the ageing opioid population in general terms and the area is yet to be extensively studied. </w:t>
      </w:r>
      <w:r>
        <w:t xml:space="preserve"> </w:t>
      </w:r>
      <w:r w:rsidRPr="00177AA3">
        <w:t xml:space="preserve">In a recent review, Crome </w:t>
      </w:r>
      <w:r w:rsidRPr="00500EAC">
        <w:rPr>
          <w:i/>
        </w:rPr>
        <w:t xml:space="preserve">et al. </w:t>
      </w:r>
      <w:r w:rsidRPr="00177AA3">
        <w:t xml:space="preserve">found four studies reporting outcomes among older adults in treatment for problem substance use </w:t>
      </w:r>
      <w:r>
        <w:rPr>
          <w:noProof/>
        </w:rPr>
        <w:t>(Satre</w:t>
      </w:r>
      <w:r w:rsidRPr="00791A95">
        <w:rPr>
          <w:i/>
          <w:noProof/>
        </w:rPr>
        <w:t xml:space="preserve"> et al.</w:t>
      </w:r>
      <w:r>
        <w:rPr>
          <w:noProof/>
        </w:rPr>
        <w:t xml:space="preserve"> 2004, Lofwall</w:t>
      </w:r>
      <w:r w:rsidRPr="00791A95">
        <w:rPr>
          <w:i/>
          <w:noProof/>
        </w:rPr>
        <w:t xml:space="preserve"> et al.</w:t>
      </w:r>
      <w:r>
        <w:rPr>
          <w:noProof/>
        </w:rPr>
        <w:t xml:space="preserve"> 2005, Satre</w:t>
      </w:r>
      <w:r w:rsidRPr="00791A95">
        <w:rPr>
          <w:i/>
          <w:noProof/>
        </w:rPr>
        <w:t xml:space="preserve"> et al.</w:t>
      </w:r>
      <w:r>
        <w:rPr>
          <w:noProof/>
        </w:rPr>
        <w:t xml:space="preserve"> 2007, Rosen</w:t>
      </w:r>
      <w:r w:rsidRPr="00791A95">
        <w:rPr>
          <w:i/>
          <w:noProof/>
        </w:rPr>
        <w:t xml:space="preserve"> et al.</w:t>
      </w:r>
      <w:r>
        <w:rPr>
          <w:noProof/>
        </w:rPr>
        <w:t xml:space="preserve"> 2008)</w:t>
      </w:r>
      <w:r w:rsidRPr="00177AA3">
        <w:t xml:space="preserve"> and concluded that treatment outcome research shows that older adults do better in treatment than their younger counterparts </w:t>
      </w:r>
      <w:r>
        <w:rPr>
          <w:noProof/>
        </w:rPr>
        <w:t>(Crome</w:t>
      </w:r>
      <w:r w:rsidRPr="00791A95">
        <w:rPr>
          <w:i/>
          <w:noProof/>
        </w:rPr>
        <w:t xml:space="preserve"> et </w:t>
      </w:r>
      <w:r w:rsidRPr="00791A95">
        <w:rPr>
          <w:i/>
          <w:noProof/>
        </w:rPr>
        <w:lastRenderedPageBreak/>
        <w:t>al.</w:t>
      </w:r>
      <w:r>
        <w:rPr>
          <w:noProof/>
        </w:rPr>
        <w:t xml:space="preserve"> 2015)</w:t>
      </w:r>
      <w:r w:rsidRPr="00177AA3">
        <w:t xml:space="preserve">. </w:t>
      </w:r>
      <w:r>
        <w:t xml:space="preserve"> </w:t>
      </w:r>
      <w:r w:rsidRPr="00177AA3">
        <w:t xml:space="preserve">The two studies by Satre </w:t>
      </w:r>
      <w:r w:rsidRPr="00500EAC">
        <w:rPr>
          <w:i/>
        </w:rPr>
        <w:t xml:space="preserve">et al. </w:t>
      </w:r>
      <w:r w:rsidRPr="00177AA3">
        <w:t xml:space="preserve">are outside the scope of this review as they do not specifically investigate opioid drugs </w:t>
      </w:r>
      <w:r>
        <w:rPr>
          <w:noProof/>
        </w:rPr>
        <w:t>(Satre</w:t>
      </w:r>
      <w:r w:rsidRPr="00791A95">
        <w:rPr>
          <w:i/>
          <w:noProof/>
        </w:rPr>
        <w:t xml:space="preserve"> et al.</w:t>
      </w:r>
      <w:r>
        <w:rPr>
          <w:noProof/>
        </w:rPr>
        <w:t xml:space="preserve"> 2004, Satre</w:t>
      </w:r>
      <w:r w:rsidRPr="00791A95">
        <w:rPr>
          <w:i/>
          <w:noProof/>
        </w:rPr>
        <w:t xml:space="preserve"> et al.</w:t>
      </w:r>
      <w:r>
        <w:rPr>
          <w:noProof/>
        </w:rPr>
        <w:t xml:space="preserve"> 2007)</w:t>
      </w:r>
      <w:r w:rsidRPr="00177AA3">
        <w:t xml:space="preserve">. </w:t>
      </w:r>
      <w:r>
        <w:t xml:space="preserve"> </w:t>
      </w:r>
      <w:r w:rsidRPr="00177AA3">
        <w:t>Findings from these studies are important nonetheless, as they found associations between age, gender and treatment outcomes.</w:t>
      </w:r>
      <w:r>
        <w:t xml:space="preserve"> </w:t>
      </w:r>
      <w:r w:rsidRPr="00177AA3">
        <w:t xml:space="preserve"> An examination of 5-year alcohol and drug treatment outcomes (comparing groups aged 55–77, 40–54 and&lt;40 years) found correlations between abstinence among women, treatment retention and having no close family/friends who encouraged use.  Abstinence was greatest among women aged 55–77 years (81% for women aged 55–77, 43% for men aged 55–77, 57% for women aged 40–54, 44% for women aged&lt;40 years). </w:t>
      </w:r>
      <w:r>
        <w:t xml:space="preserve"> </w:t>
      </w:r>
      <w:r w:rsidRPr="00177AA3">
        <w:t xml:space="preserve">Women aged 55–77 years remained in treatment longer than men in the same age group (20.7 weeks versus 9.5 weeks) </w:t>
      </w:r>
      <w:r>
        <w:rPr>
          <w:noProof/>
        </w:rPr>
        <w:t>(Satre</w:t>
      </w:r>
      <w:r w:rsidRPr="00791A95">
        <w:rPr>
          <w:i/>
          <w:noProof/>
        </w:rPr>
        <w:t xml:space="preserve"> et al.</w:t>
      </w:r>
      <w:r>
        <w:rPr>
          <w:noProof/>
        </w:rPr>
        <w:t xml:space="preserve"> 2004)</w:t>
      </w:r>
      <w:r w:rsidRPr="00177AA3">
        <w:t>.</w:t>
      </w:r>
      <w:r>
        <w:t xml:space="preserve"> </w:t>
      </w:r>
      <w:r w:rsidRPr="00177AA3">
        <w:t xml:space="preserve"> The second study by Satre </w:t>
      </w:r>
      <w:r w:rsidRPr="00500EAC">
        <w:rPr>
          <w:i/>
        </w:rPr>
        <w:t xml:space="preserve">et al. </w:t>
      </w:r>
      <w:r w:rsidRPr="00177AA3">
        <w:t xml:space="preserve">examined 7-year alcohol and drug treatment outcomes in outpatients aged 55 years and older. </w:t>
      </w:r>
      <w:r>
        <w:t xml:space="preserve"> </w:t>
      </w:r>
      <w:r w:rsidRPr="00177AA3">
        <w:t xml:space="preserve">This study found (1) women were more likely to report abstinence in the 30 days prior to follow up than men (76.0% versus 54.2%), (2) a positive relationship between 30-day abstinence and length of stay in treatment, (3) abstinence at 7 years was correlated with attendance at 12-step meetings, and (4) men were more likely than women to continue drinking and to drink heavily </w:t>
      </w:r>
      <w:r>
        <w:rPr>
          <w:noProof/>
        </w:rPr>
        <w:t>(Satre</w:t>
      </w:r>
      <w:r w:rsidRPr="00791A95">
        <w:rPr>
          <w:i/>
          <w:noProof/>
        </w:rPr>
        <w:t xml:space="preserve"> et al.</w:t>
      </w:r>
      <w:r>
        <w:rPr>
          <w:noProof/>
        </w:rPr>
        <w:t xml:space="preserve"> 2007)</w:t>
      </w:r>
      <w:r w:rsidRPr="00177AA3">
        <w:t xml:space="preserve">. </w:t>
      </w:r>
      <w:r>
        <w:t xml:space="preserve"> </w:t>
      </w:r>
      <w:r w:rsidRPr="00177AA3">
        <w:t>There are a number of possible reasons why older groups may do better</w:t>
      </w:r>
      <w:r>
        <w:t>;</w:t>
      </w:r>
      <w:r w:rsidRPr="00177AA3">
        <w:t xml:space="preserve"> some examples include a lesser severity of dependence, a greater willingness to change, better adherence to treatment, longer treatment durations, more supportive social networks, and perhaps age </w:t>
      </w:r>
      <w:proofErr w:type="gramStart"/>
      <w:r w:rsidRPr="00177AA3">
        <w:t>itself</w:t>
      </w:r>
      <w:proofErr w:type="gramEnd"/>
      <w:r w:rsidRPr="00177AA3">
        <w:t xml:space="preserve"> </w:t>
      </w:r>
      <w:r>
        <w:rPr>
          <w:noProof/>
        </w:rPr>
        <w:t>(Moy</w:t>
      </w:r>
      <w:r w:rsidRPr="00791A95">
        <w:rPr>
          <w:i/>
          <w:noProof/>
        </w:rPr>
        <w:t xml:space="preserve"> et al.</w:t>
      </w:r>
      <w:r>
        <w:rPr>
          <w:noProof/>
        </w:rPr>
        <w:t xml:space="preserve"> 2011)</w:t>
      </w:r>
      <w:r w:rsidRPr="00177AA3">
        <w:t xml:space="preserve">. </w:t>
      </w:r>
      <w:r>
        <w:t xml:space="preserve"> </w:t>
      </w:r>
      <w:r w:rsidRPr="00177AA3">
        <w:t xml:space="preserve">Survival may also be a factor with healthier older adults more likely to be in treatment </w:t>
      </w:r>
      <w:r>
        <w:rPr>
          <w:noProof/>
        </w:rPr>
        <w:t>(Firoz &amp; Carlson 2004)</w:t>
      </w:r>
      <w:r w:rsidRPr="00177AA3">
        <w:t>.</w:t>
      </w:r>
      <w:r>
        <w:t xml:space="preserve"> </w:t>
      </w:r>
      <w:r w:rsidRPr="00177AA3">
        <w:t xml:space="preserve"> It is likely that differences exist for early and late onset groups.</w:t>
      </w:r>
      <w:r>
        <w:t xml:space="preserve"> </w:t>
      </w:r>
      <w:r w:rsidRPr="00177AA3">
        <w:t xml:space="preserve"> Although not widely studied, differences may exist due to economic status.</w:t>
      </w:r>
      <w:r>
        <w:t xml:space="preserve"> </w:t>
      </w:r>
      <w:r w:rsidRPr="00177AA3">
        <w:t xml:space="preserve"> Late onset group</w:t>
      </w:r>
      <w:r>
        <w:t>s</w:t>
      </w:r>
      <w:r w:rsidRPr="00177AA3">
        <w:t xml:space="preserve"> may be at a later stage of life and financial security. </w:t>
      </w:r>
      <w:r>
        <w:t xml:space="preserve"> </w:t>
      </w:r>
      <w:r w:rsidRPr="00177AA3">
        <w:t xml:space="preserve">Early exposure is consistent with poor general health </w:t>
      </w:r>
      <w:r>
        <w:rPr>
          <w:noProof/>
        </w:rPr>
        <w:t>(Lofwall</w:t>
      </w:r>
      <w:r w:rsidRPr="00791A95">
        <w:rPr>
          <w:i/>
          <w:noProof/>
        </w:rPr>
        <w:t xml:space="preserve"> et al.</w:t>
      </w:r>
      <w:r>
        <w:rPr>
          <w:noProof/>
        </w:rPr>
        <w:t xml:space="preserve"> 2005)</w:t>
      </w:r>
      <w:r w:rsidRPr="00177AA3">
        <w:t>.</w:t>
      </w:r>
    </w:p>
    <w:p w:rsidR="003B0DEE" w:rsidRPr="00177AA3" w:rsidRDefault="003B0DEE" w:rsidP="000D5D90">
      <w:pPr>
        <w:pStyle w:val="BodyText"/>
      </w:pPr>
      <w:r w:rsidRPr="00177AA3">
        <w:t>The findings of this literature review have several implications for practice and policy.  The ageing opioid population present</w:t>
      </w:r>
      <w:r>
        <w:t>s</w:t>
      </w:r>
      <w:r w:rsidRPr="00177AA3">
        <w:t xml:space="preserve"> many challenges for policymakers and healthcare providers who are typically accustomed to working with younger </w:t>
      </w:r>
      <w:r>
        <w:t xml:space="preserve">people who use </w:t>
      </w:r>
      <w:r w:rsidRPr="00177AA3">
        <w:t>drug</w:t>
      </w:r>
      <w:r>
        <w:t>s</w:t>
      </w:r>
      <w:r w:rsidRPr="00177AA3">
        <w:t xml:space="preserve">. </w:t>
      </w:r>
      <w:r>
        <w:t xml:space="preserve"> </w:t>
      </w:r>
      <w:r w:rsidRPr="00177AA3">
        <w:t xml:space="preserve">Much work is required to effectively prepare for and respond to the needs of older people, such as: developing effective prevention and treatment responses (service availability, treatment models, workforce awareness and training), developing tools to measure substance use and abuse among older adults, and providing adequate data to measure emerging problems and predicting future trends </w:t>
      </w:r>
      <w:r>
        <w:rPr>
          <w:noProof/>
        </w:rPr>
        <w:t>(Gfroerer</w:t>
      </w:r>
      <w:r w:rsidRPr="001D1655">
        <w:rPr>
          <w:i/>
          <w:noProof/>
        </w:rPr>
        <w:t xml:space="preserve"> et al.</w:t>
      </w:r>
      <w:r>
        <w:rPr>
          <w:noProof/>
        </w:rPr>
        <w:t xml:space="preserve"> 2003, Han</w:t>
      </w:r>
      <w:r w:rsidRPr="001D1655">
        <w:rPr>
          <w:i/>
          <w:noProof/>
        </w:rPr>
        <w:t xml:space="preserve"> et al.</w:t>
      </w:r>
      <w:r>
        <w:rPr>
          <w:noProof/>
        </w:rPr>
        <w:t xml:space="preserve"> 2009a, Institute of Medicine 2012)</w:t>
      </w:r>
      <w:r w:rsidRPr="00177AA3">
        <w:t xml:space="preserve">.  Treatment systems must prepare for the growing population of ageing adults. </w:t>
      </w:r>
      <w:r>
        <w:t xml:space="preserve"> </w:t>
      </w:r>
      <w:r w:rsidRPr="00177AA3">
        <w:t xml:space="preserve">Age specific services have been raised as an area for development (European Monitoring Centre for Drugs and Drug Addiction, 2010). </w:t>
      </w:r>
      <w:r>
        <w:t xml:space="preserve"> </w:t>
      </w:r>
      <w:r w:rsidRPr="00177AA3">
        <w:t xml:space="preserve">Currently, specialised treatment programmes for older </w:t>
      </w:r>
      <w:r>
        <w:t xml:space="preserve">people who use </w:t>
      </w:r>
      <w:r w:rsidRPr="00177AA3">
        <w:t xml:space="preserve">drugs are rare, and concerns have been voiced regarding the readiness of current treatment systems to meet the needs of this ageing cohort of opioid users with increasing and complex drug, health and social needs </w:t>
      </w:r>
      <w:r>
        <w:rPr>
          <w:noProof/>
        </w:rPr>
        <w:t>(Colliver</w:t>
      </w:r>
      <w:r w:rsidRPr="00791A95">
        <w:rPr>
          <w:i/>
          <w:noProof/>
        </w:rPr>
        <w:t xml:space="preserve"> et al.</w:t>
      </w:r>
      <w:r>
        <w:rPr>
          <w:noProof/>
        </w:rPr>
        <w:t xml:space="preserve"> 2006, Pirona</w:t>
      </w:r>
      <w:r w:rsidRPr="00791A95">
        <w:rPr>
          <w:i/>
          <w:noProof/>
        </w:rPr>
        <w:t xml:space="preserve"> et al.</w:t>
      </w:r>
      <w:r>
        <w:rPr>
          <w:noProof/>
        </w:rPr>
        <w:t xml:space="preserve"> 2015)</w:t>
      </w:r>
      <w:r w:rsidRPr="00177AA3">
        <w:t>.</w:t>
      </w:r>
    </w:p>
    <w:p w:rsidR="003B0DEE" w:rsidRPr="00177AA3" w:rsidRDefault="003B0DEE" w:rsidP="000D5D90">
      <w:pPr>
        <w:pStyle w:val="BodyText"/>
      </w:pPr>
      <w:r w:rsidRPr="00177AA3">
        <w:t xml:space="preserve">Collaboration and integrated approaches between healthcare and social care providers may be useful, particularly as many older people may already be in regular contact with services due to health issues, and these providers are well placed to identify substance </w:t>
      </w:r>
      <w:r>
        <w:t xml:space="preserve">use </w:t>
      </w:r>
      <w:r w:rsidRPr="00177AA3">
        <w:t xml:space="preserve">problems among this population. </w:t>
      </w:r>
      <w:r>
        <w:t xml:space="preserve"> </w:t>
      </w:r>
      <w:r w:rsidRPr="00177AA3">
        <w:t xml:space="preserve">A recent review of service responses for older, high risk drug users found few effective service model responses, limited awareness of older </w:t>
      </w:r>
      <w:r>
        <w:t xml:space="preserve">people who use </w:t>
      </w:r>
      <w:r w:rsidRPr="00177AA3">
        <w:t xml:space="preserve">drugs among service professionals and practitioners, and a need for further evidence to fully understand factors </w:t>
      </w:r>
      <w:r w:rsidRPr="00177AA3">
        <w:lastRenderedPageBreak/>
        <w:t xml:space="preserve">(demographic, social and drug use onset) related to the needs of older </w:t>
      </w:r>
      <w:r>
        <w:t xml:space="preserve">people who use </w:t>
      </w:r>
      <w:r w:rsidRPr="00177AA3">
        <w:t>drug</w:t>
      </w:r>
      <w:r>
        <w:t>s</w:t>
      </w:r>
      <w:r w:rsidRPr="00177AA3">
        <w:t xml:space="preserve"> and their engagement with services </w:t>
      </w:r>
      <w:r>
        <w:rPr>
          <w:noProof/>
        </w:rPr>
        <w:t>(Atkinson 2016)</w:t>
      </w:r>
      <w:r w:rsidRPr="00177AA3">
        <w:t xml:space="preserve">. </w:t>
      </w:r>
      <w:r>
        <w:t xml:space="preserve"> </w:t>
      </w:r>
      <w:r w:rsidRPr="00177AA3">
        <w:t xml:space="preserve">Addiction and other healthcare services would benefit from training programmes that raise awareness of this growing population. </w:t>
      </w:r>
      <w:r>
        <w:t xml:space="preserve"> </w:t>
      </w:r>
      <w:r w:rsidRPr="00177AA3">
        <w:t xml:space="preserve">Education programmes in screening, assessing and diagnosing problem substance use in ageing populations would be valuable for health and social care providers. </w:t>
      </w:r>
      <w:r>
        <w:t xml:space="preserve"> </w:t>
      </w:r>
      <w:r w:rsidRPr="00177AA3">
        <w:t xml:space="preserve">Evidence-based information is important so that policymakers, practitioners, and researchers understand the unique circumstances of the growing population of ageing opioid users. </w:t>
      </w:r>
      <w:r>
        <w:t xml:space="preserve"> </w:t>
      </w:r>
      <w:r w:rsidRPr="00177AA3">
        <w:t xml:space="preserve">Older adults are largely treated as a homogeneous group in the literature </w:t>
      </w:r>
      <w:r w:rsidR="007C1DDB" w:rsidRPr="00177AA3">
        <w:t>despite evidence</w:t>
      </w:r>
      <w:r w:rsidRPr="00177AA3">
        <w:t xml:space="preserve"> to the contrary.  Treatment outcome research is important due to the small number of existing studies including older adults.  Further research is required to investigate gender and early/late onset differences.</w:t>
      </w:r>
    </w:p>
    <w:p w:rsidR="003B0DEE" w:rsidRPr="00177AA3" w:rsidRDefault="003B0DEE" w:rsidP="000D5D90">
      <w:pPr>
        <w:pStyle w:val="BodyText"/>
      </w:pPr>
      <w:r w:rsidRPr="00177AA3">
        <w:t xml:space="preserve">The rationale for conducting this </w:t>
      </w:r>
      <w:r>
        <w:t>systematic review</w:t>
      </w:r>
      <w:r w:rsidRPr="00177AA3">
        <w:t xml:space="preserve"> was to determine what is known about </w:t>
      </w:r>
      <w:r>
        <w:t xml:space="preserve">problem </w:t>
      </w:r>
      <w:r w:rsidRPr="00177AA3">
        <w:t xml:space="preserve">opioid </w:t>
      </w:r>
      <w:r>
        <w:t>use</w:t>
      </w:r>
      <w:r w:rsidRPr="00177AA3">
        <w:t xml:space="preserve"> and treatment outcomes among ageing opioid users.  There is no consensus in the literature on what old is</w:t>
      </w:r>
      <w:r>
        <w:t>.</w:t>
      </w:r>
      <w:r w:rsidRPr="00177AA3">
        <w:t xml:space="preserve"> </w:t>
      </w:r>
      <w:r>
        <w:t xml:space="preserve"> H</w:t>
      </w:r>
      <w:r w:rsidRPr="00177AA3">
        <w:t>owever</w:t>
      </w:r>
      <w:r>
        <w:t>,</w:t>
      </w:r>
      <w:r w:rsidRPr="00177AA3">
        <w:t xml:space="preserve"> the opioid treatment population, within which subgroups exist, is ageing.  The definition of older varies by study and country.  Clear rationale for the choice of age cut-offs in defining the older population is important and should be </w:t>
      </w:r>
      <w:r>
        <w:t xml:space="preserve">evidence-informed utilising </w:t>
      </w:r>
      <w:r w:rsidRPr="00177AA3">
        <w:t>large national datasets</w:t>
      </w:r>
      <w:r>
        <w:t>.</w:t>
      </w:r>
      <w:r w:rsidRPr="00177AA3">
        <w:t xml:space="preserve">  It is important to understand the specific needs of this ageing population in order to deliver appropriate care.  Further research using large samples is required to investigate subgroups of older adults in more detail and to determine whether there are differences in their treatment outcomes.  Currently, addiction and healthcare services are unaware of the extent of the needs of older users.  They must anticipate and prepare for predicted increases in demand by this group.</w:t>
      </w:r>
    </w:p>
    <w:p w:rsidR="003B0DEE" w:rsidRPr="00F338F3" w:rsidRDefault="003B0DEE" w:rsidP="000D5D90">
      <w:pPr>
        <w:pStyle w:val="Heading2"/>
      </w:pPr>
      <w:bookmarkStart w:id="30" w:name="_Toc15331654"/>
      <w:r w:rsidRPr="00F338F3">
        <w:t>Conclusion</w:t>
      </w:r>
      <w:bookmarkEnd w:id="30"/>
    </w:p>
    <w:p w:rsidR="003B0DEE" w:rsidRDefault="003B0DEE" w:rsidP="000D5D90">
      <w:pPr>
        <w:pStyle w:val="BodyText"/>
      </w:pPr>
      <w:r w:rsidRPr="00177AA3">
        <w:t xml:space="preserve">In summary, </w:t>
      </w:r>
      <w:r>
        <w:t>C</w:t>
      </w:r>
      <w:r w:rsidRPr="00177AA3">
        <w:t xml:space="preserve">hapter </w:t>
      </w:r>
      <w:r>
        <w:t>2</w:t>
      </w:r>
      <w:r w:rsidRPr="00177AA3">
        <w:t xml:space="preserve"> describes the key international literature relating to the ageing of the </w:t>
      </w:r>
      <w:r>
        <w:t>opioid</w:t>
      </w:r>
      <w:r w:rsidRPr="00177AA3">
        <w:t xml:space="preserve"> treatment population.  Problematic drug use (of which opioids make up the largest proportion) had been incorrectly assumed to end as people age.  The literature identifies older people who use opioids as a neglected population.  Little is known about older people who use opioids or their treatment outcomes.  There is no consensus on what old is</w:t>
      </w:r>
      <w:r>
        <w:t>.</w:t>
      </w:r>
      <w:r w:rsidRPr="00177AA3">
        <w:t xml:space="preserve"> </w:t>
      </w:r>
      <w:r>
        <w:t xml:space="preserve"> H</w:t>
      </w:r>
      <w:r w:rsidRPr="00177AA3">
        <w:t>owever</w:t>
      </w:r>
      <w:r>
        <w:t>,</w:t>
      </w:r>
      <w:r w:rsidRPr="00177AA3">
        <w:t xml:space="preserve"> the opioid treatment population, within which subgroups exist, is ageing. </w:t>
      </w:r>
      <w:r>
        <w:t xml:space="preserve"> </w:t>
      </w:r>
      <w:r w:rsidRPr="00177AA3">
        <w:t xml:space="preserve">The lack of data is cited as the greatest limitation to understanding illicit substance use among older adults. </w:t>
      </w:r>
      <w:r>
        <w:t xml:space="preserve"> </w:t>
      </w:r>
      <w:r w:rsidRPr="002105EF">
        <w:t xml:space="preserve">The rationale for conducting this research was, firstly to determine what is known about </w:t>
      </w:r>
      <w:r>
        <w:t xml:space="preserve">problem </w:t>
      </w:r>
      <w:r w:rsidRPr="002105EF">
        <w:t xml:space="preserve">opioid </w:t>
      </w:r>
      <w:r>
        <w:t>use</w:t>
      </w:r>
      <w:r w:rsidRPr="002105EF">
        <w:t xml:space="preserve"> and treatment outcomes among ageing opioid users, and secondly to utilise existing treatment surveillance  data over two decades to enhance knowledge of this group.</w:t>
      </w:r>
      <w:r>
        <w:t xml:space="preserve">  </w:t>
      </w:r>
      <w:r w:rsidRPr="00177AA3">
        <w:t xml:space="preserve">The next chapter outlines the research </w:t>
      </w:r>
      <w:r>
        <w:t xml:space="preserve">methodology for </w:t>
      </w:r>
      <w:r w:rsidRPr="00177AA3">
        <w:t>this study</w:t>
      </w:r>
      <w:r>
        <w:t xml:space="preserve">. </w:t>
      </w:r>
      <w:r w:rsidRPr="00177AA3">
        <w:t xml:space="preserve"> </w:t>
      </w:r>
    </w:p>
    <w:p w:rsidR="003B0DEE" w:rsidRDefault="003B0DEE" w:rsidP="000D5D90">
      <w:pPr>
        <w:jc w:val="left"/>
        <w:sectPr w:rsidR="003B0DEE" w:rsidSect="000D5D90">
          <w:footerReference w:type="default" r:id="rId12"/>
          <w:pgSz w:w="11907" w:h="16840" w:code="9"/>
          <w:pgMar w:top="1134" w:right="1134" w:bottom="1134" w:left="1985" w:header="709" w:footer="709" w:gutter="0"/>
          <w:pgNumType w:start="1"/>
          <w:cols w:space="708"/>
          <w:docGrid w:linePitch="360"/>
        </w:sectPr>
      </w:pPr>
    </w:p>
    <w:p w:rsidR="003B0DEE" w:rsidRPr="000B6C21" w:rsidRDefault="003B0DEE" w:rsidP="000D5D90">
      <w:pPr>
        <w:pStyle w:val="Caption"/>
        <w:keepNext/>
        <w:rPr>
          <w:rFonts w:cs="Arial"/>
          <w:b w:val="0"/>
        </w:rPr>
      </w:pPr>
      <w:bookmarkStart w:id="31" w:name="_Toc15331990"/>
      <w:r>
        <w:lastRenderedPageBreak/>
        <w:t xml:space="preserve">Table </w:t>
      </w:r>
      <w:fldSimple w:instr=" STYLEREF 1 \s ">
        <w:r>
          <w:rPr>
            <w:noProof/>
          </w:rPr>
          <w:t>2</w:t>
        </w:r>
      </w:fldSimple>
      <w:r>
        <w:noBreakHyphen/>
      </w:r>
      <w:fldSimple w:instr=" SEQ Table \* ARABIC \s 1 ">
        <w:r>
          <w:rPr>
            <w:noProof/>
          </w:rPr>
          <w:t>1</w:t>
        </w:r>
      </w:fldSimple>
      <w:r>
        <w:t xml:space="preserve"> </w:t>
      </w:r>
      <w:r w:rsidRPr="0054601D">
        <w:rPr>
          <w:rFonts w:cs="Arial"/>
          <w:b w:val="0"/>
        </w:rPr>
        <w:t xml:space="preserve">Key </w:t>
      </w:r>
      <w:r w:rsidRPr="00D04D3F">
        <w:rPr>
          <w:rFonts w:cs="Arial"/>
          <w:b w:val="0"/>
        </w:rPr>
        <w:t>Opioid treatment studies a</w:t>
      </w:r>
      <w:bookmarkStart w:id="32" w:name="_GoBack"/>
      <w:bookmarkEnd w:id="32"/>
      <w:r w:rsidRPr="00D04D3F">
        <w:rPr>
          <w:rFonts w:cs="Arial"/>
          <w:b w:val="0"/>
        </w:rPr>
        <w:t>mong older people</w:t>
      </w:r>
      <w:bookmarkEnd w:id="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7"/>
        <w:gridCol w:w="1460"/>
        <w:gridCol w:w="1748"/>
        <w:gridCol w:w="1934"/>
        <w:gridCol w:w="1319"/>
        <w:gridCol w:w="2260"/>
        <w:gridCol w:w="2189"/>
        <w:gridCol w:w="2561"/>
      </w:tblGrid>
      <w:tr w:rsidR="003B0DEE" w:rsidRPr="008A0D01" w:rsidTr="000D5D90">
        <w:trPr>
          <w:trHeight w:val="1555"/>
          <w:tblHeader/>
        </w:trPr>
        <w:tc>
          <w:tcPr>
            <w:tcW w:w="445"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sz w:val="18"/>
                <w:szCs w:val="18"/>
                <w:lang w:eastAsia="en-US"/>
              </w:rPr>
              <w:t xml:space="preserve">Study </w:t>
            </w:r>
          </w:p>
          <w:p w:rsidR="003B0DEE" w:rsidRPr="008A0D01" w:rsidRDefault="003B0DEE" w:rsidP="000D5D90">
            <w:pPr>
              <w:tabs>
                <w:tab w:val="left" w:pos="8325"/>
              </w:tabs>
              <w:jc w:val="left"/>
              <w:rPr>
                <w:rFonts w:ascii="Arial" w:hAnsi="Arial" w:cs="Arial"/>
                <w:b/>
                <w:sz w:val="18"/>
                <w:szCs w:val="18"/>
                <w:lang w:eastAsia="en-US"/>
              </w:rPr>
            </w:pPr>
          </w:p>
        </w:tc>
        <w:tc>
          <w:tcPr>
            <w:tcW w:w="494"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bCs/>
                <w:sz w:val="18"/>
                <w:szCs w:val="18"/>
                <w:lang w:eastAsia="en-US"/>
              </w:rPr>
              <w:t>Study period and location</w:t>
            </w:r>
          </w:p>
        </w:tc>
        <w:tc>
          <w:tcPr>
            <w:tcW w:w="591"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bCs/>
                <w:sz w:val="18"/>
                <w:szCs w:val="18"/>
                <w:lang w:eastAsia="en-US"/>
              </w:rPr>
              <w:t>Design/ Method</w:t>
            </w:r>
          </w:p>
        </w:tc>
        <w:tc>
          <w:tcPr>
            <w:tcW w:w="654"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bCs/>
                <w:sz w:val="18"/>
                <w:szCs w:val="18"/>
                <w:lang w:eastAsia="en-US"/>
              </w:rPr>
              <w:t>Population and sample size</w:t>
            </w:r>
          </w:p>
        </w:tc>
        <w:tc>
          <w:tcPr>
            <w:tcW w:w="446" w:type="pct"/>
            <w:shd w:val="clear" w:color="auto" w:fill="auto"/>
          </w:tcPr>
          <w:p w:rsidR="003B0DEE" w:rsidRPr="008A0D01" w:rsidRDefault="003B0DEE" w:rsidP="000D5D90">
            <w:pPr>
              <w:tabs>
                <w:tab w:val="left" w:pos="8325"/>
              </w:tabs>
              <w:jc w:val="left"/>
              <w:rPr>
                <w:rFonts w:ascii="Arial" w:hAnsi="Arial" w:cs="Arial"/>
                <w:b/>
                <w:bCs/>
                <w:sz w:val="18"/>
                <w:szCs w:val="18"/>
                <w:lang w:eastAsia="en-US"/>
              </w:rPr>
            </w:pPr>
            <w:r w:rsidRPr="008A0D01">
              <w:rPr>
                <w:rFonts w:ascii="Arial" w:hAnsi="Arial" w:cs="Arial"/>
                <w:b/>
                <w:bCs/>
                <w:sz w:val="18"/>
                <w:szCs w:val="18"/>
                <w:lang w:eastAsia="en-US"/>
              </w:rPr>
              <w:t xml:space="preserve">Clear logic for age cut-off to define older </w:t>
            </w:r>
          </w:p>
        </w:tc>
        <w:tc>
          <w:tcPr>
            <w:tcW w:w="764"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bCs/>
                <w:sz w:val="18"/>
                <w:szCs w:val="18"/>
                <w:lang w:eastAsia="en-US"/>
              </w:rPr>
              <w:t>Major findings relating to ageing</w:t>
            </w:r>
          </w:p>
        </w:tc>
        <w:tc>
          <w:tcPr>
            <w:tcW w:w="740" w:type="pct"/>
            <w:shd w:val="clear" w:color="auto" w:fill="auto"/>
          </w:tcPr>
          <w:p w:rsidR="003B0DEE" w:rsidRPr="008A0D01" w:rsidRDefault="003B0DEE" w:rsidP="000D5D90">
            <w:pPr>
              <w:tabs>
                <w:tab w:val="left" w:pos="8325"/>
              </w:tabs>
              <w:jc w:val="left"/>
              <w:rPr>
                <w:rFonts w:ascii="Arial" w:hAnsi="Arial" w:cs="Arial"/>
                <w:b/>
                <w:sz w:val="18"/>
                <w:szCs w:val="18"/>
                <w:lang w:eastAsia="en-US"/>
              </w:rPr>
            </w:pPr>
            <w:r w:rsidRPr="008A0D01">
              <w:rPr>
                <w:rFonts w:ascii="Arial" w:hAnsi="Arial" w:cs="Arial"/>
                <w:b/>
                <w:bCs/>
                <w:sz w:val="18"/>
                <w:szCs w:val="18"/>
                <w:lang w:eastAsia="en-US"/>
              </w:rPr>
              <w:t>Major findings relating to opioids</w:t>
            </w:r>
          </w:p>
        </w:tc>
        <w:tc>
          <w:tcPr>
            <w:tcW w:w="866" w:type="pct"/>
            <w:shd w:val="clear" w:color="auto" w:fill="auto"/>
          </w:tcPr>
          <w:p w:rsidR="003B0DEE" w:rsidRPr="008A0D01" w:rsidRDefault="003B0DEE" w:rsidP="000D5D90">
            <w:pPr>
              <w:autoSpaceDE w:val="0"/>
              <w:autoSpaceDN w:val="0"/>
              <w:adjustRightInd w:val="0"/>
              <w:spacing w:after="51"/>
              <w:jc w:val="left"/>
              <w:rPr>
                <w:rFonts w:ascii="Arial" w:hAnsi="Arial" w:cs="Arial"/>
                <w:b/>
                <w:bCs/>
                <w:sz w:val="18"/>
                <w:szCs w:val="18"/>
                <w:lang w:eastAsia="en-US"/>
              </w:rPr>
            </w:pPr>
            <w:r w:rsidRPr="008A0D01">
              <w:rPr>
                <w:rFonts w:ascii="Arial" w:hAnsi="Arial" w:cs="Arial"/>
                <w:b/>
                <w:bCs/>
                <w:sz w:val="18"/>
                <w:szCs w:val="18"/>
                <w:lang w:eastAsia="en-US"/>
              </w:rPr>
              <w:t xml:space="preserve">Recommendations for opioid treatment and/or outcomes in older adults </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Bhatia </w:t>
            </w:r>
            <w:r w:rsidRPr="00500EAC">
              <w:rPr>
                <w:rFonts w:ascii="Arial" w:hAnsi="Arial" w:cs="Arial"/>
                <w:i/>
                <w:sz w:val="18"/>
                <w:szCs w:val="18"/>
                <w:lang w:eastAsia="en-US"/>
              </w:rPr>
              <w:t xml:space="preserve">et al. </w:t>
            </w:r>
            <w:r w:rsidRPr="008A0D01">
              <w:rPr>
                <w:rFonts w:ascii="Arial" w:hAnsi="Arial" w:cs="Arial"/>
                <w:sz w:val="18"/>
                <w:szCs w:val="18"/>
                <w:lang w:eastAsia="en-US"/>
              </w:rPr>
              <w:t>2015</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noProof/>
                <w:color w:val="FFFFFF"/>
                <w:sz w:val="20"/>
                <w:szCs w:val="18"/>
                <w:lang w:eastAsia="en-US"/>
              </w:rPr>
              <w:t>(Bhatia</w:t>
            </w:r>
            <w:r w:rsidRPr="008A0D01">
              <w:rPr>
                <w:rFonts w:ascii="Arial" w:hAnsi="Arial" w:cs="Arial"/>
                <w:i/>
                <w:noProof/>
                <w:color w:val="FFFFFF"/>
                <w:sz w:val="20"/>
                <w:szCs w:val="18"/>
                <w:lang w:eastAsia="en-US"/>
              </w:rPr>
              <w:t xml:space="preserve"> et al.</w:t>
            </w:r>
            <w:r w:rsidRPr="008A0D01">
              <w:rPr>
                <w:rFonts w:ascii="Arial" w:hAnsi="Arial" w:cs="Arial"/>
                <w:noProof/>
                <w:color w:val="FFFFFF"/>
                <w:sz w:val="20"/>
                <w:szCs w:val="18"/>
                <w:lang w:eastAsia="en-US"/>
              </w:rPr>
              <w:t xml:space="preserve"> 2015)</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Publications from January 2007</w:t>
            </w:r>
            <w:r>
              <w:rPr>
                <w:rFonts w:ascii="Arial" w:hAnsi="Arial" w:cs="Arial"/>
                <w:color w:val="000000"/>
                <w:sz w:val="18"/>
                <w:szCs w:val="18"/>
                <w:lang w:eastAsia="en-US"/>
              </w:rPr>
              <w:t>–</w:t>
            </w:r>
            <w:r w:rsidRPr="008A0D01">
              <w:rPr>
                <w:rFonts w:ascii="Arial" w:hAnsi="Arial" w:cs="Arial"/>
                <w:sz w:val="18"/>
                <w:szCs w:val="18"/>
                <w:lang w:eastAsia="en-US"/>
              </w:rPr>
              <w:t>October 2014</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Not applicable</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Systematic review of the treatment of substance use disorders in the elderly.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Secondary analysis</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Adults over 50 years of age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Any substance disorder receiving an intervention</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Not applicable</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- 13 relevant studies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Encouraging treatment responses among older adults</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No studies found on treatments for illicit drug use amongst older adults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Dearth of evidence available for treating older adults with substance use</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The gap in the literature on treatments for illicit drug use.  A need for epidemiological research, given the growing prevalence rate</w:t>
            </w:r>
            <w:r>
              <w:rPr>
                <w:rFonts w:ascii="Arial" w:hAnsi="Arial" w:cs="Arial"/>
                <w:sz w:val="18"/>
                <w:szCs w:val="18"/>
                <w:lang w:eastAsia="en-US"/>
              </w:rPr>
              <w:t>s</w:t>
            </w:r>
            <w:r w:rsidRPr="008A0D01">
              <w:rPr>
                <w:rFonts w:ascii="Arial" w:hAnsi="Arial" w:cs="Arial"/>
                <w:sz w:val="18"/>
                <w:szCs w:val="18"/>
                <w:lang w:eastAsia="en-US"/>
              </w:rPr>
              <w:t xml:space="preserve"> of illicit drug use among older adults.  A need to further develop health services</w:t>
            </w:r>
          </w:p>
        </w:tc>
      </w:tr>
      <w:tr w:rsidR="003B0DEE" w:rsidRPr="008A0D01" w:rsidTr="000D5D90">
        <w:trPr>
          <w:trHeight w:val="552"/>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Han </w:t>
            </w:r>
            <w:r w:rsidRPr="00500EAC">
              <w:rPr>
                <w:rFonts w:ascii="Arial" w:hAnsi="Arial" w:cs="Arial"/>
                <w:i/>
                <w:sz w:val="18"/>
                <w:szCs w:val="18"/>
                <w:lang w:eastAsia="en-US"/>
              </w:rPr>
              <w:t xml:space="preserve">et al. </w:t>
            </w:r>
            <w:r w:rsidRPr="008A0D01">
              <w:rPr>
                <w:rFonts w:ascii="Arial" w:hAnsi="Arial" w:cs="Arial"/>
                <w:sz w:val="18"/>
                <w:szCs w:val="18"/>
                <w:lang w:eastAsia="en-US"/>
              </w:rPr>
              <w:t>2015</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noProof/>
                <w:color w:val="FFFFFF"/>
                <w:sz w:val="20"/>
                <w:szCs w:val="18"/>
                <w:lang w:eastAsia="en-US"/>
              </w:rPr>
              <w:t>(Han</w:t>
            </w:r>
            <w:r w:rsidRPr="008A0D01">
              <w:rPr>
                <w:rFonts w:ascii="Arial" w:hAnsi="Arial" w:cs="Arial"/>
                <w:i/>
                <w:noProof/>
                <w:color w:val="FFFFFF"/>
                <w:sz w:val="20"/>
                <w:szCs w:val="18"/>
                <w:lang w:eastAsia="en-US"/>
              </w:rPr>
              <w:t xml:space="preserve"> et al.</w:t>
            </w:r>
            <w:r w:rsidRPr="008A0D01">
              <w:rPr>
                <w:rFonts w:ascii="Arial" w:hAnsi="Arial" w:cs="Arial"/>
                <w:noProof/>
                <w:color w:val="FFFFFF"/>
                <w:sz w:val="20"/>
                <w:szCs w:val="18"/>
                <w:lang w:eastAsia="en-US"/>
              </w:rPr>
              <w:t xml:space="preserve"> 2015)</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1996</w:t>
            </w:r>
            <w:r>
              <w:rPr>
                <w:rFonts w:ascii="Arial" w:hAnsi="Arial" w:cs="Arial"/>
                <w:color w:val="000000"/>
                <w:sz w:val="18"/>
                <w:szCs w:val="18"/>
                <w:lang w:eastAsia="en-US"/>
              </w:rPr>
              <w:t>–</w:t>
            </w:r>
            <w:r w:rsidRPr="008A0D01">
              <w:rPr>
                <w:rFonts w:ascii="Arial" w:hAnsi="Arial" w:cs="Arial"/>
                <w:sz w:val="18"/>
                <w:szCs w:val="18"/>
                <w:lang w:eastAsia="en-US"/>
              </w:rPr>
              <w:t>2012</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All New York State licensed drug treatment program</w:t>
            </w:r>
            <w:r>
              <w:rPr>
                <w:rFonts w:ascii="Arial" w:hAnsi="Arial" w:cs="Arial"/>
                <w:sz w:val="18"/>
                <w:szCs w:val="18"/>
                <w:lang w:eastAsia="en-US"/>
              </w:rPr>
              <w:t>mes</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Review of </w:t>
            </w:r>
            <w:proofErr w:type="gramStart"/>
            <w:r w:rsidRPr="008A0D01">
              <w:rPr>
                <w:rFonts w:ascii="Arial" w:hAnsi="Arial" w:cs="Arial"/>
                <w:sz w:val="18"/>
                <w:szCs w:val="18"/>
                <w:lang w:eastAsia="en-US"/>
              </w:rPr>
              <w:t>administrative  data</w:t>
            </w:r>
            <w:proofErr w:type="gramEnd"/>
            <w:r w:rsidRPr="008A0D01">
              <w:rPr>
                <w:rFonts w:ascii="Arial" w:hAnsi="Arial" w:cs="Arial"/>
                <w:sz w:val="18"/>
                <w:szCs w:val="18"/>
                <w:lang w:eastAsia="en-US"/>
              </w:rPr>
              <w:t xml:space="preserve"> from the Client Data System of the New York State Department of Health.</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Secondary analysis (pre-existing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Adults in opioid treatment program</w:t>
            </w:r>
            <w:r>
              <w:rPr>
                <w:rFonts w:ascii="Arial" w:hAnsi="Arial" w:cs="Arial"/>
                <w:sz w:val="18"/>
                <w:szCs w:val="18"/>
                <w:lang w:eastAsia="en-US"/>
              </w:rPr>
              <w:t>me</w:t>
            </w:r>
            <w:r w:rsidRPr="008A0D01">
              <w:rPr>
                <w:rFonts w:ascii="Arial" w:hAnsi="Arial" w:cs="Arial"/>
                <w:sz w:val="18"/>
                <w:szCs w:val="18"/>
                <w:lang w:eastAsia="en-US"/>
              </w:rPr>
              <w:t>s, defined as program</w:t>
            </w:r>
            <w:r>
              <w:rPr>
                <w:rFonts w:ascii="Arial" w:hAnsi="Arial" w:cs="Arial"/>
                <w:sz w:val="18"/>
                <w:szCs w:val="18"/>
                <w:lang w:eastAsia="en-US"/>
              </w:rPr>
              <w:t>mes</w:t>
            </w:r>
            <w:r w:rsidRPr="008A0D01">
              <w:rPr>
                <w:rFonts w:ascii="Arial" w:hAnsi="Arial" w:cs="Arial"/>
                <w:sz w:val="18"/>
                <w:szCs w:val="18"/>
                <w:lang w:eastAsia="en-US"/>
              </w:rPr>
              <w:t xml:space="preserve"> providing </w:t>
            </w:r>
            <w:r w:rsidRPr="002049AA">
              <w:rPr>
                <w:rFonts w:ascii="Arial" w:hAnsi="Arial" w:cs="Arial"/>
                <w:sz w:val="18"/>
                <w:szCs w:val="18"/>
                <w:lang w:eastAsia="en-US"/>
              </w:rPr>
              <w:t>methadone maintenance treatment</w:t>
            </w:r>
            <w:r w:rsidRPr="008A0D01">
              <w:rPr>
                <w:rFonts w:ascii="Arial" w:hAnsi="Arial" w:cs="Arial"/>
                <w:sz w:val="18"/>
                <w:szCs w:val="18"/>
                <w:lang w:eastAsia="en-US"/>
              </w:rPr>
              <w:t>, buprenorphine treatment, and/or psychosocial treatment for opioid dependence</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 pronounced age trend observed 1996</w:t>
            </w:r>
            <w:r>
              <w:rPr>
                <w:rFonts w:ascii="Arial" w:hAnsi="Arial" w:cs="Arial"/>
                <w:color w:val="000000"/>
                <w:sz w:val="18"/>
                <w:szCs w:val="18"/>
                <w:lang w:eastAsia="en-US"/>
              </w:rPr>
              <w:t>–</w:t>
            </w:r>
            <w:r w:rsidRPr="008A0D01">
              <w:rPr>
                <w:rFonts w:ascii="Arial" w:hAnsi="Arial" w:cs="Arial"/>
                <w:sz w:val="18"/>
                <w:szCs w:val="18"/>
                <w:lang w:eastAsia="en-US"/>
              </w:rPr>
              <w:t>2012, with adults aged 50 and older becoming the majority.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The proportion of females increased among older adults (aged 50+), while the proportion of females among the younger group (&lt;50 years) decreased</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There were notable shifts in race and ethnicity.</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Heroin was the predominant primary substance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Small increases reported use of alcohol and marijuana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The majority reported use of a secondary drug (mainly cocaine).  </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More research is needed to fully understand the specific characteristics and needs of older adults with opioid dependence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New models of care are needed to address increasing levels of morbidity as this population ages </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noProof/>
                <w:sz w:val="18"/>
                <w:szCs w:val="18"/>
                <w:lang w:eastAsia="en-US"/>
              </w:rPr>
              <w:t xml:space="preserve">Grella and </w:t>
            </w:r>
            <w:r w:rsidRPr="008A0D01">
              <w:rPr>
                <w:rFonts w:ascii="Arial" w:hAnsi="Arial" w:cs="Arial"/>
                <w:noProof/>
                <w:sz w:val="18"/>
                <w:szCs w:val="18"/>
                <w:lang w:eastAsia="en-US"/>
              </w:rPr>
              <w:lastRenderedPageBreak/>
              <w:t>Lovinger 2011</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lastRenderedPageBreak/>
              <w:t>Period:</w:t>
            </w:r>
            <w:r w:rsidRPr="008A0D01">
              <w:rPr>
                <w:rFonts w:ascii="Arial" w:hAnsi="Arial" w:cs="Arial"/>
                <w:sz w:val="18"/>
                <w:szCs w:val="18"/>
                <w:lang w:eastAsia="en-US"/>
              </w:rPr>
              <w:t>1978</w:t>
            </w:r>
            <w:r>
              <w:rPr>
                <w:rFonts w:ascii="Arial" w:hAnsi="Arial" w:cs="Arial"/>
                <w:color w:val="000000"/>
                <w:sz w:val="18"/>
                <w:szCs w:val="18"/>
                <w:lang w:eastAsia="en-US"/>
              </w:rPr>
              <w:t>–</w:t>
            </w:r>
            <w:r w:rsidRPr="008A0D01">
              <w:rPr>
                <w:rFonts w:ascii="Arial" w:hAnsi="Arial" w:cs="Arial"/>
                <w:sz w:val="18"/>
                <w:szCs w:val="18"/>
                <w:lang w:eastAsia="en-US"/>
              </w:rPr>
              <w:lastRenderedPageBreak/>
              <w:t>2009</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Central and Southern California, United States</w:t>
            </w:r>
          </w:p>
        </w:tc>
        <w:tc>
          <w:tcPr>
            <w:tcW w:w="591"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lastRenderedPageBreak/>
              <w:t>Longitudinal study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primary l</w:t>
            </w:r>
            <w:r w:rsidRPr="008A0D01">
              <w:rPr>
                <w:rFonts w:ascii="Arial" w:hAnsi="Arial" w:cs="Arial"/>
                <w:bCs/>
                <w:sz w:val="18"/>
                <w:szCs w:val="18"/>
                <w:lang w:eastAsia="en-US"/>
              </w:rPr>
              <w:t xml:space="preserve">ongitudinal </w:t>
            </w:r>
            <w:r w:rsidRPr="008A0D01">
              <w:rPr>
                <w:rFonts w:ascii="Arial" w:hAnsi="Arial" w:cs="Arial"/>
                <w:sz w:val="18"/>
                <w:szCs w:val="18"/>
                <w:lang w:eastAsia="en-US"/>
              </w:rPr>
              <w:t>research (interviews and pre-existing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 </w:t>
            </w:r>
            <w:r>
              <w:rPr>
                <w:rFonts w:ascii="Arial" w:hAnsi="Arial" w:cs="Arial"/>
                <w:sz w:val="18"/>
                <w:szCs w:val="18"/>
                <w:lang w:eastAsia="en-US"/>
              </w:rPr>
              <w:t>Follow-up</w:t>
            </w:r>
            <w:r w:rsidRPr="008A0D01">
              <w:rPr>
                <w:rFonts w:ascii="Arial" w:hAnsi="Arial" w:cs="Arial"/>
                <w:sz w:val="18"/>
                <w:szCs w:val="18"/>
                <w:lang w:eastAsia="en-US"/>
              </w:rPr>
              <w:t xml:space="preserve"> of 914 </w:t>
            </w:r>
            <w:r w:rsidRPr="008A0D01">
              <w:rPr>
                <w:rFonts w:ascii="Arial" w:hAnsi="Arial" w:cs="Arial"/>
                <w:sz w:val="18"/>
                <w:szCs w:val="18"/>
                <w:lang w:eastAsia="en-US"/>
              </w:rPr>
              <w:lastRenderedPageBreak/>
              <w:t>patients who originally participated in studies of publically funded methadone maintenance programmes between 1978</w:t>
            </w:r>
            <w:r>
              <w:rPr>
                <w:rFonts w:ascii="Arial" w:hAnsi="Arial" w:cs="Arial"/>
                <w:color w:val="000000"/>
                <w:sz w:val="18"/>
                <w:szCs w:val="18"/>
                <w:lang w:eastAsia="en-US"/>
              </w:rPr>
              <w:t>–</w:t>
            </w:r>
            <w:r w:rsidRPr="008A0D01">
              <w:rPr>
                <w:rFonts w:ascii="Arial" w:hAnsi="Arial" w:cs="Arial"/>
                <w:sz w:val="18"/>
                <w:szCs w:val="18"/>
                <w:lang w:eastAsia="en-US"/>
              </w:rPr>
              <w:t>1981</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Followed up 2005</w:t>
            </w:r>
            <w:r>
              <w:rPr>
                <w:rFonts w:ascii="Arial" w:hAnsi="Arial" w:cs="Arial"/>
                <w:color w:val="000000"/>
                <w:sz w:val="18"/>
                <w:szCs w:val="18"/>
                <w:lang w:eastAsia="en-US"/>
              </w:rPr>
              <w:t>–</w:t>
            </w:r>
            <w:r w:rsidRPr="008A0D01">
              <w:rPr>
                <w:rFonts w:ascii="Arial" w:hAnsi="Arial" w:cs="Arial"/>
                <w:sz w:val="18"/>
                <w:szCs w:val="18"/>
                <w:lang w:eastAsia="en-US"/>
              </w:rPr>
              <w:t>2009</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Not </w:t>
            </w:r>
            <w:r w:rsidRPr="008A0D01">
              <w:rPr>
                <w:rFonts w:ascii="Arial" w:hAnsi="Arial" w:cs="Arial"/>
                <w:sz w:val="18"/>
                <w:szCs w:val="18"/>
                <w:lang w:eastAsia="en-US"/>
              </w:rPr>
              <w:lastRenderedPageBreak/>
              <w:t>applicable</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- 4 heroin trajectory </w:t>
            </w:r>
            <w:r w:rsidRPr="008A0D01">
              <w:rPr>
                <w:rFonts w:ascii="Arial" w:hAnsi="Arial" w:cs="Arial"/>
                <w:sz w:val="18"/>
                <w:szCs w:val="18"/>
                <w:lang w:eastAsia="en-US"/>
              </w:rPr>
              <w:lastRenderedPageBreak/>
              <w:t>groups identified</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Gender differences, with women  more likely to enter remission quickly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Rapid decreases in heroin use is associated with increased use of other drugs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Gradual decreases in heroin use was associated with a gradual decrease in the use of other drugs</w:t>
            </w:r>
          </w:p>
          <w:p w:rsidR="003B0DEE"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Problems in school, age first arrested and younger onset of heroin use are associated with more persistent heroin use</w:t>
            </w:r>
          </w:p>
          <w:p w:rsidR="003B0DEE" w:rsidRPr="008A0D01" w:rsidRDefault="003B0DEE" w:rsidP="000D5D90">
            <w:pPr>
              <w:tabs>
                <w:tab w:val="left" w:pos="8325"/>
              </w:tabs>
              <w:jc w:val="left"/>
              <w:rPr>
                <w:rFonts w:ascii="Arial" w:hAnsi="Arial" w:cs="Arial"/>
                <w:sz w:val="18"/>
                <w:szCs w:val="18"/>
                <w:lang w:eastAsia="en-US"/>
              </w:rPr>
            </w:pP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w:t>
            </w:r>
            <w:r>
              <w:rPr>
                <w:rFonts w:ascii="Arial" w:hAnsi="Arial" w:cs="Arial"/>
                <w:sz w:val="18"/>
                <w:szCs w:val="18"/>
                <w:lang w:eastAsia="en-US"/>
              </w:rPr>
              <w:t xml:space="preserve"> </w:t>
            </w:r>
            <w:r w:rsidRPr="008A0D01">
              <w:rPr>
                <w:rFonts w:ascii="Arial" w:hAnsi="Arial" w:cs="Arial"/>
                <w:sz w:val="18"/>
                <w:szCs w:val="18"/>
                <w:lang w:eastAsia="en-US"/>
              </w:rPr>
              <w:t xml:space="preserve">About two-fifths ceased </w:t>
            </w:r>
            <w:r w:rsidRPr="008A0D01">
              <w:rPr>
                <w:rFonts w:ascii="Arial" w:hAnsi="Arial" w:cs="Arial"/>
                <w:sz w:val="18"/>
                <w:szCs w:val="18"/>
                <w:lang w:eastAsia="en-US"/>
              </w:rPr>
              <w:lastRenderedPageBreak/>
              <w:t xml:space="preserve">heroin use within 10-20 years of initiation.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w:t>
            </w:r>
            <w:r>
              <w:rPr>
                <w:rFonts w:ascii="Arial" w:hAnsi="Arial" w:cs="Arial"/>
                <w:sz w:val="18"/>
                <w:szCs w:val="18"/>
                <w:lang w:eastAsia="en-US"/>
              </w:rPr>
              <w:t xml:space="preserve"> </w:t>
            </w:r>
            <w:r w:rsidRPr="008A0D01">
              <w:rPr>
                <w:rFonts w:ascii="Arial" w:hAnsi="Arial" w:cs="Arial"/>
                <w:sz w:val="18"/>
                <w:szCs w:val="18"/>
                <w:lang w:eastAsia="en-US"/>
              </w:rPr>
              <w:t>More than half used consistently over the 30 years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High rates of persistent drug use over 30 years follow-up suggest that ageing heroin users are in need of treatment</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noProof/>
                <w:sz w:val="18"/>
                <w:szCs w:val="18"/>
                <w:lang w:eastAsia="en-US"/>
              </w:rPr>
              <w:lastRenderedPageBreak/>
              <w:t xml:space="preserve">Moy </w:t>
            </w:r>
            <w:r w:rsidRPr="00500EAC">
              <w:rPr>
                <w:rFonts w:ascii="Arial" w:hAnsi="Arial" w:cs="Arial"/>
                <w:i/>
                <w:noProof/>
                <w:sz w:val="18"/>
                <w:szCs w:val="18"/>
                <w:lang w:eastAsia="en-US"/>
              </w:rPr>
              <w:t xml:space="preserve">et al. </w:t>
            </w:r>
            <w:r w:rsidRPr="008A0D01">
              <w:rPr>
                <w:rFonts w:ascii="Arial" w:hAnsi="Arial" w:cs="Arial"/>
                <w:noProof/>
                <w:sz w:val="18"/>
                <w:szCs w:val="18"/>
                <w:lang w:eastAsia="en-US"/>
              </w:rPr>
              <w:t>2011</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Publications up to January 2007</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Not </w:t>
            </w:r>
            <w:r w:rsidRPr="008A0D01">
              <w:rPr>
                <w:rFonts w:ascii="Arial" w:hAnsi="Arial" w:cs="Arial"/>
                <w:sz w:val="18"/>
                <w:szCs w:val="18"/>
                <w:lang w:eastAsia="en-US"/>
              </w:rPr>
              <w:lastRenderedPageBreak/>
              <w:t>applicable</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Systematic review of substance treatment for older substance misusers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Secondary analysis (systematic and narrative)</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Adults over 50 years of age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Any substance disorder receiving an intervention</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w:t>
            </w:r>
            <w:r>
              <w:rPr>
                <w:rFonts w:ascii="Arial" w:hAnsi="Arial" w:cs="Arial"/>
                <w:sz w:val="18"/>
                <w:szCs w:val="18"/>
                <w:lang w:eastAsia="en-US"/>
              </w:rPr>
              <w:t xml:space="preserve"> </w:t>
            </w:r>
            <w:r w:rsidRPr="008A0D01">
              <w:rPr>
                <w:rFonts w:ascii="Arial" w:hAnsi="Arial" w:cs="Arial"/>
                <w:sz w:val="18"/>
                <w:szCs w:val="18"/>
                <w:lang w:eastAsia="en-US"/>
              </w:rPr>
              <w:t>13 relevant studies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Little research conducted into the treatment of substance dependence in older </w:t>
            </w:r>
            <w:r w:rsidRPr="008A0D01">
              <w:rPr>
                <w:rFonts w:ascii="Arial" w:hAnsi="Arial" w:cs="Arial"/>
                <w:sz w:val="18"/>
                <w:szCs w:val="18"/>
                <w:lang w:eastAsia="en-US"/>
              </w:rPr>
              <w:lastRenderedPageBreak/>
              <w:t>patients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Evidence that older people do not achieve worse outcomes than younger counterparts</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-1 study on opiate dependence (see </w:t>
            </w:r>
            <w:proofErr w:type="spellStart"/>
            <w:r w:rsidRPr="008A0D01">
              <w:rPr>
                <w:rFonts w:ascii="Arial" w:hAnsi="Arial" w:cs="Arial"/>
                <w:sz w:val="18"/>
                <w:szCs w:val="18"/>
                <w:lang w:eastAsia="en-US"/>
              </w:rPr>
              <w:t>Firoz</w:t>
            </w:r>
            <w:proofErr w:type="spellEnd"/>
            <w:r w:rsidRPr="008A0D01">
              <w:rPr>
                <w:rFonts w:ascii="Arial" w:hAnsi="Arial" w:cs="Arial"/>
                <w:sz w:val="18"/>
                <w:szCs w:val="18"/>
                <w:lang w:eastAsia="en-US"/>
              </w:rPr>
              <w:t xml:space="preserve"> &amp; Carlson 2004</w:t>
            </w:r>
            <w:r>
              <w:rPr>
                <w:rFonts w:ascii="Arial" w:hAnsi="Arial" w:cs="Arial"/>
                <w:sz w:val="18"/>
                <w:szCs w:val="18"/>
                <w:lang w:eastAsia="en-US"/>
              </w:rPr>
              <w:t>)</w:t>
            </w:r>
          </w:p>
          <w:p w:rsidR="003B0DEE" w:rsidRPr="008A0D01" w:rsidRDefault="003B0DEE" w:rsidP="000D5D90">
            <w:pPr>
              <w:tabs>
                <w:tab w:val="left" w:pos="8325"/>
              </w:tabs>
              <w:jc w:val="left"/>
              <w:rPr>
                <w:rFonts w:ascii="Arial" w:hAnsi="Arial" w:cs="Arial"/>
                <w:sz w:val="18"/>
                <w:szCs w:val="18"/>
                <w:lang w:eastAsia="en-US"/>
              </w:rPr>
            </w:pP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Majority of research originates in United States; research in different settings and countries would be valuable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 Increased awareness of prevalence and importance of substance abuse in older people among the medical profession and general population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Consider designated treatment programmes to include older people</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noProof/>
                <w:sz w:val="18"/>
                <w:szCs w:val="18"/>
                <w:lang w:eastAsia="en-US"/>
              </w:rPr>
              <w:lastRenderedPageBreak/>
              <w:t xml:space="preserve">Rosen </w:t>
            </w:r>
            <w:r w:rsidRPr="00500EAC">
              <w:rPr>
                <w:rFonts w:ascii="Arial" w:hAnsi="Arial" w:cs="Arial"/>
                <w:bCs/>
                <w:i/>
                <w:noProof/>
                <w:sz w:val="18"/>
                <w:szCs w:val="18"/>
                <w:lang w:eastAsia="en-US"/>
              </w:rPr>
              <w:t xml:space="preserve">et al. </w:t>
            </w:r>
            <w:r w:rsidRPr="008A0D01">
              <w:rPr>
                <w:rFonts w:ascii="Arial" w:hAnsi="Arial" w:cs="Arial"/>
                <w:bCs/>
                <w:noProof/>
                <w:sz w:val="18"/>
                <w:szCs w:val="18"/>
                <w:lang w:eastAsia="en-US"/>
              </w:rPr>
              <w:t>2011</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Publications from 1990 to 2009</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United States</w:t>
            </w:r>
          </w:p>
        </w:tc>
        <w:tc>
          <w:tcPr>
            <w:tcW w:w="591"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xml:space="preserve">Literature review of older heroin users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Secondary analysis</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Adults over 50 years of age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Using heroin and/or in methadone treatment</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- 9 relevant studies</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sz w:val="18"/>
                <w:szCs w:val="18"/>
                <w:lang w:eastAsia="en-US"/>
              </w:rPr>
              <w:t>- Large scale longitudinal studies have not included an exclusive or significant sample of older adults</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Research on heroin use and methadone treatment for this group is scant and quantitative findings were not consistent</w:t>
            </w:r>
          </w:p>
        </w:tc>
        <w:tc>
          <w:tcPr>
            <w:tcW w:w="86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Highlighted need for additional research with larger samples as all of the research was conducted using small sample sizes.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A coordinated effort from funders, researchers and practitioners is needed to adequately prepare for the significant needs of the population.</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xml:space="preserve">Fareed </w:t>
            </w:r>
            <w:r w:rsidRPr="00500EAC">
              <w:rPr>
                <w:rFonts w:ascii="Arial" w:hAnsi="Arial" w:cs="Arial"/>
                <w:bCs/>
                <w:i/>
                <w:sz w:val="18"/>
                <w:szCs w:val="18"/>
                <w:lang w:eastAsia="en-US"/>
              </w:rPr>
              <w:t xml:space="preserve">et al. </w:t>
            </w:r>
            <w:r w:rsidRPr="008A0D01">
              <w:rPr>
                <w:rFonts w:ascii="Arial" w:hAnsi="Arial" w:cs="Arial"/>
                <w:bCs/>
                <w:sz w:val="18"/>
                <w:szCs w:val="18"/>
                <w:lang w:eastAsia="en-US"/>
              </w:rPr>
              <w:t>2009</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noProof/>
                <w:color w:val="FFFFFF"/>
                <w:sz w:val="20"/>
                <w:szCs w:val="18"/>
                <w:lang w:eastAsia="en-US"/>
              </w:rPr>
              <w:t>(Fareed</w:t>
            </w:r>
            <w:r w:rsidRPr="008A0D01">
              <w:rPr>
                <w:rFonts w:ascii="Arial" w:hAnsi="Arial" w:cs="Arial"/>
                <w:bCs/>
                <w:i/>
                <w:noProof/>
                <w:color w:val="FFFFFF"/>
                <w:sz w:val="20"/>
                <w:szCs w:val="18"/>
                <w:lang w:eastAsia="en-US"/>
              </w:rPr>
              <w:t xml:space="preserve"> et al.</w:t>
            </w:r>
            <w:r w:rsidRPr="008A0D01">
              <w:rPr>
                <w:rFonts w:ascii="Arial" w:hAnsi="Arial" w:cs="Arial"/>
                <w:bCs/>
                <w:noProof/>
                <w:color w:val="FFFFFF"/>
                <w:sz w:val="20"/>
                <w:szCs w:val="18"/>
                <w:lang w:eastAsia="en-US"/>
              </w:rPr>
              <w:t xml:space="preserve"> 2009)</w:t>
            </w:r>
          </w:p>
        </w:tc>
        <w:tc>
          <w:tcPr>
            <w:tcW w:w="49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bCs/>
                <w:sz w:val="18"/>
                <w:szCs w:val="18"/>
                <w:lang w:eastAsia="en-US"/>
              </w:rPr>
              <w:t>Period:</w:t>
            </w:r>
            <w:r w:rsidRPr="008A0D01">
              <w:rPr>
                <w:rFonts w:ascii="Arial" w:hAnsi="Arial" w:cs="Arial"/>
                <w:bCs/>
                <w:sz w:val="18"/>
                <w:szCs w:val="18"/>
                <w:lang w:eastAsia="en-US"/>
              </w:rPr>
              <w:t>2002-2007</w:t>
            </w:r>
          </w:p>
          <w:p w:rsidR="003B0DEE" w:rsidRPr="008A0D01" w:rsidRDefault="003B0DEE" w:rsidP="000D5D90">
            <w:pPr>
              <w:tabs>
                <w:tab w:val="left" w:pos="8325"/>
              </w:tabs>
              <w:jc w:val="left"/>
              <w:rPr>
                <w:rFonts w:ascii="Arial" w:hAnsi="Arial" w:cs="Arial"/>
                <w:color w:val="FF0000"/>
                <w:sz w:val="18"/>
                <w:szCs w:val="18"/>
                <w:lang w:eastAsia="en-US"/>
              </w:rPr>
            </w:pPr>
            <w:r w:rsidRPr="008A0D01">
              <w:rPr>
                <w:rFonts w:ascii="Arial" w:hAnsi="Arial" w:cs="Arial"/>
                <w:b/>
                <w:bCs/>
                <w:sz w:val="18"/>
                <w:szCs w:val="18"/>
                <w:lang w:eastAsia="en-US"/>
              </w:rPr>
              <w:t>Location:</w:t>
            </w:r>
            <w:r w:rsidRPr="008A0D01">
              <w:rPr>
                <w:rFonts w:ascii="Arial" w:hAnsi="Arial" w:cs="Arial"/>
                <w:bCs/>
                <w:sz w:val="18"/>
                <w:szCs w:val="18"/>
                <w:lang w:eastAsia="en-US"/>
              </w:rPr>
              <w:t xml:space="preserve"> Atlanta Veterans Affairs Medical </w:t>
            </w:r>
            <w:r w:rsidRPr="008A0D01">
              <w:rPr>
                <w:rFonts w:ascii="Arial" w:hAnsi="Arial" w:cs="Arial"/>
                <w:bCs/>
                <w:sz w:val="18"/>
                <w:szCs w:val="18"/>
                <w:lang w:eastAsia="en-US"/>
              </w:rPr>
              <w:lastRenderedPageBreak/>
              <w:t>Center, United States</w:t>
            </w:r>
          </w:p>
        </w:tc>
        <w:tc>
          <w:tcPr>
            <w:tcW w:w="591"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lastRenderedPageBreak/>
              <w:t>Retrospective chart review of patients in methadone maintenance treatment</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lastRenderedPageBreak/>
              <w:t>Secondary research (pre-existing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N=91</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Patients aged 40 years and older only</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Older adults were more likely to have had longer periods of treatment and were more likely to have a history of comorbid alcohol misuse</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sz w:val="18"/>
                <w:szCs w:val="18"/>
                <w:lang w:eastAsia="en-US"/>
              </w:rPr>
              <w:lastRenderedPageBreak/>
              <w:t xml:space="preserve">- Older adults were less likely to report current heroin use and overall drug use.  </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lastRenderedPageBreak/>
              <w:t xml:space="preserve">- Those remaining in treatment had a significant reduction in drug use, psychiatric, medical and legal problems compared with </w:t>
            </w:r>
            <w:r w:rsidRPr="008A0D01">
              <w:rPr>
                <w:rFonts w:ascii="Arial" w:hAnsi="Arial" w:cs="Arial"/>
                <w:bCs/>
                <w:sz w:val="18"/>
                <w:szCs w:val="18"/>
                <w:lang w:eastAsia="en-US"/>
              </w:rPr>
              <w:lastRenderedPageBreak/>
              <w:t xml:space="preserve">those who dropped out of treatment.  </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 Certain lifestyle risk factors and comorbid medical conditions are potential targets for intervention that may improve health outcomes for older patients </w:t>
            </w:r>
            <w:r w:rsidRPr="008A0D01">
              <w:rPr>
                <w:rFonts w:ascii="Arial" w:hAnsi="Arial" w:cs="Arial"/>
                <w:sz w:val="18"/>
                <w:szCs w:val="18"/>
                <w:lang w:eastAsia="en-US"/>
              </w:rPr>
              <w:lastRenderedPageBreak/>
              <w:t>with opioid dependence</w:t>
            </w:r>
          </w:p>
        </w:tc>
      </w:tr>
      <w:tr w:rsidR="003B0DEE" w:rsidRPr="008A0D01" w:rsidTr="000D5D90">
        <w:trPr>
          <w:trHeight w:val="234"/>
        </w:trPr>
        <w:tc>
          <w:tcPr>
            <w:tcW w:w="445" w:type="pct"/>
            <w:shd w:val="clear" w:color="auto" w:fill="auto"/>
          </w:tcPr>
          <w:p w:rsidR="003B0DEE" w:rsidRPr="008A0D01" w:rsidRDefault="003B0DEE" w:rsidP="000D5D90">
            <w:pPr>
              <w:autoSpaceDE w:val="0"/>
              <w:autoSpaceDN w:val="0"/>
              <w:adjustRightInd w:val="0"/>
              <w:jc w:val="left"/>
              <w:rPr>
                <w:rFonts w:ascii="Arial" w:hAnsi="Arial" w:cs="Arial"/>
                <w:bCs/>
                <w:sz w:val="18"/>
                <w:szCs w:val="18"/>
                <w:lang w:eastAsia="en-US"/>
              </w:rPr>
            </w:pPr>
            <w:proofErr w:type="spellStart"/>
            <w:r w:rsidRPr="008A0D01">
              <w:rPr>
                <w:rFonts w:ascii="Arial" w:hAnsi="Arial" w:cs="Arial"/>
                <w:bCs/>
                <w:sz w:val="18"/>
                <w:szCs w:val="18"/>
                <w:lang w:eastAsia="en-US"/>
              </w:rPr>
              <w:lastRenderedPageBreak/>
              <w:t>Rajaratnam</w:t>
            </w:r>
            <w:proofErr w:type="spellEnd"/>
            <w:r w:rsidRPr="008A0D01">
              <w:rPr>
                <w:rFonts w:ascii="Arial" w:hAnsi="Arial" w:cs="Arial"/>
                <w:bCs/>
                <w:sz w:val="18"/>
                <w:szCs w:val="18"/>
                <w:lang w:eastAsia="en-US"/>
              </w:rPr>
              <w:t xml:space="preserve"> </w:t>
            </w:r>
            <w:r w:rsidRPr="00500EAC">
              <w:rPr>
                <w:rFonts w:ascii="Arial" w:hAnsi="Arial" w:cs="Arial"/>
                <w:bCs/>
                <w:i/>
                <w:sz w:val="18"/>
                <w:szCs w:val="18"/>
                <w:lang w:eastAsia="en-US"/>
              </w:rPr>
              <w:t>et al.</w:t>
            </w:r>
            <w:r w:rsidRPr="008A0D01">
              <w:rPr>
                <w:rFonts w:ascii="Arial" w:hAnsi="Arial" w:cs="Arial"/>
                <w:bCs/>
                <w:sz w:val="18"/>
                <w:szCs w:val="18"/>
                <w:lang w:eastAsia="en-US"/>
              </w:rPr>
              <w:t xml:space="preserve"> 2009</w:t>
            </w:r>
          </w:p>
          <w:p w:rsidR="003B0DEE" w:rsidRPr="008A0D01" w:rsidRDefault="003B0DEE" w:rsidP="000D5D90">
            <w:pPr>
              <w:autoSpaceDE w:val="0"/>
              <w:autoSpaceDN w:val="0"/>
              <w:adjustRightInd w:val="0"/>
              <w:jc w:val="left"/>
              <w:rPr>
                <w:rFonts w:ascii="Arial" w:hAnsi="Arial" w:cs="Arial"/>
                <w:sz w:val="18"/>
                <w:szCs w:val="18"/>
                <w:lang w:eastAsia="en-US"/>
              </w:rPr>
            </w:pPr>
            <w:r w:rsidRPr="008A0D01">
              <w:rPr>
                <w:rFonts w:ascii="Arial" w:hAnsi="Arial" w:cs="Arial"/>
                <w:bCs/>
                <w:noProof/>
                <w:color w:val="FFFFFF"/>
                <w:sz w:val="20"/>
                <w:szCs w:val="18"/>
                <w:lang w:eastAsia="en-US"/>
              </w:rPr>
              <w:t>(Rajaratnam</w:t>
            </w:r>
            <w:r w:rsidRPr="008A0D01">
              <w:rPr>
                <w:rFonts w:ascii="Arial" w:hAnsi="Arial" w:cs="Arial"/>
                <w:bCs/>
                <w:i/>
                <w:noProof/>
                <w:color w:val="FFFFFF"/>
                <w:sz w:val="20"/>
                <w:szCs w:val="18"/>
                <w:lang w:eastAsia="en-US"/>
              </w:rPr>
              <w:t xml:space="preserve"> et al.</w:t>
            </w:r>
            <w:r w:rsidRPr="008A0D01">
              <w:rPr>
                <w:rFonts w:ascii="Arial" w:hAnsi="Arial" w:cs="Arial"/>
                <w:bCs/>
                <w:noProof/>
                <w:color w:val="FFFFFF"/>
                <w:sz w:val="20"/>
                <w:szCs w:val="18"/>
                <w:lang w:eastAsia="en-US"/>
              </w:rPr>
              <w:t xml:space="preserve"> 2009)</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Not given</w:t>
            </w:r>
          </w:p>
          <w:p w:rsidR="003B0DEE" w:rsidRPr="008A0D01" w:rsidRDefault="003B0DEE" w:rsidP="000D5D90">
            <w:pPr>
              <w:tabs>
                <w:tab w:val="left" w:pos="8325"/>
              </w:tabs>
              <w:jc w:val="left"/>
              <w:rPr>
                <w:rFonts w:ascii="Arial" w:hAnsi="Arial" w:cs="Arial"/>
                <w:color w:val="FF0000"/>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4 of 18 methadone maintenance treatment clinics associated with Beth Israel Medical Center in New York City</w:t>
            </w:r>
            <w:r w:rsidRPr="008A0D01">
              <w:rPr>
                <w:rFonts w:ascii="Arial" w:hAnsi="Arial" w:cs="Arial"/>
                <w:bCs/>
                <w:sz w:val="18"/>
                <w:szCs w:val="18"/>
                <w:lang w:eastAsia="en-US"/>
              </w:rPr>
              <w:t>, United States</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Random selection using modified stratified sampling of current patients</w:t>
            </w:r>
            <w:r w:rsidRPr="008A0D01">
              <w:rPr>
                <w:rFonts w:ascii="Arial" w:hAnsi="Arial" w:cs="Arial"/>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Primary research (interviews, surveys and clinical chart review)</w:t>
            </w:r>
          </w:p>
        </w:tc>
        <w:tc>
          <w:tcPr>
            <w:tcW w:w="65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sz w:val="18"/>
                <w:szCs w:val="18"/>
                <w:lang w:eastAsia="en-US"/>
              </w:rPr>
              <w:t>- N=156</w:t>
            </w:r>
            <w:r w:rsidRPr="008A0D01">
              <w:rPr>
                <w:rFonts w:ascii="Arial" w:hAnsi="Arial" w:cs="Arial"/>
                <w:bCs/>
                <w:sz w:val="18"/>
                <w:szCs w:val="18"/>
                <w:lang w:eastAsia="en-US"/>
              </w:rPr>
              <w:t xml:space="preserve"> patients attending a methadone treatment programme</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w:t>
            </w:r>
            <w:r w:rsidRPr="008A0D01">
              <w:rPr>
                <w:rFonts w:ascii="Arial" w:hAnsi="Arial" w:cs="Arial"/>
                <w:bCs/>
                <w:sz w:val="18"/>
                <w:szCs w:val="18"/>
                <w:lang w:eastAsia="en-US"/>
              </w:rPr>
              <w:t>Older defined as aged 55 years and older</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Older adults were more likely to have longer periods of treatment, a history of problem alcohol use and were less likely to report current heroin use and overall drug use</w:t>
            </w: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xml:space="preserve">- Only a small proportion of methadone maintenance patients have regular contact with a primary care physician despite having many medical and psychiatric conditions.  The rate of contact does not increase with age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Quality of life does not increase with age and length of time in methadone maintenance treatment</w:t>
            </w:r>
            <w:r w:rsidRPr="008A0D01">
              <w:rPr>
                <w:rFonts w:ascii="Arial" w:hAnsi="Arial" w:cs="Arial"/>
                <w:sz w:val="18"/>
                <w:szCs w:val="18"/>
                <w:lang w:eastAsia="en-US"/>
              </w:rPr>
              <w:t xml:space="preserve"> </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Methadone maintenance treatment services should be better prepared to help</w:t>
            </w:r>
            <w:r>
              <w:rPr>
                <w:rFonts w:ascii="Arial" w:hAnsi="Arial" w:cs="Arial"/>
                <w:bCs/>
                <w:sz w:val="18"/>
                <w:szCs w:val="18"/>
                <w:lang w:eastAsia="en-US"/>
              </w:rPr>
              <w:t xml:space="preserve"> patients age more successfully</w:t>
            </w:r>
          </w:p>
        </w:tc>
      </w:tr>
      <w:tr w:rsidR="003B0DEE" w:rsidRPr="008A0D01" w:rsidTr="000D5D90">
        <w:trPr>
          <w:trHeight w:val="234"/>
        </w:trPr>
        <w:tc>
          <w:tcPr>
            <w:tcW w:w="445" w:type="pct"/>
            <w:shd w:val="clear" w:color="auto" w:fill="auto"/>
          </w:tcPr>
          <w:p w:rsidR="003B0DEE" w:rsidRPr="008A0D01" w:rsidRDefault="003B0DEE" w:rsidP="000D5D90">
            <w:pPr>
              <w:autoSpaceDE w:val="0"/>
              <w:autoSpaceDN w:val="0"/>
              <w:adjustRightInd w:val="0"/>
              <w:jc w:val="left"/>
              <w:rPr>
                <w:rFonts w:ascii="Arial" w:hAnsi="Arial" w:cs="Arial"/>
                <w:bCs/>
                <w:sz w:val="18"/>
                <w:szCs w:val="18"/>
                <w:lang w:eastAsia="en-US"/>
              </w:rPr>
            </w:pPr>
            <w:r w:rsidRPr="008A0D01">
              <w:rPr>
                <w:rFonts w:ascii="Arial" w:hAnsi="Arial" w:cs="Arial"/>
                <w:bCs/>
                <w:sz w:val="18"/>
                <w:szCs w:val="18"/>
                <w:lang w:eastAsia="en-US"/>
              </w:rPr>
              <w:t xml:space="preserve">Rosen </w:t>
            </w:r>
            <w:r w:rsidRPr="00500EAC">
              <w:rPr>
                <w:rFonts w:ascii="Arial" w:hAnsi="Arial" w:cs="Arial"/>
                <w:bCs/>
                <w:i/>
                <w:sz w:val="18"/>
                <w:szCs w:val="18"/>
                <w:lang w:eastAsia="en-US"/>
              </w:rPr>
              <w:t>et al.</w:t>
            </w:r>
            <w:r w:rsidRPr="008A0D01">
              <w:rPr>
                <w:rFonts w:ascii="Arial" w:hAnsi="Arial" w:cs="Arial"/>
                <w:bCs/>
                <w:sz w:val="18"/>
                <w:szCs w:val="18"/>
                <w:lang w:eastAsia="en-US"/>
              </w:rPr>
              <w:t xml:space="preserve"> 2008</w:t>
            </w:r>
          </w:p>
          <w:p w:rsidR="003B0DEE" w:rsidRPr="008A0D01" w:rsidRDefault="003B0DEE" w:rsidP="000D5D90">
            <w:pPr>
              <w:autoSpaceDE w:val="0"/>
              <w:autoSpaceDN w:val="0"/>
              <w:adjustRightInd w:val="0"/>
              <w:jc w:val="left"/>
              <w:rPr>
                <w:rFonts w:ascii="Arial" w:hAnsi="Arial" w:cs="Arial"/>
                <w:sz w:val="18"/>
                <w:szCs w:val="18"/>
                <w:lang w:eastAsia="en-US"/>
              </w:rPr>
            </w:pPr>
            <w:r w:rsidRPr="008A0D01">
              <w:rPr>
                <w:rFonts w:ascii="Arial" w:hAnsi="Arial" w:cs="Arial"/>
                <w:bCs/>
                <w:noProof/>
                <w:color w:val="FFFFFF"/>
                <w:sz w:val="20"/>
                <w:szCs w:val="18"/>
                <w:lang w:eastAsia="en-US"/>
              </w:rPr>
              <w:t>(Rosen</w:t>
            </w:r>
            <w:r w:rsidRPr="008A0D01">
              <w:rPr>
                <w:rFonts w:ascii="Arial" w:hAnsi="Arial" w:cs="Arial"/>
                <w:bCs/>
                <w:i/>
                <w:noProof/>
                <w:color w:val="FFFFFF"/>
                <w:sz w:val="20"/>
                <w:szCs w:val="18"/>
                <w:lang w:eastAsia="en-US"/>
              </w:rPr>
              <w:t xml:space="preserve"> et al.</w:t>
            </w:r>
            <w:r w:rsidRPr="008A0D01">
              <w:rPr>
                <w:rFonts w:ascii="Arial" w:hAnsi="Arial" w:cs="Arial"/>
                <w:bCs/>
                <w:noProof/>
                <w:color w:val="FFFFFF"/>
                <w:sz w:val="20"/>
                <w:szCs w:val="18"/>
                <w:lang w:eastAsia="en-US"/>
              </w:rPr>
              <w:t xml:space="preserve"> 2008)</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Not given</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A methadone clinic in a medium-size</w:t>
            </w:r>
            <w:r>
              <w:rPr>
                <w:rFonts w:ascii="Arial" w:hAnsi="Arial" w:cs="Arial"/>
                <w:sz w:val="18"/>
                <w:szCs w:val="18"/>
                <w:lang w:eastAsia="en-US"/>
              </w:rPr>
              <w:t>d</w:t>
            </w:r>
            <w:r w:rsidRPr="008A0D01">
              <w:rPr>
                <w:rFonts w:ascii="Arial" w:hAnsi="Arial" w:cs="Arial"/>
                <w:sz w:val="18"/>
                <w:szCs w:val="18"/>
                <w:lang w:eastAsia="en-US"/>
              </w:rPr>
              <w:t xml:space="preserve"> Midwestern</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industrial city in the United States</w:t>
            </w:r>
          </w:p>
        </w:tc>
        <w:tc>
          <w:tcPr>
            <w:tcW w:w="591" w:type="pct"/>
            <w:shd w:val="clear" w:color="auto" w:fill="auto"/>
          </w:tcPr>
          <w:p w:rsidR="003B0DEE" w:rsidRPr="008A0D01" w:rsidRDefault="003B0DEE" w:rsidP="000D5D90">
            <w:pPr>
              <w:tabs>
                <w:tab w:val="left" w:pos="8325"/>
              </w:tabs>
              <w:jc w:val="left"/>
              <w:rPr>
                <w:rFonts w:ascii="Arial" w:hAnsi="Arial" w:cs="Arial"/>
                <w:color w:val="FF0000"/>
                <w:sz w:val="18"/>
                <w:szCs w:val="18"/>
                <w:lang w:eastAsia="en-US"/>
              </w:rPr>
            </w:pPr>
            <w:r w:rsidRPr="008A0D01">
              <w:rPr>
                <w:rFonts w:ascii="Arial" w:hAnsi="Arial" w:cs="Arial"/>
                <w:sz w:val="18"/>
                <w:szCs w:val="18"/>
                <w:lang w:eastAsia="en-US"/>
              </w:rPr>
              <w:lastRenderedPageBreak/>
              <w:t>Primary research (patient interviews and pre-existing results of monthly drug screenings)</w:t>
            </w:r>
          </w:p>
        </w:tc>
        <w:tc>
          <w:tcPr>
            <w:tcW w:w="65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sz w:val="18"/>
                <w:szCs w:val="18"/>
                <w:lang w:eastAsia="en-US"/>
              </w:rPr>
              <w:t xml:space="preserve">- </w:t>
            </w:r>
            <w:r w:rsidRPr="008A0D01">
              <w:rPr>
                <w:rFonts w:ascii="Arial" w:hAnsi="Arial" w:cs="Arial"/>
                <w:bCs/>
                <w:sz w:val="18"/>
                <w:szCs w:val="18"/>
                <w:lang w:eastAsia="en-US"/>
              </w:rPr>
              <w:t>Older patients (aged 50 years and older) in methadone maintenance treatment</w:t>
            </w:r>
          </w:p>
          <w:p w:rsidR="003B0DEE" w:rsidRPr="008A0D01" w:rsidRDefault="003B0DEE" w:rsidP="000D5D90">
            <w:pPr>
              <w:tabs>
                <w:tab w:val="left" w:pos="8325"/>
              </w:tabs>
              <w:jc w:val="left"/>
              <w:rPr>
                <w:rFonts w:ascii="Arial" w:hAnsi="Arial" w:cs="Arial"/>
                <w:color w:val="FF0000"/>
                <w:sz w:val="18"/>
                <w:szCs w:val="18"/>
                <w:lang w:eastAsia="en-US"/>
              </w:rPr>
            </w:pPr>
            <w:r w:rsidRPr="008A0D01">
              <w:rPr>
                <w:rFonts w:ascii="Arial" w:hAnsi="Arial" w:cs="Arial"/>
                <w:sz w:val="18"/>
                <w:szCs w:val="18"/>
                <w:lang w:eastAsia="en-US"/>
              </w:rPr>
              <w:t xml:space="preserve">- </w:t>
            </w:r>
            <w:r w:rsidRPr="008A0D01">
              <w:rPr>
                <w:rFonts w:ascii="Arial" w:hAnsi="Arial" w:cs="Arial"/>
                <w:bCs/>
                <w:sz w:val="18"/>
                <w:szCs w:val="18"/>
                <w:lang w:eastAsia="en-US"/>
              </w:rPr>
              <w:t xml:space="preserve">N=140 </w:t>
            </w:r>
          </w:p>
        </w:tc>
        <w:tc>
          <w:tcPr>
            <w:tcW w:w="446" w:type="pct"/>
            <w:shd w:val="clear" w:color="auto" w:fill="auto"/>
          </w:tcPr>
          <w:p w:rsidR="003B0DEE" w:rsidRPr="008A0D01" w:rsidRDefault="003B0DEE" w:rsidP="000D5D90">
            <w:pPr>
              <w:tabs>
                <w:tab w:val="left" w:pos="8325"/>
              </w:tabs>
              <w:jc w:val="left"/>
              <w:rPr>
                <w:rFonts w:ascii="Arial" w:hAnsi="Arial" w:cs="Arial"/>
                <w:bCs/>
                <w:color w:val="FF0000"/>
                <w:sz w:val="18"/>
                <w:szCs w:val="18"/>
                <w:lang w:eastAsia="en-US"/>
              </w:rPr>
            </w:pPr>
            <w:r w:rsidRPr="008A0D01">
              <w:rPr>
                <w:rFonts w:ascii="Arial" w:hAnsi="Arial" w:cs="Arial"/>
                <w:bCs/>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bCs/>
                <w:color w:val="FF0000"/>
                <w:sz w:val="18"/>
                <w:szCs w:val="18"/>
                <w:lang w:eastAsia="en-US"/>
              </w:rPr>
            </w:pP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- 76.4% screened positive for illegal drug use across 24 months, of which</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- 80.4% s</w:t>
            </w:r>
            <w:r>
              <w:rPr>
                <w:rFonts w:ascii="Arial" w:hAnsi="Arial" w:cs="Arial"/>
                <w:bCs/>
                <w:sz w:val="18"/>
                <w:szCs w:val="18"/>
                <w:lang w:eastAsia="en-US"/>
              </w:rPr>
              <w:t>creened positive more than once</w:t>
            </w:r>
            <w:r w:rsidRPr="008A0D01">
              <w:rPr>
                <w:rFonts w:ascii="Arial" w:hAnsi="Arial" w:cs="Arial"/>
                <w:bCs/>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xml:space="preserve">- 21% reported binge </w:t>
            </w:r>
            <w:r w:rsidRPr="008A0D01">
              <w:rPr>
                <w:rFonts w:ascii="Arial" w:hAnsi="Arial" w:cs="Arial"/>
                <w:bCs/>
                <w:sz w:val="18"/>
                <w:szCs w:val="18"/>
                <w:lang w:eastAsia="en-US"/>
              </w:rPr>
              <w:lastRenderedPageBreak/>
              <w:t xml:space="preserve">drinking at </w:t>
            </w:r>
            <w:r>
              <w:rPr>
                <w:rFonts w:ascii="Arial" w:hAnsi="Arial" w:cs="Arial"/>
                <w:bCs/>
                <w:sz w:val="18"/>
                <w:szCs w:val="18"/>
                <w:lang w:eastAsia="en-US"/>
              </w:rPr>
              <w:t>least once in the previous year</w:t>
            </w:r>
            <w:r w:rsidRPr="008A0D01">
              <w:rPr>
                <w:rFonts w:ascii="Arial" w:hAnsi="Arial" w:cs="Arial"/>
                <w:bCs/>
                <w:sz w:val="18"/>
                <w:szCs w:val="18"/>
                <w:lang w:eastAsia="en-US"/>
              </w:rPr>
              <w:t xml:space="preserve"> </w:t>
            </w:r>
          </w:p>
        </w:tc>
        <w:tc>
          <w:tcPr>
            <w:tcW w:w="86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lastRenderedPageBreak/>
              <w:t>- The physical health burden of the ag</w:t>
            </w:r>
            <w:r>
              <w:rPr>
                <w:rFonts w:ascii="Arial" w:hAnsi="Arial" w:cs="Arial"/>
                <w:bCs/>
                <w:sz w:val="18"/>
                <w:szCs w:val="18"/>
                <w:lang w:eastAsia="en-US"/>
              </w:rPr>
              <w:t>e</w:t>
            </w:r>
            <w:r w:rsidRPr="008A0D01">
              <w:rPr>
                <w:rFonts w:ascii="Arial" w:hAnsi="Arial" w:cs="Arial"/>
                <w:bCs/>
                <w:sz w:val="18"/>
                <w:szCs w:val="18"/>
                <w:lang w:eastAsia="en-US"/>
              </w:rPr>
              <w:t>ing population will require mental health and treatment providers to place an increased empha</w:t>
            </w:r>
            <w:r>
              <w:rPr>
                <w:rFonts w:ascii="Arial" w:hAnsi="Arial" w:cs="Arial"/>
                <w:bCs/>
                <w:sz w:val="18"/>
                <w:szCs w:val="18"/>
                <w:lang w:eastAsia="en-US"/>
              </w:rPr>
              <w:t>sis on physical health services</w:t>
            </w:r>
            <w:r w:rsidRPr="008A0D01">
              <w:rPr>
                <w:rFonts w:ascii="Arial" w:hAnsi="Arial" w:cs="Arial"/>
                <w:bCs/>
                <w:sz w:val="18"/>
                <w:szCs w:val="18"/>
                <w:lang w:eastAsia="en-US"/>
              </w:rPr>
              <w:t xml:space="preserve"> </w:t>
            </w:r>
          </w:p>
          <w:p w:rsidR="003B0DEE" w:rsidRPr="008A0D01" w:rsidRDefault="003B0DEE" w:rsidP="000D5D90">
            <w:pPr>
              <w:tabs>
                <w:tab w:val="left" w:pos="8325"/>
              </w:tabs>
              <w:jc w:val="left"/>
              <w:rPr>
                <w:rFonts w:ascii="Arial" w:hAnsi="Arial" w:cs="Arial"/>
                <w:color w:val="FF0000"/>
                <w:sz w:val="18"/>
                <w:szCs w:val="18"/>
                <w:lang w:eastAsia="en-US"/>
              </w:rPr>
            </w:pPr>
            <w:r w:rsidRPr="008A0D01">
              <w:rPr>
                <w:rFonts w:ascii="Arial" w:hAnsi="Arial" w:cs="Arial"/>
                <w:bCs/>
                <w:sz w:val="18"/>
                <w:szCs w:val="18"/>
                <w:lang w:eastAsia="en-US"/>
              </w:rPr>
              <w:t xml:space="preserve">- Appropriate training of </w:t>
            </w:r>
            <w:r w:rsidRPr="008A0D01">
              <w:rPr>
                <w:rFonts w:ascii="Arial" w:hAnsi="Arial" w:cs="Arial"/>
                <w:bCs/>
                <w:sz w:val="18"/>
                <w:szCs w:val="18"/>
                <w:lang w:eastAsia="en-US"/>
              </w:rPr>
              <w:lastRenderedPageBreak/>
              <w:t>providers in the screening, assessment, and treatment of age-related disorders is n</w:t>
            </w:r>
            <w:r>
              <w:rPr>
                <w:rFonts w:ascii="Arial" w:hAnsi="Arial" w:cs="Arial"/>
                <w:bCs/>
                <w:sz w:val="18"/>
                <w:szCs w:val="18"/>
                <w:lang w:eastAsia="en-US"/>
              </w:rPr>
              <w:t>ecessary for adequate care</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roofErr w:type="spellStart"/>
            <w:r w:rsidRPr="008A0D01">
              <w:rPr>
                <w:rFonts w:ascii="Arial" w:hAnsi="Arial" w:cs="Arial"/>
                <w:bCs/>
                <w:sz w:val="18"/>
                <w:szCs w:val="18"/>
                <w:lang w:eastAsia="en-US"/>
              </w:rPr>
              <w:lastRenderedPageBreak/>
              <w:t>Hser</w:t>
            </w:r>
            <w:proofErr w:type="spellEnd"/>
            <w:r w:rsidRPr="008A0D01">
              <w:rPr>
                <w:rFonts w:ascii="Arial" w:hAnsi="Arial" w:cs="Arial"/>
                <w:bCs/>
                <w:sz w:val="18"/>
                <w:szCs w:val="18"/>
                <w:lang w:eastAsia="en-US"/>
              </w:rPr>
              <w:t xml:space="preserve"> 2007</w:t>
            </w:r>
          </w:p>
          <w:p w:rsidR="003B0DEE" w:rsidRPr="008A0D01" w:rsidRDefault="003B0DEE" w:rsidP="000D5D90">
            <w:pPr>
              <w:tabs>
                <w:tab w:val="left" w:pos="8325"/>
              </w:tabs>
              <w:jc w:val="left"/>
              <w:rPr>
                <w:rFonts w:ascii="Arial" w:hAnsi="Arial" w:cs="Arial"/>
                <w:sz w:val="18"/>
                <w:szCs w:val="18"/>
                <w:highlight w:val="yellow"/>
                <w:lang w:eastAsia="en-US"/>
              </w:rPr>
            </w:pPr>
            <w:r w:rsidRPr="008A0D01">
              <w:rPr>
                <w:rFonts w:ascii="Arial" w:hAnsi="Arial" w:cs="Arial"/>
                <w:bCs/>
                <w:noProof/>
                <w:color w:val="FFFFFF"/>
                <w:sz w:val="20"/>
                <w:szCs w:val="18"/>
                <w:lang w:eastAsia="en-US"/>
              </w:rPr>
              <w:t>(Hser 2007)</w:t>
            </w:r>
          </w:p>
        </w:tc>
        <w:tc>
          <w:tcPr>
            <w:tcW w:w="49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sz w:val="18"/>
                <w:szCs w:val="18"/>
                <w:lang w:eastAsia="en-US"/>
              </w:rPr>
              <w:t>Period:</w:t>
            </w:r>
            <w:r w:rsidRPr="008A0D01">
              <w:rPr>
                <w:rFonts w:ascii="Arial" w:hAnsi="Arial" w:cs="Arial"/>
                <w:bCs/>
                <w:sz w:val="18"/>
                <w:szCs w:val="18"/>
                <w:lang w:eastAsia="en-US"/>
              </w:rPr>
              <w:t>1974</w:t>
            </w:r>
            <w:r>
              <w:rPr>
                <w:rFonts w:ascii="Arial" w:hAnsi="Arial" w:cs="Arial"/>
                <w:color w:val="000000"/>
                <w:sz w:val="18"/>
                <w:szCs w:val="18"/>
                <w:lang w:eastAsia="en-US"/>
              </w:rPr>
              <w:t>–</w:t>
            </w:r>
            <w:r w:rsidRPr="008A0D01">
              <w:rPr>
                <w:rFonts w:ascii="Arial" w:hAnsi="Arial" w:cs="Arial"/>
                <w:bCs/>
                <w:sz w:val="18"/>
                <w:szCs w:val="18"/>
                <w:lang w:eastAsia="en-US"/>
              </w:rPr>
              <w:t>1997</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bCs/>
                <w:sz w:val="18"/>
                <w:szCs w:val="18"/>
                <w:lang w:eastAsia="en-US"/>
              </w:rPr>
              <w:t xml:space="preserve"> California Civil Addict Programme, </w:t>
            </w:r>
            <w:r w:rsidRPr="008A0D01">
              <w:rPr>
                <w:rFonts w:ascii="Arial" w:hAnsi="Arial" w:cs="Arial"/>
                <w:sz w:val="18"/>
                <w:szCs w:val="18"/>
                <w:lang w:eastAsia="en-US"/>
              </w:rPr>
              <w:t>United States</w:t>
            </w:r>
          </w:p>
        </w:tc>
        <w:tc>
          <w:tcPr>
            <w:tcW w:w="591"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Longitudinal study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primary l</w:t>
            </w:r>
            <w:r w:rsidRPr="008A0D01">
              <w:rPr>
                <w:rFonts w:ascii="Arial" w:hAnsi="Arial" w:cs="Arial"/>
                <w:bCs/>
                <w:sz w:val="18"/>
                <w:szCs w:val="18"/>
                <w:lang w:eastAsia="en-US"/>
              </w:rPr>
              <w:t xml:space="preserve">ongitudinal </w:t>
            </w:r>
            <w:r w:rsidRPr="008A0D01">
              <w:rPr>
                <w:rFonts w:ascii="Arial" w:hAnsi="Arial" w:cs="Arial"/>
                <w:sz w:val="18"/>
                <w:szCs w:val="18"/>
                <w:lang w:eastAsia="en-US"/>
              </w:rPr>
              <w:t>research (interviews, urinalysis and pre-existing criminal justice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N=242 of the original 581 male participants heroin addicts admitted between 1962 and 1964.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Followed up at 3 time points 10 years apart (1974</w:t>
            </w:r>
            <w:r>
              <w:rPr>
                <w:rFonts w:ascii="Arial" w:hAnsi="Arial" w:cs="Arial"/>
                <w:color w:val="000000"/>
                <w:sz w:val="18"/>
                <w:szCs w:val="18"/>
                <w:lang w:eastAsia="en-US"/>
              </w:rPr>
              <w:t>–</w:t>
            </w:r>
            <w:r w:rsidRPr="008A0D01">
              <w:rPr>
                <w:rFonts w:ascii="Arial" w:hAnsi="Arial" w:cs="Arial"/>
                <w:sz w:val="18"/>
                <w:szCs w:val="18"/>
                <w:lang w:eastAsia="en-US"/>
              </w:rPr>
              <w:t>1975, 1985</w:t>
            </w:r>
            <w:r>
              <w:rPr>
                <w:rFonts w:ascii="Arial" w:hAnsi="Arial" w:cs="Arial"/>
                <w:color w:val="000000"/>
                <w:sz w:val="18"/>
                <w:szCs w:val="18"/>
                <w:lang w:eastAsia="en-US"/>
              </w:rPr>
              <w:t>–</w:t>
            </w:r>
            <w:r w:rsidRPr="008A0D01">
              <w:rPr>
                <w:rFonts w:ascii="Arial" w:hAnsi="Arial" w:cs="Arial"/>
                <w:sz w:val="18"/>
                <w:szCs w:val="18"/>
                <w:lang w:eastAsia="en-US"/>
              </w:rPr>
              <w:t>1986 and 1996</w:t>
            </w:r>
            <w:r>
              <w:rPr>
                <w:rFonts w:ascii="Arial" w:hAnsi="Arial" w:cs="Arial"/>
                <w:color w:val="000000"/>
                <w:sz w:val="18"/>
                <w:szCs w:val="18"/>
                <w:lang w:eastAsia="en-US"/>
              </w:rPr>
              <w:t>–</w:t>
            </w:r>
            <w:r w:rsidRPr="008A0D01">
              <w:rPr>
                <w:rFonts w:ascii="Arial" w:hAnsi="Arial" w:cs="Arial"/>
                <w:sz w:val="18"/>
                <w:szCs w:val="18"/>
                <w:lang w:eastAsia="en-US"/>
              </w:rPr>
              <w:t>1997)</w:t>
            </w:r>
          </w:p>
        </w:tc>
        <w:tc>
          <w:tcPr>
            <w:tcW w:w="44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Not applicable</w:t>
            </w:r>
          </w:p>
        </w:tc>
        <w:tc>
          <w:tcPr>
            <w:tcW w:w="76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The recovered group initiated abstinence and maintained the stable recovery in their late 30s. </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- 53% continued to use heroin into their late 50s and 60s</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Maturing out does not apply to heroin addicts due to the high prevalence of continued heroin use in the ageing sample and the lack of association of older age with recovery</w:t>
            </w: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Certain interventions are likely to enhance long-term stable recovery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Stable recovery (at 10 years) was predicted by ethnicity, self-effi</w:t>
            </w:r>
            <w:r>
              <w:rPr>
                <w:rFonts w:ascii="Arial" w:hAnsi="Arial" w:cs="Arial"/>
                <w:bCs/>
                <w:sz w:val="18"/>
                <w:szCs w:val="18"/>
                <w:lang w:eastAsia="en-US"/>
              </w:rPr>
              <w:t>cacy and psychological distress</w:t>
            </w:r>
            <w:r w:rsidRPr="008A0D01">
              <w:rPr>
                <w:rFonts w:ascii="Arial" w:hAnsi="Arial" w:cs="Arial"/>
                <w:bCs/>
                <w:sz w:val="18"/>
                <w:szCs w:val="18"/>
                <w:lang w:eastAsia="en-US"/>
              </w:rPr>
              <w:t xml:space="preserve"> </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Early intervention to curb heroin addiction is critical to sustaining stable long-term recovery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Strategies for achieving and maintaining stable recovery should include stress coping strategies, identifying personal and social resources and engagement with pro-social activities </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roofErr w:type="spellStart"/>
            <w:r w:rsidRPr="008A0D01">
              <w:rPr>
                <w:rFonts w:ascii="Arial" w:hAnsi="Arial" w:cs="Arial"/>
                <w:bCs/>
                <w:sz w:val="18"/>
                <w:szCs w:val="18"/>
                <w:lang w:eastAsia="en-US"/>
              </w:rPr>
              <w:t>Hser</w:t>
            </w:r>
            <w:proofErr w:type="spellEnd"/>
            <w:r w:rsidRPr="008A0D01">
              <w:rPr>
                <w:rFonts w:ascii="Arial" w:hAnsi="Arial" w:cs="Arial"/>
                <w:bCs/>
                <w:sz w:val="18"/>
                <w:szCs w:val="18"/>
                <w:lang w:eastAsia="en-US"/>
              </w:rPr>
              <w:t xml:space="preserve"> et al 2007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noProof/>
                <w:color w:val="FFFFFF"/>
                <w:sz w:val="20"/>
                <w:szCs w:val="18"/>
                <w:lang w:eastAsia="en-US"/>
              </w:rPr>
              <w:t>(Hser</w:t>
            </w:r>
            <w:r w:rsidRPr="008A0D01">
              <w:rPr>
                <w:rFonts w:ascii="Arial" w:hAnsi="Arial" w:cs="Arial"/>
                <w:bCs/>
                <w:i/>
                <w:noProof/>
                <w:color w:val="FFFFFF"/>
                <w:sz w:val="20"/>
                <w:szCs w:val="18"/>
                <w:lang w:eastAsia="en-US"/>
              </w:rPr>
              <w:t xml:space="preserve"> et al.</w:t>
            </w:r>
            <w:r w:rsidRPr="008A0D01">
              <w:rPr>
                <w:rFonts w:ascii="Arial" w:hAnsi="Arial" w:cs="Arial"/>
                <w:bCs/>
                <w:noProof/>
                <w:color w:val="FFFFFF"/>
                <w:sz w:val="20"/>
                <w:szCs w:val="18"/>
                <w:lang w:eastAsia="en-US"/>
              </w:rPr>
              <w:t xml:space="preserve"> 2007)</w:t>
            </w:r>
            <w:r w:rsidRPr="008A0D01">
              <w:rPr>
                <w:rFonts w:ascii="Arial" w:hAnsi="Arial" w:cs="Arial"/>
                <w:bCs/>
                <w:color w:val="FFFFFF"/>
                <w:sz w:val="18"/>
                <w:szCs w:val="18"/>
                <w:lang w:eastAsia="en-US"/>
              </w:rPr>
              <w:t>)</w:t>
            </w:r>
          </w:p>
        </w:tc>
        <w:tc>
          <w:tcPr>
            <w:tcW w:w="49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sz w:val="18"/>
                <w:szCs w:val="18"/>
                <w:lang w:eastAsia="en-US"/>
              </w:rPr>
              <w:t>Period:</w:t>
            </w:r>
            <w:r w:rsidRPr="008A0D01">
              <w:rPr>
                <w:rFonts w:ascii="Arial" w:hAnsi="Arial" w:cs="Arial"/>
                <w:bCs/>
                <w:sz w:val="18"/>
                <w:szCs w:val="18"/>
                <w:lang w:eastAsia="en-US"/>
              </w:rPr>
              <w:t>1974</w:t>
            </w:r>
            <w:r>
              <w:rPr>
                <w:rFonts w:ascii="Arial" w:hAnsi="Arial" w:cs="Arial"/>
                <w:color w:val="000000"/>
                <w:sz w:val="18"/>
                <w:szCs w:val="18"/>
                <w:lang w:eastAsia="en-US"/>
              </w:rPr>
              <w:t>–</w:t>
            </w:r>
            <w:r w:rsidRPr="008A0D01">
              <w:rPr>
                <w:rFonts w:ascii="Arial" w:hAnsi="Arial" w:cs="Arial"/>
                <w:bCs/>
                <w:sz w:val="18"/>
                <w:szCs w:val="18"/>
                <w:lang w:eastAsia="en-US"/>
              </w:rPr>
              <w:t>1997</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sz w:val="18"/>
                <w:szCs w:val="18"/>
                <w:lang w:eastAsia="en-US"/>
              </w:rPr>
              <w:t>Location:</w:t>
            </w:r>
            <w:r w:rsidRPr="008A0D01">
              <w:rPr>
                <w:rFonts w:ascii="Arial" w:hAnsi="Arial" w:cs="Arial"/>
                <w:bCs/>
                <w:sz w:val="18"/>
                <w:szCs w:val="18"/>
                <w:lang w:eastAsia="en-US"/>
              </w:rPr>
              <w:t xml:space="preserve"> California Civil Addict Programme, </w:t>
            </w:r>
            <w:r w:rsidRPr="008A0D01">
              <w:rPr>
                <w:rFonts w:ascii="Arial" w:hAnsi="Arial" w:cs="Arial"/>
                <w:sz w:val="18"/>
                <w:szCs w:val="18"/>
                <w:lang w:eastAsia="en-US"/>
              </w:rPr>
              <w:t>United States</w:t>
            </w:r>
          </w:p>
          <w:p w:rsidR="003B0DEE" w:rsidRPr="008A0D01" w:rsidRDefault="003B0DEE" w:rsidP="000D5D90">
            <w:pPr>
              <w:tabs>
                <w:tab w:val="left" w:pos="8325"/>
              </w:tabs>
              <w:jc w:val="left"/>
              <w:rPr>
                <w:rFonts w:ascii="Arial" w:hAnsi="Arial" w:cs="Arial"/>
                <w:sz w:val="18"/>
                <w:szCs w:val="18"/>
                <w:lang w:eastAsia="en-US"/>
              </w:rPr>
            </w:pP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Primary l</w:t>
            </w:r>
            <w:r w:rsidRPr="008A0D01">
              <w:rPr>
                <w:rFonts w:ascii="Arial" w:hAnsi="Arial" w:cs="Arial"/>
                <w:bCs/>
                <w:sz w:val="18"/>
                <w:szCs w:val="18"/>
                <w:lang w:eastAsia="en-US"/>
              </w:rPr>
              <w:t xml:space="preserve">ongitudinal </w:t>
            </w:r>
            <w:r w:rsidRPr="008A0D01">
              <w:rPr>
                <w:rFonts w:ascii="Arial" w:hAnsi="Arial" w:cs="Arial"/>
                <w:sz w:val="18"/>
                <w:szCs w:val="18"/>
                <w:lang w:eastAsia="en-US"/>
              </w:rPr>
              <w:t>research (interviews, urinalysis and pre-existing criminal justice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N=471 of the original 581 male participants heroin addicts</w:t>
            </w:r>
            <w:r>
              <w:rPr>
                <w:rFonts w:ascii="Arial" w:hAnsi="Arial" w:cs="Arial"/>
                <w:sz w:val="18"/>
                <w:szCs w:val="18"/>
                <w:lang w:eastAsia="en-US"/>
              </w:rPr>
              <w:t xml:space="preserve"> admitted between 1962 and 1964</w:t>
            </w:r>
            <w:r w:rsidRPr="008A0D01">
              <w:rPr>
                <w:rFonts w:ascii="Arial" w:hAnsi="Arial" w:cs="Arial"/>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Followed up at 3 </w:t>
            </w:r>
            <w:r w:rsidRPr="008A0D01">
              <w:rPr>
                <w:rFonts w:ascii="Arial" w:hAnsi="Arial" w:cs="Arial"/>
                <w:sz w:val="18"/>
                <w:szCs w:val="18"/>
                <w:lang w:eastAsia="en-US"/>
              </w:rPr>
              <w:lastRenderedPageBreak/>
              <w:t>time points 10 years apart (1974</w:t>
            </w:r>
            <w:r>
              <w:rPr>
                <w:rFonts w:ascii="Arial" w:hAnsi="Arial" w:cs="Arial"/>
                <w:color w:val="000000"/>
                <w:sz w:val="18"/>
                <w:szCs w:val="18"/>
                <w:lang w:eastAsia="en-US"/>
              </w:rPr>
              <w:t>–</w:t>
            </w:r>
            <w:r w:rsidRPr="008A0D01">
              <w:rPr>
                <w:rFonts w:ascii="Arial" w:hAnsi="Arial" w:cs="Arial"/>
                <w:sz w:val="18"/>
                <w:szCs w:val="18"/>
                <w:lang w:eastAsia="en-US"/>
              </w:rPr>
              <w:t>1975, 1985</w:t>
            </w:r>
            <w:r>
              <w:rPr>
                <w:rFonts w:ascii="Arial" w:hAnsi="Arial" w:cs="Arial"/>
                <w:color w:val="000000"/>
                <w:sz w:val="18"/>
                <w:szCs w:val="18"/>
                <w:lang w:eastAsia="en-US"/>
              </w:rPr>
              <w:t>–</w:t>
            </w:r>
            <w:r w:rsidRPr="008A0D01">
              <w:rPr>
                <w:rFonts w:ascii="Arial" w:hAnsi="Arial" w:cs="Arial"/>
                <w:sz w:val="18"/>
                <w:szCs w:val="18"/>
                <w:lang w:eastAsia="en-US"/>
              </w:rPr>
              <w:t>1986 and 1996</w:t>
            </w:r>
            <w:r>
              <w:rPr>
                <w:rFonts w:ascii="Arial" w:hAnsi="Arial" w:cs="Arial"/>
                <w:color w:val="000000"/>
                <w:sz w:val="18"/>
                <w:szCs w:val="18"/>
                <w:lang w:eastAsia="en-US"/>
              </w:rPr>
              <w:t>–</w:t>
            </w:r>
            <w:r w:rsidRPr="008A0D01">
              <w:rPr>
                <w:rFonts w:ascii="Arial" w:hAnsi="Arial" w:cs="Arial"/>
                <w:sz w:val="18"/>
                <w:szCs w:val="18"/>
                <w:lang w:eastAsia="en-US"/>
              </w:rPr>
              <w:t>1997)</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lastRenderedPageBreak/>
              <w:t>Not applicable</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Identified three groups with distinct heroin use trajectories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Only a small group stopped heroin use early on and maintained a relatively stable </w:t>
            </w:r>
            <w:r w:rsidRPr="008A0D01">
              <w:rPr>
                <w:rFonts w:ascii="Arial" w:hAnsi="Arial" w:cs="Arial"/>
                <w:sz w:val="18"/>
                <w:szCs w:val="18"/>
                <w:lang w:eastAsia="en-US"/>
              </w:rPr>
              <w:lastRenderedPageBreak/>
              <w:t>recovery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Adverse consequences of chronic heroin addiction</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xml:space="preserve">- Mechanisms for early cessation of heroin use are unknown </w:t>
            </w:r>
            <w:r>
              <w:rPr>
                <w:rFonts w:ascii="Arial" w:hAnsi="Arial" w:cs="Arial"/>
                <w:sz w:val="18"/>
                <w:szCs w:val="18"/>
                <w:lang w:eastAsia="en-US"/>
              </w:rPr>
              <w:t>and need in-depth investigation</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Addiction is mostly a chronic condition, requiring long-term care and </w:t>
            </w:r>
            <w:r w:rsidRPr="008A0D01">
              <w:rPr>
                <w:rFonts w:ascii="Arial" w:hAnsi="Arial" w:cs="Arial"/>
                <w:sz w:val="18"/>
                <w:szCs w:val="18"/>
                <w:lang w:eastAsia="en-US"/>
              </w:rPr>
              <w:lastRenderedPageBreak/>
              <w:t>management strategies</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roofErr w:type="spellStart"/>
            <w:r w:rsidRPr="008A0D01">
              <w:rPr>
                <w:rFonts w:ascii="Arial" w:hAnsi="Arial" w:cs="Arial"/>
                <w:bCs/>
                <w:sz w:val="18"/>
                <w:szCs w:val="18"/>
                <w:lang w:eastAsia="en-US"/>
              </w:rPr>
              <w:lastRenderedPageBreak/>
              <w:t>Lofwall</w:t>
            </w:r>
            <w:proofErr w:type="spellEnd"/>
            <w:r w:rsidRPr="008A0D01">
              <w:rPr>
                <w:rFonts w:ascii="Arial" w:hAnsi="Arial" w:cs="Arial"/>
                <w:bCs/>
                <w:sz w:val="18"/>
                <w:szCs w:val="18"/>
                <w:lang w:eastAsia="en-US"/>
              </w:rPr>
              <w:t xml:space="preserve"> et al. 2005</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noProof/>
                <w:color w:val="FFFFFF"/>
                <w:sz w:val="20"/>
                <w:szCs w:val="18"/>
                <w:lang w:eastAsia="en-US"/>
              </w:rPr>
              <w:t>(Lofwall</w:t>
            </w:r>
            <w:r w:rsidRPr="008A0D01">
              <w:rPr>
                <w:rFonts w:ascii="Arial" w:hAnsi="Arial" w:cs="Arial"/>
                <w:bCs/>
                <w:i/>
                <w:noProof/>
                <w:color w:val="FFFFFF"/>
                <w:sz w:val="20"/>
                <w:szCs w:val="18"/>
                <w:lang w:eastAsia="en-US"/>
              </w:rPr>
              <w:t xml:space="preserve"> et al.</w:t>
            </w:r>
            <w:r w:rsidRPr="008A0D01">
              <w:rPr>
                <w:rFonts w:ascii="Arial" w:hAnsi="Arial" w:cs="Arial"/>
                <w:bCs/>
                <w:noProof/>
                <w:color w:val="FFFFFF"/>
                <w:sz w:val="20"/>
                <w:szCs w:val="18"/>
                <w:lang w:eastAsia="en-US"/>
              </w:rPr>
              <w:t xml:space="preserve"> 2005)</w:t>
            </w:r>
          </w:p>
        </w:tc>
        <w:tc>
          <w:tcPr>
            <w:tcW w:w="494" w:type="pct"/>
            <w:shd w:val="clear" w:color="auto" w:fill="auto"/>
          </w:tcPr>
          <w:p w:rsidR="003B0DEE" w:rsidRPr="008A0D01" w:rsidRDefault="003B0DEE" w:rsidP="000D5D90">
            <w:pPr>
              <w:autoSpaceDE w:val="0"/>
              <w:autoSpaceDN w:val="0"/>
              <w:adjustRightInd w:val="0"/>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Not given</w:t>
            </w:r>
          </w:p>
          <w:p w:rsidR="003B0DEE" w:rsidRPr="008A0D01" w:rsidRDefault="003B0DEE" w:rsidP="000D5D90">
            <w:pPr>
              <w:autoSpaceDE w:val="0"/>
              <w:autoSpaceDN w:val="0"/>
              <w:adjustRightInd w:val="0"/>
              <w:jc w:val="left"/>
              <w:rPr>
                <w:rFonts w:ascii="Arial" w:hAnsi="Arial" w:cs="Arial"/>
                <w:sz w:val="18"/>
                <w:szCs w:val="18"/>
                <w:lang w:eastAsia="en-US"/>
              </w:rPr>
            </w:pPr>
            <w:r w:rsidRPr="008A0D01">
              <w:rPr>
                <w:rFonts w:ascii="Arial" w:hAnsi="Arial" w:cs="Arial"/>
                <w:b/>
                <w:sz w:val="18"/>
                <w:szCs w:val="18"/>
                <w:lang w:eastAsia="en-US"/>
              </w:rPr>
              <w:t>Location:</w:t>
            </w:r>
            <w:r w:rsidRPr="008A0D01">
              <w:rPr>
                <w:rFonts w:ascii="Arial" w:hAnsi="Arial" w:cs="Arial"/>
                <w:sz w:val="18"/>
                <w:szCs w:val="18"/>
                <w:lang w:eastAsia="en-US"/>
              </w:rPr>
              <w:t xml:space="preserve"> Addiction Treatment Services outpatient program of the Johns Hopkins Bayview Medical Center</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xml:space="preserve">Primary research consisting of cross sectional surveys examining physical and mental health characteristics along with urine toxicology samples </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N= 67 (41 older and 26 younger) opioid maintenance patients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Age range: </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sz w:val="18"/>
                <w:szCs w:val="18"/>
                <w:lang w:eastAsia="en-US"/>
              </w:rPr>
              <w:t xml:space="preserve">  Older=</w:t>
            </w:r>
            <w:r w:rsidRPr="008A0D01">
              <w:rPr>
                <w:rFonts w:ascii="Arial" w:hAnsi="Arial" w:cs="Arial"/>
                <w:bCs/>
                <w:sz w:val="18"/>
                <w:szCs w:val="18"/>
                <w:lang w:eastAsia="en-US"/>
              </w:rPr>
              <w:t>50-66 years</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xml:space="preserve">  Younger=25-34 years</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xml:space="preserve">Yes, people diagnosed with drug dependence die on average 22.5 years earlier </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The older group were in treatment longer, had fewer positive urine results, were older at drug use initiation (except alcohol), had poorer physical health and took more prescribed medications than patients aged 25-34 years</w:t>
            </w:r>
          </w:p>
        </w:tc>
        <w:tc>
          <w:tcPr>
            <w:tcW w:w="740"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The older group had fewer positive urine screenings for opiates (3.7% versus 6.9% positive)</w:t>
            </w:r>
          </w:p>
        </w:tc>
        <w:tc>
          <w:tcPr>
            <w:tcW w:w="866" w:type="pct"/>
            <w:shd w:val="clear" w:color="auto" w:fill="auto"/>
          </w:tcPr>
          <w:p w:rsidR="003B0DEE" w:rsidRPr="008A0D01" w:rsidRDefault="003B0DEE" w:rsidP="000D5D90">
            <w:pPr>
              <w:autoSpaceDE w:val="0"/>
              <w:autoSpaceDN w:val="0"/>
              <w:adjustRightInd w:val="0"/>
              <w:jc w:val="left"/>
              <w:rPr>
                <w:rFonts w:ascii="Arial" w:hAnsi="Arial" w:cs="Arial"/>
                <w:sz w:val="18"/>
                <w:szCs w:val="18"/>
                <w:lang w:eastAsia="en-US"/>
              </w:rPr>
            </w:pPr>
            <w:r w:rsidRPr="008A0D01">
              <w:rPr>
                <w:rFonts w:ascii="Arial" w:hAnsi="Arial" w:cs="Arial"/>
                <w:bCs/>
                <w:sz w:val="18"/>
                <w:szCs w:val="18"/>
                <w:lang w:eastAsia="en-US"/>
              </w:rPr>
              <w:t>- There is a strong rationale to develop and test potentially more effective health care service delivery strategies</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proofErr w:type="spellStart"/>
            <w:r w:rsidRPr="008A0D01">
              <w:rPr>
                <w:rFonts w:ascii="Arial" w:hAnsi="Arial" w:cs="Arial"/>
                <w:sz w:val="18"/>
                <w:szCs w:val="18"/>
                <w:lang w:eastAsia="en-US"/>
              </w:rPr>
              <w:t>Firoz</w:t>
            </w:r>
            <w:proofErr w:type="spellEnd"/>
            <w:r w:rsidRPr="008A0D01">
              <w:rPr>
                <w:rFonts w:ascii="Arial" w:hAnsi="Arial" w:cs="Arial"/>
                <w:sz w:val="18"/>
                <w:szCs w:val="18"/>
                <w:lang w:eastAsia="en-US"/>
              </w:rPr>
              <w:t xml:space="preserve"> &amp; Carlson 2004</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noProof/>
                <w:color w:val="FFFFFF"/>
                <w:sz w:val="20"/>
                <w:szCs w:val="18"/>
                <w:lang w:eastAsia="en-US"/>
              </w:rPr>
              <w:t>(Firoz &amp; Carlson 2004)</w:t>
            </w:r>
          </w:p>
        </w:tc>
        <w:tc>
          <w:tcPr>
            <w:tcW w:w="49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1995</w:t>
            </w:r>
            <w:r>
              <w:rPr>
                <w:rFonts w:ascii="Arial" w:hAnsi="Arial" w:cs="Arial"/>
                <w:color w:val="000000"/>
                <w:sz w:val="18"/>
                <w:szCs w:val="18"/>
                <w:lang w:eastAsia="en-US"/>
              </w:rPr>
              <w:t>–</w:t>
            </w:r>
            <w:r w:rsidRPr="008A0D01">
              <w:rPr>
                <w:rFonts w:ascii="Arial" w:hAnsi="Arial" w:cs="Arial"/>
                <w:sz w:val="18"/>
                <w:szCs w:val="18"/>
                <w:lang w:eastAsia="en-US"/>
              </w:rPr>
              <w:t>2000</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bCs/>
                <w:sz w:val="18"/>
                <w:szCs w:val="18"/>
                <w:lang w:eastAsia="en-US"/>
              </w:rPr>
              <w:t>Location:</w:t>
            </w:r>
            <w:r w:rsidRPr="008A0D01">
              <w:rPr>
                <w:rFonts w:ascii="Arial" w:hAnsi="Arial" w:cs="Arial"/>
                <w:sz w:val="18"/>
                <w:szCs w:val="18"/>
                <w:lang w:eastAsia="en-US"/>
              </w:rPr>
              <w:t xml:space="preserve"> Midwestern methadone maintenance treatment programme</w:t>
            </w:r>
            <w:r w:rsidRPr="008A0D01">
              <w:rPr>
                <w:rFonts w:ascii="Arial" w:hAnsi="Arial" w:cs="Arial"/>
                <w:bCs/>
                <w:sz w:val="18"/>
                <w:szCs w:val="18"/>
                <w:lang w:eastAsia="en-US"/>
              </w:rPr>
              <w:t xml:space="preserve">, </w:t>
            </w:r>
            <w:r w:rsidRPr="008A0D01">
              <w:rPr>
                <w:rFonts w:ascii="Arial" w:hAnsi="Arial" w:cs="Arial"/>
                <w:sz w:val="18"/>
                <w:szCs w:val="18"/>
                <w:lang w:eastAsia="en-US"/>
              </w:rPr>
              <w:t>United States</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xml:space="preserve">Primary research (programme and patient surveys, patient clinical status review and  use of </w:t>
            </w:r>
            <w:r w:rsidRPr="008A0D01">
              <w:rPr>
                <w:rFonts w:ascii="Arial" w:hAnsi="Arial" w:cs="Arial"/>
                <w:sz w:val="18"/>
                <w:szCs w:val="18"/>
                <w:lang w:eastAsia="en-US"/>
              </w:rPr>
              <w:t>pre-existing chart and database information, t</w:t>
            </w:r>
            <w:r w:rsidRPr="008A0D01">
              <w:rPr>
                <w:rFonts w:ascii="Arial" w:hAnsi="Arial" w:cs="Arial"/>
                <w:bCs/>
                <w:sz w:val="18"/>
                <w:szCs w:val="18"/>
                <w:lang w:eastAsia="en-US"/>
              </w:rPr>
              <w:t xml:space="preserve">reatment outcomes at 9 </w:t>
            </w:r>
            <w:r w:rsidRPr="008A0D01">
              <w:rPr>
                <w:rFonts w:ascii="Arial" w:hAnsi="Arial" w:cs="Arial"/>
                <w:bCs/>
                <w:sz w:val="18"/>
                <w:szCs w:val="18"/>
                <w:lang w:eastAsia="en-US"/>
              </w:rPr>
              <w:lastRenderedPageBreak/>
              <w:t>months post-admission)</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lastRenderedPageBreak/>
              <w:t>-  N=759 (</w:t>
            </w:r>
            <w:r w:rsidRPr="008A0D01">
              <w:rPr>
                <w:rFonts w:ascii="Arial" w:hAnsi="Arial" w:cs="Arial"/>
                <w:bCs/>
                <w:sz w:val="18"/>
                <w:szCs w:val="18"/>
                <w:lang w:eastAsia="en-US"/>
              </w:rPr>
              <w:t>54 older and 705 younger)</w:t>
            </w:r>
            <w:r w:rsidRPr="008A0D01">
              <w:rPr>
                <w:rFonts w:ascii="Arial" w:hAnsi="Arial" w:cs="Arial"/>
                <w:sz w:val="18"/>
                <w:szCs w:val="18"/>
                <w:lang w:eastAsia="en-US"/>
              </w:rPr>
              <w:t xml:space="preserve"> methadone maintenance patients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Older defined as adults aged 55 years</w:t>
            </w:r>
            <w:r>
              <w:rPr>
                <w:rFonts w:ascii="Arial" w:hAnsi="Arial" w:cs="Arial"/>
                <w:sz w:val="18"/>
                <w:szCs w:val="18"/>
                <w:lang w:eastAsia="en-US"/>
              </w:rPr>
              <w:t xml:space="preserve"> and older</w:t>
            </w:r>
            <w:r w:rsidRPr="008A0D01">
              <w:rPr>
                <w:rFonts w:ascii="Arial" w:hAnsi="Arial" w:cs="Arial"/>
                <w:sz w:val="18"/>
                <w:szCs w:val="18"/>
                <w:lang w:eastAsia="en-US"/>
              </w:rPr>
              <w:t>, younger &lt;55</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No</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At nine months the older group had improved outcomes on drug use measures</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Groups did not differ in medical, psy</w:t>
            </w:r>
            <w:r>
              <w:rPr>
                <w:rFonts w:ascii="Arial" w:hAnsi="Arial" w:cs="Arial"/>
                <w:bCs/>
                <w:sz w:val="18"/>
                <w:szCs w:val="18"/>
                <w:lang w:eastAsia="en-US"/>
              </w:rPr>
              <w:t>chiatric problems or employment</w:t>
            </w:r>
            <w:r w:rsidRPr="008A0D01">
              <w:rPr>
                <w:rFonts w:ascii="Arial" w:hAnsi="Arial" w:cs="Arial"/>
                <w:bCs/>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-Older methadone patients did significantly better in treatment</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Methadone programmes treating older patients should not assume that this group are similar to other older populations in terms of prevalence of medical and psychiatric problems</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noProof/>
                <w:sz w:val="18"/>
                <w:szCs w:val="18"/>
                <w:lang w:eastAsia="en-US"/>
              </w:rPr>
              <w:lastRenderedPageBreak/>
              <w:t>Hser et al. 2004</w:t>
            </w:r>
          </w:p>
        </w:tc>
        <w:tc>
          <w:tcPr>
            <w:tcW w:w="49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w:t>
            </w:r>
            <w:r w:rsidRPr="008A0D01">
              <w:rPr>
                <w:rFonts w:ascii="Arial" w:hAnsi="Arial" w:cs="Arial"/>
                <w:bCs/>
                <w:sz w:val="18"/>
                <w:szCs w:val="18"/>
                <w:lang w:eastAsia="en-US"/>
              </w:rPr>
              <w:t>1974–1997</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bCs/>
                <w:sz w:val="18"/>
                <w:szCs w:val="18"/>
                <w:lang w:eastAsia="en-US"/>
              </w:rPr>
              <w:t>Location:</w:t>
            </w:r>
            <w:r w:rsidRPr="008A0D01">
              <w:rPr>
                <w:rFonts w:ascii="Arial" w:hAnsi="Arial" w:cs="Arial"/>
                <w:bCs/>
                <w:sz w:val="18"/>
                <w:szCs w:val="18"/>
                <w:lang w:eastAsia="en-US"/>
              </w:rPr>
              <w:t xml:space="preserve"> California Civil Addict Programme, </w:t>
            </w:r>
            <w:r w:rsidRPr="008A0D01">
              <w:rPr>
                <w:rFonts w:ascii="Arial" w:hAnsi="Arial" w:cs="Arial"/>
                <w:sz w:val="18"/>
                <w:szCs w:val="18"/>
                <w:lang w:eastAsia="en-US"/>
              </w:rPr>
              <w:t>United States</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Prospective cohort study.  Interview and medical examination</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N=108 of the 242 surviving male heroin addicts</w:t>
            </w:r>
            <w:r>
              <w:rPr>
                <w:rFonts w:ascii="Arial" w:hAnsi="Arial" w:cs="Arial"/>
                <w:sz w:val="18"/>
                <w:szCs w:val="18"/>
                <w:lang w:eastAsia="en-US"/>
              </w:rPr>
              <w:t xml:space="preserve"> admitted between 1962 and 1964</w:t>
            </w:r>
            <w:r w:rsidRPr="008A0D01">
              <w:rPr>
                <w:rFonts w:ascii="Arial" w:hAnsi="Arial" w:cs="Arial"/>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Followed up in 1996-1997</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Not applicable</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Poor health conditions and high mortality</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w:t>
            </w:r>
            <w:r>
              <w:rPr>
                <w:rFonts w:ascii="Arial" w:hAnsi="Arial" w:cs="Arial"/>
                <w:bCs/>
                <w:sz w:val="18"/>
                <w:szCs w:val="18"/>
                <w:lang w:eastAsia="en-US"/>
              </w:rPr>
              <w:t xml:space="preserve"> </w:t>
            </w:r>
            <w:r w:rsidRPr="008A0D01">
              <w:rPr>
                <w:rFonts w:ascii="Arial" w:hAnsi="Arial" w:cs="Arial"/>
                <w:bCs/>
                <w:sz w:val="18"/>
                <w:szCs w:val="18"/>
                <w:lang w:eastAsia="en-US"/>
              </w:rPr>
              <w:t>23.2% still using heroin</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Clinicians need to screen patients for infectious diseases regardless of their cu</w:t>
            </w:r>
            <w:r>
              <w:rPr>
                <w:rFonts w:ascii="Arial" w:hAnsi="Arial" w:cs="Arial"/>
                <w:sz w:val="18"/>
                <w:szCs w:val="18"/>
                <w:lang w:eastAsia="en-US"/>
              </w:rPr>
              <w:t>rrent illicit drug-using status</w:t>
            </w:r>
            <w:r w:rsidRPr="008A0D01">
              <w:rPr>
                <w:rFonts w:ascii="Arial" w:hAnsi="Arial" w:cs="Arial"/>
                <w:sz w:val="18"/>
                <w:szCs w:val="18"/>
                <w:lang w:eastAsia="en-US"/>
              </w:rPr>
              <w:t xml:space="preserve"> </w:t>
            </w:r>
          </w:p>
        </w:tc>
      </w:tr>
      <w:tr w:rsidR="003B0DEE" w:rsidRPr="008A0D01" w:rsidTr="000D5D90">
        <w:trPr>
          <w:trHeight w:val="234"/>
        </w:trPr>
        <w:tc>
          <w:tcPr>
            <w:tcW w:w="445"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noProof/>
                <w:sz w:val="18"/>
                <w:szCs w:val="18"/>
                <w:lang w:eastAsia="en-US"/>
              </w:rPr>
              <w:t>Hser et al. 2001</w:t>
            </w:r>
          </w:p>
        </w:tc>
        <w:tc>
          <w:tcPr>
            <w:tcW w:w="49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
                <w:sz w:val="18"/>
                <w:szCs w:val="18"/>
                <w:lang w:eastAsia="en-US"/>
              </w:rPr>
              <w:t>Period:</w:t>
            </w:r>
            <w:r w:rsidRPr="008A0D01">
              <w:rPr>
                <w:rFonts w:ascii="Arial" w:hAnsi="Arial" w:cs="Arial"/>
                <w:sz w:val="18"/>
                <w:szCs w:val="18"/>
                <w:lang w:eastAsia="en-US"/>
              </w:rPr>
              <w:t xml:space="preserve"> </w:t>
            </w:r>
            <w:r w:rsidRPr="008A0D01">
              <w:rPr>
                <w:rFonts w:ascii="Arial" w:hAnsi="Arial" w:cs="Arial"/>
                <w:bCs/>
                <w:sz w:val="18"/>
                <w:szCs w:val="18"/>
                <w:lang w:eastAsia="en-US"/>
              </w:rPr>
              <w:t>1974–1997</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
                <w:bCs/>
                <w:sz w:val="18"/>
                <w:szCs w:val="18"/>
                <w:lang w:eastAsia="en-US"/>
              </w:rPr>
              <w:t xml:space="preserve">Location: </w:t>
            </w:r>
            <w:r w:rsidRPr="008A0D01">
              <w:rPr>
                <w:rFonts w:ascii="Arial" w:hAnsi="Arial" w:cs="Arial"/>
                <w:bCs/>
                <w:sz w:val="18"/>
                <w:szCs w:val="18"/>
                <w:lang w:eastAsia="en-US"/>
              </w:rPr>
              <w:t xml:space="preserve">California Civil Addict Programme, </w:t>
            </w:r>
            <w:r w:rsidRPr="008A0D01">
              <w:rPr>
                <w:rFonts w:ascii="Arial" w:hAnsi="Arial" w:cs="Arial"/>
                <w:sz w:val="18"/>
                <w:szCs w:val="18"/>
                <w:lang w:eastAsia="en-US"/>
              </w:rPr>
              <w:t>United States</w:t>
            </w:r>
          </w:p>
        </w:tc>
        <w:tc>
          <w:tcPr>
            <w:tcW w:w="591"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Primary l</w:t>
            </w:r>
            <w:r w:rsidRPr="008A0D01">
              <w:rPr>
                <w:rFonts w:ascii="Arial" w:hAnsi="Arial" w:cs="Arial"/>
                <w:bCs/>
                <w:sz w:val="18"/>
                <w:szCs w:val="18"/>
                <w:lang w:eastAsia="en-US"/>
              </w:rPr>
              <w:t xml:space="preserve">ongitudinal </w:t>
            </w:r>
            <w:r w:rsidRPr="008A0D01">
              <w:rPr>
                <w:rFonts w:ascii="Arial" w:hAnsi="Arial" w:cs="Arial"/>
                <w:sz w:val="18"/>
                <w:szCs w:val="18"/>
                <w:lang w:eastAsia="en-US"/>
              </w:rPr>
              <w:t>research (interviews, urinalysis and pre-existing criminal justice data)</w:t>
            </w:r>
          </w:p>
        </w:tc>
        <w:tc>
          <w:tcPr>
            <w:tcW w:w="654"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N=581 male heroin addicts admitted between 1962 and 1964.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Followed up at 3 time points (1974</w:t>
            </w:r>
            <w:r w:rsidRPr="008A0D01">
              <w:rPr>
                <w:rFonts w:ascii="Arial" w:hAnsi="Arial" w:cs="Arial"/>
                <w:bCs/>
                <w:sz w:val="18"/>
                <w:szCs w:val="18"/>
                <w:lang w:eastAsia="en-US"/>
              </w:rPr>
              <w:t>–</w:t>
            </w:r>
            <w:r w:rsidRPr="008A0D01">
              <w:rPr>
                <w:rFonts w:ascii="Arial" w:hAnsi="Arial" w:cs="Arial"/>
                <w:sz w:val="18"/>
                <w:szCs w:val="18"/>
                <w:lang w:eastAsia="en-US"/>
              </w:rPr>
              <w:t>1975, 1985</w:t>
            </w:r>
            <w:r w:rsidRPr="008A0D01">
              <w:rPr>
                <w:rFonts w:ascii="Arial" w:hAnsi="Arial" w:cs="Arial"/>
                <w:bCs/>
                <w:sz w:val="18"/>
                <w:szCs w:val="18"/>
                <w:lang w:eastAsia="en-US"/>
              </w:rPr>
              <w:t>–</w:t>
            </w:r>
            <w:r w:rsidRPr="008A0D01">
              <w:rPr>
                <w:rFonts w:ascii="Arial" w:hAnsi="Arial" w:cs="Arial"/>
                <w:sz w:val="18"/>
                <w:szCs w:val="18"/>
                <w:lang w:eastAsia="en-US"/>
              </w:rPr>
              <w:t>1986 and 1996</w:t>
            </w:r>
            <w:r w:rsidRPr="008A0D01">
              <w:rPr>
                <w:rFonts w:ascii="Arial" w:hAnsi="Arial" w:cs="Arial"/>
                <w:bCs/>
                <w:sz w:val="18"/>
                <w:szCs w:val="18"/>
                <w:lang w:eastAsia="en-US"/>
              </w:rPr>
              <w:t>–</w:t>
            </w:r>
            <w:r w:rsidRPr="008A0D01">
              <w:rPr>
                <w:rFonts w:ascii="Arial" w:hAnsi="Arial" w:cs="Arial"/>
                <w:sz w:val="18"/>
                <w:szCs w:val="18"/>
                <w:lang w:eastAsia="en-US"/>
              </w:rPr>
              <w:t>1997)</w:t>
            </w:r>
          </w:p>
        </w:tc>
        <w:tc>
          <w:tcPr>
            <w:tcW w:w="446"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Not applicable</w:t>
            </w:r>
          </w:p>
        </w:tc>
        <w:tc>
          <w:tcPr>
            <w:tcW w:w="764"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By age 50-60 years approximately half of the 242 interviewed subjects tested negative for heroin</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A fifth of heroin users were still active us</w:t>
            </w:r>
            <w:r>
              <w:rPr>
                <w:rFonts w:ascii="Arial" w:hAnsi="Arial" w:cs="Arial"/>
                <w:bCs/>
                <w:sz w:val="18"/>
                <w:szCs w:val="18"/>
                <w:lang w:eastAsia="en-US"/>
              </w:rPr>
              <w:t>ers, now aged in their late 50s</w:t>
            </w:r>
          </w:p>
        </w:tc>
        <w:tc>
          <w:tcPr>
            <w:tcW w:w="740" w:type="pct"/>
            <w:shd w:val="clear" w:color="auto" w:fill="auto"/>
          </w:tcPr>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Steady increases in deaths and stable heroin use</w:t>
            </w:r>
          </w:p>
          <w:p w:rsidR="003B0DEE" w:rsidRPr="008A0D01" w:rsidRDefault="003B0DEE" w:rsidP="000D5D90">
            <w:pPr>
              <w:tabs>
                <w:tab w:val="left" w:pos="8325"/>
              </w:tabs>
              <w:jc w:val="left"/>
              <w:rPr>
                <w:rFonts w:ascii="Arial" w:hAnsi="Arial" w:cs="Arial"/>
                <w:bCs/>
                <w:sz w:val="18"/>
                <w:szCs w:val="18"/>
                <w:lang w:eastAsia="en-US"/>
              </w:rPr>
            </w:pPr>
            <w:r w:rsidRPr="008A0D01">
              <w:rPr>
                <w:rFonts w:ascii="Arial" w:hAnsi="Arial" w:cs="Arial"/>
                <w:bCs/>
                <w:sz w:val="18"/>
                <w:szCs w:val="18"/>
                <w:lang w:eastAsia="en-US"/>
              </w:rPr>
              <w:t>- Long term heroin abstinence is associated with less criminality, morbidity, psychological distress and higher employment</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bCs/>
                <w:sz w:val="18"/>
                <w:szCs w:val="18"/>
                <w:lang w:eastAsia="en-US"/>
              </w:rPr>
              <w:t>- Five years heroin abstinence considerably reduced the likelihood of future relapse</w:t>
            </w:r>
          </w:p>
        </w:tc>
        <w:tc>
          <w:tcPr>
            <w:tcW w:w="866" w:type="pct"/>
            <w:shd w:val="clear" w:color="auto" w:fill="auto"/>
          </w:tcPr>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xml:space="preserve">- Treatment programmes should focus on incremental improvements </w:t>
            </w:r>
            <w:r>
              <w:rPr>
                <w:rFonts w:ascii="Arial" w:hAnsi="Arial" w:cs="Arial"/>
                <w:sz w:val="18"/>
                <w:szCs w:val="18"/>
                <w:lang w:eastAsia="en-US"/>
              </w:rPr>
              <w:t>rather than lifelong abstinence</w:t>
            </w:r>
            <w:r w:rsidRPr="008A0D01">
              <w:rPr>
                <w:rFonts w:ascii="Arial" w:hAnsi="Arial" w:cs="Arial"/>
                <w:sz w:val="18"/>
                <w:szCs w:val="18"/>
                <w:lang w:eastAsia="en-US"/>
              </w:rPr>
              <w:t xml:space="preserve"> </w:t>
            </w:r>
          </w:p>
          <w:p w:rsidR="003B0DEE" w:rsidRPr="008A0D01" w:rsidRDefault="003B0DEE" w:rsidP="000D5D90">
            <w:pPr>
              <w:tabs>
                <w:tab w:val="left" w:pos="8325"/>
              </w:tabs>
              <w:jc w:val="left"/>
              <w:rPr>
                <w:rFonts w:ascii="Arial" w:hAnsi="Arial" w:cs="Arial"/>
                <w:sz w:val="18"/>
                <w:szCs w:val="18"/>
                <w:lang w:eastAsia="en-US"/>
              </w:rPr>
            </w:pPr>
            <w:r w:rsidRPr="008A0D01">
              <w:rPr>
                <w:rFonts w:ascii="Arial" w:hAnsi="Arial" w:cs="Arial"/>
                <w:sz w:val="18"/>
                <w:szCs w:val="18"/>
                <w:lang w:eastAsia="en-US"/>
              </w:rPr>
              <w:t>- Treatment programmes should consider the social and physic</w:t>
            </w:r>
            <w:r>
              <w:rPr>
                <w:rFonts w:ascii="Arial" w:hAnsi="Arial" w:cs="Arial"/>
                <w:sz w:val="18"/>
                <w:szCs w:val="18"/>
                <w:lang w:eastAsia="en-US"/>
              </w:rPr>
              <w:t>al health needs of older adults</w:t>
            </w:r>
            <w:r w:rsidRPr="008A0D01">
              <w:rPr>
                <w:rFonts w:ascii="Arial" w:hAnsi="Arial" w:cs="Arial"/>
                <w:sz w:val="18"/>
                <w:szCs w:val="18"/>
                <w:lang w:eastAsia="en-US"/>
              </w:rPr>
              <w:t xml:space="preserve"> </w:t>
            </w:r>
          </w:p>
        </w:tc>
      </w:tr>
    </w:tbl>
    <w:p w:rsidR="003B0DEE" w:rsidRDefault="003B0DEE" w:rsidP="000D5D90">
      <w:pPr>
        <w:sectPr w:rsidR="003B0DEE" w:rsidSect="000D5D90">
          <w:pgSz w:w="16840" w:h="11907" w:orient="landscape" w:code="9"/>
          <w:pgMar w:top="1985" w:right="1134" w:bottom="1134" w:left="1134" w:header="709" w:footer="709" w:gutter="0"/>
          <w:cols w:space="708"/>
          <w:docGrid w:linePitch="360"/>
        </w:sectPr>
      </w:pPr>
    </w:p>
    <w:p w:rsidR="003B0DEE" w:rsidRPr="007C2B59" w:rsidRDefault="003B0DEE" w:rsidP="000D5D90">
      <w:pPr>
        <w:pStyle w:val="Heading1"/>
        <w:rPr>
          <w:color w:val="FFFFFF"/>
          <w:sz w:val="18"/>
        </w:rPr>
      </w:pPr>
      <w:bookmarkStart w:id="33" w:name="_Toc15331655"/>
      <w:r w:rsidRPr="007C2B59">
        <w:rPr>
          <w:color w:val="FFFFFF"/>
          <w:sz w:val="20"/>
        </w:rPr>
        <w:lastRenderedPageBreak/>
        <w:t>Chapter 3</w:t>
      </w:r>
      <w:r w:rsidRPr="007C2B59">
        <w:rPr>
          <w:color w:val="FFFFFF"/>
          <w:sz w:val="20"/>
        </w:rPr>
        <w:tab/>
        <w:t>Theoretical framework, methodological approach and study methods</w:t>
      </w:r>
      <w:bookmarkEnd w:id="33"/>
    </w:p>
    <w:p w:rsidR="003B0DEE" w:rsidRDefault="003B0DEE" w:rsidP="000D5D90">
      <w:pPr>
        <w:pStyle w:val="Chapter"/>
      </w:pPr>
      <w:r w:rsidRPr="00697C05">
        <w:t>Chapter 3</w:t>
      </w:r>
    </w:p>
    <w:p w:rsidR="003B0DEE" w:rsidRDefault="003B0DEE" w:rsidP="000D5D90">
      <w:pPr>
        <w:pStyle w:val="Chapter"/>
      </w:pPr>
      <w:r>
        <w:t xml:space="preserve">Theoretical framework, methodological approach and </w:t>
      </w:r>
    </w:p>
    <w:p w:rsidR="003B0DEE" w:rsidRPr="00697C05" w:rsidRDefault="003B0DEE" w:rsidP="000D5D90">
      <w:pPr>
        <w:pStyle w:val="Chapter"/>
      </w:pPr>
      <w:proofErr w:type="gramStart"/>
      <w:r>
        <w:t>study</w:t>
      </w:r>
      <w:proofErr w:type="gramEnd"/>
      <w:r>
        <w:t xml:space="preserve"> m</w:t>
      </w:r>
      <w:r w:rsidRPr="00697C05">
        <w:t>ethod</w:t>
      </w:r>
      <w:r>
        <w:t>s</w:t>
      </w:r>
    </w:p>
    <w:p w:rsidR="003B0DEE" w:rsidRDefault="003B0DEE" w:rsidP="000D5D90">
      <w:pPr>
        <w:pStyle w:val="Heading2"/>
      </w:pPr>
      <w:bookmarkStart w:id="34" w:name="_Toc15331656"/>
      <w:r w:rsidRPr="00722495">
        <w:t>Introduction</w:t>
      </w:r>
      <w:bookmarkEnd w:id="34"/>
    </w:p>
    <w:p w:rsidR="003B0DEE" w:rsidRPr="00547970" w:rsidRDefault="003B0DEE" w:rsidP="000D5D90">
      <w:pPr>
        <w:pStyle w:val="BodyText"/>
      </w:pPr>
      <w:r w:rsidRPr="00547970">
        <w:t xml:space="preserve">In the previous chapter, the international literature relating to the ageing </w:t>
      </w:r>
      <w:r>
        <w:t>opioid</w:t>
      </w:r>
      <w:r w:rsidRPr="00547970">
        <w:t xml:space="preserve"> treatment population was outlined, and several gaps were highlighted.  In this chapter the research process undertaken to achieve the </w:t>
      </w:r>
      <w:r>
        <w:t xml:space="preserve">overall study </w:t>
      </w:r>
      <w:r w:rsidRPr="00547970">
        <w:t xml:space="preserve">aim </w:t>
      </w:r>
      <w:r>
        <w:t xml:space="preserve">is outlined.  </w:t>
      </w:r>
      <w:r w:rsidRPr="00547970">
        <w:t xml:space="preserve">The methodological design, data sources, selection of measures, ethical approval, data collections and data analysis </w:t>
      </w:r>
      <w:r>
        <w:t>is</w:t>
      </w:r>
      <w:r w:rsidRPr="00547970">
        <w:t xml:space="preserve"> described.  </w:t>
      </w:r>
      <w:r w:rsidRPr="005C4A26">
        <w:t xml:space="preserve">This chapter adds to Chapter </w:t>
      </w:r>
      <w:r>
        <w:t>2</w:t>
      </w:r>
      <w:r w:rsidRPr="005C4A26">
        <w:t xml:space="preserve"> by looking at the broader theoretical concepts that surround the topic of this study.  The role of this theoretical framework is to provide a comprehensive context in which to understand and interpret the findings, presented in Chapters </w:t>
      </w:r>
      <w:r>
        <w:t>4, 5</w:t>
      </w:r>
      <w:r w:rsidRPr="005C4A26">
        <w:t xml:space="preserve"> and </w:t>
      </w:r>
      <w:r>
        <w:t>6</w:t>
      </w:r>
      <w:r w:rsidRPr="005C4A26">
        <w:t>.</w:t>
      </w:r>
    </w:p>
    <w:p w:rsidR="003B0DEE" w:rsidRDefault="003B0DEE" w:rsidP="000D5D90">
      <w:pPr>
        <w:pStyle w:val="Heading2"/>
      </w:pPr>
      <w:bookmarkStart w:id="35" w:name="_Toc15331657"/>
      <w:r>
        <w:t>Aim of the study</w:t>
      </w:r>
      <w:bookmarkEnd w:id="35"/>
    </w:p>
    <w:p w:rsidR="003B0DEE" w:rsidRDefault="003B0DEE" w:rsidP="000D5D90">
      <w:pPr>
        <w:pStyle w:val="BodyText"/>
      </w:pPr>
      <w:r>
        <w:t>The aim of this study wa</w:t>
      </w:r>
      <w:r w:rsidRPr="00547970">
        <w:t>s to investigate</w:t>
      </w:r>
      <w:r>
        <w:t xml:space="preserve"> t</w:t>
      </w:r>
      <w:r w:rsidRPr="00547970">
        <w:t xml:space="preserve">he age profile of the opioid treatment population </w:t>
      </w:r>
      <w:r>
        <w:t>over a twenty-one-year-period</w:t>
      </w:r>
      <w:r w:rsidRPr="00547970">
        <w:t xml:space="preserve"> using routine health surveillance data</w:t>
      </w:r>
      <w:r>
        <w:t>, and to explore typologies of client characteristics, behaviours and associated treatment discharge outcomes</w:t>
      </w:r>
      <w:r w:rsidRPr="00547970">
        <w:t xml:space="preserve">.  </w:t>
      </w:r>
    </w:p>
    <w:p w:rsidR="003B0DEE" w:rsidRDefault="003B0DEE" w:rsidP="000D5D90">
      <w:pPr>
        <w:pStyle w:val="Heading2"/>
      </w:pPr>
      <w:bookmarkStart w:id="36" w:name="_Toc15331658"/>
      <w:r>
        <w:t>Objectives of the study</w:t>
      </w:r>
      <w:bookmarkEnd w:id="36"/>
    </w:p>
    <w:p w:rsidR="003B0DEE" w:rsidRPr="000B6C21" w:rsidRDefault="003B0DEE" w:rsidP="000D5D90">
      <w:pPr>
        <w:spacing w:line="360" w:lineRule="auto"/>
        <w:jc w:val="left"/>
        <w:rPr>
          <w:rFonts w:ascii="Arial" w:hAnsi="Arial" w:cs="Arial"/>
          <w:sz w:val="20"/>
        </w:rPr>
      </w:pPr>
      <w:r w:rsidRPr="000B6C21">
        <w:rPr>
          <w:rFonts w:ascii="Arial" w:hAnsi="Arial" w:cs="Arial"/>
          <w:sz w:val="20"/>
        </w:rPr>
        <w:t xml:space="preserve">The aim was broken down further into the following objectives: </w:t>
      </w:r>
    </w:p>
    <w:p w:rsidR="003B0DEE" w:rsidRPr="000B6C21" w:rsidRDefault="003B0DEE" w:rsidP="000D5D90">
      <w:pPr>
        <w:pStyle w:val="ListParagraph"/>
        <w:numPr>
          <w:ilvl w:val="0"/>
          <w:numId w:val="1"/>
        </w:numPr>
        <w:autoSpaceDE w:val="0"/>
        <w:autoSpaceDN w:val="0"/>
        <w:adjustRightInd w:val="0"/>
        <w:spacing w:before="0" w:after="0"/>
        <w:rPr>
          <w:rFonts w:cs="Arial"/>
        </w:rPr>
      </w:pPr>
      <w:r w:rsidRPr="000B6C21">
        <w:rPr>
          <w:rFonts w:cs="Arial"/>
        </w:rPr>
        <w:t>To undertake a systematic literature review to identify the published literature associated with ageing among people treated for opioid use and outcomes of that treatment.</w:t>
      </w:r>
    </w:p>
    <w:p w:rsidR="003B0DEE" w:rsidRPr="000B6C21" w:rsidRDefault="003B0DEE" w:rsidP="000D5D90">
      <w:pPr>
        <w:pStyle w:val="ListParagraph"/>
        <w:numPr>
          <w:ilvl w:val="0"/>
          <w:numId w:val="1"/>
        </w:numPr>
        <w:rPr>
          <w:rFonts w:cs="Arial"/>
        </w:rPr>
      </w:pPr>
      <w:r w:rsidRPr="000B6C21">
        <w:rPr>
          <w:rFonts w:cs="Arial"/>
        </w:rPr>
        <w:t>To utilise epidemiological treatment data mandated by the European Union to explore and document how the opioid treatmen</w:t>
      </w:r>
      <w:r>
        <w:rPr>
          <w:rFonts w:cs="Arial"/>
        </w:rPr>
        <w:t>t population has aged over a 21-</w:t>
      </w:r>
      <w:r w:rsidRPr="000B6C21">
        <w:rPr>
          <w:rFonts w:cs="Arial"/>
        </w:rPr>
        <w:t>year</w:t>
      </w:r>
      <w:r>
        <w:rPr>
          <w:rFonts w:cs="Arial"/>
        </w:rPr>
        <w:t>-</w:t>
      </w:r>
      <w:r w:rsidRPr="000B6C21">
        <w:rPr>
          <w:rFonts w:cs="Arial"/>
        </w:rPr>
        <w:t>period</w:t>
      </w:r>
      <w:r>
        <w:rPr>
          <w:rFonts w:cs="Arial"/>
        </w:rPr>
        <w:t>, 1995 to 2015</w:t>
      </w:r>
      <w:r w:rsidRPr="000B6C21">
        <w:rPr>
          <w:rFonts w:cs="Arial"/>
        </w:rPr>
        <w:t xml:space="preserve">. </w:t>
      </w:r>
    </w:p>
    <w:p w:rsidR="003B0DEE" w:rsidRPr="000B6C21" w:rsidRDefault="003B0DEE" w:rsidP="000D5D90">
      <w:pPr>
        <w:pStyle w:val="ListParagraph"/>
        <w:numPr>
          <w:ilvl w:val="0"/>
          <w:numId w:val="1"/>
        </w:numPr>
        <w:rPr>
          <w:rFonts w:cs="Arial"/>
        </w:rPr>
      </w:pPr>
      <w:r w:rsidRPr="000B6C21">
        <w:rPr>
          <w:rFonts w:cs="Arial"/>
        </w:rPr>
        <w:t xml:space="preserve">To examine the typology of </w:t>
      </w:r>
      <w:r>
        <w:rPr>
          <w:rFonts w:cs="Arial"/>
        </w:rPr>
        <w:t>opioid-using</w:t>
      </w:r>
      <w:r w:rsidRPr="000B6C21">
        <w:rPr>
          <w:rFonts w:cs="Arial"/>
        </w:rPr>
        <w:t xml:space="preserve"> behaviours and client characteristics among opioid treatment entrants. </w:t>
      </w:r>
    </w:p>
    <w:p w:rsidR="003B0DEE" w:rsidRPr="000B6C21" w:rsidRDefault="003B0DEE" w:rsidP="000D5D90">
      <w:pPr>
        <w:pStyle w:val="ListParagraph"/>
        <w:numPr>
          <w:ilvl w:val="0"/>
          <w:numId w:val="1"/>
        </w:numPr>
        <w:rPr>
          <w:rFonts w:cs="Arial"/>
        </w:rPr>
      </w:pPr>
      <w:r w:rsidRPr="000B6C21">
        <w:rPr>
          <w:rFonts w:cs="Arial"/>
        </w:rPr>
        <w:t xml:space="preserve">To report treatment retention and completion rates for opioid treatment entrants and explore which characteristics </w:t>
      </w:r>
      <w:r>
        <w:rPr>
          <w:rFonts w:cs="Arial"/>
        </w:rPr>
        <w:t xml:space="preserve">(such as age) </w:t>
      </w:r>
      <w:r w:rsidRPr="000B6C21">
        <w:rPr>
          <w:rFonts w:cs="Arial"/>
        </w:rPr>
        <w:t>may be associated with treatment completion, retention and dropout.</w:t>
      </w:r>
    </w:p>
    <w:p w:rsidR="003B0DEE" w:rsidRDefault="003B0DEE" w:rsidP="000D5D90">
      <w:pPr>
        <w:pStyle w:val="Heading2"/>
      </w:pPr>
      <w:bookmarkStart w:id="37" w:name="_Toc15331659"/>
      <w:r>
        <w:t>Research process</w:t>
      </w:r>
      <w:bookmarkEnd w:id="37"/>
    </w:p>
    <w:p w:rsidR="003B0DEE" w:rsidRPr="00040009" w:rsidRDefault="003B0DEE" w:rsidP="000D5D90">
      <w:pPr>
        <w:pStyle w:val="BodyText"/>
      </w:pPr>
      <w:r>
        <w:t>In this study, t</w:t>
      </w:r>
      <w:r w:rsidRPr="007B733F">
        <w:t xml:space="preserve">he research process was informed by Crotty’s framework for social research </w:t>
      </w:r>
      <w:r>
        <w:t xml:space="preserve">design </w:t>
      </w:r>
      <w:r>
        <w:rPr>
          <w:noProof/>
        </w:rPr>
        <w:t>(Crotty 1998)</w:t>
      </w:r>
      <w:proofErr w:type="gramStart"/>
      <w:r w:rsidRPr="007B733F">
        <w:t>.</w:t>
      </w:r>
      <w:r>
        <w:t xml:space="preserve"> </w:t>
      </w:r>
      <w:proofErr w:type="gramEnd"/>
      <w:r>
        <w:t>Crotty’s four elements of the research process are; epistemology, theoretical perspective, methodology and methods</w:t>
      </w:r>
      <w:r w:rsidRPr="007B733F">
        <w:t xml:space="preserve">. </w:t>
      </w:r>
    </w:p>
    <w:p w:rsidR="003B0DEE" w:rsidRDefault="003B0DEE" w:rsidP="000D5D90">
      <w:pPr>
        <w:pStyle w:val="Heading3"/>
      </w:pPr>
      <w:bookmarkStart w:id="38" w:name="_Toc15331660"/>
      <w:r>
        <w:lastRenderedPageBreak/>
        <w:t>Study paradigm</w:t>
      </w:r>
      <w:bookmarkEnd w:id="38"/>
      <w:r>
        <w:t xml:space="preserve"> </w:t>
      </w:r>
    </w:p>
    <w:p w:rsidR="003B0DEE" w:rsidRDefault="003B0DEE" w:rsidP="000D5D90">
      <w:pPr>
        <w:pStyle w:val="BodyText"/>
      </w:pPr>
      <w:r>
        <w:t xml:space="preserve">A paradigm consists of ontology, epistemology, methodology, and methods.  Ontology is the study of being </w:t>
      </w:r>
      <w:r>
        <w:rPr>
          <w:noProof/>
        </w:rPr>
        <w:t>(Crotty 1998)</w:t>
      </w:r>
      <w:r>
        <w:t xml:space="preserve">, and is concerned with what constitutes reality.  Research methods can be traced back through methodology (the research strategy) and epistemology (assumptions about how knowledge is generated) to an ontological position.  </w:t>
      </w:r>
      <w:r w:rsidRPr="00104ED8">
        <w:t xml:space="preserve">The scientific paradigm </w:t>
      </w:r>
      <w:r>
        <w:t>rose to</w:t>
      </w:r>
      <w:r w:rsidRPr="00104ED8">
        <w:t xml:space="preserve"> prominence during the Enlightenment (1685</w:t>
      </w:r>
      <w:r w:rsidRPr="00D224FA">
        <w:t>–</w:t>
      </w:r>
      <w:r w:rsidRPr="00104ED8">
        <w:t xml:space="preserve">1815).  The term “scientific method” originated from the positivist philosophical paradigm which can be traced back to Aristotle, Galileo and Descartes </w:t>
      </w:r>
      <w:r>
        <w:rPr>
          <w:noProof/>
        </w:rPr>
        <w:t>(Fuller 2013)</w:t>
      </w:r>
      <w:r w:rsidRPr="00104ED8">
        <w:t xml:space="preserve">.  The scientific method is defined as “the process of formulating a hypothesis, performing objective experiments, and engaging in sound reasoning supported by the collection of data” </w:t>
      </w:r>
      <w:r>
        <w:rPr>
          <w:noProof/>
        </w:rPr>
        <w:t>(Persaud 1997)</w:t>
      </w:r>
      <w:r w:rsidRPr="00104ED8">
        <w:t xml:space="preserve">.  A hypothesis is defined as “a belief about what is true” </w:t>
      </w:r>
      <w:r>
        <w:rPr>
          <w:noProof/>
        </w:rPr>
        <w:t>(Howlett</w:t>
      </w:r>
      <w:r w:rsidRPr="00791A95">
        <w:rPr>
          <w:i/>
          <w:noProof/>
        </w:rPr>
        <w:t xml:space="preserve"> et al.</w:t>
      </w:r>
      <w:r>
        <w:rPr>
          <w:noProof/>
        </w:rPr>
        <w:t xml:space="preserve"> 2013)</w:t>
      </w:r>
      <w:r w:rsidRPr="00104ED8">
        <w:t xml:space="preserve">.  The scientific paradigm is concerned with predictions and generalisations, and therefore </w:t>
      </w:r>
      <w:r w:rsidRPr="0007022A">
        <w:t xml:space="preserve">quantitative </w:t>
      </w:r>
      <w:r>
        <w:t xml:space="preserve">research </w:t>
      </w:r>
      <w:r w:rsidRPr="00104ED8">
        <w:t xml:space="preserve">methods frequently </w:t>
      </w:r>
      <w:r>
        <w:t xml:space="preserve">utilised </w:t>
      </w:r>
      <w:r>
        <w:rPr>
          <w:noProof/>
        </w:rPr>
        <w:t>(Pring 2000)</w:t>
      </w:r>
      <w:r w:rsidRPr="00104ED8">
        <w:t xml:space="preserve">.  </w:t>
      </w:r>
      <w:r>
        <w:t xml:space="preserve">According to the </w:t>
      </w:r>
      <w:r w:rsidRPr="00313148">
        <w:t>scientific paradigm</w:t>
      </w:r>
      <w:r>
        <w:t>, good r</w:t>
      </w:r>
      <w:r w:rsidRPr="00104ED8">
        <w:t xml:space="preserve">esearch </w:t>
      </w:r>
      <w:r>
        <w:t xml:space="preserve">is characterised by (1) </w:t>
      </w:r>
      <w:r w:rsidRPr="006374A5">
        <w:t>internal validity</w:t>
      </w:r>
      <w:r w:rsidRPr="00104ED8">
        <w:t xml:space="preserve"> (</w:t>
      </w:r>
      <w:r>
        <w:t xml:space="preserve">results are </w:t>
      </w:r>
      <w:r w:rsidRPr="00E651AE">
        <w:t>due to the independent variable</w:t>
      </w:r>
      <w:r w:rsidRPr="00104ED8">
        <w:t xml:space="preserve">), </w:t>
      </w:r>
      <w:r>
        <w:t xml:space="preserve">(2) </w:t>
      </w:r>
      <w:r w:rsidRPr="00A94C67">
        <w:t>external validity</w:t>
      </w:r>
      <w:r w:rsidRPr="00104ED8">
        <w:t xml:space="preserve"> (</w:t>
      </w:r>
      <w:r>
        <w:t xml:space="preserve">results </w:t>
      </w:r>
      <w:r w:rsidRPr="00443F97">
        <w:t>can be generali</w:t>
      </w:r>
      <w:r>
        <w:t>s</w:t>
      </w:r>
      <w:r w:rsidRPr="00443F97">
        <w:t>ed to other populations or situations</w:t>
      </w:r>
      <w:r w:rsidRPr="00104ED8">
        <w:t>), and</w:t>
      </w:r>
      <w:r>
        <w:t xml:space="preserve"> (3) </w:t>
      </w:r>
      <w:r w:rsidRPr="00790016">
        <w:t>replicable and reliable</w:t>
      </w:r>
      <w:r w:rsidRPr="00104ED8">
        <w:t xml:space="preserve"> (</w:t>
      </w:r>
      <w:r w:rsidRPr="004851FC">
        <w:t>different researchers can record the same data in the same way and arrive at the same conclusions</w:t>
      </w:r>
      <w:r w:rsidRPr="00104ED8">
        <w:t>)</w:t>
      </w:r>
      <w:r>
        <w:t xml:space="preserve"> </w:t>
      </w:r>
      <w:r>
        <w:rPr>
          <w:noProof/>
        </w:rPr>
        <w:t>(Scotland 2012)</w:t>
      </w:r>
      <w:r w:rsidRPr="00104ED8">
        <w:t xml:space="preserve">. </w:t>
      </w:r>
    </w:p>
    <w:p w:rsidR="003B0DEE" w:rsidRDefault="003B0DEE" w:rsidP="000D5D90">
      <w:pPr>
        <w:pStyle w:val="Heading3"/>
      </w:pPr>
      <w:bookmarkStart w:id="39" w:name="_Toc15331661"/>
      <w:r w:rsidRPr="00547970">
        <w:t>Epistemological approach</w:t>
      </w:r>
      <w:bookmarkEnd w:id="39"/>
    </w:p>
    <w:p w:rsidR="003B0DEE" w:rsidRPr="007B733F" w:rsidRDefault="003B0DEE" w:rsidP="000D5D90">
      <w:pPr>
        <w:pStyle w:val="BodyText"/>
        <w:rPr>
          <w:highlight w:val="yellow"/>
        </w:rPr>
      </w:pPr>
      <w:r w:rsidRPr="007B733F">
        <w:t xml:space="preserve">Epistemology </w:t>
      </w:r>
      <w:r>
        <w:t>is th</w:t>
      </w:r>
      <w:r w:rsidRPr="007B733F">
        <w:t>e philosophy of knowledge</w:t>
      </w:r>
      <w:r>
        <w:t xml:space="preserve"> and is</w:t>
      </w:r>
      <w:r w:rsidRPr="007B733F">
        <w:t xml:space="preserve"> concerned with how knowledge can be created, acquired and communicated</w:t>
      </w:r>
      <w:r>
        <w:t xml:space="preserve"> </w:t>
      </w:r>
      <w:r>
        <w:rPr>
          <w:noProof/>
        </w:rPr>
        <w:t>(Scotland 2012)</w:t>
      </w:r>
      <w:r>
        <w:t xml:space="preserve">.  </w:t>
      </w:r>
      <w:r w:rsidRPr="007B733F">
        <w:t>The philosophy of knowledge underpinning</w:t>
      </w:r>
      <w:r>
        <w:t xml:space="preserve"> the </w:t>
      </w:r>
      <w:r w:rsidRPr="00104ED8">
        <w:t>scientific paradigm is</w:t>
      </w:r>
      <w:r>
        <w:t xml:space="preserve"> objectivism, which </w:t>
      </w:r>
      <w:r w:rsidRPr="007B733F">
        <w:t>seeks to discover the truth about the world</w:t>
      </w:r>
      <w:r>
        <w:t xml:space="preserve"> </w:t>
      </w:r>
      <w:r w:rsidRPr="007B733F">
        <w:t>through observable, measurable facts,</w:t>
      </w:r>
      <w:r>
        <w:t xml:space="preserve"> and </w:t>
      </w:r>
      <w:r w:rsidRPr="007B733F">
        <w:t xml:space="preserve">relies on deductive reasoning to establish theories which can be tested. </w:t>
      </w:r>
      <w:r>
        <w:t xml:space="preserve"> Objectivism requires that </w:t>
      </w:r>
      <w:r w:rsidRPr="00547970">
        <w:t xml:space="preserve">research is carried out </w:t>
      </w:r>
      <w:r>
        <w:t xml:space="preserve">in a </w:t>
      </w:r>
      <w:r w:rsidRPr="00547970">
        <w:t>value-free</w:t>
      </w:r>
      <w:r>
        <w:t xml:space="preserve"> way</w:t>
      </w:r>
      <w:r w:rsidRPr="00547970">
        <w:t xml:space="preserve">, so that the researcher is </w:t>
      </w:r>
      <w:r>
        <w:t xml:space="preserve">detached from the </w:t>
      </w:r>
      <w:r w:rsidRPr="00547970">
        <w:t>research</w:t>
      </w:r>
      <w:r>
        <w:t xml:space="preserve"> </w:t>
      </w:r>
      <w:r w:rsidRPr="001164F4">
        <w:t>process</w:t>
      </w:r>
      <w:r w:rsidRPr="00547970">
        <w:t>.</w:t>
      </w:r>
      <w:r>
        <w:t xml:space="preserve">  </w:t>
      </w:r>
      <w:r w:rsidRPr="007B733F">
        <w:t>In order to meet the aims and objectives of this study the researcher utilise</w:t>
      </w:r>
      <w:r>
        <w:t>d</w:t>
      </w:r>
      <w:r w:rsidRPr="007B733F">
        <w:t xml:space="preserve"> existing data </w:t>
      </w:r>
      <w:r>
        <w:t>on</w:t>
      </w:r>
      <w:r w:rsidRPr="007B733F">
        <w:t xml:space="preserve"> opioid treatment admissions</w:t>
      </w:r>
      <w:r>
        <w:t>, e</w:t>
      </w:r>
      <w:r w:rsidRPr="007B733F">
        <w:t xml:space="preserve">xamining </w:t>
      </w:r>
      <w:r>
        <w:t>them</w:t>
      </w:r>
      <w:r w:rsidRPr="007B733F">
        <w:t xml:space="preserve"> as objective, bias-free facts in a deductive way.  Therefore, the interpretation of data in this study was directed by deductive reasoning underpinned by an objectivist epistemology.</w:t>
      </w:r>
    </w:p>
    <w:p w:rsidR="003B0DEE" w:rsidRPr="00BC6AA6" w:rsidRDefault="003B0DEE" w:rsidP="000D5D90">
      <w:pPr>
        <w:pStyle w:val="Heading3"/>
      </w:pPr>
      <w:bookmarkStart w:id="40" w:name="_Toc15331662"/>
      <w:r>
        <w:t>Theoretical perspective</w:t>
      </w:r>
      <w:bookmarkEnd w:id="40"/>
    </w:p>
    <w:p w:rsidR="003B0DEE" w:rsidRDefault="003B0DEE" w:rsidP="000D5D90">
      <w:pPr>
        <w:pStyle w:val="BodyText"/>
      </w:pPr>
      <w:r w:rsidRPr="00547970">
        <w:t xml:space="preserve">The procedural foundations of quantitative research are underpinned in positivism </w:t>
      </w:r>
      <w:r>
        <w:rPr>
          <w:noProof/>
        </w:rPr>
        <w:t>(Howlett</w:t>
      </w:r>
      <w:r w:rsidRPr="00791A95">
        <w:rPr>
          <w:i/>
          <w:noProof/>
        </w:rPr>
        <w:t xml:space="preserve"> et al.</w:t>
      </w:r>
      <w:r>
        <w:rPr>
          <w:noProof/>
        </w:rPr>
        <w:t xml:space="preserve"> 2013)</w:t>
      </w:r>
      <w:proofErr w:type="gramStart"/>
      <w:r w:rsidRPr="00547970">
        <w:t xml:space="preserve">. </w:t>
      </w:r>
      <w:proofErr w:type="gramEnd"/>
      <w:r w:rsidRPr="00547970">
        <w:t xml:space="preserve">Positivism reflects the philosophical stance of the natural scientist whereby the goal is to obtain knowledge by observing and measuring </w:t>
      </w:r>
      <w:r>
        <w:rPr>
          <w:noProof/>
        </w:rPr>
        <w:t>(Lincoln &amp; Guba 2000)</w:t>
      </w:r>
      <w:r w:rsidRPr="00547970">
        <w:t>.  Positivists believe that the universe is deterministic (governed by cause and effect) and is understood through a methodology of observation, measurement and repeatable experiments</w:t>
      </w:r>
      <w:r>
        <w:t>.  Thus</w:t>
      </w:r>
      <w:r w:rsidR="009D2A34">
        <w:t>,</w:t>
      </w:r>
      <w:r>
        <w:t xml:space="preserve"> p</w:t>
      </w:r>
      <w:r w:rsidRPr="00BE2C8F">
        <w:t xml:space="preserve">ositivistic statements are descriptive and factual. </w:t>
      </w:r>
      <w:r>
        <w:t xml:space="preserve"> </w:t>
      </w:r>
      <w:r w:rsidRPr="00547970">
        <w:t>Positivism highlights the importance of objectivity in studying observable components and research is carried out in such a way that it is value-free, so that the researcher is separate to the research.  The task of positivist theory is to analyse what reality is by describing and explaining, and through causal relationships identifying what will happen in the future</w:t>
      </w:r>
      <w:proofErr w:type="gramStart"/>
      <w:r>
        <w:t>.</w:t>
      </w:r>
      <w:r w:rsidRPr="00547970">
        <w:t xml:space="preserve"> </w:t>
      </w:r>
      <w:proofErr w:type="gramEnd"/>
      <w:r>
        <w:t>T</w:t>
      </w:r>
      <w:r w:rsidRPr="00547970">
        <w:t>herefore</w:t>
      </w:r>
      <w:r>
        <w:t>,</w:t>
      </w:r>
      <w:r w:rsidRPr="00547970">
        <w:t xml:space="preserve"> positivists also predict and prescribe.  </w:t>
      </w:r>
    </w:p>
    <w:p w:rsidR="003B0DEE" w:rsidRPr="00DD0DFA" w:rsidRDefault="003B0DEE" w:rsidP="000D5D90">
      <w:pPr>
        <w:pStyle w:val="BodyText"/>
      </w:pPr>
      <w:r w:rsidRPr="00DD0DFA">
        <w:t>Post-positivist theory emerged during the 20</w:t>
      </w:r>
      <w:r w:rsidRPr="00CF782C">
        <w:rPr>
          <w:vertAlign w:val="superscript"/>
        </w:rPr>
        <w:t>th</w:t>
      </w:r>
      <w:r w:rsidRPr="00DD0DFA">
        <w:t xml:space="preserve"> century and is a variant of positivism </w:t>
      </w:r>
      <w:r>
        <w:rPr>
          <w:noProof/>
        </w:rPr>
        <w:t>(Smith 1983, Phillips &amp; Burbules 2000)</w:t>
      </w:r>
      <w:r w:rsidRPr="00DD0DFA">
        <w:t xml:space="preserve">.  Although post-positivism has similar ontological and epistemological beliefs as positivism, it differs in several ways.  The main differences are (1) that post-positivists </w:t>
      </w:r>
      <w:r w:rsidRPr="00DD0DFA">
        <w:lastRenderedPageBreak/>
        <w:t xml:space="preserve">believe that absolute objectivity is not possible as the researcher’s background may influence what is observed, and (2) unlike positivists, post-positivists are open to being proven wrong.  Post-positivists believe that results which can be replicated are likely to be true </w:t>
      </w:r>
      <w:r>
        <w:rPr>
          <w:noProof/>
        </w:rPr>
        <w:t>(Creswell 2003)</w:t>
      </w:r>
      <w:r w:rsidRPr="00DD0DFA">
        <w:t xml:space="preserve">.  Post-positivism is founded on critical realist ontology </w:t>
      </w:r>
      <w:r>
        <w:rPr>
          <w:noProof/>
        </w:rPr>
        <w:t>(Lincoln &amp; Guba 2000)</w:t>
      </w:r>
      <w:r w:rsidRPr="00DD0DFA">
        <w:t xml:space="preserve">.  Critical realists examine theories of reality in many ways in order to estimate the truth as they believe that it is not possible to perfectly detect reality.  Rather than proving a theory, post-positivism makes a strong case for it by disproving alternative theories.  Expert critique and pre-existing knowledge are used to evaluate findings.  Post-positivists apply the principle of falsification which argues that scientific theories can never be proven true </w:t>
      </w:r>
      <w:r>
        <w:rPr>
          <w:noProof/>
        </w:rPr>
        <w:t>(Ernest 1994)</w:t>
      </w:r>
      <w:proofErr w:type="gramStart"/>
      <w:r w:rsidRPr="00DD0DFA">
        <w:t xml:space="preserve">. </w:t>
      </w:r>
      <w:proofErr w:type="gramEnd"/>
      <w:r w:rsidRPr="00DD0DFA">
        <w:t xml:space="preserve">It is only when all attempts to refute them fail can they be tentatively accepted, and so, “every scientific statement must remain tentative forever” </w:t>
      </w:r>
      <w:r>
        <w:rPr>
          <w:noProof/>
        </w:rPr>
        <w:t>(Popper 1968)</w:t>
      </w:r>
      <w:r w:rsidRPr="00DD0DFA">
        <w:t xml:space="preserve">. </w:t>
      </w:r>
    </w:p>
    <w:p w:rsidR="003B0DEE" w:rsidRPr="00CF782C" w:rsidRDefault="003B0DEE" w:rsidP="000D5D90">
      <w:pPr>
        <w:pStyle w:val="BodyText"/>
      </w:pPr>
      <w:r w:rsidRPr="00DD0DFA">
        <w:t>The post</w:t>
      </w:r>
      <w:r>
        <w:t>-</w:t>
      </w:r>
      <w:r w:rsidRPr="00DD0DFA">
        <w:t>positivist worldview is often referred to as the scientific research</w:t>
      </w:r>
      <w:r>
        <w:t xml:space="preserve"> </w:t>
      </w:r>
      <w:r>
        <w:rPr>
          <w:noProof/>
        </w:rPr>
        <w:t>(Creswell 2014)</w:t>
      </w:r>
      <w:r w:rsidRPr="00DD0DFA">
        <w:t>.  Post</w:t>
      </w:r>
      <w:r>
        <w:t>-</w:t>
      </w:r>
      <w:r w:rsidRPr="00DD0DFA">
        <w:t>positivists believe that theories need to be tested and refined in order to understand the world.  Post</w:t>
      </w:r>
      <w:r>
        <w:t>-</w:t>
      </w:r>
      <w:r w:rsidRPr="00DD0DFA">
        <w:t>positivists are reductionistic in their intent to reduce ideas to a small discrete set which can be tested through research questions, hypothesis and variables.  Knowledge developed through the post</w:t>
      </w:r>
      <w:r>
        <w:t>-</w:t>
      </w:r>
      <w:r w:rsidRPr="00DD0DFA">
        <w:t>positivist approach is grounded in careful observation and measurement of the objective reality.  For the post</w:t>
      </w:r>
      <w:r>
        <w:t>-</w:t>
      </w:r>
      <w:r w:rsidRPr="00DD0DFA">
        <w:t>positivist, developing numeric measures of observations is vital.  Following the post</w:t>
      </w:r>
      <w:r>
        <w:t>-</w:t>
      </w:r>
      <w:r w:rsidRPr="00DD0DFA">
        <w:t>positivist accepted approach to research, a researcher will start with a theory, specify narrow hypotheses, collect data which will support or refute the hypotheses, analyse the data using statistical procedures and hypothesis testing.  Where necessary, the post</w:t>
      </w:r>
      <w:r>
        <w:t>-</w:t>
      </w:r>
      <w:r w:rsidRPr="00DD0DFA">
        <w:t xml:space="preserve">positivist researcher will make revisions and conduct additional tests. </w:t>
      </w:r>
      <w:r>
        <w:t xml:space="preserve"> </w:t>
      </w:r>
      <w:r w:rsidRPr="00CF782C">
        <w:t>As knowledge is tentative, hypotheses are not proven; they are simply not rejected</w:t>
      </w:r>
      <w:r>
        <w:t xml:space="preserve"> </w:t>
      </w:r>
      <w:r>
        <w:rPr>
          <w:noProof/>
        </w:rPr>
        <w:t>(Creswell 2003, Creswell 2014)</w:t>
      </w:r>
      <w:r w:rsidRPr="00CF782C">
        <w:t>.</w:t>
      </w:r>
    </w:p>
    <w:p w:rsidR="003B0DEE" w:rsidRPr="00547970" w:rsidRDefault="003B0DEE" w:rsidP="000D5D90">
      <w:pPr>
        <w:pStyle w:val="Heading3"/>
      </w:pPr>
      <w:bookmarkStart w:id="41" w:name="_Toc15331663"/>
      <w:r w:rsidRPr="00697C05">
        <w:t>Rese</w:t>
      </w:r>
      <w:r w:rsidRPr="00547970">
        <w:t>a</w:t>
      </w:r>
      <w:r w:rsidRPr="00697C05">
        <w:t>rch approach</w:t>
      </w:r>
      <w:bookmarkEnd w:id="41"/>
    </w:p>
    <w:p w:rsidR="003B0DEE" w:rsidRDefault="003B0DEE" w:rsidP="000D5D90">
      <w:pPr>
        <w:pStyle w:val="BodyText"/>
      </w:pPr>
      <w:r w:rsidRPr="00547970">
        <w:t>In this study, the research question aims to investigate the existence of patterns and groups</w:t>
      </w:r>
      <w:r>
        <w:t>.</w:t>
      </w:r>
      <w:r w:rsidRPr="00547970">
        <w:t xml:space="preserve">  Details concerning the ageing of a population over time can only be reliably determined through the use of quantitative data against which the hypothesis can be assessed; therefore</w:t>
      </w:r>
      <w:r>
        <w:t>,</w:t>
      </w:r>
      <w:r w:rsidRPr="00547970">
        <w:t xml:space="preserve"> a post-positivist approach is warranted.  Data is collected and analysed to test the hypothesis.  This approach characterises the relationship between theory and research, and results obtained using this approach are developed through logical reasoning </w:t>
      </w:r>
      <w:r>
        <w:rPr>
          <w:noProof/>
        </w:rPr>
        <w:t>(McKenna</w:t>
      </w:r>
      <w:r w:rsidRPr="00791A95">
        <w:rPr>
          <w:i/>
          <w:noProof/>
        </w:rPr>
        <w:t xml:space="preserve"> et al.</w:t>
      </w:r>
      <w:r>
        <w:rPr>
          <w:noProof/>
        </w:rPr>
        <w:t xml:space="preserve"> 2014)</w:t>
      </w:r>
      <w:r w:rsidRPr="00547970">
        <w:t>.  The findings are compared to existing knowledge in the literature to determine if they correspond with what is already known in the field of addiction.</w:t>
      </w:r>
      <w:r w:rsidRPr="000A6353">
        <w:t xml:space="preserve"> </w:t>
      </w:r>
      <w:r>
        <w:t xml:space="preserve"> In this way, the scientific paradigm was best suited to this study and provides</w:t>
      </w:r>
      <w:r w:rsidRPr="00040009">
        <w:t xml:space="preserve"> the philosophical underpinnings and the basis </w:t>
      </w:r>
      <w:r>
        <w:t>for</w:t>
      </w:r>
      <w:r w:rsidRPr="00040009">
        <w:t xml:space="preserve"> the design and conduct of this study.</w:t>
      </w:r>
    </w:p>
    <w:p w:rsidR="003B0DEE" w:rsidRDefault="003B0DEE" w:rsidP="000D5D90">
      <w:pPr>
        <w:pStyle w:val="Heading3"/>
      </w:pPr>
      <w:bookmarkStart w:id="42" w:name="_Toc15331664"/>
      <w:r>
        <w:t>Methodology</w:t>
      </w:r>
      <w:bookmarkEnd w:id="42"/>
      <w:r>
        <w:t xml:space="preserve"> </w:t>
      </w:r>
    </w:p>
    <w:p w:rsidR="003B0DEE" w:rsidRPr="00697C05" w:rsidRDefault="003B0DEE" w:rsidP="000D5D90">
      <w:pPr>
        <w:pStyle w:val="Heading4"/>
      </w:pPr>
      <w:r w:rsidRPr="00697C05">
        <w:t>Research strategy</w:t>
      </w:r>
    </w:p>
    <w:p w:rsidR="003B0DEE" w:rsidRPr="00547970" w:rsidRDefault="003B0DEE" w:rsidP="000D5D90">
      <w:pPr>
        <w:pStyle w:val="BodyText"/>
      </w:pPr>
      <w:r w:rsidRPr="00547970">
        <w:t xml:space="preserve">A quantitative design was chosen based on the </w:t>
      </w:r>
      <w:r>
        <w:t xml:space="preserve">overall </w:t>
      </w:r>
      <w:r w:rsidRPr="00547970">
        <w:t xml:space="preserve">study </w:t>
      </w:r>
      <w:r>
        <w:t xml:space="preserve">aim </w:t>
      </w:r>
      <w:r w:rsidRPr="00547970">
        <w:t xml:space="preserve">and was considered to be the best fit for the purposes of this research.  This study is a quantitative retrospective cross-sectional study examining </w:t>
      </w:r>
      <w:r>
        <w:t>opioid</w:t>
      </w:r>
      <w:r w:rsidRPr="00547970">
        <w:t xml:space="preserve"> treatment admissions over more than two decades.  Ageing </w:t>
      </w:r>
      <w:r>
        <w:t xml:space="preserve">was </w:t>
      </w:r>
      <w:r w:rsidRPr="00547970">
        <w:t xml:space="preserve">explored </w:t>
      </w:r>
      <w:r>
        <w:t>in the context of</w:t>
      </w:r>
      <w:r w:rsidRPr="00547970">
        <w:t xml:space="preserve"> the European wide epidemiological indicator</w:t>
      </w:r>
      <w:r>
        <w:t xml:space="preserve"> on drug treatment, called the Treatment Demand Indicator (TDI)</w:t>
      </w:r>
      <w:r w:rsidRPr="00547970">
        <w:t xml:space="preserve">.  </w:t>
      </w:r>
      <w:r>
        <w:t xml:space="preserve">The TDI is increasingly used in international analysis as it is </w:t>
      </w:r>
      <w:r>
        <w:lastRenderedPageBreak/>
        <w:t xml:space="preserve">the largest drug dataset in Europe </w:t>
      </w:r>
      <w:r>
        <w:rPr>
          <w:noProof/>
        </w:rPr>
        <w:t>(Montanari</w:t>
      </w:r>
      <w:r w:rsidRPr="0044667A">
        <w:rPr>
          <w:i/>
          <w:noProof/>
        </w:rPr>
        <w:t xml:space="preserve"> et al.</w:t>
      </w:r>
      <w:r>
        <w:rPr>
          <w:noProof/>
        </w:rPr>
        <w:t xml:space="preserve"> 2019)</w:t>
      </w:r>
      <w:proofErr w:type="gramStart"/>
      <w:r>
        <w:t xml:space="preserve">. </w:t>
      </w:r>
      <w:proofErr w:type="gramEnd"/>
      <w:r>
        <w:t xml:space="preserve">The TDI is described in further detail in Section 3.5.1.1.  </w:t>
      </w:r>
    </w:p>
    <w:p w:rsidR="003B0DEE" w:rsidRPr="00697C05" w:rsidRDefault="003B0DEE" w:rsidP="000D5D90">
      <w:pPr>
        <w:pStyle w:val="Heading3"/>
      </w:pPr>
      <w:bookmarkStart w:id="43" w:name="_Toc15331665"/>
      <w:r w:rsidRPr="00697C05">
        <w:t>Research design</w:t>
      </w:r>
      <w:bookmarkEnd w:id="43"/>
      <w:r w:rsidRPr="00697C05">
        <w:t xml:space="preserve"> </w:t>
      </w:r>
    </w:p>
    <w:p w:rsidR="003B0DEE" w:rsidRPr="00697C05" w:rsidRDefault="003B0DEE" w:rsidP="000D5D90">
      <w:pPr>
        <w:pStyle w:val="Heading4"/>
      </w:pPr>
      <w:r w:rsidRPr="00697C05">
        <w:t xml:space="preserve">Secondary data </w:t>
      </w:r>
    </w:p>
    <w:p w:rsidR="003B0DEE" w:rsidRPr="00D13D6C" w:rsidRDefault="003B0DEE" w:rsidP="000D5D90">
      <w:pPr>
        <w:pStyle w:val="BodyText"/>
      </w:pPr>
      <w:r w:rsidRPr="00547970">
        <w:t>This study utilise</w:t>
      </w:r>
      <w:r>
        <w:t>d</w:t>
      </w:r>
      <w:r w:rsidRPr="00547970">
        <w:t xml:space="preserve"> drug treatment data along wi</w:t>
      </w:r>
      <w:r>
        <w:t>th population figures over a 21-year-</w:t>
      </w:r>
      <w:r w:rsidRPr="00547970">
        <w:t>period</w:t>
      </w:r>
      <w:r>
        <w:t>, 1995 to 2015</w:t>
      </w:r>
      <w:r w:rsidRPr="00547970">
        <w:t xml:space="preserve">.  The data collections are outlined below.  The secondary use of data occurs when information is used for purposes other than those originally specified, e.g., data collected in the course of delivery of healthcare being used for epidemiological purposes, such as measuring incidence rates and determining patterns in distribution and determinants of incidence of drug use.  There are distinct advantages in using secondary data over primary data; including time and cost savings, superior quality data collected in a standardised way permitting comparisons over time, and researcher bias is diminished as data are usually collected by others and independent of any hypothesis </w:t>
      </w:r>
      <w:r>
        <w:rPr>
          <w:noProof/>
        </w:rPr>
        <w:t>(Mann 2003, Goodwin 2012)</w:t>
      </w:r>
      <w:r w:rsidRPr="00455BE2">
        <w:t>.  In this study, s</w:t>
      </w:r>
      <w:r w:rsidRPr="00040009">
        <w:t>econdary data was</w:t>
      </w:r>
      <w:r w:rsidRPr="00C36988">
        <w:t xml:space="preserve"> available for all drug treatment admissions </w:t>
      </w:r>
      <w:r>
        <w:t>nationally over a 21-year-</w:t>
      </w:r>
      <w:r w:rsidRPr="00D13D6C">
        <w:t>period</w:t>
      </w:r>
      <w:r>
        <w:t xml:space="preserve"> (1995–2015)</w:t>
      </w:r>
      <w:r w:rsidRPr="00D13D6C">
        <w:t xml:space="preserve">, and is accessible at the individual-observation level.  </w:t>
      </w:r>
    </w:p>
    <w:p w:rsidR="003B0DEE" w:rsidRDefault="003B0DEE" w:rsidP="000D5D90">
      <w:pPr>
        <w:pStyle w:val="Heading2"/>
      </w:pPr>
      <w:bookmarkStart w:id="44" w:name="_Toc15331666"/>
      <w:r>
        <w:t>Study Methods</w:t>
      </w:r>
      <w:bookmarkEnd w:id="44"/>
      <w:r>
        <w:t xml:space="preserve"> </w:t>
      </w:r>
    </w:p>
    <w:p w:rsidR="003B0DEE" w:rsidRPr="00697C05" w:rsidRDefault="003B0DEE" w:rsidP="000D5D90">
      <w:pPr>
        <w:pStyle w:val="Heading3"/>
      </w:pPr>
      <w:bookmarkStart w:id="45" w:name="_Toc15331667"/>
      <w:r w:rsidRPr="00697C05">
        <w:t>Data collections</w:t>
      </w:r>
      <w:bookmarkEnd w:id="45"/>
    </w:p>
    <w:p w:rsidR="003B0DEE" w:rsidRPr="00697C05" w:rsidRDefault="003B0DEE" w:rsidP="000D5D90">
      <w:pPr>
        <w:pStyle w:val="Heading4"/>
      </w:pPr>
      <w:r w:rsidRPr="00697C05">
        <w:t>European drug treatment monitoring</w:t>
      </w:r>
    </w:p>
    <w:p w:rsidR="003B0DEE" w:rsidRPr="00455BE2" w:rsidRDefault="003B0DEE" w:rsidP="000D5D90">
      <w:pPr>
        <w:pStyle w:val="BodyText"/>
      </w:pPr>
      <w:r w:rsidRPr="00547970">
        <w:t xml:space="preserve">The Treatment Demand Indicator (TDI) is an epidemiological indicator following a common European protocol for collecting and reporting core data on people entering drug treatment.  </w:t>
      </w:r>
      <w:r>
        <w:t xml:space="preserve">The TDI is the largest drug dataset in Europe, and </w:t>
      </w:r>
      <w:r w:rsidRPr="00547970">
        <w:t>completed by 3</w:t>
      </w:r>
      <w:r>
        <w:t>0</w:t>
      </w:r>
      <w:r w:rsidRPr="00547970">
        <w:t xml:space="preserve"> countries</w:t>
      </w:r>
      <w:r w:rsidRPr="00455BE2">
        <w:t xml:space="preserve"> </w:t>
      </w:r>
      <w:r>
        <w:t xml:space="preserve">in 2016 </w:t>
      </w:r>
      <w:r>
        <w:rPr>
          <w:noProof/>
        </w:rPr>
        <w:t>(European Monitoring Centre for Drugs and Drug Addiction 2018a, Montanari</w:t>
      </w:r>
      <w:r w:rsidRPr="00244B0D">
        <w:rPr>
          <w:i/>
          <w:noProof/>
        </w:rPr>
        <w:t xml:space="preserve"> et al.</w:t>
      </w:r>
      <w:r>
        <w:rPr>
          <w:noProof/>
        </w:rPr>
        <w:t xml:space="preserve"> 2019)</w:t>
      </w:r>
      <w:r w:rsidRPr="00455BE2">
        <w:t>.  The TDI indicator contributes the overall EMCDDA aim of “providing objective, reliable and comparable information at the European level concerning drugs, drug addiction and their consequences”</w:t>
      </w:r>
      <w:r>
        <w:t xml:space="preserve"> </w:t>
      </w:r>
      <w:r>
        <w:rPr>
          <w:noProof/>
        </w:rPr>
        <w:t>(European Monitoring Centre for Drugs and Drug Addiction 2012b)</w:t>
      </w:r>
      <w:r w:rsidRPr="00455BE2">
        <w:t xml:space="preserve">.  </w:t>
      </w:r>
    </w:p>
    <w:p w:rsidR="003B0DEE" w:rsidRDefault="003B0DEE" w:rsidP="000D5D90">
      <w:pPr>
        <w:pStyle w:val="BodyText"/>
      </w:pPr>
      <w:r>
        <w:t xml:space="preserve">The </w:t>
      </w:r>
      <w:r w:rsidRPr="00040009">
        <w:t xml:space="preserve">TDI methodology ensures that information on people entering drug treatment is </w:t>
      </w:r>
      <w:r w:rsidRPr="00C36988">
        <w:t xml:space="preserve">collected in a </w:t>
      </w:r>
      <w:r>
        <w:t>harmonized, reliable</w:t>
      </w:r>
      <w:r w:rsidRPr="00C36988">
        <w:t xml:space="preserve"> and comparable way across all </w:t>
      </w:r>
      <w:r w:rsidRPr="00D13D6C">
        <w:t xml:space="preserve">European countries. </w:t>
      </w:r>
      <w:r>
        <w:t xml:space="preserve"> </w:t>
      </w:r>
      <w:r w:rsidRPr="00D13D6C">
        <w:t xml:space="preserve">Information is collected on all </w:t>
      </w:r>
      <w:r>
        <w:t>admissions to</w:t>
      </w:r>
      <w:r w:rsidRPr="00D13D6C">
        <w:t xml:space="preserve"> drug treatment during each calendar year.  Standardised data on people commencing drug treatment is collected at treatment centre level and collated nationally and then reported to the EMCDDA in aggregate form.  The TDI standard protocol 3.0 sets out data and reporting requirements and includes definitions, guidelines for data collection, coding, and reporting, along </w:t>
      </w:r>
      <w:proofErr w:type="gramStart"/>
      <w:r w:rsidRPr="00D13D6C">
        <w:t>with  procedures</w:t>
      </w:r>
      <w:proofErr w:type="gramEnd"/>
      <w:r w:rsidRPr="00D13D6C">
        <w:t xml:space="preserve"> for quality control and a consideration of ethical issues </w:t>
      </w:r>
      <w:r>
        <w:rPr>
          <w:noProof/>
        </w:rPr>
        <w:t>(European Monitoring Centre for Drugs and Drug Addiction 2012a)</w:t>
      </w:r>
      <w:r w:rsidRPr="00455BE2">
        <w:t xml:space="preserve">.  The TDI dataset comprises socio-demographic characteristics, drug use profiles, injecting behaviours and treatment contacts. </w:t>
      </w:r>
    </w:p>
    <w:p w:rsidR="003B0DEE" w:rsidRPr="00547970" w:rsidRDefault="003B0DEE" w:rsidP="000D5D90">
      <w:pPr>
        <w:pStyle w:val="BodyText"/>
      </w:pPr>
      <w:r w:rsidRPr="00697C05">
        <w:t xml:space="preserve">European case level data on people entering treatment for the first time is not readily available as the EMCDDA collates national TDI data in aggregate form. </w:t>
      </w:r>
      <w:r>
        <w:t xml:space="preserve"> </w:t>
      </w:r>
      <w:r w:rsidRPr="00697C05">
        <w:t xml:space="preserve">However, </w:t>
      </w:r>
      <w:r w:rsidRPr="00CC2EE5">
        <w:rPr>
          <w:lang w:val="en-IE"/>
        </w:rPr>
        <w:t>anonymised</w:t>
      </w:r>
      <w:r w:rsidRPr="00697C05">
        <w:t xml:space="preserve"> case level data which forms the Irish component of TDI is held at the Health Research Board</w:t>
      </w:r>
      <w:r>
        <w:t xml:space="preserve"> (</w:t>
      </w:r>
      <w:r w:rsidRPr="004D769A">
        <w:t>Ireland’s Focal Point for EMCDDA</w:t>
      </w:r>
      <w:r>
        <w:t>)</w:t>
      </w:r>
      <w:r w:rsidRPr="00697C05">
        <w:t xml:space="preserve"> and is available for analysis upon request.  </w:t>
      </w:r>
      <w:r w:rsidRPr="00DE368F">
        <w:t xml:space="preserve">Further details on data items relevant </w:t>
      </w:r>
      <w:r>
        <w:t xml:space="preserve">to </w:t>
      </w:r>
      <w:r w:rsidRPr="00DE368F">
        <w:lastRenderedPageBreak/>
        <w:t>this study are provided in Appendix 1.</w:t>
      </w:r>
      <w:r w:rsidRPr="00547970">
        <w:t xml:space="preserve">  </w:t>
      </w:r>
    </w:p>
    <w:p w:rsidR="003B0DEE" w:rsidRPr="00697C05" w:rsidRDefault="003B0DEE" w:rsidP="000D5D90">
      <w:pPr>
        <w:pStyle w:val="Heading4"/>
      </w:pPr>
      <w:r>
        <w:t>Irish n</w:t>
      </w:r>
      <w:r w:rsidRPr="00697C05">
        <w:t>ational drug treatment monitoring</w:t>
      </w:r>
    </w:p>
    <w:p w:rsidR="003B0DEE" w:rsidRPr="00697C05" w:rsidRDefault="003B0DEE" w:rsidP="000D5D90">
      <w:pPr>
        <w:pStyle w:val="BodyText"/>
      </w:pPr>
      <w:r w:rsidRPr="00547970">
        <w:t xml:space="preserve">The Irish component of TDI is the National Drug Treatment Reporting System (NDTRS).  </w:t>
      </w:r>
      <w:r>
        <w:t xml:space="preserve">The NDTRS is operated by the Health Research Board, and includes information regarding admissions and discharges from </w:t>
      </w:r>
      <w:r w:rsidRPr="00547970">
        <w:t>drug and alcohol</w:t>
      </w:r>
      <w:r>
        <w:t xml:space="preserve"> treatment </w:t>
      </w:r>
      <w:r w:rsidRPr="00CC2EE5">
        <w:rPr>
          <w:lang w:val="en-IE"/>
        </w:rPr>
        <w:t>programmes</w:t>
      </w:r>
      <w:r>
        <w:t xml:space="preserve"> in Ireland.  </w:t>
      </w:r>
      <w:r w:rsidRPr="00547970">
        <w:t xml:space="preserve">The NDTRS follows the common European TDI protocol for collecting and reporting core data on people entering drug treatment.  The NDTRS requires that one record (form or electronic data) is completed for each new person who has presented for treatment for the first time, and also for each previously treated client returning to treatment for problem drug and/or alcohol use, in every calendar year.  </w:t>
      </w:r>
      <w:r>
        <w:t xml:space="preserve">The NDTRS was rolled out nationally in 1995, subsequently enhancements were made to record treatment discharge data, and these enhancements were implemented on a national basis in 2009.  </w:t>
      </w:r>
      <w:r w:rsidRPr="00697C05">
        <w:t xml:space="preserve">Treatment for problem substance use in Ireland is provided by statutory and non-statutory services, including general hospitals, psychiatric hospitals, community-based services, residential centres and prisons.  Service providers at treatment centres throughout Ireland collect these data </w:t>
      </w:r>
      <w:r>
        <w:t xml:space="preserve">at each stage of the treatment process </w:t>
      </w:r>
      <w:r w:rsidRPr="00697C05">
        <w:t xml:space="preserve">and return anonymised </w:t>
      </w:r>
      <w:r>
        <w:t>data</w:t>
      </w:r>
      <w:r w:rsidRPr="00697C05">
        <w:t xml:space="preserve"> to the NDTRS</w:t>
      </w:r>
      <w:r>
        <w:t xml:space="preserve"> </w:t>
      </w:r>
      <w:r>
        <w:rPr>
          <w:noProof/>
        </w:rPr>
        <w:t>(Carew</w:t>
      </w:r>
      <w:r w:rsidRPr="00791A95">
        <w:rPr>
          <w:i/>
          <w:noProof/>
        </w:rPr>
        <w:t xml:space="preserve"> et al.</w:t>
      </w:r>
      <w:r>
        <w:rPr>
          <w:noProof/>
        </w:rPr>
        <w:t xml:space="preserve"> 2013)</w:t>
      </w:r>
      <w:r w:rsidRPr="00697C05">
        <w:t xml:space="preserve">.  NDTRS data is </w:t>
      </w:r>
      <w:r>
        <w:t xml:space="preserve">an </w:t>
      </w:r>
      <w:r w:rsidRPr="00CC2EE5">
        <w:rPr>
          <w:lang w:val="en-IE"/>
        </w:rPr>
        <w:t>anonymised</w:t>
      </w:r>
      <w:r>
        <w:rPr>
          <w:lang w:val="en-IE"/>
        </w:rPr>
        <w:t xml:space="preserve"> event based register</w:t>
      </w:r>
      <w:r w:rsidRPr="00697C05">
        <w:t xml:space="preserve">.  </w:t>
      </w:r>
      <w:r w:rsidRPr="00547970">
        <w:t xml:space="preserve">This study </w:t>
      </w:r>
      <w:r w:rsidRPr="00CC2EE5">
        <w:rPr>
          <w:lang w:val="en-IE"/>
        </w:rPr>
        <w:t>utilises</w:t>
      </w:r>
      <w:r w:rsidRPr="00547970">
        <w:t xml:space="preserve"> national health surveillance data from the NDTRS since its national rollout in 1995.  </w:t>
      </w:r>
    </w:p>
    <w:p w:rsidR="003B0DEE" w:rsidRPr="00697C05" w:rsidRDefault="003B0DEE" w:rsidP="000D5D90">
      <w:pPr>
        <w:pStyle w:val="Heading4"/>
      </w:pPr>
      <w:r w:rsidRPr="00697C05">
        <w:t xml:space="preserve">Data items recorded in the treatment demand indicator </w:t>
      </w:r>
    </w:p>
    <w:p w:rsidR="003B0DEE" w:rsidRPr="00697C05" w:rsidRDefault="003B0DEE" w:rsidP="000D5D90">
      <w:pPr>
        <w:pStyle w:val="BodyText"/>
      </w:pPr>
      <w:r w:rsidRPr="00697C05">
        <w:t>A treatment case is a person who starts formalised face-to-face treatment for their drug use at a treatment centre during the calendar year (1 January to 31 December).  First treatment is defined as the very first time a person starts treatment for drug problems in their life.  People who are retained in the same treatment from one year to the next are excluded from TDI (for example, people who use heroin in ongoing opioid substitution treatment)</w:t>
      </w:r>
      <w:proofErr w:type="gramStart"/>
      <w:r>
        <w:t>.</w:t>
      </w:r>
      <w:r w:rsidRPr="00697C05">
        <w:t xml:space="preserve"> </w:t>
      </w:r>
      <w:proofErr w:type="gramEnd"/>
      <w:r>
        <w:t>T</w:t>
      </w:r>
      <w:r w:rsidRPr="00697C05">
        <w:t>herefore</w:t>
      </w:r>
      <w:r>
        <w:t>,</w:t>
      </w:r>
      <w:r w:rsidRPr="00697C05">
        <w:t xml:space="preserve"> TDI represents a sub-section of the total population in need of treatment. </w:t>
      </w:r>
    </w:p>
    <w:p w:rsidR="003B0DEE" w:rsidRPr="00697C05" w:rsidRDefault="003B0DEE" w:rsidP="000D5D90">
      <w:pPr>
        <w:pStyle w:val="BodyText"/>
      </w:pPr>
      <w:r w:rsidRPr="00697C05">
        <w:t xml:space="preserve">Anonymised data reported to the NDTRS include: demographic details; socioeconomic information; referral and assessment details; history of previous treatment for problem drug or alcohol use; history of drug experimentation; route of administration, frequency of use, and age at first use for up to four current problem substances; risk behaviours (e.g., injecting drug use); treatment interventions provided, including the screening for and provision of vaccinations for blood-borne viral infections; and details of treatment outcome at the time of discharge or transfer to another service.   </w:t>
      </w:r>
      <w:r>
        <w:t xml:space="preserve">TDI is concerned with treatment admissions only.  Treatment discharge data recorded in the NDTRS is outside of the scope of TDI, national recording of discharge data was implemented in 2009 and provides a complete picture of treatment provided and reasons for discharge.  </w:t>
      </w:r>
    </w:p>
    <w:p w:rsidR="003B0DEE" w:rsidRPr="00697C05" w:rsidRDefault="003B0DEE" w:rsidP="000D5D90">
      <w:pPr>
        <w:pStyle w:val="Heading3"/>
      </w:pPr>
      <w:bookmarkStart w:id="46" w:name="_Toc15331668"/>
      <w:r w:rsidRPr="00697C05">
        <w:t>Data access</w:t>
      </w:r>
      <w:bookmarkEnd w:id="46"/>
      <w:r w:rsidRPr="00697C05">
        <w:t xml:space="preserve"> </w:t>
      </w:r>
    </w:p>
    <w:p w:rsidR="003B0DEE" w:rsidRPr="00697C05" w:rsidRDefault="003B0DEE" w:rsidP="000D5D90">
      <w:pPr>
        <w:pStyle w:val="BodyText"/>
      </w:pPr>
      <w:r w:rsidRPr="00697C05">
        <w:t xml:space="preserve">The researcher submitted data requests to the Health Research Board in April 2016 and February 2018.  Anonymised data </w:t>
      </w:r>
      <w:r>
        <w:t xml:space="preserve">on treatment entrants over a period of </w:t>
      </w:r>
      <w:r w:rsidRPr="00697C05">
        <w:t>21 years (</w:t>
      </w:r>
      <w:r>
        <w:t>1995–2015</w:t>
      </w:r>
      <w:r w:rsidRPr="00697C05">
        <w:t xml:space="preserve"> inclusive) were released by </w:t>
      </w:r>
      <w:r>
        <w:t xml:space="preserve">the </w:t>
      </w:r>
      <w:r w:rsidRPr="00697C05">
        <w:t xml:space="preserve">Health Research Board for use in this study.  </w:t>
      </w:r>
      <w:r>
        <w:t xml:space="preserve">Data was limited to the years 1995 to 2015 inclusive for two reasons; (1), in 1995, the NDTRS collected drug treatment data </w:t>
      </w:r>
      <w:r>
        <w:rPr>
          <w:color w:val="333333"/>
          <w:lang w:val="en"/>
        </w:rPr>
        <w:t>from all areas of the country</w:t>
      </w:r>
      <w:r>
        <w:t xml:space="preserve"> for the very first time, and (2), 2015 was the latest year for which data was </w:t>
      </w:r>
      <w:r>
        <w:lastRenderedPageBreak/>
        <w:t xml:space="preserve">available from the </w:t>
      </w:r>
      <w:r w:rsidRPr="00697C05">
        <w:t>Health Research Board</w:t>
      </w:r>
      <w:r>
        <w:t xml:space="preserve"> for analysis.  Discharge data relating to the study cohort was released separately to the researcher in January 2019 due to operational reasons.  </w:t>
      </w:r>
      <w:r w:rsidRPr="00697C05">
        <w:t xml:space="preserve">National drug treatment data allows for ageing to be assessed in the context of the </w:t>
      </w:r>
      <w:r>
        <w:t>drug treatment</w:t>
      </w:r>
      <w:r w:rsidRPr="00697C05">
        <w:t xml:space="preserve"> population, thus making it the best available data to assess temporal changes in age.  National data also provides a more accurate picture of ageing </w:t>
      </w:r>
      <w:r>
        <w:t xml:space="preserve">among people who use opioid drugs, </w:t>
      </w:r>
      <w:r w:rsidRPr="00697C05">
        <w:t xml:space="preserve">unlike existing small cohort studies. </w:t>
      </w:r>
    </w:p>
    <w:p w:rsidR="003B0DEE" w:rsidRPr="00697C05" w:rsidRDefault="003B0DEE" w:rsidP="000D5D90">
      <w:pPr>
        <w:pStyle w:val="Heading3"/>
      </w:pPr>
      <w:bookmarkStart w:id="47" w:name="_Toc15331669"/>
      <w:r w:rsidRPr="00697C05">
        <w:t>Study population</w:t>
      </w:r>
      <w:bookmarkEnd w:id="47"/>
    </w:p>
    <w:p w:rsidR="003B0DEE" w:rsidRPr="00697C05" w:rsidRDefault="003B0DEE" w:rsidP="000D5D90">
      <w:pPr>
        <w:pStyle w:val="BodyText"/>
      </w:pPr>
      <w:r w:rsidRPr="00697C05">
        <w:t xml:space="preserve">The study population was new persons entering treatment for opioid-related problems in Ireland in the years 1995 to 2015 inclusive.  </w:t>
      </w:r>
      <w:r>
        <w:t xml:space="preserve">Focusing on first-time treatment entrants enables a description of treatment incidence and the identification of recent trends in treatment demand </w:t>
      </w:r>
      <w:r>
        <w:rPr>
          <w:noProof/>
        </w:rPr>
        <w:t>(Montanari</w:t>
      </w:r>
      <w:r w:rsidRPr="004E777B">
        <w:rPr>
          <w:i/>
          <w:noProof/>
        </w:rPr>
        <w:t xml:space="preserve"> et al.</w:t>
      </w:r>
      <w:r>
        <w:rPr>
          <w:noProof/>
        </w:rPr>
        <w:t xml:space="preserve"> 2019)</w:t>
      </w:r>
      <w:r>
        <w:t>.</w:t>
      </w:r>
    </w:p>
    <w:p w:rsidR="003B0DEE" w:rsidRPr="00547970" w:rsidRDefault="003B0DEE" w:rsidP="000D5D90">
      <w:pPr>
        <w:pStyle w:val="Heading4"/>
      </w:pPr>
      <w:r w:rsidRPr="00697C05">
        <w:t>Inclusion and exclusion criteria</w:t>
      </w:r>
    </w:p>
    <w:p w:rsidR="003B0DEE" w:rsidRPr="000B6C21" w:rsidRDefault="003B0DEE" w:rsidP="000D5D90">
      <w:pPr>
        <w:spacing w:line="360" w:lineRule="auto"/>
        <w:jc w:val="left"/>
        <w:rPr>
          <w:rFonts w:ascii="Arial" w:hAnsi="Arial" w:cs="Arial"/>
          <w:sz w:val="20"/>
        </w:rPr>
      </w:pPr>
      <w:r w:rsidRPr="000B6C21">
        <w:rPr>
          <w:rFonts w:ascii="Arial" w:hAnsi="Arial" w:cs="Arial"/>
          <w:sz w:val="20"/>
        </w:rPr>
        <w:t xml:space="preserve">The population of interest in this research included people with </w:t>
      </w:r>
    </w:p>
    <w:p w:rsidR="003B0DEE" w:rsidRPr="000B6C21" w:rsidRDefault="003B0DEE" w:rsidP="000D5D90">
      <w:pPr>
        <w:pStyle w:val="ListParagraph"/>
        <w:numPr>
          <w:ilvl w:val="0"/>
          <w:numId w:val="4"/>
        </w:numPr>
        <w:rPr>
          <w:rFonts w:cs="Arial"/>
        </w:rPr>
      </w:pPr>
      <w:r w:rsidRPr="000B6C21">
        <w:rPr>
          <w:rFonts w:cs="Arial"/>
        </w:rPr>
        <w:t xml:space="preserve">any </w:t>
      </w:r>
      <w:r>
        <w:rPr>
          <w:rFonts w:cs="Arial"/>
        </w:rPr>
        <w:t>opioid</w:t>
      </w:r>
      <w:r w:rsidRPr="000B6C21">
        <w:rPr>
          <w:rFonts w:cs="Arial"/>
        </w:rPr>
        <w:t xml:space="preserve"> use disorder including disorders related to prescription </w:t>
      </w:r>
      <w:r>
        <w:rPr>
          <w:rFonts w:cs="Arial"/>
        </w:rPr>
        <w:t>opioid</w:t>
      </w:r>
      <w:r w:rsidRPr="000B6C21">
        <w:rPr>
          <w:rFonts w:cs="Arial"/>
        </w:rPr>
        <w:t xml:space="preserve"> medications, and illicit drugs; </w:t>
      </w:r>
    </w:p>
    <w:p w:rsidR="003B0DEE" w:rsidRPr="000B6C21" w:rsidRDefault="003B0DEE" w:rsidP="000D5D90">
      <w:pPr>
        <w:spacing w:line="360" w:lineRule="auto"/>
        <w:jc w:val="left"/>
        <w:rPr>
          <w:rFonts w:ascii="Arial" w:hAnsi="Arial" w:cs="Arial"/>
          <w:sz w:val="20"/>
        </w:rPr>
      </w:pPr>
      <w:proofErr w:type="gramStart"/>
      <w:r w:rsidRPr="000B6C21">
        <w:rPr>
          <w:rFonts w:ascii="Arial" w:hAnsi="Arial" w:cs="Arial"/>
          <w:sz w:val="20"/>
        </w:rPr>
        <w:t>receiving</w:t>
      </w:r>
      <w:proofErr w:type="gramEnd"/>
      <w:r w:rsidRPr="000B6C21">
        <w:rPr>
          <w:rFonts w:ascii="Arial" w:hAnsi="Arial" w:cs="Arial"/>
          <w:sz w:val="20"/>
        </w:rPr>
        <w:t xml:space="preserve">  </w:t>
      </w:r>
    </w:p>
    <w:p w:rsidR="003B0DEE" w:rsidRPr="0099433E" w:rsidRDefault="003B0DEE" w:rsidP="000D5D90">
      <w:pPr>
        <w:pStyle w:val="ListParagraph"/>
        <w:numPr>
          <w:ilvl w:val="0"/>
          <w:numId w:val="4"/>
        </w:numPr>
        <w:rPr>
          <w:rFonts w:eastAsia="Arial" w:cs="Arial"/>
          <w:szCs w:val="24"/>
          <w:lang w:val="en-US" w:eastAsia="en-US"/>
        </w:rPr>
      </w:pPr>
      <w:proofErr w:type="gramStart"/>
      <w:r w:rsidRPr="0099433E">
        <w:rPr>
          <w:rFonts w:cs="Arial"/>
        </w:rPr>
        <w:t>any</w:t>
      </w:r>
      <w:proofErr w:type="gramEnd"/>
      <w:r w:rsidRPr="0099433E">
        <w:rPr>
          <w:rFonts w:cs="Arial"/>
        </w:rPr>
        <w:t xml:space="preserve"> intervention including psychosocial interventions and/</w:t>
      </w:r>
      <w:r w:rsidR="009D2A34" w:rsidRPr="0099433E">
        <w:rPr>
          <w:rFonts w:cs="Arial"/>
        </w:rPr>
        <w:t>or pharmacological</w:t>
      </w:r>
      <w:r w:rsidRPr="0099433E">
        <w:rPr>
          <w:rFonts w:cs="Arial"/>
        </w:rPr>
        <w:t xml:space="preserve"> interventions.  </w:t>
      </w:r>
    </w:p>
    <w:p w:rsidR="003B0DEE" w:rsidRPr="0099433E" w:rsidRDefault="003B0DEE" w:rsidP="000D5D90">
      <w:pPr>
        <w:spacing w:line="360" w:lineRule="auto"/>
        <w:jc w:val="left"/>
        <w:rPr>
          <w:rFonts w:ascii="Arial" w:eastAsia="Arial" w:hAnsi="Arial" w:cs="Arial"/>
          <w:sz w:val="20"/>
          <w:lang w:val="en-US" w:eastAsia="en-US"/>
        </w:rPr>
      </w:pPr>
      <w:r w:rsidRPr="0099433E">
        <w:rPr>
          <w:rFonts w:ascii="Arial" w:eastAsia="Arial" w:hAnsi="Arial" w:cs="Arial"/>
          <w:sz w:val="20"/>
          <w:lang w:val="en-US" w:eastAsia="en-US"/>
        </w:rPr>
        <w:t>Intervention definitions from the EU designed health surveillance system are documented in the NDTRS training protocol (Health Research Board 2013).</w:t>
      </w:r>
    </w:p>
    <w:p w:rsidR="003B0DEE" w:rsidRPr="0099433E" w:rsidRDefault="003B0DEE" w:rsidP="000D5D90">
      <w:pPr>
        <w:spacing w:line="360" w:lineRule="auto"/>
        <w:jc w:val="left"/>
        <w:rPr>
          <w:rFonts w:ascii="Arial" w:hAnsi="Arial" w:cs="Arial"/>
          <w:sz w:val="20"/>
        </w:rPr>
      </w:pPr>
      <w:r w:rsidRPr="0099433E">
        <w:rPr>
          <w:rFonts w:ascii="Arial" w:hAnsi="Arial" w:cs="Arial"/>
          <w:sz w:val="20"/>
        </w:rPr>
        <w:t xml:space="preserve">Excluded are data prior to 1995 as the NDTRS did not collect data on a national basis prior to 1995. </w:t>
      </w:r>
    </w:p>
    <w:p w:rsidR="003B0DEE" w:rsidRPr="0050637D" w:rsidRDefault="003B0DEE" w:rsidP="000D5D90">
      <w:pPr>
        <w:pStyle w:val="Heading4"/>
      </w:pPr>
      <w:r w:rsidRPr="0050637D">
        <w:t>Population figures</w:t>
      </w:r>
    </w:p>
    <w:p w:rsidR="003B0DEE" w:rsidRPr="00697C05" w:rsidRDefault="003B0DEE" w:rsidP="000D5D90">
      <w:pPr>
        <w:pStyle w:val="BodyText"/>
      </w:pPr>
      <w:r w:rsidRPr="00697C05">
        <w:t xml:space="preserve">Population data is provided in an accessible format by Eurostat, the statistical institute of the European Union via their online database </w:t>
      </w:r>
      <w:r>
        <w:rPr>
          <w:noProof/>
        </w:rPr>
        <w:t>(European Commission 2016)</w:t>
      </w:r>
      <w:proofErr w:type="gramStart"/>
      <w:r w:rsidRPr="00697C05">
        <w:t xml:space="preserve">. </w:t>
      </w:r>
      <w:proofErr w:type="gramEnd"/>
      <w:r w:rsidRPr="00697C05">
        <w:t xml:space="preserve">Irish population data for the years 1995 to 2015 inclusive were accessed in September 2016.  </w:t>
      </w:r>
    </w:p>
    <w:p w:rsidR="003B0DEE" w:rsidRPr="0050637D" w:rsidRDefault="003B0DEE" w:rsidP="000D5D90">
      <w:pPr>
        <w:pStyle w:val="Heading5"/>
        <w:rPr>
          <w:rFonts w:ascii="Arial" w:hAnsi="Arial" w:cs="Arial"/>
          <w:b/>
          <w:color w:val="auto"/>
        </w:rPr>
      </w:pPr>
      <w:r w:rsidRPr="0050637D">
        <w:rPr>
          <w:rFonts w:ascii="Arial" w:hAnsi="Arial" w:cs="Arial"/>
          <w:b/>
          <w:color w:val="auto"/>
        </w:rPr>
        <w:t>European standard population</w:t>
      </w:r>
    </w:p>
    <w:p w:rsidR="003B0DEE" w:rsidRPr="00697C05" w:rsidRDefault="003B0DEE" w:rsidP="000D5D90">
      <w:pPr>
        <w:pStyle w:val="BodyText"/>
        <w:rPr>
          <w:highlight w:val="yellow"/>
        </w:rPr>
      </w:pPr>
      <w:r w:rsidRPr="00697C05">
        <w:t xml:space="preserve">The European Standard Population (ESP) is an artificial population structure provided by Eurostat </w:t>
      </w:r>
      <w:r>
        <w:rPr>
          <w:noProof/>
        </w:rPr>
        <w:t>(Eurostat 2013)</w:t>
      </w:r>
      <w:r w:rsidRPr="00697C05">
        <w:t xml:space="preserve">.  The ESP 2013 is the accepted methodological standard used in Irish and European health statistics to calculate age standardised rates.  The ESP is representative of the age-structure of the population of European Union Member States, and is used to weight incidence data and produce age standardised rates. </w:t>
      </w:r>
    </w:p>
    <w:p w:rsidR="003B0DEE" w:rsidRPr="00722495" w:rsidRDefault="003B0DEE" w:rsidP="000D5D90">
      <w:pPr>
        <w:pStyle w:val="Heading3"/>
      </w:pPr>
      <w:bookmarkStart w:id="48" w:name="_Toc15331670"/>
      <w:r w:rsidRPr="00722495">
        <w:t>Methods of analysis</w:t>
      </w:r>
      <w:bookmarkEnd w:id="48"/>
    </w:p>
    <w:p w:rsidR="003B0DEE" w:rsidRPr="00697C05" w:rsidRDefault="003B0DEE" w:rsidP="000D5D90">
      <w:pPr>
        <w:pStyle w:val="BodyText"/>
      </w:pPr>
      <w:r w:rsidRPr="00697C05">
        <w:t>For this study, analysis focused on admissions into drug treatment in Ireland.  The units of observation and analysis were time period (year) and age at admission to treatment.  Several indicators relat</w:t>
      </w:r>
      <w:r>
        <w:t>ing</w:t>
      </w:r>
      <w:r w:rsidRPr="00697C05">
        <w:t xml:space="preserve"> to drug use were considered in order to study the temporal changes and differences in drug use. </w:t>
      </w:r>
    </w:p>
    <w:p w:rsidR="003B0DEE" w:rsidRPr="00697C05" w:rsidRDefault="003B0DEE" w:rsidP="000D5D90">
      <w:pPr>
        <w:pStyle w:val="Heading4"/>
      </w:pPr>
      <w:r w:rsidRPr="00697C05">
        <w:lastRenderedPageBreak/>
        <w:t>Indicators of treatment frequency</w:t>
      </w:r>
    </w:p>
    <w:p w:rsidR="003B0DEE" w:rsidRPr="0050637D" w:rsidRDefault="003B0DEE" w:rsidP="000D5D90">
      <w:pPr>
        <w:pStyle w:val="Heading5"/>
        <w:rPr>
          <w:rFonts w:ascii="Arial" w:hAnsi="Arial" w:cs="Arial"/>
          <w:b/>
          <w:color w:val="auto"/>
        </w:rPr>
      </w:pPr>
      <w:r w:rsidRPr="0050637D">
        <w:rPr>
          <w:rFonts w:ascii="Arial" w:hAnsi="Arial" w:cs="Arial"/>
          <w:b/>
          <w:color w:val="auto"/>
        </w:rPr>
        <w:t>Counts</w:t>
      </w:r>
    </w:p>
    <w:p w:rsidR="003B0DEE" w:rsidRPr="00697C05" w:rsidRDefault="003B0DEE" w:rsidP="000D5D90">
      <w:pPr>
        <w:pStyle w:val="BodyText"/>
        <w:rPr>
          <w:highlight w:val="yellow"/>
        </w:rPr>
      </w:pPr>
      <w:r w:rsidRPr="00697C05">
        <w:t>The count (number of events or people) is the simplest way of describing the frequency of an event.  Although count data is useful, the use of counts alone may be misleading when drawing comparisons involving populations and time.  Count data do not take population size or changing population structure into account.  When making comparisons between different populations, it is important to control for population size and structure to ensure that any differences observed are not due to these factors.</w:t>
      </w:r>
    </w:p>
    <w:p w:rsidR="003B0DEE" w:rsidRPr="0050637D" w:rsidRDefault="003B0DEE" w:rsidP="000D5D90">
      <w:pPr>
        <w:pStyle w:val="Heading5"/>
        <w:rPr>
          <w:rFonts w:ascii="Arial" w:hAnsi="Arial" w:cs="Arial"/>
          <w:b/>
          <w:color w:val="auto"/>
        </w:rPr>
      </w:pPr>
      <w:r w:rsidRPr="0050637D">
        <w:rPr>
          <w:rFonts w:ascii="Arial" w:hAnsi="Arial" w:cs="Arial"/>
          <w:b/>
          <w:color w:val="auto"/>
        </w:rPr>
        <w:t>Rates</w:t>
      </w:r>
    </w:p>
    <w:p w:rsidR="003B0DEE" w:rsidRPr="00697C05" w:rsidRDefault="003B0DEE" w:rsidP="000D5D90">
      <w:pPr>
        <w:pStyle w:val="BodyText"/>
      </w:pPr>
      <w:r w:rsidRPr="00697C05">
        <w:t>Rates are useful for comparing characteristics across different populations, different groups within a population, or the same population over time.  A number of different rates may be used, such as crude rates, age-specific rates and age-standardised rates.</w:t>
      </w:r>
      <w:r>
        <w:t xml:space="preserve">  </w:t>
      </w:r>
      <w:r w:rsidRPr="00697C05">
        <w:t>The assessment of drug treatment trends may be based on the number of people entering treatment over a select</w:t>
      </w:r>
      <w:r>
        <w:t>ed</w:t>
      </w:r>
      <w:r w:rsidRPr="00697C05">
        <w:t xml:space="preserve"> time period; however, to distinguish the impacts of changing population and changing risks, trend analyses for incidence rates is often preferable.  In drug treatment surveillance, the typical goal of trend analysis is to determine whether incidence and prevalence rates have increased or decreased over time and to assess the speed with which the increase or decrease occurred.  Due to the absence of a unique health identifier in Ireland, individuals who have multiple drug treatment episodes cannot be linked, there</w:t>
      </w:r>
      <w:r>
        <w:t>by</w:t>
      </w:r>
      <w:r w:rsidRPr="00697C05">
        <w:t xml:space="preserve"> making incidence trends the most appropriate measurement in this field. </w:t>
      </w:r>
    </w:p>
    <w:p w:rsidR="003B0DEE" w:rsidRPr="0050637D" w:rsidRDefault="003B0DEE" w:rsidP="000D5D90">
      <w:pPr>
        <w:pStyle w:val="Heading5"/>
        <w:rPr>
          <w:rFonts w:ascii="Arial" w:hAnsi="Arial" w:cs="Arial"/>
          <w:b/>
          <w:color w:val="auto"/>
        </w:rPr>
      </w:pPr>
      <w:r w:rsidRPr="0050637D">
        <w:rPr>
          <w:rFonts w:ascii="Arial" w:hAnsi="Arial" w:cs="Arial"/>
          <w:b/>
          <w:color w:val="auto"/>
        </w:rPr>
        <w:t>Crude incidence rate</w:t>
      </w:r>
    </w:p>
    <w:p w:rsidR="003B0DEE" w:rsidRPr="00697C05" w:rsidRDefault="003B0DEE" w:rsidP="000D5D90">
      <w:pPr>
        <w:pStyle w:val="BodyText"/>
      </w:pPr>
      <w:r w:rsidRPr="00697C05">
        <w:t>The number of treatment admissions may be expressed as a crude rate, i.e. the number of treatment admissions divided by the total number of people in the general population, usually expressed per 100,000 individuals in the population.  Crude rates take the underlying population size into account and allows for comparisons accounting for differences in population size</w:t>
      </w:r>
      <w:r>
        <w:t xml:space="preserve">. </w:t>
      </w:r>
      <w:r w:rsidRPr="00697C05">
        <w:t xml:space="preserve"> </w:t>
      </w:r>
      <w:r>
        <w:t>H</w:t>
      </w:r>
      <w:r w:rsidRPr="00697C05">
        <w:t>owever</w:t>
      </w:r>
      <w:r>
        <w:t>,</w:t>
      </w:r>
      <w:r w:rsidRPr="00697C05">
        <w:t xml:space="preserve"> crude rates are simple summary statistics and do not take account of differences in age structure.</w:t>
      </w:r>
    </w:p>
    <w:p w:rsidR="003B0DEE" w:rsidRPr="007E1841" w:rsidRDefault="003B0DEE" w:rsidP="000D5D90">
      <w:pPr>
        <w:pStyle w:val="BodyText"/>
      </w:pPr>
      <m:oMathPara>
        <m:oMathParaPr>
          <m:jc m:val="center"/>
        </m:oMathParaPr>
        <m:oMath>
          <m:r>
            <w:rPr>
              <w:rFonts w:ascii="Cambria Math" w:hAnsi="Cambria Math"/>
            </w:rPr>
            <m:t>Crude rate=</m:t>
          </m:r>
          <m:f>
            <m:fPr>
              <m:ctrlPr>
                <w:rPr>
                  <w:rFonts w:ascii="Cambria Math" w:hAnsi="Cambria Math"/>
                  <w:i/>
                </w:rPr>
              </m:ctrlPr>
            </m:fPr>
            <m:num>
              <m:r>
                <w:rPr>
                  <w:rFonts w:ascii="Cambria Math" w:hAnsi="Cambria Math"/>
                </w:rPr>
                <m:t>count</m:t>
              </m:r>
            </m:num>
            <m:den>
              <m:r>
                <w:rPr>
                  <w:rFonts w:ascii="Cambria Math" w:hAnsi="Cambria Math"/>
                </w:rPr>
                <m:t>population</m:t>
              </m:r>
            </m:den>
          </m:f>
          <m:r>
            <w:rPr>
              <w:rFonts w:ascii="Cambria Math" w:hAnsi="Cambria Math"/>
            </w:rPr>
            <m:t>×100,000</m:t>
          </m:r>
        </m:oMath>
      </m:oMathPara>
    </w:p>
    <w:p w:rsidR="003B0DEE" w:rsidRPr="0050637D" w:rsidRDefault="003B0DEE" w:rsidP="000D5D90">
      <w:pPr>
        <w:pStyle w:val="Heading5"/>
        <w:rPr>
          <w:rFonts w:ascii="Arial" w:hAnsi="Arial" w:cs="Arial"/>
          <w:b/>
          <w:color w:val="auto"/>
        </w:rPr>
      </w:pPr>
      <w:r w:rsidRPr="0050637D">
        <w:rPr>
          <w:rFonts w:ascii="Arial" w:hAnsi="Arial" w:cs="Arial"/>
          <w:b/>
          <w:color w:val="auto"/>
        </w:rPr>
        <w:t>Age-specific incidence rate</w:t>
      </w:r>
    </w:p>
    <w:p w:rsidR="003B0DEE" w:rsidRPr="00697C05" w:rsidRDefault="003B0DEE" w:rsidP="000D5D90">
      <w:pPr>
        <w:pStyle w:val="BodyText"/>
      </w:pPr>
      <w:r w:rsidRPr="00697C05">
        <w:t xml:space="preserve">Rates can be calculated for each age group, thus allowing for variation by age.  These age-specific incidence rates are defined as the number of treatment admissions in the age group, expressed per 100,000 individuals within the same age group.  The age structure of a population is particularly important when comparing rates between two time periods because age-specific rates are more representative if the characteristic being observed varies by age.  In this study age is one of the major characteristics of interest. </w:t>
      </w:r>
    </w:p>
    <w:p w:rsidR="003B0DEE" w:rsidRPr="007E1841" w:rsidRDefault="003B0DEE" w:rsidP="000D5D90">
      <w:pPr>
        <w:pStyle w:val="BodyText"/>
      </w:pPr>
      <m:oMathPara>
        <m:oMathParaPr>
          <m:jc m:val="center"/>
        </m:oMathParaPr>
        <m:oMath>
          <m:r>
            <w:rPr>
              <w:rFonts w:ascii="Cambria Math" w:hAnsi="Cambria Math"/>
            </w:rPr>
            <m:t>Age-specific rate=</m:t>
          </m:r>
          <m:f>
            <m:fPr>
              <m:ctrlPr>
                <w:rPr>
                  <w:rFonts w:ascii="Cambria Math" w:hAnsi="Cambria Math"/>
                  <w:i/>
                </w:rPr>
              </m:ctrlPr>
            </m:fPr>
            <m:num>
              <m:r>
                <w:rPr>
                  <w:rFonts w:ascii="Cambria Math" w:hAnsi="Cambria Math"/>
                </w:rPr>
                <m:t>count within age group</m:t>
              </m:r>
            </m:num>
            <m:den>
              <m:r>
                <w:rPr>
                  <w:rFonts w:ascii="Cambria Math" w:hAnsi="Cambria Math"/>
                </w:rPr>
                <m:t>population within age group</m:t>
              </m:r>
            </m:den>
          </m:f>
          <m:r>
            <w:rPr>
              <w:rFonts w:ascii="Cambria Math" w:hAnsi="Cambria Math"/>
            </w:rPr>
            <m:t>×100,000</m:t>
          </m:r>
        </m:oMath>
      </m:oMathPara>
    </w:p>
    <w:p w:rsidR="003B0DEE" w:rsidRPr="0050637D" w:rsidRDefault="003B0DEE" w:rsidP="000D5D90">
      <w:pPr>
        <w:pStyle w:val="Heading5"/>
        <w:rPr>
          <w:rFonts w:ascii="Arial" w:hAnsi="Arial" w:cs="Arial"/>
          <w:b/>
          <w:color w:val="auto"/>
        </w:rPr>
      </w:pPr>
      <w:r w:rsidRPr="0050637D">
        <w:rPr>
          <w:rFonts w:ascii="Arial" w:hAnsi="Arial" w:cs="Arial"/>
          <w:b/>
          <w:color w:val="auto"/>
        </w:rPr>
        <w:lastRenderedPageBreak/>
        <w:t>Age-standardised incidence rate</w:t>
      </w:r>
    </w:p>
    <w:p w:rsidR="003B0DEE" w:rsidRPr="00697C05" w:rsidRDefault="003B0DEE" w:rsidP="000D5D90">
      <w:pPr>
        <w:pStyle w:val="BodyText"/>
      </w:pPr>
      <w:r w:rsidRPr="00697C05">
        <w:t>In order to account for variations in population distribution over time, incidence rates are adjusted to the size and age structure of the population.  These adjusted rates are known as age standardi</w:t>
      </w:r>
      <w:r>
        <w:t>s</w:t>
      </w:r>
      <w:r w:rsidRPr="00697C05">
        <w:t>ed incidence rates.  Age-standardisation accounts for differences in the age structure when two or more populations are being compared and the age structure of these populations are likely to be different.  When calculating age-standardised rates, the population of interest is mathematically adjusted to have the same age structure as the standard population (in this case ESP 2013).  As a result, a more representative picture of the characteristic in question is provided because the two groups are given the same age distribution structure.</w:t>
      </w:r>
    </w:p>
    <w:p w:rsidR="003B0DEE" w:rsidRPr="00697C05" w:rsidRDefault="003B0DEE" w:rsidP="000D5D90">
      <w:pPr>
        <w:pStyle w:val="BodyText"/>
      </w:pPr>
      <w:r w:rsidRPr="00697C05">
        <w:t>The 95% confidence interval for the age-standardised rate is given by</w:t>
      </w:r>
    </w:p>
    <w:p w:rsidR="003B0DEE" w:rsidRPr="007E1841" w:rsidRDefault="003B0DEE" w:rsidP="000D5D90">
      <w:pPr>
        <w:pStyle w:val="BodyText"/>
      </w:pPr>
      <m:oMathPara>
        <m:oMathParaPr>
          <m:jc m:val="center"/>
        </m:oMathParaPr>
        <m:oMath>
          <m:r>
            <w:rPr>
              <w:rFonts w:ascii="Cambria Math" w:hAnsi="Cambria Math"/>
            </w:rPr>
            <m:t>rate ±1.96*</m:t>
          </m:r>
          <m:rad>
            <m:radPr>
              <m:degHide m:val="1"/>
              <m:ctrlPr>
                <w:rPr>
                  <w:rFonts w:ascii="Cambria Math" w:hAnsi="Cambria Math"/>
                  <w:i/>
                </w:rPr>
              </m:ctrlPr>
            </m:radPr>
            <m:deg/>
            <m:e>
              <m:r>
                <w:rPr>
                  <w:rFonts w:ascii="Cambria Math" w:hAnsi="Cambria Math"/>
                </w:rPr>
                <m:t>variance for the age-standarised rate</m:t>
              </m:r>
            </m:e>
          </m:rad>
          <m:r>
            <w:rPr>
              <w:rFonts w:ascii="Cambria Math" w:hAnsi="Cambria Math"/>
            </w:rPr>
            <m:t xml:space="preserve"> </m:t>
          </m:r>
        </m:oMath>
      </m:oMathPara>
    </w:p>
    <w:p w:rsidR="003B0DEE" w:rsidRPr="00697C05" w:rsidRDefault="003B0DEE" w:rsidP="000D5D90">
      <w:pPr>
        <w:pStyle w:val="BodyText"/>
      </w:pPr>
      <w:r w:rsidRPr="00697C05">
        <w:t xml:space="preserve">The variance of the age standardised rate is </w:t>
      </w:r>
    </w:p>
    <w:p w:rsidR="003B0DEE" w:rsidRPr="007E1841" w:rsidRDefault="000D5D90" w:rsidP="000D5D90">
      <w:pPr>
        <w:pStyle w:val="BodyText"/>
        <w:rPr>
          <w:i/>
        </w:rPr>
      </w:pPr>
      <m:oMathPara>
        <m:oMath>
          <m:nary>
            <m:naryPr>
              <m:chr m:val="∑"/>
              <m:limLoc m:val="undOvr"/>
              <m:subHide m:val="1"/>
              <m:supHide m:val="1"/>
              <m:ctrlPr>
                <w:rPr>
                  <w:rFonts w:ascii="Cambria Math" w:hAnsi="Cambria Math"/>
                  <w:i/>
                </w:rPr>
              </m:ctrlPr>
            </m:naryPr>
            <m:sub/>
            <m:sup/>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i</m:t>
                              </m:r>
                            </m:sub>
                          </m:sSub>
                        </m:num>
                        <m:den>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p</m:t>
                                  </m:r>
                                </m:e>
                                <m:sub>
                                  <m:r>
                                    <w:rPr>
                                      <w:rFonts w:ascii="Cambria Math" w:hAnsi="Cambria Math"/>
                                    </w:rPr>
                                    <m:t>i</m:t>
                                  </m:r>
                                </m:sub>
                              </m:sSub>
                            </m:e>
                          </m:nary>
                        </m:den>
                      </m:f>
                    </m:e>
                  </m:d>
                </m:e>
                <m:sup>
                  <m:r>
                    <w:rPr>
                      <w:rFonts w:ascii="Cambria Math" w:hAnsi="Cambria Math"/>
                    </w:rPr>
                    <m:t>2</m:t>
                  </m:r>
                </m:sup>
              </m:sSup>
            </m:e>
          </m:nary>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i</m:t>
                      </m:r>
                    </m:sub>
                  </m:sSub>
                </m:e>
                <m:sup>
                  <m:r>
                    <w:rPr>
                      <w:rFonts w:ascii="Cambria Math" w:hAnsi="Cambria Math"/>
                    </w:rPr>
                    <m:t>2</m:t>
                  </m:r>
                </m:sup>
              </m:sSup>
            </m:num>
            <m:den>
              <m:sSub>
                <m:sSubPr>
                  <m:ctrlPr>
                    <w:rPr>
                      <w:rFonts w:ascii="Cambria Math" w:hAnsi="Cambria Math"/>
                      <w:i/>
                    </w:rPr>
                  </m:ctrlPr>
                </m:sSubPr>
                <m:e>
                  <m:r>
                    <w:rPr>
                      <w:rFonts w:ascii="Cambria Math" w:hAnsi="Cambria Math"/>
                    </w:rPr>
                    <m:t>d</m:t>
                  </m:r>
                </m:e>
                <m:sub>
                  <m:r>
                    <w:rPr>
                      <w:rFonts w:ascii="Cambria Math" w:hAnsi="Cambria Math"/>
                    </w:rPr>
                    <m:t>i</m:t>
                  </m:r>
                </m:sub>
              </m:sSub>
            </m:den>
          </m:f>
        </m:oMath>
      </m:oMathPara>
    </w:p>
    <w:p w:rsidR="003B0DEE" w:rsidRPr="00697C05" w:rsidRDefault="003B0DEE" w:rsidP="000D5D90">
      <w:pPr>
        <w:pStyle w:val="BodyText"/>
      </w:pPr>
      <w:r w:rsidRPr="00697C05">
        <w:t xml:space="preserve">Where </w:t>
      </w:r>
    </w:p>
    <w:p w:rsidR="003B0DEE" w:rsidRPr="007E1841" w:rsidRDefault="000D5D90" w:rsidP="000D5D90">
      <w:pPr>
        <w:pStyle w:val="BodyText"/>
        <w:rPr>
          <w:i/>
        </w:rPr>
      </w:pPr>
      <m:oMathPara>
        <m:oMathParaPr>
          <m:jc m:val="left"/>
        </m:oMathParaPr>
        <m:oMath>
          <m:sSub>
            <m:sSubPr>
              <m:ctrlPr>
                <w:rPr>
                  <w:rFonts w:ascii="Cambria Math" w:hAnsi="Cambria Math"/>
                  <w:i/>
                </w:rPr>
              </m:ctrlPr>
            </m:sSubPr>
            <m:e>
              <m:r>
                <w:rPr>
                  <w:rFonts w:ascii="Cambria Math" w:hAnsi="Cambria Math"/>
                </w:rPr>
                <m:t>d</m:t>
              </m:r>
            </m:e>
            <m:sub>
              <m:r>
                <w:rPr>
                  <w:rFonts w:ascii="Cambria Math" w:hAnsi="Cambria Math"/>
                </w:rPr>
                <m:t>i</m:t>
              </m:r>
            </m:sub>
          </m:sSub>
          <m:r>
            <w:rPr>
              <w:rFonts w:ascii="Cambria Math" w:hAnsi="Cambria Math"/>
            </w:rPr>
            <m:t xml:space="preserve"> is the number of treatment admissions (count) in age group i in the study population</m:t>
          </m:r>
        </m:oMath>
      </m:oMathPara>
    </w:p>
    <w:p w:rsidR="003B0DEE" w:rsidRPr="007E1841" w:rsidRDefault="000D5D90" w:rsidP="000D5D90">
      <w:pPr>
        <w:pStyle w:val="BodyText"/>
        <w:rPr>
          <w:highlight w:val="yellow"/>
        </w:rPr>
      </w:pPr>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 xml:space="preserve"> </m:t>
          </m:r>
          <m:r>
            <m:rPr>
              <m:sty m:val="p"/>
            </m:rPr>
            <w:rPr>
              <w:rFonts w:ascii="Cambria Math" w:hAnsi="Cambria Math"/>
            </w:rPr>
            <m:t>is the incidence rate (crude rate) in the study population for the people in age group i</m:t>
          </m:r>
        </m:oMath>
      </m:oMathPara>
    </w:p>
    <w:p w:rsidR="003B0DEE" w:rsidRPr="007E1841" w:rsidRDefault="000D5D90" w:rsidP="000D5D90">
      <w:pPr>
        <w:pStyle w:val="BodyText"/>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 xml:space="preserve"> </m:t>
          </m:r>
          <m:r>
            <m:rPr>
              <m:sty m:val="p"/>
            </m:rPr>
            <w:rPr>
              <w:rFonts w:ascii="Cambria Math" w:hAnsi="Cambria Math"/>
            </w:rPr>
            <m:t xml:space="preserve">is the number of people in age group i in the standard population </m:t>
          </m:r>
          <m:d>
            <m:dPr>
              <m:ctrlPr>
                <w:rPr>
                  <w:rFonts w:ascii="Cambria Math" w:hAnsi="Cambria Math"/>
                </w:rPr>
              </m:ctrlPr>
            </m:dPr>
            <m:e>
              <m:r>
                <m:rPr>
                  <m:sty m:val="p"/>
                </m:rPr>
                <w:rPr>
                  <w:rFonts w:ascii="Cambria Math" w:hAnsi="Cambria Math"/>
                </w:rPr>
                <m:t>ESP 2013</m:t>
              </m:r>
            </m:e>
          </m:d>
          <m:r>
            <m:rPr>
              <m:sty m:val="p"/>
            </m:rPr>
            <w:rPr>
              <w:rFonts w:ascii="Cambria Math" w:hAnsi="Cambria Math"/>
            </w:rPr>
            <m:t>.</m:t>
          </m:r>
        </m:oMath>
      </m:oMathPara>
    </w:p>
    <w:p w:rsidR="003B0DEE" w:rsidRDefault="003B0DEE" w:rsidP="000D5D90">
      <w:pPr>
        <w:pStyle w:val="Heading4"/>
      </w:pPr>
      <w:r w:rsidRPr="00697C05">
        <w:t xml:space="preserve">Indicators of </w:t>
      </w:r>
      <w:r>
        <w:t>drug-using durations</w:t>
      </w:r>
    </w:p>
    <w:p w:rsidR="003B0DEE" w:rsidRPr="0050637D" w:rsidRDefault="003B0DEE" w:rsidP="000D5D90">
      <w:pPr>
        <w:pStyle w:val="Heading5"/>
        <w:rPr>
          <w:rFonts w:ascii="Arial" w:hAnsi="Arial" w:cs="Arial"/>
          <w:b/>
          <w:color w:val="auto"/>
        </w:rPr>
      </w:pPr>
      <w:r>
        <w:rPr>
          <w:rFonts w:ascii="Arial" w:hAnsi="Arial" w:cs="Arial"/>
          <w:b/>
          <w:color w:val="auto"/>
        </w:rPr>
        <w:t>Opioid-using</w:t>
      </w:r>
      <w:r w:rsidRPr="0050637D">
        <w:rPr>
          <w:rFonts w:ascii="Arial" w:hAnsi="Arial" w:cs="Arial"/>
          <w:b/>
          <w:color w:val="auto"/>
        </w:rPr>
        <w:t xml:space="preserve"> career length</w:t>
      </w:r>
    </w:p>
    <w:p w:rsidR="003B0DEE" w:rsidRPr="00901D50" w:rsidRDefault="003B0DEE" w:rsidP="000D5D90">
      <w:pPr>
        <w:pStyle w:val="BodyText"/>
      </w:pPr>
      <w:r w:rsidRPr="008F46BC">
        <w:t xml:space="preserve">A variable was created indicating the </w:t>
      </w:r>
      <w:r>
        <w:t xml:space="preserve">duration (in years) between the age of </w:t>
      </w:r>
      <w:r w:rsidRPr="00901D50">
        <w:t xml:space="preserve">first opioid use and </w:t>
      </w:r>
      <w:r>
        <w:t>age on entering treatment</w:t>
      </w:r>
      <w:r w:rsidRPr="00901D50">
        <w:t xml:space="preserve">. </w:t>
      </w:r>
    </w:p>
    <w:p w:rsidR="003B0DEE" w:rsidRPr="0050637D" w:rsidRDefault="003B0DEE" w:rsidP="000D5D90">
      <w:pPr>
        <w:pStyle w:val="Heading5"/>
        <w:rPr>
          <w:rFonts w:ascii="Arial" w:hAnsi="Arial" w:cs="Arial"/>
          <w:b/>
          <w:color w:val="auto"/>
        </w:rPr>
      </w:pPr>
      <w:r w:rsidRPr="0050637D">
        <w:rPr>
          <w:rFonts w:ascii="Arial" w:hAnsi="Arial" w:cs="Arial"/>
          <w:b/>
          <w:color w:val="auto"/>
        </w:rPr>
        <w:t xml:space="preserve">Duration from opioid initiation to injecting </w:t>
      </w:r>
    </w:p>
    <w:p w:rsidR="003B0DEE" w:rsidRPr="008F46BC" w:rsidRDefault="003B0DEE" w:rsidP="000D5D90">
      <w:pPr>
        <w:pStyle w:val="BodyText"/>
      </w:pPr>
      <w:r w:rsidRPr="008F46BC">
        <w:t xml:space="preserve">A variable was created indicating the </w:t>
      </w:r>
      <w:r>
        <w:t xml:space="preserve">duration (in years) between the age of </w:t>
      </w:r>
      <w:r w:rsidRPr="008F46BC">
        <w:t xml:space="preserve">first opioid use and </w:t>
      </w:r>
      <w:r>
        <w:t>age commenced injecting drug use</w:t>
      </w:r>
      <w:r w:rsidRPr="008F46BC">
        <w:t xml:space="preserve">. </w:t>
      </w:r>
    </w:p>
    <w:p w:rsidR="003B0DEE" w:rsidRPr="0050637D" w:rsidRDefault="003B0DEE" w:rsidP="000D5D90">
      <w:pPr>
        <w:pStyle w:val="Heading5"/>
        <w:rPr>
          <w:rFonts w:ascii="Arial" w:hAnsi="Arial" w:cs="Arial"/>
          <w:b/>
          <w:color w:val="auto"/>
        </w:rPr>
      </w:pPr>
      <w:r w:rsidRPr="0050637D">
        <w:rPr>
          <w:rFonts w:ascii="Arial" w:hAnsi="Arial" w:cs="Arial"/>
          <w:b/>
          <w:color w:val="auto"/>
        </w:rPr>
        <w:t>Duration from injecting to treatment entry</w:t>
      </w:r>
    </w:p>
    <w:p w:rsidR="003B0DEE" w:rsidRPr="008F46BC" w:rsidRDefault="003B0DEE" w:rsidP="000D5D90">
      <w:pPr>
        <w:pStyle w:val="BodyText"/>
      </w:pPr>
      <w:r w:rsidRPr="008F46BC">
        <w:t xml:space="preserve">A variable was created indicating the </w:t>
      </w:r>
      <w:r>
        <w:t>duration (in years) between the age commenced injecting drug use and age on treatment entry</w:t>
      </w:r>
      <w:r w:rsidRPr="008F46BC">
        <w:t xml:space="preserve">. </w:t>
      </w:r>
    </w:p>
    <w:p w:rsidR="003B0DEE" w:rsidRPr="00697C05" w:rsidRDefault="003B0DEE" w:rsidP="000D5D90">
      <w:pPr>
        <w:pStyle w:val="Heading4"/>
      </w:pPr>
      <w:r w:rsidRPr="00697C05">
        <w:t xml:space="preserve">Indicators of treatment </w:t>
      </w:r>
      <w:r>
        <w:t>discharge</w:t>
      </w:r>
    </w:p>
    <w:p w:rsidR="003B0DEE" w:rsidRPr="0050637D" w:rsidRDefault="003B0DEE" w:rsidP="000D5D90">
      <w:pPr>
        <w:pStyle w:val="Heading5"/>
        <w:rPr>
          <w:rFonts w:ascii="Arial" w:hAnsi="Arial" w:cs="Arial"/>
          <w:b/>
          <w:color w:val="auto"/>
        </w:rPr>
      </w:pPr>
      <w:r w:rsidRPr="0050637D">
        <w:rPr>
          <w:rFonts w:ascii="Arial" w:hAnsi="Arial" w:cs="Arial"/>
          <w:b/>
          <w:color w:val="auto"/>
        </w:rPr>
        <w:t xml:space="preserve">Time in treatment </w:t>
      </w:r>
    </w:p>
    <w:p w:rsidR="003B0DEE" w:rsidRPr="008F46BC" w:rsidRDefault="003B0DEE" w:rsidP="000D5D90">
      <w:pPr>
        <w:pStyle w:val="BodyText"/>
      </w:pPr>
      <w:r w:rsidRPr="008F46BC">
        <w:t xml:space="preserve">A time variable was created indicating the </w:t>
      </w:r>
      <w:r>
        <w:t xml:space="preserve">duration of time spent in treatment.  The </w:t>
      </w:r>
      <w:r w:rsidRPr="008F46BC">
        <w:t xml:space="preserve">number of days in treatment </w:t>
      </w:r>
      <w:r>
        <w:t xml:space="preserve">was calculated as </w:t>
      </w:r>
      <w:r w:rsidRPr="008F46BC">
        <w:t>the difference between the date of treatment entry and the date of discharge</w:t>
      </w:r>
      <w:r>
        <w:t xml:space="preserve"> from that treatment.  </w:t>
      </w:r>
    </w:p>
    <w:p w:rsidR="003B0DEE" w:rsidRPr="0050637D" w:rsidRDefault="003B0DEE" w:rsidP="000D5D90">
      <w:pPr>
        <w:pStyle w:val="Heading5"/>
        <w:rPr>
          <w:rFonts w:ascii="Arial" w:hAnsi="Arial" w:cs="Arial"/>
          <w:b/>
          <w:color w:val="auto"/>
        </w:rPr>
      </w:pPr>
      <w:r w:rsidRPr="0050637D">
        <w:rPr>
          <w:rFonts w:ascii="Arial" w:hAnsi="Arial" w:cs="Arial"/>
          <w:b/>
          <w:color w:val="auto"/>
        </w:rPr>
        <w:lastRenderedPageBreak/>
        <w:t>Outcome measure (reason for discharge)</w:t>
      </w:r>
    </w:p>
    <w:p w:rsidR="003B0DEE" w:rsidRPr="00D01F5F" w:rsidRDefault="003B0DEE" w:rsidP="000D5D90">
      <w:pPr>
        <w:pStyle w:val="BodyText"/>
      </w:pPr>
      <w:r w:rsidRPr="003C5BD8">
        <w:rPr>
          <w:color w:val="000000"/>
        </w:rPr>
        <w:t xml:space="preserve">The outcome measure </w:t>
      </w:r>
      <w:r>
        <w:rPr>
          <w:color w:val="000000"/>
        </w:rPr>
        <w:t>was r</w:t>
      </w:r>
      <w:r w:rsidRPr="00901D50">
        <w:t>eason for discharge</w:t>
      </w:r>
      <w:r>
        <w:t xml:space="preserve">.  In </w:t>
      </w:r>
      <w:r w:rsidRPr="00901D50">
        <w:t>the NDTRS</w:t>
      </w:r>
      <w:r>
        <w:t>, this</w:t>
      </w:r>
      <w:r w:rsidRPr="00901D50">
        <w:t xml:space="preserve"> may be one of </w:t>
      </w:r>
      <w:r w:rsidRPr="00D01F5F">
        <w:t xml:space="preserve">thirteen </w:t>
      </w:r>
      <w:r w:rsidRPr="00901D50">
        <w:t xml:space="preserve">different </w:t>
      </w:r>
      <w:r w:rsidRPr="00D01F5F">
        <w:t>reasons</w:t>
      </w:r>
      <w:r>
        <w:t xml:space="preserve"> (</w:t>
      </w:r>
      <w:r w:rsidRPr="00D01F5F">
        <w:t>for example</w:t>
      </w:r>
      <w:r>
        <w:t>,</w:t>
      </w:r>
      <w:r w:rsidRPr="00D01F5F">
        <w:t xml:space="preserve"> treatment complete, transfer</w:t>
      </w:r>
      <w:r>
        <w:t xml:space="preserve"> </w:t>
      </w:r>
      <w:r w:rsidRPr="00D01F5F">
        <w:t>to another service for additional treatment, did not return for subsequent appointments, sentenced to prison, died etc.</w:t>
      </w:r>
      <w:r>
        <w:t>)</w:t>
      </w:r>
      <w:r w:rsidRPr="00D01F5F">
        <w:t xml:space="preserve">.  If an individual did not have discharge data, they were still </w:t>
      </w:r>
      <w:r>
        <w:t>receiving</w:t>
      </w:r>
      <w:r w:rsidRPr="00D01F5F">
        <w:t xml:space="preserve"> treatment.  </w:t>
      </w:r>
    </w:p>
    <w:p w:rsidR="003B0DEE" w:rsidRPr="00791122" w:rsidRDefault="003B0DEE" w:rsidP="000D5D90">
      <w:pPr>
        <w:pStyle w:val="Heading4"/>
      </w:pPr>
      <w:r w:rsidRPr="0045710E">
        <w:t xml:space="preserve">Statistical methods and software tools </w:t>
      </w:r>
    </w:p>
    <w:p w:rsidR="003B0DEE" w:rsidRDefault="003B0DEE" w:rsidP="000D5D90">
      <w:pPr>
        <w:pStyle w:val="BodyText"/>
      </w:pPr>
      <w:r w:rsidRPr="00697C05">
        <w:t xml:space="preserve">Data on opioid treatment admissions were explored to assess changes over time using a combination of descriptive, exploratory statistics, and inferential analysis.  </w:t>
      </w:r>
      <w:r>
        <w:t xml:space="preserve">Trend and cluster analyses were utilised for a more in-depth investigation of trends and hidden patterns among treatment entrants.  Corresponding discharge data were </w:t>
      </w:r>
      <w:r w:rsidRPr="00FD0E14">
        <w:t>investigate</w:t>
      </w:r>
      <w:r>
        <w:t xml:space="preserve">d using </w:t>
      </w:r>
      <w:r w:rsidRPr="00697C05">
        <w:t>a combination</w:t>
      </w:r>
      <w:r>
        <w:t xml:space="preserve"> of </w:t>
      </w:r>
      <w:r w:rsidRPr="00697C05">
        <w:t>descriptive, exploratory statistics, and inferential analysis</w:t>
      </w:r>
      <w:r>
        <w:t xml:space="preserve">, along with logistic regression modelling and survival analysis techniques.  </w:t>
      </w:r>
      <w:r w:rsidRPr="00697C05">
        <w:t xml:space="preserve">Frequencies and percentages were used to summarise data.  Where data </w:t>
      </w:r>
      <w:r>
        <w:t>were</w:t>
      </w:r>
      <w:r w:rsidRPr="00697C05">
        <w:t xml:space="preserve"> normally distributed, mean scores and standard deviations were reported. </w:t>
      </w:r>
      <w:r>
        <w:t xml:space="preserve"> </w:t>
      </w:r>
      <w:r w:rsidRPr="00697C05">
        <w:t xml:space="preserve">Where data were skewed, median and interquartile ranges were reported.  Characteristics including age, gender, sociodemographics, </w:t>
      </w:r>
      <w:r>
        <w:t>drug-using</w:t>
      </w:r>
      <w:r w:rsidRPr="00697C05">
        <w:t xml:space="preserve"> career, and injecting risk behaviours were analysed.  Appropriate tests for significance (two-proportion z test</w:t>
      </w:r>
      <w:r w:rsidRPr="00CD580B">
        <w:t xml:space="preserve"> </w:t>
      </w:r>
      <w:r w:rsidRPr="00411C6B">
        <w:t>with Bonferroni adjustment</w:t>
      </w:r>
      <w:r w:rsidRPr="00697C05">
        <w:t>, Mann-Whitney U, student t test) between groups were used</w:t>
      </w:r>
      <w:r>
        <w:t>, comparisons were made for the years 1995 and 2015 (first year of nationwide data versus most recent year for which data were available)</w:t>
      </w:r>
      <w:r w:rsidRPr="00697C05">
        <w:t xml:space="preserve">.  Incidence rates were calculated per 100,000 of the population based on census and projected population figures </w:t>
      </w:r>
      <w:r>
        <w:rPr>
          <w:noProof/>
        </w:rPr>
        <w:t>(European Commission 2016)</w:t>
      </w:r>
      <w:r w:rsidRPr="00697C05">
        <w:t xml:space="preserve">, and were age-adjusted to the European Standard Population </w:t>
      </w:r>
      <w:r>
        <w:rPr>
          <w:noProof/>
        </w:rPr>
        <w:t>(Eurostat 2013)</w:t>
      </w:r>
      <w:r w:rsidRPr="00697C05">
        <w:t>.  Statistical significance was measured at the 5% level (p</w:t>
      </w:r>
      <w:r w:rsidRPr="00411C6B">
        <w:t>≤</w:t>
      </w:r>
      <w:r w:rsidRPr="00697C05">
        <w:t xml:space="preserve">0.05). </w:t>
      </w:r>
      <w:r w:rsidRPr="00697C05">
        <w:rPr>
          <w:b/>
        </w:rPr>
        <w:t xml:space="preserve"> </w:t>
      </w:r>
      <w:r w:rsidRPr="00697C05">
        <w:t xml:space="preserve">Data were managed and analysed in the Statistical Package for Social Sciences (SPSS), version 22.0 </w:t>
      </w:r>
      <w:r>
        <w:rPr>
          <w:noProof/>
        </w:rPr>
        <w:t>(IBM Corporation 2013)</w:t>
      </w:r>
      <w:r>
        <w:t>, with the exception of Joinpoint regression analysis which was conducted using a programme designed specifically for that purpose.</w:t>
      </w:r>
      <w:r w:rsidRPr="00697C05">
        <w:t xml:space="preserve">  </w:t>
      </w:r>
    </w:p>
    <w:p w:rsidR="003B0DEE" w:rsidRPr="0050637D" w:rsidRDefault="003B0DEE" w:rsidP="000D5D90">
      <w:pPr>
        <w:pStyle w:val="Heading5"/>
        <w:rPr>
          <w:rFonts w:ascii="Arial" w:hAnsi="Arial" w:cs="Arial"/>
          <w:b/>
          <w:color w:val="auto"/>
        </w:rPr>
      </w:pPr>
      <w:r w:rsidRPr="0050637D">
        <w:rPr>
          <w:rFonts w:ascii="Arial" w:hAnsi="Arial" w:cs="Arial"/>
          <w:b/>
          <w:color w:val="auto"/>
        </w:rPr>
        <w:t>Joinpoint Regression Analysis</w:t>
      </w:r>
    </w:p>
    <w:p w:rsidR="003B0DEE" w:rsidRPr="00697C05" w:rsidRDefault="003B0DEE" w:rsidP="000D5D90">
      <w:pPr>
        <w:pStyle w:val="BodyText"/>
      </w:pPr>
      <w:r w:rsidRPr="00993C30">
        <w:t xml:space="preserve">Trend analysis is a technique used to identify a pattern of change over time.  Trends in age-adjusted admission rates were examined using Joinpoint regression analysis in the Joinpoint Regression Programme, version 4.5.0.1 </w:t>
      </w:r>
      <w:r>
        <w:rPr>
          <w:noProof/>
        </w:rPr>
        <w:t>(Statistical Methodology and Applications Branch 2017)</w:t>
      </w:r>
      <w:r w:rsidRPr="00993C30">
        <w:t xml:space="preserve">.  The Joinpoint Regression Programme is </w:t>
      </w:r>
      <w:r>
        <w:t xml:space="preserve">a </w:t>
      </w:r>
      <w:r w:rsidRPr="00993C30">
        <w:t>freely available statistical software package developed at the United States National Cancer Institute’s Statistical Research and Applications Branch</w:t>
      </w:r>
      <w:r>
        <w:t xml:space="preserve"> (</w:t>
      </w:r>
      <w:r w:rsidRPr="00993C30">
        <w:t>https://surveillance.cancer.gov/joinpoint</w:t>
      </w:r>
      <w:r>
        <w:t>)</w:t>
      </w:r>
      <w:r w:rsidRPr="00993C30">
        <w:t xml:space="preserve">.  The software is specifically designed for the analysis of time-series data and was originally developed to identify trend changes in cancer mortality and incidence data </w:t>
      </w:r>
      <w:r>
        <w:rPr>
          <w:noProof/>
        </w:rPr>
        <w:t>(Kim</w:t>
      </w:r>
      <w:r w:rsidRPr="00791A95">
        <w:rPr>
          <w:i/>
          <w:noProof/>
        </w:rPr>
        <w:t xml:space="preserve"> et al.</w:t>
      </w:r>
      <w:r>
        <w:rPr>
          <w:noProof/>
        </w:rPr>
        <w:t xml:space="preserve"> 2000)</w:t>
      </w:r>
      <w:r w:rsidRPr="00993C30">
        <w:t xml:space="preserve">.  The software has </w:t>
      </w:r>
      <w:r>
        <w:t xml:space="preserve">been </w:t>
      </w:r>
      <w:r w:rsidRPr="00993C30">
        <w:t xml:space="preserve">recently </w:t>
      </w:r>
      <w:r>
        <w:t xml:space="preserve">used </w:t>
      </w:r>
      <w:r w:rsidRPr="00993C30">
        <w:t xml:space="preserve">in the addiction field </w:t>
      </w:r>
      <w:r>
        <w:rPr>
          <w:noProof/>
        </w:rPr>
        <w:t>(Buchanich</w:t>
      </w:r>
      <w:r w:rsidRPr="00791A95">
        <w:rPr>
          <w:i/>
          <w:noProof/>
        </w:rPr>
        <w:t xml:space="preserve"> et al.</w:t>
      </w:r>
      <w:r>
        <w:rPr>
          <w:noProof/>
        </w:rPr>
        <w:t xml:space="preserve"> 2016, Haughwout</w:t>
      </w:r>
      <w:r w:rsidRPr="00791A95">
        <w:rPr>
          <w:i/>
          <w:noProof/>
        </w:rPr>
        <w:t xml:space="preserve"> et al.</w:t>
      </w:r>
      <w:r>
        <w:rPr>
          <w:noProof/>
        </w:rPr>
        <w:t xml:space="preserve"> 2016, McCall Jones</w:t>
      </w:r>
      <w:r w:rsidRPr="00791A95">
        <w:rPr>
          <w:i/>
          <w:noProof/>
        </w:rPr>
        <w:t xml:space="preserve"> et al.</w:t>
      </w:r>
      <w:r>
        <w:rPr>
          <w:noProof/>
        </w:rPr>
        <w:t xml:space="preserve"> 2017, Montanari</w:t>
      </w:r>
      <w:r w:rsidRPr="00791A95">
        <w:rPr>
          <w:i/>
          <w:noProof/>
        </w:rPr>
        <w:t xml:space="preserve"> et al.</w:t>
      </w:r>
      <w:r>
        <w:rPr>
          <w:noProof/>
        </w:rPr>
        <w:t xml:space="preserve"> 2017, Smyth</w:t>
      </w:r>
      <w:r w:rsidRPr="00791A95">
        <w:rPr>
          <w:i/>
          <w:noProof/>
        </w:rPr>
        <w:t xml:space="preserve"> et al.</w:t>
      </w:r>
      <w:r>
        <w:rPr>
          <w:noProof/>
        </w:rPr>
        <w:t xml:space="preserve"> 2017)</w:t>
      </w:r>
      <w:r w:rsidRPr="00993C30">
        <w:rPr>
          <w:color w:val="FF0000"/>
        </w:rPr>
        <w:t xml:space="preserve">. </w:t>
      </w:r>
    </w:p>
    <w:p w:rsidR="003B0DEE" w:rsidRPr="00697C05" w:rsidRDefault="003B0DEE" w:rsidP="000D5D90">
      <w:pPr>
        <w:pStyle w:val="BodyText"/>
      </w:pPr>
      <w:r w:rsidRPr="00697C05">
        <w:t xml:space="preserve">The annual count of first-time opioid treatments by 5-year age bands </w:t>
      </w:r>
      <w:r>
        <w:t>was</w:t>
      </w:r>
      <w:r w:rsidRPr="00697C05">
        <w:t xml:space="preserve"> imported into the Joinpoint </w:t>
      </w:r>
      <w:r>
        <w:t>s</w:t>
      </w:r>
      <w:r w:rsidRPr="00697C05">
        <w:t>oftware, along with figures for the Irish population and the E</w:t>
      </w:r>
      <w:r>
        <w:t xml:space="preserve">uropean </w:t>
      </w:r>
      <w:r w:rsidRPr="00697C05">
        <w:t>S</w:t>
      </w:r>
      <w:r>
        <w:t xml:space="preserve">tandard </w:t>
      </w:r>
      <w:r w:rsidRPr="00697C05">
        <w:t>P</w:t>
      </w:r>
      <w:r>
        <w:t>opulation</w:t>
      </w:r>
      <w:r w:rsidRPr="00697C05">
        <w:t>.  Joinpoint regression is a statistical method used to identify points where the trend line changes significantly in magnitude or direction</w:t>
      </w:r>
      <w:r>
        <w:t xml:space="preserve">. </w:t>
      </w:r>
      <w:r w:rsidRPr="00697C05">
        <w:t xml:space="preserve"> </w:t>
      </w:r>
      <w:r>
        <w:t>T</w:t>
      </w:r>
      <w:r w:rsidRPr="00697C05">
        <w:t xml:space="preserve">he technique fits a log-linear model using Poisson </w:t>
      </w:r>
      <w:r w:rsidRPr="00697C05">
        <w:lastRenderedPageBreak/>
        <w:t xml:space="preserve">regression and Monte Carlo permutation to test if a change in trend is statistically significant </w:t>
      </w:r>
      <w:r>
        <w:rPr>
          <w:noProof/>
        </w:rPr>
        <w:t>(Kim</w:t>
      </w:r>
      <w:r w:rsidRPr="00791A95">
        <w:rPr>
          <w:i/>
          <w:noProof/>
        </w:rPr>
        <w:t xml:space="preserve"> et al.</w:t>
      </w:r>
      <w:r>
        <w:rPr>
          <w:noProof/>
        </w:rPr>
        <w:t xml:space="preserve"> 2000)</w:t>
      </w:r>
      <w:r w:rsidRPr="00697C05">
        <w:t xml:space="preserve">.  The Joinpoint method finds the best-fit line through the data for a specified period of time and estimates the time points where changes in the linear trend occur (these points are known as joinpoints).  Each joinpoint indicates a statistically significant change in trend.  The permutation test determines the number of joinpoints required, to which joined linear segments are fitted.  It is assumed that the annual percentage change (APC) is a constant percentage every year, and changes linearly on a log scale.  The statistical significance of the model is tested using the hypothesis that the APC is equal to zero.  A downward trend occurs where APC &lt; -1, an upward trend is indicated by APC &gt; 1, and the trend is stable where -1 ≤ APC ≤ 1.  Where multiple joinpoints occur, the average APC (AAPC) is used </w:t>
      </w:r>
      <w:r>
        <w:t xml:space="preserve">to </w:t>
      </w:r>
      <w:r w:rsidRPr="00697C05">
        <w:t xml:space="preserve">assess and compare trends. </w:t>
      </w:r>
      <w:r>
        <w:t xml:space="preserve"> The </w:t>
      </w:r>
      <w:r w:rsidRPr="00697C05">
        <w:t>AAPC is the geometric weighted average of the APCs for the segments directly adjacent to the joinpoint, where weights are equal to the lengths of each segment over the interval</w:t>
      </w:r>
      <w:r>
        <w:t xml:space="preserve"> </w:t>
      </w:r>
      <w:r>
        <w:rPr>
          <w:noProof/>
        </w:rPr>
        <w:t>(Montanari</w:t>
      </w:r>
      <w:r w:rsidRPr="00454356">
        <w:rPr>
          <w:i/>
          <w:noProof/>
        </w:rPr>
        <w:t xml:space="preserve"> et al.</w:t>
      </w:r>
      <w:r>
        <w:rPr>
          <w:noProof/>
        </w:rPr>
        <w:t xml:space="preserve"> 2017)</w:t>
      </w:r>
      <w:r w:rsidRPr="00697C05">
        <w:t xml:space="preserve">. </w:t>
      </w:r>
    </w:p>
    <w:p w:rsidR="003B0DEE" w:rsidRPr="0050637D" w:rsidRDefault="003B0DEE" w:rsidP="000D5D90">
      <w:pPr>
        <w:pStyle w:val="Heading5"/>
        <w:rPr>
          <w:rFonts w:ascii="Arial" w:hAnsi="Arial" w:cs="Arial"/>
          <w:b/>
          <w:color w:val="auto"/>
        </w:rPr>
      </w:pPr>
      <w:r w:rsidRPr="0050637D">
        <w:rPr>
          <w:rFonts w:ascii="Arial" w:hAnsi="Arial" w:cs="Arial"/>
          <w:b/>
          <w:color w:val="auto"/>
        </w:rPr>
        <w:t>Cluster analysis</w:t>
      </w:r>
    </w:p>
    <w:p w:rsidR="003B0DEE" w:rsidRDefault="003B0DEE" w:rsidP="000D5D90">
      <w:pPr>
        <w:pStyle w:val="BodyText"/>
      </w:pPr>
      <w:r>
        <w:t xml:space="preserve">Cluster analysis </w:t>
      </w:r>
      <w:r w:rsidRPr="00993C30">
        <w:t>is a</w:t>
      </w:r>
      <w:r>
        <w:t xml:space="preserve">n empirical approach designed to reveal hidden patterns or clusters within a dataset, which otherwise would not have been obvious.  Each </w:t>
      </w:r>
      <w:r w:rsidRPr="00270DB8">
        <w:t>cluster</w:t>
      </w:r>
      <w:r>
        <w:t xml:space="preserve"> </w:t>
      </w:r>
      <w:r w:rsidRPr="00270DB8">
        <w:t xml:space="preserve">consists of </w:t>
      </w:r>
      <w:r>
        <w:t>observations</w:t>
      </w:r>
      <w:r w:rsidRPr="00270DB8">
        <w:t xml:space="preserve"> that are similar </w:t>
      </w:r>
      <w:r>
        <w:t>to each other</w:t>
      </w:r>
      <w:r w:rsidRPr="00270DB8">
        <w:t xml:space="preserve"> and</w:t>
      </w:r>
      <w:r>
        <w:t xml:space="preserve"> </w:t>
      </w:r>
      <w:r w:rsidRPr="00270DB8">
        <w:t xml:space="preserve">dissimilar to </w:t>
      </w:r>
      <w:r>
        <w:t>observations</w:t>
      </w:r>
      <w:r w:rsidRPr="00270DB8">
        <w:t xml:space="preserve"> of other </w:t>
      </w:r>
      <w:r>
        <w:t xml:space="preserve">clusters.  </w:t>
      </w:r>
      <w:r w:rsidRPr="00411C6B">
        <w:t xml:space="preserve">Data were examined to detect subgroups of opioid users using the TwoStep clustering algorithm in SPSS, version 22.0 </w:t>
      </w:r>
      <w:r>
        <w:rPr>
          <w:noProof/>
        </w:rPr>
        <w:t>(IBM Corporation 2013)</w:t>
      </w:r>
      <w:r w:rsidRPr="00411C6B">
        <w:t xml:space="preserve">.  </w:t>
      </w:r>
      <w:r>
        <w:t xml:space="preserve">Unlike other clustering techniques, TwoStep caters for both categorical and continuous variables.  </w:t>
      </w:r>
      <w:r w:rsidRPr="00411C6B">
        <w:t xml:space="preserve">This statistical technique is a hierarchical algorithm which computationally searches for patterns among variables to identify distinct natural groupings in a set of data.  </w:t>
      </w:r>
      <w:r w:rsidRPr="00BE2D6F">
        <w:t xml:space="preserve">The TwoStep method automatically assesses multiple cluster solutions and determines the optimal number of clusters. </w:t>
      </w:r>
      <w:r>
        <w:t xml:space="preserve"> In the first stage of the </w:t>
      </w:r>
      <w:r w:rsidRPr="00BE2D6F">
        <w:t xml:space="preserve">procedure the </w:t>
      </w:r>
      <w:r w:rsidRPr="00411C6B">
        <w:t>Bayesian Information Criteria</w:t>
      </w:r>
      <w:r>
        <w:t xml:space="preserve"> (</w:t>
      </w:r>
      <w:r w:rsidRPr="00BE2D6F">
        <w:t>BIC</w:t>
      </w:r>
      <w:r>
        <w:t xml:space="preserve">) </w:t>
      </w:r>
      <w:r>
        <w:rPr>
          <w:noProof/>
        </w:rPr>
        <w:t>(Schwarz 1978)</w:t>
      </w:r>
      <w:r w:rsidRPr="00BE2D6F">
        <w:t xml:space="preserve"> </w:t>
      </w:r>
      <w:r>
        <w:t xml:space="preserve">are calculated to provide an </w:t>
      </w:r>
      <w:r w:rsidRPr="00BE2D6F">
        <w:t>initial estimate for the number of cluster</w:t>
      </w:r>
      <w:r w:rsidRPr="00F66AE7">
        <w:t>s</w:t>
      </w:r>
      <w:r>
        <w:t xml:space="preserve">.  During the second stage, the </w:t>
      </w:r>
      <w:r w:rsidRPr="00F66AE7">
        <w:t>initial estimate is refined by finding the largest relative increase in distance between the two closest clusters in each hierarchical clustering stage.</w:t>
      </w:r>
      <w:r>
        <w:t xml:space="preserve">  The model solution is summarised using the</w:t>
      </w:r>
      <w:r w:rsidRPr="002C0D5B">
        <w:rPr>
          <w:lang w:val="en-IE"/>
        </w:rPr>
        <w:t xml:space="preserve"> silhouette</w:t>
      </w:r>
      <w:r>
        <w:t xml:space="preserve"> measure of cohesion and separation which is an overall goodness-of-fit measure using Kaufman and Rousseeuw’s rating </w:t>
      </w:r>
      <w:r>
        <w:rPr>
          <w:noProof/>
        </w:rPr>
        <w:t>(Kaufman &amp; Rousseeuw 1990)</w:t>
      </w:r>
      <w:r w:rsidR="009D2A34">
        <w:t xml:space="preserve">.  </w:t>
      </w:r>
      <w:r>
        <w:t xml:space="preserve">A good model solution indicates strong evidence of cluster structure.  </w:t>
      </w:r>
    </w:p>
    <w:p w:rsidR="003B0DEE" w:rsidRPr="00411C6B" w:rsidRDefault="003B0DEE" w:rsidP="000D5D90">
      <w:pPr>
        <w:pStyle w:val="BodyText"/>
      </w:pPr>
      <w:r w:rsidRPr="00411C6B">
        <w:t xml:space="preserve">Variables considered for inclusion in the cluster analysis were type of opioid, age of opioid </w:t>
      </w:r>
      <w:r>
        <w:t xml:space="preserve">use </w:t>
      </w:r>
      <w:r w:rsidRPr="00411C6B">
        <w:t>onset and age entering treatment.  The algorithm assign</w:t>
      </w:r>
      <w:r>
        <w:t>ed</w:t>
      </w:r>
      <w:r w:rsidRPr="00411C6B">
        <w:t xml:space="preserve"> cluster membership using log-likelihood distances and the optimal number of clusters was determined by Schwarz’s B</w:t>
      </w:r>
      <w:r>
        <w:t>IC</w:t>
      </w:r>
      <w:r w:rsidRPr="00411C6B">
        <w:t xml:space="preserve"> </w:t>
      </w:r>
      <w:r>
        <w:rPr>
          <w:noProof/>
        </w:rPr>
        <w:t>(Schwarz 1978)</w:t>
      </w:r>
      <w:r w:rsidRPr="00411C6B">
        <w:t xml:space="preserve">.  </w:t>
      </w:r>
      <w:r>
        <w:t xml:space="preserve">The cluster solution was profiled using observable variables </w:t>
      </w:r>
      <w:r w:rsidRPr="00411C6B">
        <w:t xml:space="preserve">relating to age, gender, sociodemographics, </w:t>
      </w:r>
      <w:r>
        <w:t>drug-using</w:t>
      </w:r>
      <w:r w:rsidRPr="00411C6B">
        <w:t xml:space="preserve"> career, opioid-using behaviours</w:t>
      </w:r>
      <w:r>
        <w:t xml:space="preserve"> and</w:t>
      </w:r>
      <w:r w:rsidRPr="00411C6B">
        <w:t xml:space="preserve"> injecting risk behaviours</w:t>
      </w:r>
      <w:r>
        <w:t xml:space="preserve"> (factors indicated as important in the systematic literature review), and significant differences identified using post hoc tests with Bonferroni correction, </w:t>
      </w:r>
      <w:r w:rsidRPr="00E67532">
        <w:t>Mann-Whitney U,</w:t>
      </w:r>
      <w:r>
        <w:t xml:space="preserve"> and</w:t>
      </w:r>
      <w:r w:rsidRPr="00E67532">
        <w:t xml:space="preserve"> student t</w:t>
      </w:r>
      <w:r>
        <w:t>-</w:t>
      </w:r>
      <w:r w:rsidRPr="00E67532">
        <w:t>test</w:t>
      </w:r>
      <w:r w:rsidRPr="00411C6B">
        <w:t xml:space="preserve">.  </w:t>
      </w:r>
      <w:r>
        <w:t>Subsequently</w:t>
      </w:r>
      <w:r w:rsidRPr="00411C6B">
        <w:t xml:space="preserve">, a comparison </w:t>
      </w:r>
      <w:r>
        <w:t xml:space="preserve">over time </w:t>
      </w:r>
      <w:r w:rsidRPr="00411C6B">
        <w:t xml:space="preserve">was undertaken to determine how clusters contribute to the overall shift in ageing and durations prior to first treatment entry.  </w:t>
      </w:r>
      <w:r>
        <w:t>The decision for the comparison was informed by the results of the Joinpoint regression analysis, which indicated the most recent trend commenced in 2009</w:t>
      </w:r>
      <w:r w:rsidR="009D2A34">
        <w:t xml:space="preserve">.  </w:t>
      </w:r>
      <w:r>
        <w:t xml:space="preserve">Thus, the </w:t>
      </w:r>
      <w:r w:rsidRPr="00411C6B">
        <w:t xml:space="preserve">baseline year (2009) </w:t>
      </w:r>
      <w:r>
        <w:t xml:space="preserve">was compared to the </w:t>
      </w:r>
      <w:r w:rsidRPr="00411C6B">
        <w:t>most recent year</w:t>
      </w:r>
      <w:r>
        <w:t xml:space="preserve"> for which data were available</w:t>
      </w:r>
      <w:r w:rsidRPr="00411C6B">
        <w:t xml:space="preserve"> (2015)</w:t>
      </w:r>
      <w:r>
        <w:t>.</w:t>
      </w:r>
    </w:p>
    <w:p w:rsidR="003B0DEE" w:rsidRPr="0050637D" w:rsidRDefault="003B0DEE" w:rsidP="000D5D90">
      <w:pPr>
        <w:pStyle w:val="Heading5"/>
        <w:rPr>
          <w:rFonts w:ascii="Arial" w:hAnsi="Arial" w:cs="Arial"/>
          <w:b/>
          <w:color w:val="auto"/>
        </w:rPr>
      </w:pPr>
      <w:r w:rsidRPr="0050637D">
        <w:rPr>
          <w:rFonts w:ascii="Arial" w:hAnsi="Arial" w:cs="Arial"/>
          <w:b/>
          <w:color w:val="auto"/>
        </w:rPr>
        <w:lastRenderedPageBreak/>
        <w:t>Modelling treatment completion/drop-out</w:t>
      </w:r>
    </w:p>
    <w:p w:rsidR="003B0DEE" w:rsidRDefault="003B0DEE" w:rsidP="000D5D90">
      <w:pPr>
        <w:pStyle w:val="BodyText"/>
      </w:pPr>
      <w:r>
        <w:t xml:space="preserve">The European TDI does not currently record information on treatment discharges; however discharge information is recorded in the Irish system.  Discharge data relates to information about all </w:t>
      </w:r>
      <w:r w:rsidRPr="00697C05">
        <w:t>tr</w:t>
      </w:r>
      <w:r>
        <w:t xml:space="preserve">eatment interventions provided </w:t>
      </w:r>
      <w:r w:rsidRPr="00697C05">
        <w:t xml:space="preserve">and details of treatment outcome at the time of discharge or transfer to another service.  </w:t>
      </w:r>
      <w:r w:rsidRPr="004031DF">
        <w:t xml:space="preserve">Although the NDTRS was rolled out nationally in 1995, the recording of information on treatment discharges was </w:t>
      </w:r>
      <w:r>
        <w:t xml:space="preserve">only </w:t>
      </w:r>
      <w:r w:rsidRPr="004031DF">
        <w:t>implemented on a national basis in 2009.  Coincidently, the results of the Joinpoint regression analysis indicated the most recent trend in treatment admissions commenced in 2009.  Discharge data was obtained for all individuals who had entered treatment between the years of 2009 and 2015 with an opioid problem.  The Health Research Board</w:t>
      </w:r>
      <w:r>
        <w:t xml:space="preserve"> (</w:t>
      </w:r>
      <w:r w:rsidRPr="00CC756B">
        <w:t>Ireland’s Focal Point for EMCDDA</w:t>
      </w:r>
      <w:r>
        <w:t>)</w:t>
      </w:r>
      <w:r w:rsidRPr="00697C05">
        <w:t xml:space="preserve"> </w:t>
      </w:r>
      <w:r w:rsidRPr="004031DF">
        <w:t>provided data on all treatment discharges taking place up to 31/12/2017; however the file also included a small number of discharges which took place in early 2018.  As the latest possible treatment entry date was 31/12/2015 and discharge data was available until at least 31/12/2017, the minimum follow-up period was two years.  Similarly, the longest follow</w:t>
      </w:r>
      <w:r>
        <w:t>-</w:t>
      </w:r>
      <w:r w:rsidRPr="004031DF">
        <w:t xml:space="preserve">up period was almost nine years (01/01/2009-31/12/2017).  </w:t>
      </w:r>
      <w:r>
        <w:t xml:space="preserve"> </w:t>
      </w:r>
    </w:p>
    <w:p w:rsidR="003B0DEE" w:rsidRDefault="003B0DEE" w:rsidP="000D5D90">
      <w:pPr>
        <w:pStyle w:val="BodyText"/>
      </w:pPr>
      <w:r>
        <w:t xml:space="preserve">Discharge status is categorised by the treatment practitioner at the time of discharge.  </w:t>
      </w:r>
      <w:r w:rsidRPr="003B7888">
        <w:t xml:space="preserve">Treatment completion occurs when goals of </w:t>
      </w:r>
      <w:r>
        <w:t xml:space="preserve">the </w:t>
      </w:r>
      <w:r w:rsidRPr="003B7888">
        <w:t>care plan</w:t>
      </w:r>
      <w:r>
        <w:t xml:space="preserve"> are achieved</w:t>
      </w:r>
      <w:r w:rsidRPr="003B7888">
        <w:t>,</w:t>
      </w:r>
      <w:r>
        <w:t xml:space="preserve"> </w:t>
      </w:r>
      <w:r w:rsidRPr="003B7888">
        <w:t xml:space="preserve">treatment </w:t>
      </w:r>
      <w:r>
        <w:t xml:space="preserve">is completed </w:t>
      </w:r>
      <w:r w:rsidRPr="003B7888">
        <w:t xml:space="preserve">in a planned way and </w:t>
      </w:r>
      <w:r>
        <w:t>the individual is s</w:t>
      </w:r>
      <w:r w:rsidRPr="003B7888">
        <w:t xml:space="preserve">uccessfully discharged from </w:t>
      </w:r>
      <w:r>
        <w:t xml:space="preserve">the </w:t>
      </w:r>
      <w:r w:rsidRPr="003B7888">
        <w:t>treatment</w:t>
      </w:r>
      <w:r>
        <w:t xml:space="preserve"> service.  </w:t>
      </w:r>
      <w:r w:rsidRPr="004031DF">
        <w:t>Treatment drop-out included “declined further treatment”, “did not return for appointments”, and “premature exit</w:t>
      </w:r>
      <w:r w:rsidRPr="00FD12F0">
        <w:t xml:space="preserve"> for non-compliance”.  Premature exit for non-compliance occurs where the treatment is terminated by the service provider for reasons including violent behaviour, illegal activities, breaking service contract or drug/alcohol use </w:t>
      </w:r>
      <w:r>
        <w:t>(Health Research Board 2013).  O</w:t>
      </w:r>
      <w:r w:rsidRPr="00FD12F0">
        <w:t xml:space="preserve">ther discharge </w:t>
      </w:r>
      <w:r>
        <w:t>reasons</w:t>
      </w:r>
      <w:r w:rsidRPr="00FD12F0">
        <w:t xml:space="preserve"> </w:t>
      </w:r>
      <w:r>
        <w:t xml:space="preserve">include transfers between service providers for additional treatment at other facilities, death, </w:t>
      </w:r>
      <w:r w:rsidRPr="00FD12F0">
        <w:t>imprison</w:t>
      </w:r>
      <w:r>
        <w:t xml:space="preserve">ment, relocation to another region, prison </w:t>
      </w:r>
      <w:r w:rsidRPr="00FD12F0">
        <w:t>releas</w:t>
      </w:r>
      <w:r>
        <w:t xml:space="preserve">es whereby the individual was </w:t>
      </w:r>
      <w:r w:rsidRPr="00FD12F0">
        <w:t xml:space="preserve">not linked </w:t>
      </w:r>
      <w:r>
        <w:t xml:space="preserve">in to </w:t>
      </w:r>
      <w:r w:rsidRPr="00FD12F0">
        <w:t>other treatment service</w:t>
      </w:r>
      <w:r>
        <w:t xml:space="preserve">, not known and </w:t>
      </w:r>
      <w:r w:rsidRPr="00FD12F0">
        <w:t>“other”</w:t>
      </w:r>
      <w:r>
        <w:t xml:space="preserve">.  </w:t>
      </w:r>
      <w:r w:rsidRPr="000E0833">
        <w:t>The data</w:t>
      </w:r>
      <w:r>
        <w:t>set</w:t>
      </w:r>
      <w:r w:rsidRPr="000E0833">
        <w:t xml:space="preserve"> was subject to Health Research Board data collection and data validation protocols meaning the dataset had been previously validated and any errors or omissions corrected.  Nonetheless, the researcher reviewed the dataset prior to use and undertook checks for inconsistencies and errors. </w:t>
      </w:r>
      <w:r>
        <w:t xml:space="preserve"> This review indicated the presence of </w:t>
      </w:r>
      <w:r w:rsidRPr="00E42AC9">
        <w:t>in</w:t>
      </w:r>
      <w:r>
        <w:t>complete</w:t>
      </w:r>
      <w:r w:rsidRPr="00E42AC9">
        <w:t xml:space="preserve"> </w:t>
      </w:r>
      <w:r>
        <w:t>discharge information whereby the service provider recorded that a discharge had taken place.  However, the service provider failed to record any further information about the discharge.  In order to carry out a meaningful analysis, incomplete discharge data were excluded from the analysis.  A</w:t>
      </w:r>
      <w:r w:rsidRPr="003C5BD8">
        <w:t>ll episodes</w:t>
      </w:r>
      <w:r>
        <w:t xml:space="preserve"> where </w:t>
      </w:r>
      <w:r w:rsidRPr="003C5BD8">
        <w:t>detoxification</w:t>
      </w:r>
      <w:r>
        <w:t xml:space="preserve"> was the only </w:t>
      </w:r>
      <w:r w:rsidRPr="003C5BD8">
        <w:t xml:space="preserve">treatment </w:t>
      </w:r>
      <w:r>
        <w:t xml:space="preserve">(i.e. a detoxification which took place in the absence of any other intervention type) were also excluded from the analysis </w:t>
      </w:r>
      <w:r w:rsidRPr="00F82F93">
        <w:t xml:space="preserve">as opioid detoxification is generally regarded as an initial stage of </w:t>
      </w:r>
      <w:r>
        <w:t xml:space="preserve">treatment with further stages required post detoxification </w:t>
      </w:r>
      <w:r>
        <w:rPr>
          <w:noProof/>
        </w:rPr>
        <w:t>(National Institute on Drug Abuse 2018, Stahler &amp; Mennis 2018)</w:t>
      </w:r>
      <w:r w:rsidRPr="00F82F93">
        <w:t xml:space="preserve">. </w:t>
      </w:r>
      <w:r>
        <w:t xml:space="preserve"> </w:t>
      </w:r>
      <w:r w:rsidRPr="00F82F93">
        <w:t>This exclusion is consistent with other studies on treatment completion internationally (</w:t>
      </w:r>
      <w:r>
        <w:t xml:space="preserve">for example, </w:t>
      </w:r>
      <w:r>
        <w:rPr>
          <w:noProof/>
        </w:rPr>
        <w:t>(Sahker</w:t>
      </w:r>
      <w:r w:rsidRPr="00791A95">
        <w:rPr>
          <w:i/>
          <w:noProof/>
        </w:rPr>
        <w:t xml:space="preserve"> et al.</w:t>
      </w:r>
      <w:r>
        <w:rPr>
          <w:noProof/>
        </w:rPr>
        <w:t xml:space="preserve"> 2015, Stahler</w:t>
      </w:r>
      <w:r w:rsidRPr="00791A95">
        <w:rPr>
          <w:i/>
          <w:noProof/>
        </w:rPr>
        <w:t xml:space="preserve"> et al.</w:t>
      </w:r>
      <w:r>
        <w:rPr>
          <w:noProof/>
        </w:rPr>
        <w:t xml:space="preserve"> 2016, Krawczyk</w:t>
      </w:r>
      <w:r w:rsidRPr="00791A95">
        <w:rPr>
          <w:i/>
          <w:noProof/>
        </w:rPr>
        <w:t xml:space="preserve"> et al.</w:t>
      </w:r>
      <w:r>
        <w:rPr>
          <w:noProof/>
        </w:rPr>
        <w:t xml:space="preserve"> 2017)</w:t>
      </w:r>
      <w:r w:rsidRPr="00F82F93">
        <w:t xml:space="preserve">. </w:t>
      </w:r>
      <w:r>
        <w:t xml:space="preserve"> D</w:t>
      </w:r>
      <w:r w:rsidRPr="000B6C21">
        <w:t>etoxification</w:t>
      </w:r>
      <w:r>
        <w:t xml:space="preserve">s which were delivered in conjunction with other </w:t>
      </w:r>
      <w:r w:rsidRPr="000B6C21">
        <w:t>additional structured interventions, such as a medication free therapy programme</w:t>
      </w:r>
      <w:r>
        <w:t>, were included in the analysis.  The analysis of discharge data was primarily concerned with those who completed treatment, those who dropped out and/or those who remained in treatment.  I</w:t>
      </w:r>
      <w:r w:rsidRPr="00FD12F0">
        <w:t xml:space="preserve">n order to contrast </w:t>
      </w:r>
      <w:r>
        <w:t xml:space="preserve">these categories, </w:t>
      </w:r>
      <w:r w:rsidRPr="00FD12F0">
        <w:t xml:space="preserve">other </w:t>
      </w:r>
      <w:r>
        <w:t xml:space="preserve">reasons for </w:t>
      </w:r>
      <w:r w:rsidRPr="00FD12F0">
        <w:t>discharge were excluded from the analysis (</w:t>
      </w:r>
      <w:r>
        <w:t xml:space="preserve">this included death, </w:t>
      </w:r>
      <w:r w:rsidRPr="00FD12F0">
        <w:t>imprison</w:t>
      </w:r>
      <w:r>
        <w:t xml:space="preserve">ment, relocation to another area, prison </w:t>
      </w:r>
      <w:r w:rsidRPr="00FD12F0">
        <w:t>releas</w:t>
      </w:r>
      <w:r>
        <w:t xml:space="preserve">es which </w:t>
      </w:r>
      <w:r>
        <w:lastRenderedPageBreak/>
        <w:t xml:space="preserve">were </w:t>
      </w:r>
      <w:r w:rsidRPr="00FD12F0">
        <w:t xml:space="preserve">not linked </w:t>
      </w:r>
      <w:r>
        <w:t xml:space="preserve">in to </w:t>
      </w:r>
      <w:r w:rsidRPr="00FD12F0">
        <w:t>other treatment service</w:t>
      </w:r>
      <w:r>
        <w:t xml:space="preserve">s, not known and </w:t>
      </w:r>
      <w:r w:rsidRPr="00FD12F0">
        <w:t>“other”</w:t>
      </w:r>
      <w:r>
        <w:t xml:space="preserve">). </w:t>
      </w:r>
      <w:r w:rsidRPr="00FD12F0">
        <w:t xml:space="preserve"> </w:t>
      </w:r>
      <w:r>
        <w:t xml:space="preserve">A record with no discharge indicated that the treatment episode had commenced but was ongoing.  </w:t>
      </w:r>
      <w:r w:rsidRPr="004031DF">
        <w:t>Treatments which took place in all setting types (inpatient, outpatient, general practitioner, low threshold and prison) were included i</w:t>
      </w:r>
      <w:r>
        <w:t xml:space="preserve">n the analysis of discharge data.  </w:t>
      </w:r>
    </w:p>
    <w:p w:rsidR="003B0DEE" w:rsidRDefault="003B0DEE" w:rsidP="000D5D90">
      <w:pPr>
        <w:pStyle w:val="BodyText"/>
      </w:pPr>
      <w:r>
        <w:t xml:space="preserve">The analysis consisted of two sections: (1) an analysis treatment completion versus drop-out (outlined here) and (2) a survival analysis examining treatment exposure (outlined below in Section 3.5.4.4.4).  The first analysis compared treatment completion and drop-out was thus was based this subset of data i.e. records with a discharge status of treatment complete and those who dropped out of treatment.  </w:t>
      </w:r>
      <w:r w:rsidRPr="003B7888">
        <w:t xml:space="preserve">The primary dependent variable was treatment completion (coded 0=dropped out, 1= completed treatment).  </w:t>
      </w:r>
      <w:r w:rsidRPr="0000771C">
        <w:t xml:space="preserve">Descriptive statistics were calculated for the </w:t>
      </w:r>
      <w:r>
        <w:t xml:space="preserve">cohort by </w:t>
      </w:r>
      <w:r w:rsidRPr="0000771C">
        <w:t xml:space="preserve">discharge </w:t>
      </w:r>
      <w:r>
        <w:t>status as per the c</w:t>
      </w:r>
      <w:r w:rsidRPr="0000771C">
        <w:t>riteria described above.  Treatment completion/drop-out was compared by sociodem</w:t>
      </w:r>
      <w:r>
        <w:t xml:space="preserve">ographic, drug-using behaviours, </w:t>
      </w:r>
      <w:r w:rsidRPr="0000771C">
        <w:t xml:space="preserve">treatment characteristics </w:t>
      </w:r>
      <w:r>
        <w:t xml:space="preserve">and cluster groupings </w:t>
      </w:r>
      <w:r w:rsidRPr="0000771C">
        <w:t>using chi square tests and Mann-Whitney U tests.</w:t>
      </w:r>
      <w:r>
        <w:t xml:space="preserve">  Following this, binomial </w:t>
      </w:r>
      <w:r w:rsidRPr="0000771C">
        <w:t xml:space="preserve">logistic regression was used to examine the </w:t>
      </w:r>
      <w:r>
        <w:t xml:space="preserve">effect of </w:t>
      </w:r>
      <w:r w:rsidRPr="0000771C">
        <w:t xml:space="preserve">these characteristics </w:t>
      </w:r>
      <w:r>
        <w:t xml:space="preserve">on the outcome, the dependent dichotomized treatment </w:t>
      </w:r>
      <w:r w:rsidRPr="0000771C">
        <w:t>completion</w:t>
      </w:r>
      <w:r>
        <w:t xml:space="preserve"> variable (completed treatment</w:t>
      </w:r>
      <w:r w:rsidRPr="0000771C">
        <w:t>/drop-out</w:t>
      </w:r>
      <w:r>
        <w:t>)</w:t>
      </w:r>
      <w:r w:rsidRPr="00D46788">
        <w:t xml:space="preserve">. </w:t>
      </w:r>
      <w:r>
        <w:t xml:space="preserve"> </w:t>
      </w:r>
      <w:r w:rsidRPr="00D46788">
        <w:t xml:space="preserve">The effect size was presented as odds ratios (OR) with 95% confidence intervals.  OR indicates </w:t>
      </w:r>
      <w:r>
        <w:t xml:space="preserve">the </w:t>
      </w:r>
      <w:r w:rsidRPr="00D46788">
        <w:t>relationship between the predictor and the outcome, with ORs greater than 1 signify</w:t>
      </w:r>
      <w:r>
        <w:t>ing</w:t>
      </w:r>
      <w:r w:rsidRPr="00D46788">
        <w:t xml:space="preserve"> a positive relationship and ORs lower than 1 indicating a negative relationship.  The model was fitted by backward stepwise selection, using the default limits for variable entry and removal (p&lt;0.05 and p&gt;0.1 respectively).  </w:t>
      </w:r>
      <w:r>
        <w:t>C</w:t>
      </w:r>
      <w:r w:rsidRPr="00E03F3E">
        <w:t xml:space="preserve">ollinearity diagnostics (tolerance values, beta coefficients, condition index, eigenvalues, variance inflation factors, and variance decomposition proportions) </w:t>
      </w:r>
      <w:r>
        <w:t xml:space="preserve">were examined to test for the </w:t>
      </w:r>
      <w:r w:rsidRPr="00E03F3E">
        <w:t xml:space="preserve">collinearity among the explanatory variables.  </w:t>
      </w:r>
    </w:p>
    <w:p w:rsidR="003B0DEE" w:rsidRPr="0050637D" w:rsidRDefault="003B0DEE" w:rsidP="000D5D90">
      <w:pPr>
        <w:pStyle w:val="Heading5"/>
        <w:rPr>
          <w:rFonts w:ascii="Arial" w:hAnsi="Arial" w:cs="Arial"/>
          <w:b/>
          <w:color w:val="auto"/>
        </w:rPr>
      </w:pPr>
      <w:r w:rsidRPr="0050637D">
        <w:rPr>
          <w:rFonts w:ascii="Arial" w:hAnsi="Arial" w:cs="Arial"/>
          <w:b/>
          <w:color w:val="auto"/>
        </w:rPr>
        <w:t>Survival analysis</w:t>
      </w:r>
    </w:p>
    <w:p w:rsidR="003B0DEE" w:rsidRDefault="003B0DEE" w:rsidP="000D5D90">
      <w:pPr>
        <w:pStyle w:val="BodyText"/>
        <w:rPr>
          <w:b/>
        </w:rPr>
      </w:pPr>
      <w:r>
        <w:t xml:space="preserve">Survival analysis methods were considered optimal to examine the length of time in treatment as there was differing times of treatment entry and exit for the cohort.  </w:t>
      </w:r>
      <w:r w:rsidRPr="00F90046">
        <w:t>A time variable (number of days in treatment) and a status indicator (to distinguish betwe</w:t>
      </w:r>
      <w:r>
        <w:t xml:space="preserve">en people who dropped </w:t>
      </w:r>
      <w:r w:rsidRPr="00F90046">
        <w:t xml:space="preserve">out or censored) were used to define retention in treatment. </w:t>
      </w:r>
      <w:r>
        <w:t xml:space="preserve"> Following this, Cox regression</w:t>
      </w:r>
      <w:r w:rsidRPr="00010F8F">
        <w:t xml:space="preserve"> was used to analyse </w:t>
      </w:r>
      <w:r>
        <w:t xml:space="preserve">survival time in treatment as a function of several predictors.  This analysis consisted of records which had completed treatment, dropped out of treatment, were referred or transferred for additional treatment at another service provider and those still engaged in treatment. </w:t>
      </w:r>
    </w:p>
    <w:p w:rsidR="003B0DEE" w:rsidRDefault="003B0DEE" w:rsidP="000D5D90">
      <w:pPr>
        <w:pStyle w:val="BodyText"/>
      </w:pPr>
      <w:r>
        <w:t xml:space="preserve">Time in treatment (days) was the outcome measure.  A status indicator distinguished between people who dropped out of treatment or were censored.  </w:t>
      </w:r>
      <w:r w:rsidRPr="00FD12F0">
        <w:t xml:space="preserve">Treatment drop-out included “declined further treatment”, “did not return for appointments”, and “premature exit for non-compliance”.  </w:t>
      </w:r>
      <w:r>
        <w:t xml:space="preserve">People who completed their treatment or were transferred to another treatment provider were coded as censored i.e. they did not drop-out of treatment.  This method was been used in other similar studies to assess time-to-dropout </w:t>
      </w:r>
      <w:r>
        <w:rPr>
          <w:noProof/>
        </w:rPr>
        <w:t>(Amiri</w:t>
      </w:r>
      <w:r w:rsidRPr="00791A95">
        <w:rPr>
          <w:i/>
          <w:noProof/>
        </w:rPr>
        <w:t xml:space="preserve"> et al.</w:t>
      </w:r>
      <w:r>
        <w:rPr>
          <w:noProof/>
        </w:rPr>
        <w:t xml:space="preserve"> 2018)</w:t>
      </w:r>
      <w:r>
        <w:t xml:space="preserve">. </w:t>
      </w:r>
    </w:p>
    <w:p w:rsidR="003B0DEE" w:rsidRDefault="003B0DEE" w:rsidP="000D5D90">
      <w:pPr>
        <w:pStyle w:val="BodyText"/>
      </w:pPr>
      <w:r>
        <w:t xml:space="preserve">Univariate analysis was </w:t>
      </w:r>
      <w:r w:rsidRPr="000F08E2">
        <w:t>conducted to examine sociodemographic</w:t>
      </w:r>
      <w:r>
        <w:t xml:space="preserve"> characteristics</w:t>
      </w:r>
      <w:r w:rsidRPr="000F08E2">
        <w:t xml:space="preserve">, </w:t>
      </w:r>
      <w:r>
        <w:t>drug-using</w:t>
      </w:r>
      <w:r w:rsidRPr="000F08E2">
        <w:t xml:space="preserve"> career</w:t>
      </w:r>
      <w:r>
        <w:t xml:space="preserve">, </w:t>
      </w:r>
      <w:r w:rsidRPr="000F08E2">
        <w:t>opioid-using behaviours</w:t>
      </w:r>
      <w:r>
        <w:t xml:space="preserve">, and treatment characteristics, and a bivariate </w:t>
      </w:r>
      <w:r w:rsidRPr="000F08E2">
        <w:t>analys</w:t>
      </w:r>
      <w:r>
        <w:t>i</w:t>
      </w:r>
      <w:r w:rsidRPr="000F08E2">
        <w:t xml:space="preserve">s </w:t>
      </w:r>
      <w:r>
        <w:t xml:space="preserve">assessed for </w:t>
      </w:r>
      <w:r w:rsidRPr="006901B3">
        <w:t xml:space="preserve">relationships </w:t>
      </w:r>
      <w:r>
        <w:t xml:space="preserve">with </w:t>
      </w:r>
      <w:r w:rsidRPr="006901B3">
        <w:t xml:space="preserve">treatment drop-out or censored cases.  </w:t>
      </w:r>
      <w:r>
        <w:t xml:space="preserve">Due to (1) the broad spectrum of treatment interventions available in Ireland, (2) the variation in treatment programmes and typical treatment durations of across programmes/interventions, and (3) previous research indicating that </w:t>
      </w:r>
      <w:r>
        <w:lastRenderedPageBreak/>
        <w:t xml:space="preserve">people in opioid </w:t>
      </w:r>
      <w:r w:rsidRPr="004031DF">
        <w:t xml:space="preserve">maintenance treatment differ in the nature and duration of their </w:t>
      </w:r>
      <w:r>
        <w:t xml:space="preserve">treatment </w:t>
      </w:r>
      <w:r w:rsidRPr="004031DF">
        <w:t xml:space="preserve">engagement </w:t>
      </w:r>
      <w:r>
        <w:rPr>
          <w:noProof/>
        </w:rPr>
        <w:t>(Bell</w:t>
      </w:r>
      <w:r w:rsidRPr="00791A95">
        <w:rPr>
          <w:i/>
          <w:noProof/>
        </w:rPr>
        <w:t xml:space="preserve"> et al.</w:t>
      </w:r>
      <w:r>
        <w:rPr>
          <w:noProof/>
        </w:rPr>
        <w:t xml:space="preserve"> 2006)</w:t>
      </w:r>
      <w:r>
        <w:t>, separate analyses were undertaken for each treatment modality.  Firstly, treatment interventions were classified into four modalities.  Each individual was assigned to one modality and a separate s</w:t>
      </w:r>
      <w:r w:rsidRPr="00C76406">
        <w:t xml:space="preserve">urvival </w:t>
      </w:r>
      <w:r>
        <w:t xml:space="preserve">analysis </w:t>
      </w:r>
      <w:r w:rsidRPr="00C76406">
        <w:t xml:space="preserve">was </w:t>
      </w:r>
      <w:r>
        <w:t>conducted for each</w:t>
      </w:r>
      <w:r w:rsidRPr="00C76406">
        <w:t xml:space="preserve"> treatment modality</w:t>
      </w:r>
      <w:r>
        <w:t>.  The four modalities are:</w:t>
      </w:r>
    </w:p>
    <w:p w:rsidR="003B0DEE" w:rsidRPr="000B6C21" w:rsidRDefault="003B0DEE" w:rsidP="000D5D90">
      <w:pPr>
        <w:spacing w:line="360" w:lineRule="auto"/>
        <w:jc w:val="left"/>
        <w:rPr>
          <w:rFonts w:ascii="Arial" w:hAnsi="Arial" w:cs="Arial"/>
          <w:sz w:val="20"/>
        </w:rPr>
      </w:pPr>
      <w:r>
        <w:t xml:space="preserve">(1) </w:t>
      </w:r>
      <w:proofErr w:type="gramStart"/>
      <w:r w:rsidRPr="000B6C21">
        <w:rPr>
          <w:rFonts w:ascii="Arial" w:hAnsi="Arial" w:cs="Arial"/>
          <w:b/>
          <w:sz w:val="20"/>
        </w:rPr>
        <w:t>opioid</w:t>
      </w:r>
      <w:proofErr w:type="gramEnd"/>
      <w:r w:rsidRPr="000B6C21">
        <w:rPr>
          <w:rFonts w:ascii="Arial" w:hAnsi="Arial" w:cs="Arial"/>
          <w:b/>
          <w:sz w:val="20"/>
        </w:rPr>
        <w:t xml:space="preserve"> substitution</w:t>
      </w:r>
      <w:r w:rsidRPr="000B6C21">
        <w:rPr>
          <w:rFonts w:ascii="Arial" w:hAnsi="Arial" w:cs="Arial"/>
          <w:sz w:val="20"/>
        </w:rPr>
        <w:t xml:space="preserve"> including methadone substitution or buprenorphine/naloxone substitution, provided either alone or in combination with other interventions </w:t>
      </w:r>
    </w:p>
    <w:p w:rsidR="003B0DEE" w:rsidRPr="000B6C21" w:rsidRDefault="003B0DEE" w:rsidP="000D5D90">
      <w:pPr>
        <w:spacing w:line="360" w:lineRule="auto"/>
        <w:jc w:val="left"/>
        <w:rPr>
          <w:rFonts w:ascii="Arial" w:hAnsi="Arial" w:cs="Arial"/>
          <w:sz w:val="20"/>
        </w:rPr>
      </w:pPr>
      <w:r w:rsidRPr="000B6C21">
        <w:rPr>
          <w:rFonts w:ascii="Arial" w:hAnsi="Arial" w:cs="Arial"/>
          <w:sz w:val="20"/>
        </w:rPr>
        <w:t xml:space="preserve">(2) </w:t>
      </w:r>
      <w:proofErr w:type="gramStart"/>
      <w:r w:rsidRPr="000B6C21">
        <w:rPr>
          <w:rFonts w:ascii="Arial" w:hAnsi="Arial" w:cs="Arial"/>
          <w:b/>
          <w:sz w:val="20"/>
        </w:rPr>
        <w:t>structured</w:t>
      </w:r>
      <w:proofErr w:type="gramEnd"/>
      <w:r w:rsidRPr="000B6C21">
        <w:rPr>
          <w:rFonts w:ascii="Arial" w:hAnsi="Arial" w:cs="Arial"/>
          <w:b/>
          <w:sz w:val="20"/>
        </w:rPr>
        <w:t xml:space="preserve"> detoxification</w:t>
      </w:r>
      <w:r w:rsidRPr="000B6C21">
        <w:rPr>
          <w:rFonts w:ascii="Arial" w:hAnsi="Arial" w:cs="Arial"/>
          <w:sz w:val="20"/>
        </w:rPr>
        <w:t xml:space="preserve"> whereby treatment included the combination of a detoxification and additional structured interventions, such as a medication free therapy programme</w:t>
      </w:r>
      <w:r>
        <w:rPr>
          <w:rFonts w:ascii="Arial" w:hAnsi="Arial" w:cs="Arial"/>
          <w:sz w:val="20"/>
        </w:rPr>
        <w:t xml:space="preserve"> and structured programmes delivered by therapeutic communities</w:t>
      </w:r>
      <w:r w:rsidRPr="000B6C21">
        <w:rPr>
          <w:rFonts w:ascii="Arial" w:hAnsi="Arial" w:cs="Arial"/>
          <w:sz w:val="20"/>
        </w:rPr>
        <w:t xml:space="preserve">. </w:t>
      </w:r>
    </w:p>
    <w:p w:rsidR="003B0DEE" w:rsidRPr="000B6C21" w:rsidRDefault="003B0DEE" w:rsidP="000D5D90">
      <w:pPr>
        <w:spacing w:line="360" w:lineRule="auto"/>
        <w:jc w:val="left"/>
        <w:rPr>
          <w:rFonts w:ascii="Arial" w:hAnsi="Arial" w:cs="Arial"/>
          <w:sz w:val="20"/>
        </w:rPr>
      </w:pPr>
      <w:r w:rsidRPr="000B6C21">
        <w:rPr>
          <w:rFonts w:ascii="Arial" w:hAnsi="Arial" w:cs="Arial"/>
          <w:sz w:val="20"/>
        </w:rPr>
        <w:t xml:space="preserve">(3) </w:t>
      </w:r>
      <w:proofErr w:type="gramStart"/>
      <w:r w:rsidRPr="000B6C21">
        <w:rPr>
          <w:rFonts w:ascii="Arial" w:hAnsi="Arial" w:cs="Arial"/>
          <w:b/>
          <w:sz w:val="20"/>
        </w:rPr>
        <w:t>counselling</w:t>
      </w:r>
      <w:proofErr w:type="gramEnd"/>
      <w:r w:rsidRPr="000B6C21">
        <w:rPr>
          <w:rFonts w:ascii="Arial" w:hAnsi="Arial" w:cs="Arial"/>
          <w:b/>
          <w:sz w:val="20"/>
        </w:rPr>
        <w:t xml:space="preserve"> only,</w:t>
      </w:r>
      <w:r w:rsidRPr="000B6C21">
        <w:rPr>
          <w:rFonts w:ascii="Arial" w:hAnsi="Arial" w:cs="Arial"/>
          <w:sz w:val="20"/>
        </w:rPr>
        <w:t xml:space="preserve"> counselling alone was provided as a form of treatment, and </w:t>
      </w:r>
    </w:p>
    <w:p w:rsidR="003B0DEE" w:rsidRPr="000B6C21" w:rsidRDefault="003B0DEE" w:rsidP="000D5D90">
      <w:pPr>
        <w:spacing w:line="360" w:lineRule="auto"/>
        <w:jc w:val="left"/>
        <w:rPr>
          <w:rFonts w:ascii="Arial" w:hAnsi="Arial" w:cs="Arial"/>
          <w:sz w:val="20"/>
        </w:rPr>
      </w:pPr>
      <w:r w:rsidRPr="000B6C21">
        <w:rPr>
          <w:rFonts w:ascii="Arial" w:hAnsi="Arial" w:cs="Arial"/>
          <w:sz w:val="20"/>
        </w:rPr>
        <w:t xml:space="preserve">(4) </w:t>
      </w:r>
      <w:proofErr w:type="gramStart"/>
      <w:r w:rsidRPr="000B6C21">
        <w:rPr>
          <w:rFonts w:ascii="Arial" w:hAnsi="Arial" w:cs="Arial"/>
          <w:b/>
          <w:sz w:val="20"/>
        </w:rPr>
        <w:t>other</w:t>
      </w:r>
      <w:proofErr w:type="gramEnd"/>
      <w:r w:rsidRPr="000B6C21">
        <w:rPr>
          <w:rFonts w:ascii="Arial" w:hAnsi="Arial" w:cs="Arial"/>
          <w:b/>
          <w:sz w:val="20"/>
        </w:rPr>
        <w:t xml:space="preserve"> psychosocial interventions</w:t>
      </w:r>
      <w:r w:rsidRPr="000B6C21">
        <w:rPr>
          <w:rFonts w:ascii="Arial" w:hAnsi="Arial" w:cs="Arial"/>
          <w:sz w:val="20"/>
        </w:rPr>
        <w:t xml:space="preserve"> such as medication free therapy, education/awareness programmes or complementary therapies.  </w:t>
      </w:r>
    </w:p>
    <w:p w:rsidR="003B0DEE" w:rsidRDefault="003B0DEE" w:rsidP="000D5D90">
      <w:pPr>
        <w:pStyle w:val="BodyText"/>
      </w:pPr>
    </w:p>
    <w:p w:rsidR="003B0DEE" w:rsidRPr="00697C05" w:rsidRDefault="003B0DEE" w:rsidP="000D5D90">
      <w:pPr>
        <w:pStyle w:val="BodyText"/>
        <w:rPr>
          <w:b/>
          <w:bCs/>
          <w:kern w:val="32"/>
        </w:rPr>
      </w:pPr>
      <w:r>
        <w:t xml:space="preserve">Kaplan Meier and Cox regression was used to model time-to-event data in the presence of censored cases </w:t>
      </w:r>
      <w:r>
        <w:rPr>
          <w:noProof/>
        </w:rPr>
        <w:t>(Bradburn</w:t>
      </w:r>
      <w:r w:rsidRPr="0081567C">
        <w:rPr>
          <w:i/>
          <w:noProof/>
        </w:rPr>
        <w:t xml:space="preserve"> et al.</w:t>
      </w:r>
      <w:r>
        <w:rPr>
          <w:noProof/>
        </w:rPr>
        <w:t xml:space="preserve"> 2003)</w:t>
      </w:r>
      <w:r>
        <w:t>.  Survival times were obtained using Life Tables.  A</w:t>
      </w:r>
      <w:r w:rsidRPr="004F40F2">
        <w:t xml:space="preserve"> multivariable Cox proportional hazards model was applied to examine the effect of explanatory variable</w:t>
      </w:r>
      <w:r>
        <w:t>s</w:t>
      </w:r>
      <w:r w:rsidRPr="004F40F2">
        <w:t xml:space="preserve"> on time to drop-out from treatment.  </w:t>
      </w:r>
      <w:r>
        <w:t xml:space="preserve">Variables significantly associated with time to drop-out in the univariate analysis were entered into a multivariate model.  The effect size was presented as hazard ratios (HR) with 95% confidence intervals.  HR indicates the relative likelihood of dropping out of treatment at any given point in time, reflecting the total number of events and the timing of events.  HRs greater than 1 </w:t>
      </w:r>
      <w:proofErr w:type="gramStart"/>
      <w:r>
        <w:t>signify</w:t>
      </w:r>
      <w:proofErr w:type="gramEnd"/>
      <w:r>
        <w:t xml:space="preserve"> that the risk </w:t>
      </w:r>
      <w:r w:rsidRPr="00137ED6">
        <w:t xml:space="preserve">of dropping out of treatment is increased and HRs lower than </w:t>
      </w:r>
      <w:r>
        <w:t>1</w:t>
      </w:r>
      <w:r w:rsidRPr="00137ED6">
        <w:t xml:space="preserve"> indicate that the risk is decreased.  </w:t>
      </w:r>
      <w:r>
        <w:t xml:space="preserve">The </w:t>
      </w:r>
      <w:r w:rsidRPr="00137ED6">
        <w:t xml:space="preserve">multivariate model was fitted by backward stepwise selection, using the default limits for variable entry and removal (p&lt;0.05 and p&gt;0.1 respectively).  </w:t>
      </w:r>
      <w:r>
        <w:t xml:space="preserve">The </w:t>
      </w:r>
      <w:r w:rsidRPr="00137ED6">
        <w:t>Schonfield residuals and the log cumulative hazard plots were examined to test the proportional hazards assumption for each variable in the final model</w:t>
      </w:r>
      <w:r>
        <w:t>.</w:t>
      </w:r>
    </w:p>
    <w:p w:rsidR="003B0DEE" w:rsidRPr="00722495" w:rsidRDefault="003B0DEE" w:rsidP="000D5D90">
      <w:pPr>
        <w:pStyle w:val="Heading3"/>
      </w:pPr>
      <w:bookmarkStart w:id="49" w:name="_Toc15331671"/>
      <w:r w:rsidRPr="00722495">
        <w:t>Ethic</w:t>
      </w:r>
      <w:r>
        <w:t>al approval</w:t>
      </w:r>
      <w:r w:rsidRPr="00722495">
        <w:t>, generalisability and limitations</w:t>
      </w:r>
      <w:bookmarkEnd w:id="49"/>
    </w:p>
    <w:p w:rsidR="003B0DEE" w:rsidRPr="00697C05" w:rsidRDefault="003B0DEE" w:rsidP="000D5D90">
      <w:pPr>
        <w:pStyle w:val="Heading4"/>
      </w:pPr>
      <w:r w:rsidRPr="00697C05">
        <w:t>Ethical approval</w:t>
      </w:r>
    </w:p>
    <w:p w:rsidR="003B0DEE" w:rsidRPr="00697C05" w:rsidRDefault="003B0DEE" w:rsidP="000D5D90">
      <w:pPr>
        <w:pStyle w:val="BodyText"/>
      </w:pPr>
      <w:r w:rsidRPr="00697C05">
        <w:t xml:space="preserve">Ethical approval was sought from the Faculty of Health Sciences Ethics Committee, Trinity College Dublin.  The application for ethical approval was granted in February 2015.  Correspondence relating to ethical approval </w:t>
      </w:r>
      <w:r>
        <w:t>is</w:t>
      </w:r>
      <w:r w:rsidRPr="00697C05">
        <w:t xml:space="preserve"> included in </w:t>
      </w:r>
      <w:r w:rsidRPr="00DE368F">
        <w:t xml:space="preserve">Appendix 2. </w:t>
      </w:r>
    </w:p>
    <w:p w:rsidR="003B0DEE" w:rsidRPr="00697C05" w:rsidRDefault="003B0DEE" w:rsidP="000D5D90">
      <w:pPr>
        <w:pStyle w:val="Heading4"/>
      </w:pPr>
      <w:r w:rsidRPr="00697C05">
        <w:t>Data management and security</w:t>
      </w:r>
    </w:p>
    <w:p w:rsidR="003B0DEE" w:rsidRPr="00697C05" w:rsidRDefault="003B0DEE" w:rsidP="000D5D90">
      <w:pPr>
        <w:pStyle w:val="BodyText"/>
      </w:pPr>
      <w:r w:rsidRPr="00697C05">
        <w:t xml:space="preserve">Data were stored on a password-protected computer to which only the researcher had access.  Data will be retained for a period of five years in line with Trinity College Dublin policy. </w:t>
      </w:r>
    </w:p>
    <w:p w:rsidR="003B0DEE" w:rsidRPr="00697C05" w:rsidRDefault="003B0DEE" w:rsidP="000D5D90">
      <w:pPr>
        <w:pStyle w:val="Heading3"/>
      </w:pPr>
      <w:bookmarkStart w:id="50" w:name="_Toc15331672"/>
      <w:r w:rsidRPr="00697C05">
        <w:t>Data quality and auditing</w:t>
      </w:r>
      <w:bookmarkEnd w:id="50"/>
      <w:r w:rsidRPr="00697C05">
        <w:t xml:space="preserve"> </w:t>
      </w:r>
    </w:p>
    <w:p w:rsidR="003B0DEE" w:rsidRPr="00697C05" w:rsidRDefault="003B0DEE" w:rsidP="000D5D90">
      <w:pPr>
        <w:pStyle w:val="BodyText"/>
      </w:pPr>
      <w:r w:rsidRPr="00697C05">
        <w:t xml:space="preserve">NDTRS </w:t>
      </w:r>
      <w:proofErr w:type="gramStart"/>
      <w:r w:rsidRPr="00697C05">
        <w:t>staff compile</w:t>
      </w:r>
      <w:proofErr w:type="gramEnd"/>
      <w:r w:rsidRPr="00697C05">
        <w:t xml:space="preserve"> anonymous, aggregated data that are analysed and reported at national and European levels (Carew et al., 2013).  </w:t>
      </w:r>
      <w:r>
        <w:rPr>
          <w:szCs w:val="20"/>
        </w:rPr>
        <w:t xml:space="preserve">The Health Research Board maintains a detailed set of documentation describing the data collection protocol, with comprehensive guidance for </w:t>
      </w:r>
      <w:r>
        <w:rPr>
          <w:szCs w:val="20"/>
        </w:rPr>
        <w:lastRenderedPageBreak/>
        <w:t xml:space="preserve">practitioners on the interpretation and recording of every NDTRS item </w:t>
      </w:r>
      <w:r w:rsidRPr="0099433E">
        <w:t>(Health Research Board 2013)</w:t>
      </w:r>
      <w:r>
        <w:rPr>
          <w:szCs w:val="20"/>
        </w:rPr>
        <w:t xml:space="preserve">.  </w:t>
      </w:r>
      <w:r>
        <w:t xml:space="preserve">Treatment practitioners who collect the data are also supported through frequent training and ongoing support.  </w:t>
      </w:r>
      <w:r>
        <w:rPr>
          <w:szCs w:val="20"/>
        </w:rPr>
        <w:t xml:space="preserve">Issues relating to the data collection process are monitored on an ongoing basis and addressed by the Health Research Board.  Such issues include providers who fail to submit data, variations in annual returns, the quality and consistency of returns.  Data quality is monitored through a comprehensive set of automated validation checks which are applied to every record submitted to the NDTRS.  </w:t>
      </w:r>
      <w:r>
        <w:t>All discrepancies are investigated and referred back to the service provider for review and correction</w:t>
      </w:r>
      <w:r w:rsidR="009D2A34">
        <w:t xml:space="preserve">.  </w:t>
      </w:r>
      <w:r w:rsidR="009D2A34" w:rsidRPr="00697C05">
        <w:t>Missing data</w:t>
      </w:r>
      <w:r w:rsidRPr="00697C05">
        <w:t xml:space="preserve"> is </w:t>
      </w:r>
      <w:r>
        <w:t xml:space="preserve">also </w:t>
      </w:r>
      <w:r w:rsidRPr="00697C05">
        <w:t>referred back to the service provider in the first instance to obtain valid responses.  Following this process, any outstanding missing information is coded to “</w:t>
      </w:r>
      <w:r>
        <w:t>un</w:t>
      </w:r>
      <w:r w:rsidRPr="00697C05">
        <w:t>known”</w:t>
      </w:r>
      <w:r>
        <w:t xml:space="preserve"> and any other modifications are made in line with a comprehensive protocol</w:t>
      </w:r>
      <w:proofErr w:type="gramStart"/>
      <w:r w:rsidRPr="00697C05">
        <w:t xml:space="preserve">. </w:t>
      </w:r>
      <w:proofErr w:type="gramEnd"/>
      <w:r w:rsidRPr="00697C05">
        <w:t xml:space="preserve">NDTRS data undergoes at least two levels of checking and validation before an annual dataset is finalised </w:t>
      </w:r>
      <w:r>
        <w:rPr>
          <w:noProof/>
        </w:rPr>
        <w:t>(Health Research Board 2018)</w:t>
      </w:r>
      <w:r w:rsidRPr="00697C05">
        <w:t xml:space="preserve">.  Upon receipt of the NDTRS dataset, the researcher carried out additional audits of all variables used in the analysis.  Errors in the recording of age entering treatment were identified by the researcher and were referred back </w:t>
      </w:r>
      <w:r>
        <w:t xml:space="preserve">to </w:t>
      </w:r>
      <w:r w:rsidRPr="00697C05">
        <w:t xml:space="preserve">NDTRS staff for correction.  Corrected data </w:t>
      </w:r>
      <w:r>
        <w:t>were</w:t>
      </w:r>
      <w:r w:rsidRPr="00697C05">
        <w:t xml:space="preserve"> used in this study. </w:t>
      </w:r>
    </w:p>
    <w:p w:rsidR="003B0DEE" w:rsidRPr="00697C05" w:rsidRDefault="003B0DEE" w:rsidP="000D5D90">
      <w:pPr>
        <w:pStyle w:val="Heading3"/>
      </w:pPr>
      <w:bookmarkStart w:id="51" w:name="_Toc15331673"/>
      <w:r w:rsidRPr="00697C05">
        <w:t>Generalisability</w:t>
      </w:r>
      <w:bookmarkEnd w:id="51"/>
      <w:r w:rsidRPr="00697C05">
        <w:t xml:space="preserve"> </w:t>
      </w:r>
    </w:p>
    <w:p w:rsidR="003B0DEE" w:rsidRPr="00697C05" w:rsidRDefault="003B0DEE" w:rsidP="000D5D90">
      <w:pPr>
        <w:pStyle w:val="BodyText"/>
      </w:pPr>
      <w:r w:rsidRPr="00697C05">
        <w:t>Much of the research on ageing to date has been specialised, using small numbers of participants.  This study provide</w:t>
      </w:r>
      <w:r>
        <w:t>s</w:t>
      </w:r>
      <w:r w:rsidRPr="00697C05">
        <w:t xml:space="preserve"> a ne</w:t>
      </w:r>
      <w:r>
        <w:t>w national prospective on opioid</w:t>
      </w:r>
      <w:r w:rsidRPr="00697C05">
        <w:t xml:space="preserve"> issues using reliable data from routine surveillance systems.  The research will provide new insights from a national p</w:t>
      </w:r>
      <w:r>
        <w:t>er</w:t>
      </w:r>
      <w:r w:rsidRPr="00697C05">
        <w:t xml:space="preserve">spective that are fundamental to inform policy and planning in addition to enhancing the effectiveness of treatment and rehabilitation.  </w:t>
      </w:r>
    </w:p>
    <w:p w:rsidR="003B0DEE" w:rsidRPr="00697C05" w:rsidRDefault="003B0DEE" w:rsidP="000D5D90">
      <w:pPr>
        <w:pStyle w:val="BodyText"/>
      </w:pPr>
      <w:r w:rsidRPr="00697C05">
        <w:t xml:space="preserve">The primary purpose of the TDI indicator is to gain valuable insights into the characteristics, risk behaviours and drug use patterns of people with problematic drug use, and also to estimate trends in the extent (i.e. treatment prevalence and incidence) and patterns of problem drug use </w:t>
      </w:r>
      <w:r>
        <w:rPr>
          <w:noProof/>
        </w:rPr>
        <w:t>(European Monitoring Centre for Drugs and Drug Addiction 2012a)</w:t>
      </w:r>
      <w:r w:rsidRPr="00697C05">
        <w:t>.  TDI data has been used internationally for several research purposes including monitoring drug use trends and developments</w:t>
      </w:r>
      <w:r>
        <w:t xml:space="preserve"> </w:t>
      </w:r>
      <w:r>
        <w:rPr>
          <w:noProof/>
        </w:rPr>
        <w:t>(Agar &amp; Reisinger 1999, Falcato</w:t>
      </w:r>
      <w:r w:rsidRPr="00E40AAD">
        <w:rPr>
          <w:i/>
          <w:noProof/>
        </w:rPr>
        <w:t xml:space="preserve"> et al.</w:t>
      </w:r>
      <w:r>
        <w:rPr>
          <w:noProof/>
        </w:rPr>
        <w:t xml:space="preserve"> 2001, European Monitoring Centre for Drugs and Drug Addiction 2010b, 2012c, 2012b, Barrio</w:t>
      </w:r>
      <w:r w:rsidRPr="00E40AAD">
        <w:rPr>
          <w:i/>
          <w:noProof/>
        </w:rPr>
        <w:t xml:space="preserve"> et al.</w:t>
      </w:r>
      <w:r>
        <w:rPr>
          <w:noProof/>
        </w:rPr>
        <w:t xml:space="preserve"> 2013, European Monitoring Centre for Drugs and Drug Addiction 2013, Montanari</w:t>
      </w:r>
      <w:r w:rsidRPr="00E40AAD">
        <w:rPr>
          <w:i/>
          <w:noProof/>
        </w:rPr>
        <w:t xml:space="preserve"> et al.</w:t>
      </w:r>
      <w:r>
        <w:rPr>
          <w:noProof/>
        </w:rPr>
        <w:t xml:space="preserve"> 2013, Antoine</w:t>
      </w:r>
      <w:r w:rsidRPr="00E40AAD">
        <w:rPr>
          <w:i/>
          <w:noProof/>
        </w:rPr>
        <w:t xml:space="preserve"> et al.</w:t>
      </w:r>
      <w:r>
        <w:rPr>
          <w:noProof/>
        </w:rPr>
        <w:t xml:space="preserve"> 2016, Mounteney</w:t>
      </w:r>
      <w:r w:rsidRPr="00E40AAD">
        <w:rPr>
          <w:i/>
          <w:noProof/>
        </w:rPr>
        <w:t xml:space="preserve"> et al.</w:t>
      </w:r>
      <w:r>
        <w:rPr>
          <w:noProof/>
        </w:rPr>
        <w:t xml:space="preserve"> 2016, European Monitoring Centre for Drugs and Drug Addiction 2017a, 2017b, Smyth</w:t>
      </w:r>
      <w:r w:rsidRPr="00E40AAD">
        <w:rPr>
          <w:i/>
          <w:noProof/>
        </w:rPr>
        <w:t xml:space="preserve"> et al.</w:t>
      </w:r>
      <w:r>
        <w:rPr>
          <w:noProof/>
        </w:rPr>
        <w:t xml:space="preserve"> 2017)</w:t>
      </w:r>
      <w:r w:rsidRPr="00697C05">
        <w:t xml:space="preserve">, injecting epidemics </w:t>
      </w:r>
      <w:r>
        <w:rPr>
          <w:noProof/>
        </w:rPr>
        <w:t>(De la Fuente</w:t>
      </w:r>
      <w:r w:rsidRPr="00791A95">
        <w:rPr>
          <w:i/>
          <w:noProof/>
        </w:rPr>
        <w:t xml:space="preserve"> et al.</w:t>
      </w:r>
      <w:r>
        <w:rPr>
          <w:noProof/>
        </w:rPr>
        <w:t xml:space="preserve"> 1997, Agar &amp; Reisinger 1999, Falcato</w:t>
      </w:r>
      <w:r w:rsidRPr="00791A95">
        <w:rPr>
          <w:i/>
          <w:noProof/>
        </w:rPr>
        <w:t xml:space="preserve"> et al.</w:t>
      </w:r>
      <w:r>
        <w:rPr>
          <w:noProof/>
        </w:rPr>
        <w:t xml:space="preserve"> 2001, Barrio</w:t>
      </w:r>
      <w:r w:rsidRPr="00791A95">
        <w:rPr>
          <w:i/>
          <w:noProof/>
        </w:rPr>
        <w:t xml:space="preserve"> et al.</w:t>
      </w:r>
      <w:r>
        <w:rPr>
          <w:noProof/>
        </w:rPr>
        <w:t xml:space="preserve"> 2013, Peterfi</w:t>
      </w:r>
      <w:r w:rsidRPr="00791A95">
        <w:rPr>
          <w:i/>
          <w:noProof/>
        </w:rPr>
        <w:t xml:space="preserve"> et al.</w:t>
      </w:r>
      <w:r>
        <w:rPr>
          <w:noProof/>
        </w:rPr>
        <w:t xml:space="preserve"> 2014)</w:t>
      </w:r>
      <w:r w:rsidRPr="00697C05">
        <w:t xml:space="preserve">, estimation of hepatitis C </w:t>
      </w:r>
      <w:r>
        <w:rPr>
          <w:noProof/>
        </w:rPr>
        <w:t>(Carew</w:t>
      </w:r>
      <w:r w:rsidRPr="00791A95">
        <w:rPr>
          <w:i/>
          <w:noProof/>
        </w:rPr>
        <w:t xml:space="preserve"> et al.</w:t>
      </w:r>
      <w:r>
        <w:rPr>
          <w:noProof/>
        </w:rPr>
        <w:t xml:space="preserve"> 2017)</w:t>
      </w:r>
      <w:r w:rsidRPr="00697C05">
        <w:t xml:space="preserve">, treatment settings </w:t>
      </w:r>
      <w:r>
        <w:rPr>
          <w:noProof/>
        </w:rPr>
        <w:t>(Montanari</w:t>
      </w:r>
      <w:r w:rsidRPr="00791A95">
        <w:rPr>
          <w:i/>
          <w:noProof/>
        </w:rPr>
        <w:t xml:space="preserve"> et al.</w:t>
      </w:r>
      <w:r>
        <w:rPr>
          <w:noProof/>
        </w:rPr>
        <w:t xml:space="preserve"> 2014)</w:t>
      </w:r>
      <w:r w:rsidRPr="00697C05">
        <w:t xml:space="preserve">, and sociodemographic correlations with drug treatment </w:t>
      </w:r>
      <w:r>
        <w:rPr>
          <w:noProof/>
        </w:rPr>
        <w:t>(Montanari</w:t>
      </w:r>
      <w:r w:rsidRPr="00791A95">
        <w:rPr>
          <w:i/>
          <w:noProof/>
        </w:rPr>
        <w:t xml:space="preserve"> et al.</w:t>
      </w:r>
      <w:r>
        <w:rPr>
          <w:noProof/>
        </w:rPr>
        <w:t xml:space="preserve"> 2011, Storti</w:t>
      </w:r>
      <w:r w:rsidRPr="00791A95">
        <w:rPr>
          <w:i/>
          <w:noProof/>
        </w:rPr>
        <w:t xml:space="preserve"> et al.</w:t>
      </w:r>
      <w:r>
        <w:rPr>
          <w:noProof/>
        </w:rPr>
        <w:t xml:space="preserve"> 2011)</w:t>
      </w:r>
      <w:r w:rsidRPr="00697C05">
        <w:t xml:space="preserve">.  </w:t>
      </w:r>
    </w:p>
    <w:p w:rsidR="003B0DEE" w:rsidRPr="00697C05" w:rsidRDefault="003B0DEE" w:rsidP="000D5D90">
      <w:pPr>
        <w:pStyle w:val="Heading3"/>
      </w:pPr>
      <w:bookmarkStart w:id="52" w:name="_Toc15331674"/>
      <w:r w:rsidRPr="00697C05">
        <w:t>Limitations</w:t>
      </w:r>
      <w:bookmarkEnd w:id="52"/>
    </w:p>
    <w:p w:rsidR="003B0DEE" w:rsidRDefault="003B0DEE" w:rsidP="000D5D90">
      <w:pPr>
        <w:autoSpaceDE w:val="0"/>
        <w:autoSpaceDN w:val="0"/>
        <w:adjustRightInd w:val="0"/>
        <w:spacing w:line="360" w:lineRule="auto"/>
        <w:jc w:val="left"/>
        <w:rPr>
          <w:rFonts w:ascii="Arial" w:hAnsi="Arial" w:cs="Arial"/>
          <w:sz w:val="20"/>
        </w:rPr>
      </w:pPr>
      <w:r>
        <w:rPr>
          <w:rFonts w:ascii="Arial" w:hAnsi="Arial" w:cs="Arial"/>
          <w:sz w:val="20"/>
        </w:rPr>
        <w:t xml:space="preserve">A number of potential methodological limitations to this study must be acknowledged.  Limitations are restrictions which may limit the credibility of study findings and restrict the population to which the findings may be generalised </w:t>
      </w:r>
      <w:r>
        <w:rPr>
          <w:rFonts w:ascii="Arial" w:hAnsi="Arial" w:cs="Arial"/>
          <w:noProof/>
          <w:sz w:val="20"/>
        </w:rPr>
        <w:t>(Burns &amp; Grove 2005)</w:t>
      </w:r>
      <w:proofErr w:type="gramStart"/>
      <w:r>
        <w:rPr>
          <w:rFonts w:ascii="Arial" w:hAnsi="Arial" w:cs="Arial"/>
          <w:sz w:val="20"/>
        </w:rPr>
        <w:t xml:space="preserve">. </w:t>
      </w:r>
      <w:proofErr w:type="gramEnd"/>
      <w:r>
        <w:rPr>
          <w:rFonts w:ascii="Arial" w:hAnsi="Arial" w:cs="Arial"/>
          <w:sz w:val="20"/>
        </w:rPr>
        <w:t xml:space="preserve">Objectivity is a key component of scientific research and is vital at each step, including study inception, design, methods, analysis and interpretation of the results </w:t>
      </w:r>
      <w:r>
        <w:rPr>
          <w:rFonts w:ascii="Arial" w:hAnsi="Arial" w:cs="Arial"/>
          <w:noProof/>
          <w:sz w:val="20"/>
        </w:rPr>
        <w:t>(Bowling 2014)</w:t>
      </w:r>
      <w:r>
        <w:rPr>
          <w:rFonts w:ascii="Arial" w:hAnsi="Arial" w:cs="Arial"/>
          <w:sz w:val="20"/>
        </w:rPr>
        <w:t xml:space="preserve">.  The validity of a study can be undermined by procedural errors, poor sampling, </w:t>
      </w:r>
      <w:proofErr w:type="gramStart"/>
      <w:r>
        <w:rPr>
          <w:rFonts w:ascii="Arial" w:hAnsi="Arial" w:cs="Arial"/>
          <w:sz w:val="20"/>
        </w:rPr>
        <w:t>inaccurate</w:t>
      </w:r>
      <w:proofErr w:type="gramEnd"/>
      <w:r>
        <w:rPr>
          <w:rFonts w:ascii="Arial" w:hAnsi="Arial" w:cs="Arial"/>
          <w:sz w:val="20"/>
        </w:rPr>
        <w:t xml:space="preserve"> measurements </w:t>
      </w:r>
      <w:r>
        <w:rPr>
          <w:rFonts w:ascii="Arial" w:hAnsi="Arial" w:cs="Arial"/>
          <w:noProof/>
          <w:sz w:val="20"/>
        </w:rPr>
        <w:t>(Collis &amp; Hussey 2014)</w:t>
      </w:r>
      <w:r>
        <w:rPr>
          <w:rFonts w:ascii="Arial" w:hAnsi="Arial" w:cs="Arial"/>
          <w:sz w:val="20"/>
        </w:rPr>
        <w:t xml:space="preserve">.  The research design adopted for this study was effective in guarding the validity and reliability of the overall study </w:t>
      </w:r>
      <w:r>
        <w:rPr>
          <w:rFonts w:ascii="Arial" w:hAnsi="Arial" w:cs="Arial"/>
          <w:sz w:val="20"/>
        </w:rPr>
        <w:lastRenderedPageBreak/>
        <w:t xml:space="preserve">and its findings.  Specific study limitations relate to external validity and the potential for errors.  This study represents a cohort of the drug treatment population and does not claim generalisation of the results to the wider population.  It is possible that the findings could be related to similar populations and settings.  However, further and in-depth research would be required before such generalisations could be concluded.  Data used in this study was collected in a systematic manner following a European protocol, which enables the researcher to describe phenomena and to investigate relationships or differences among variables.  However, the observational nature of this study means that although associations between variables may be investigated, the cause of those associations cannot be determined </w:t>
      </w:r>
      <w:r>
        <w:rPr>
          <w:rFonts w:ascii="Arial" w:hAnsi="Arial" w:cs="Arial"/>
          <w:noProof/>
          <w:sz w:val="20"/>
        </w:rPr>
        <w:t>(Polit &amp; Beck 2017)</w:t>
      </w:r>
      <w:r>
        <w:rPr>
          <w:rFonts w:ascii="Arial" w:hAnsi="Arial" w:cs="Arial"/>
          <w:sz w:val="20"/>
        </w:rPr>
        <w:t xml:space="preserve">.  Notwithstanding their limitations, observational studies are necessary in epidemiology to describe the frequency, incidence and prevalence of a condition </w:t>
      </w:r>
      <w:r>
        <w:rPr>
          <w:rFonts w:ascii="Arial" w:hAnsi="Arial" w:cs="Arial"/>
          <w:noProof/>
          <w:sz w:val="20"/>
        </w:rPr>
        <w:t>(Grimes &amp; Schulz 2002)</w:t>
      </w:r>
      <w:r>
        <w:rPr>
          <w:rFonts w:ascii="Arial" w:hAnsi="Arial" w:cs="Arial"/>
          <w:sz w:val="20"/>
        </w:rPr>
        <w:t>, and present the best available approach for achieving the aims and objectives of this particular study.</w:t>
      </w:r>
    </w:p>
    <w:p w:rsidR="003B0DEE" w:rsidRPr="004D1D22" w:rsidRDefault="003B0DEE" w:rsidP="000D5D90">
      <w:pPr>
        <w:pStyle w:val="BodyText"/>
      </w:pPr>
      <w:r>
        <w:rPr>
          <w:szCs w:val="20"/>
        </w:rPr>
        <w:t xml:space="preserve">Each results chapter contains a section addressing limitations specific to the analysis (Sections 4.5.4, 5.5.3, 6.6.5). </w:t>
      </w:r>
      <w:r w:rsidRPr="004D1D22">
        <w:t xml:space="preserve"> </w:t>
      </w:r>
      <w:r>
        <w:t>More generally, o</w:t>
      </w:r>
      <w:r w:rsidRPr="00B57F42">
        <w:t xml:space="preserve">nly those who sought treatment are included in the reporting system and therefore one cannot take into account those who do not request treatment such as people with non-problematic drug use, those previously treated for other types of drugs and subsequently used opioids, those who ceased their drug use, or people who died before seeking treatment.  </w:t>
      </w:r>
      <w:r w:rsidRPr="00697C05">
        <w:t xml:space="preserve">A </w:t>
      </w:r>
      <w:r>
        <w:t xml:space="preserve">further general </w:t>
      </w:r>
      <w:r w:rsidRPr="00697C05">
        <w:t>limitation of the study is the use of self-reported data, which affects reliability and validity.  Recall of historical information such as age first left school and age of first use may be affected by memory.  However, current drug problems are assessed and recorded by professionals treating the individual, as are treatment interventions</w:t>
      </w:r>
      <w:r>
        <w:t xml:space="preserve"> and discharge data </w:t>
      </w:r>
      <w:r>
        <w:rPr>
          <w:noProof/>
        </w:rPr>
        <w:t>(European Monitoring Centre for Drugs and Drug Addiction 2012a, Health Research Board 2013)</w:t>
      </w:r>
      <w:r>
        <w:t xml:space="preserve">.  </w:t>
      </w:r>
    </w:p>
    <w:p w:rsidR="003B0DEE" w:rsidRPr="00B57F42" w:rsidRDefault="003B0DEE" w:rsidP="000D5D90">
      <w:pPr>
        <w:pStyle w:val="BodyText"/>
      </w:pPr>
    </w:p>
    <w:p w:rsidR="003B0DEE" w:rsidRDefault="003B0DEE" w:rsidP="000D5D90">
      <w:pPr>
        <w:pStyle w:val="Heading3"/>
      </w:pPr>
      <w:bookmarkStart w:id="53" w:name="_Toc15331675"/>
      <w:r w:rsidRPr="00E51425">
        <w:t>Presentation of results</w:t>
      </w:r>
      <w:bookmarkEnd w:id="53"/>
      <w:r>
        <w:t xml:space="preserve"> </w:t>
      </w:r>
    </w:p>
    <w:p w:rsidR="003B0DEE" w:rsidRPr="009F02D9" w:rsidRDefault="003B0DEE" w:rsidP="000D5D90">
      <w:pPr>
        <w:jc w:val="left"/>
        <w:rPr>
          <w:rFonts w:ascii="Arial" w:hAnsi="Arial" w:cs="Arial"/>
          <w:sz w:val="20"/>
        </w:rPr>
      </w:pPr>
      <w:r w:rsidRPr="009F02D9">
        <w:rPr>
          <w:rFonts w:ascii="Arial" w:hAnsi="Arial" w:cs="Arial"/>
          <w:sz w:val="20"/>
        </w:rPr>
        <w:t xml:space="preserve">In the following chapters, </w:t>
      </w:r>
    </w:p>
    <w:p w:rsidR="003B0DEE" w:rsidRPr="00B57F42" w:rsidRDefault="003B0DEE" w:rsidP="000D5D90">
      <w:pPr>
        <w:pStyle w:val="ListParagraph"/>
        <w:numPr>
          <w:ilvl w:val="0"/>
          <w:numId w:val="4"/>
        </w:numPr>
      </w:pPr>
      <w:r w:rsidRPr="00B57F42">
        <w:t xml:space="preserve">Changes in trend direction are described using the words increased, increasing, positive, decreased, decreasing, negative </w:t>
      </w:r>
    </w:p>
    <w:p w:rsidR="003B0DEE" w:rsidRPr="00B57F42" w:rsidRDefault="003B0DEE" w:rsidP="000D5D90">
      <w:pPr>
        <w:pStyle w:val="ListParagraph"/>
        <w:numPr>
          <w:ilvl w:val="0"/>
          <w:numId w:val="4"/>
        </w:numPr>
      </w:pPr>
      <w:r w:rsidRPr="00B57F42">
        <w:t>Confidence intervals presented are the 95 per cent confidence interval, and are denoted by CI</w:t>
      </w:r>
    </w:p>
    <w:p w:rsidR="003B0DEE" w:rsidRPr="009F02D9" w:rsidRDefault="003B0DEE" w:rsidP="000D5D90">
      <w:pPr>
        <w:pStyle w:val="ListParagraph"/>
        <w:numPr>
          <w:ilvl w:val="0"/>
          <w:numId w:val="5"/>
        </w:numPr>
      </w:pPr>
      <w:r w:rsidRPr="009F02D9">
        <w:t>Non-significant results are denoted as NS</w:t>
      </w:r>
      <w:r>
        <w:t>.</w:t>
      </w:r>
    </w:p>
    <w:p w:rsidR="003B0DEE" w:rsidRDefault="003B0DEE" w:rsidP="000D5D90">
      <w:pPr>
        <w:pStyle w:val="Heading2"/>
      </w:pPr>
      <w:bookmarkStart w:id="54" w:name="_Toc15331676"/>
      <w:r>
        <w:t>Conclusion</w:t>
      </w:r>
      <w:bookmarkEnd w:id="54"/>
    </w:p>
    <w:p w:rsidR="003B0DEE" w:rsidRPr="00415182" w:rsidRDefault="003B0DEE" w:rsidP="000D5D90">
      <w:pPr>
        <w:pStyle w:val="BodyText"/>
        <w:rPr>
          <w:highlight w:val="yellow"/>
        </w:rPr>
      </w:pPr>
      <w:r w:rsidRPr="00791122">
        <w:t xml:space="preserve">In this chapter, </w:t>
      </w:r>
      <w:r>
        <w:t xml:space="preserve">the </w:t>
      </w:r>
      <w:r w:rsidRPr="00CF782C">
        <w:t>theoretical concepts that provide a broader understanding of the topic of this study</w:t>
      </w:r>
      <w:r>
        <w:t xml:space="preserve"> were outlined.  T</w:t>
      </w:r>
      <w:r w:rsidRPr="00791122">
        <w:t xml:space="preserve">he methodological </w:t>
      </w:r>
      <w:r>
        <w:t>approach, research design and methodology used to address the study’s aim and objectives were also outlined</w:t>
      </w:r>
      <w:r w:rsidRPr="00791122">
        <w:t>.</w:t>
      </w:r>
      <w:r>
        <w:t xml:space="preserve">  </w:t>
      </w:r>
      <w:r w:rsidRPr="00791122">
        <w:t xml:space="preserve">In the next </w:t>
      </w:r>
      <w:r>
        <w:t xml:space="preserve">three </w:t>
      </w:r>
      <w:r w:rsidRPr="00791122">
        <w:t>chapter</w:t>
      </w:r>
      <w:r>
        <w:t>s (Chapters 4, 5 and 6)</w:t>
      </w:r>
      <w:r w:rsidRPr="00791122">
        <w:t xml:space="preserve">, the </w:t>
      </w:r>
      <w:r>
        <w:t>findings of this study are presented.</w:t>
      </w:r>
      <w:r w:rsidRPr="00430D86">
        <w:t xml:space="preserve"> </w:t>
      </w: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7C2B59" w:rsidRDefault="003B0DEE" w:rsidP="000D5D90">
      <w:pPr>
        <w:pStyle w:val="Heading1"/>
        <w:rPr>
          <w:color w:val="FFFFFF"/>
          <w:sz w:val="18"/>
        </w:rPr>
      </w:pPr>
      <w:bookmarkStart w:id="55" w:name="_Toc15331677"/>
      <w:r w:rsidRPr="007C2B59">
        <w:rPr>
          <w:color w:val="FFFFFF"/>
          <w:sz w:val="20"/>
        </w:rPr>
        <w:lastRenderedPageBreak/>
        <w:t>Chapter 4</w:t>
      </w:r>
      <w:r w:rsidRPr="007C2B59">
        <w:rPr>
          <w:color w:val="FFFFFF"/>
          <w:sz w:val="20"/>
        </w:rPr>
        <w:tab/>
        <w:t xml:space="preserve">Characteristics of opioid treatment admissions and the rising incidence of ageing </w:t>
      </w:r>
      <w:r w:rsidRPr="007C2B59">
        <w:rPr>
          <w:color w:val="FFFFFF"/>
          <w:sz w:val="18"/>
        </w:rPr>
        <w:t>opioid users</w:t>
      </w:r>
      <w:bookmarkEnd w:id="55"/>
    </w:p>
    <w:p w:rsidR="003B0DEE" w:rsidRDefault="003B0DEE" w:rsidP="000D5D90">
      <w:pPr>
        <w:pStyle w:val="Chapter"/>
      </w:pPr>
      <w:r w:rsidRPr="00697C05">
        <w:t xml:space="preserve">Chapter </w:t>
      </w:r>
      <w:r>
        <w:t>4</w:t>
      </w:r>
      <w:r>
        <w:tab/>
      </w:r>
    </w:p>
    <w:p w:rsidR="003B0DEE" w:rsidRPr="00080D8A" w:rsidRDefault="003B0DEE" w:rsidP="000D5D90">
      <w:pPr>
        <w:pStyle w:val="Chapter"/>
      </w:pPr>
      <w:r>
        <w:t>Characteristics of opioid treatment admissions and the rising incidence of treatment among ageing opioid users</w:t>
      </w:r>
    </w:p>
    <w:p w:rsidR="003B0DEE" w:rsidRPr="00F32A9E" w:rsidRDefault="003B0DEE" w:rsidP="000D5D90"/>
    <w:p w:rsidR="003B0DEE" w:rsidRDefault="003B0DEE" w:rsidP="000D5D90">
      <w:pPr>
        <w:pStyle w:val="Heading2"/>
      </w:pPr>
      <w:bookmarkStart w:id="56" w:name="_Toc15331678"/>
      <w:r w:rsidRPr="00722495">
        <w:t>Introduction</w:t>
      </w:r>
      <w:bookmarkEnd w:id="56"/>
    </w:p>
    <w:p w:rsidR="003B0DEE" w:rsidRPr="00CE2E3B" w:rsidRDefault="003B0DEE" w:rsidP="000D5D90">
      <w:pPr>
        <w:pStyle w:val="BodyText"/>
      </w:pPr>
      <w:r w:rsidRPr="00FC7A00">
        <w:t xml:space="preserve">This is the first of three chapters that outline the findings of the study.  </w:t>
      </w:r>
      <w:r w:rsidRPr="00956FFB">
        <w:t>The aim of this study was to investigate the age profile of the opioid tre</w:t>
      </w:r>
      <w:r>
        <w:t>atment population over a twenty-one-year-period</w:t>
      </w:r>
      <w:r w:rsidRPr="00956FFB">
        <w:t xml:space="preserve"> using routine health surveillance data, and to explore typologies of client characteristics, behaviours and associated treatment discharge outcomes.</w:t>
      </w:r>
      <w:r w:rsidRPr="00CE2E3B">
        <w:t xml:space="preserve"> </w:t>
      </w:r>
      <w:r>
        <w:t xml:space="preserve"> </w:t>
      </w:r>
      <w:r w:rsidRPr="00CE2E3B">
        <w:t>The study results are presented in three interconnected chapters.  This, the first results chapter focuses on the second study objective  “To utilise epidemiological treatment data mandated by the European Union to explore and document how the opioid treatmen</w:t>
      </w:r>
      <w:r>
        <w:t xml:space="preserve">t population has aged over a twenty-one-year-period, 1995–2015”. </w:t>
      </w:r>
      <w:r w:rsidRPr="00CE2E3B">
        <w:t xml:space="preserve"> It provides a detailed description of the study population and also details the results of the trend analysis investigating age-related incidence and </w:t>
      </w:r>
      <w:r>
        <w:t>drug-using</w:t>
      </w:r>
      <w:r w:rsidRPr="00CE2E3B">
        <w:t xml:space="preserve"> behaviours.  The results are discussed in the context of the existing literature.  The results of this chapter inform the statistical models presented in the </w:t>
      </w:r>
      <w:r>
        <w:t>later</w:t>
      </w:r>
      <w:r w:rsidRPr="00CE2E3B">
        <w:t xml:space="preserve"> results chapter</w:t>
      </w:r>
      <w:r>
        <w:t>s</w:t>
      </w:r>
      <w:r w:rsidRPr="00CE2E3B">
        <w:t xml:space="preserve"> (</w:t>
      </w:r>
      <w:r>
        <w:t>C</w:t>
      </w:r>
      <w:r w:rsidRPr="00CE2E3B">
        <w:t>hapter 5</w:t>
      </w:r>
      <w:r>
        <w:t xml:space="preserve"> and 6</w:t>
      </w:r>
      <w:r w:rsidRPr="00CE2E3B">
        <w:t xml:space="preserve">).  </w:t>
      </w:r>
    </w:p>
    <w:p w:rsidR="003B0DEE" w:rsidRDefault="003B0DEE" w:rsidP="000D5D90">
      <w:pPr>
        <w:pStyle w:val="Heading2"/>
      </w:pPr>
      <w:bookmarkStart w:id="57" w:name="_Toc15331679"/>
      <w:r>
        <w:t>Description of the sample</w:t>
      </w:r>
      <w:bookmarkEnd w:id="57"/>
    </w:p>
    <w:p w:rsidR="003B0DEE" w:rsidRPr="00080D8A" w:rsidRDefault="003B0DEE" w:rsidP="000D5D90">
      <w:pPr>
        <w:pStyle w:val="Heading3"/>
      </w:pPr>
      <w:bookmarkStart w:id="58" w:name="_Toc15331680"/>
      <w:r w:rsidRPr="00080D8A">
        <w:t>Number of treatment admissions</w:t>
      </w:r>
      <w:bookmarkEnd w:id="58"/>
    </w:p>
    <w:p w:rsidR="003B0DEE" w:rsidRPr="00CE2E3B" w:rsidRDefault="003B0DEE" w:rsidP="000D5D90">
      <w:pPr>
        <w:pStyle w:val="BodyText"/>
        <w:rPr>
          <w:b/>
          <w:bCs/>
        </w:rPr>
      </w:pPr>
      <w:r w:rsidRPr="00CE2E3B">
        <w:t>A total of 20,698 new individuals entered treatment for problem opioid use between 199</w:t>
      </w:r>
      <w:r>
        <w:t>5 and 2015 (Table 4-</w:t>
      </w:r>
      <w:r w:rsidRPr="00CE2E3B">
        <w:t>1).  First-time treatment admissions peaked in 2009 with numbers declining in subsequent years.  Heroin was the main problem opioid across all years accounting for 92.1% (n=19,057) of all treatment entries, illicit methadone</w:t>
      </w:r>
      <w:r>
        <w:t xml:space="preserve"> </w:t>
      </w:r>
      <w:r w:rsidRPr="00CE2E3B">
        <w:t xml:space="preserve">accounted for 2.3% (n=479) of treatments, and over-the-counter and other prescribed opioids </w:t>
      </w:r>
      <w:r>
        <w:t xml:space="preserve">(such as codeine, codeine derivatives, morphine, prescribed synthetic opioids etc.) </w:t>
      </w:r>
      <w:r w:rsidRPr="00CE2E3B">
        <w:t xml:space="preserve">accounted for 5.0% (n=1,041).  Although heroin was the main problem opioid across all years, annual proportions fell below 90.0% </w:t>
      </w:r>
      <w:r>
        <w:t>of the total opioid proportion</w:t>
      </w:r>
      <w:r w:rsidRPr="00CE2E3B">
        <w:t xml:space="preserve"> for the first time in 2011, and by 2015 they were at their lowest </w:t>
      </w:r>
      <w:r>
        <w:t>proportion</w:t>
      </w:r>
      <w:r w:rsidRPr="00CE2E3B">
        <w:t xml:space="preserve"> (at 83.2%).  The proportions of people using over-the-counter and prescribed opioids rose and reached their highest point in 2015, accounting for 13.5% of all opioid treatment admissions. </w:t>
      </w:r>
    </w:p>
    <w:p w:rsidR="003B0DEE" w:rsidRDefault="003B0DEE" w:rsidP="000D5D90">
      <w:pPr>
        <w:spacing w:after="200" w:line="276" w:lineRule="auto"/>
        <w:jc w:val="left"/>
      </w:pPr>
      <w:r>
        <w:br w:type="page"/>
      </w:r>
    </w:p>
    <w:p w:rsidR="003B0DEE" w:rsidRPr="002E5ABE" w:rsidRDefault="003B0DEE" w:rsidP="000D5D90">
      <w:pPr>
        <w:jc w:val="left"/>
        <w:rPr>
          <w:rFonts w:ascii="Arial" w:hAnsi="Arial" w:cs="Arial"/>
          <w:sz w:val="20"/>
        </w:rPr>
      </w:pPr>
      <w:bookmarkStart w:id="59" w:name="_Toc15331991"/>
      <w:r w:rsidRPr="002E5ABE">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r>
        <w:rPr>
          <w:rFonts w:ascii="Arial" w:hAnsi="Arial" w:cs="Arial"/>
          <w:b/>
          <w:noProof/>
          <w:sz w:val="20"/>
        </w:rPr>
        <w:t xml:space="preserve">  </w:t>
      </w:r>
      <w:r w:rsidRPr="002E5ABE">
        <w:rPr>
          <w:rFonts w:ascii="Arial" w:hAnsi="Arial" w:cs="Arial"/>
          <w:sz w:val="20"/>
        </w:rPr>
        <w:t xml:space="preserve">Number of </w:t>
      </w:r>
      <w:r>
        <w:rPr>
          <w:rFonts w:ascii="Arial" w:hAnsi="Arial" w:cs="Arial"/>
          <w:sz w:val="20"/>
        </w:rPr>
        <w:t>first-</w:t>
      </w:r>
      <w:r w:rsidRPr="002E5ABE">
        <w:rPr>
          <w:rFonts w:ascii="Arial" w:hAnsi="Arial" w:cs="Arial"/>
          <w:sz w:val="20"/>
        </w:rPr>
        <w:t xml:space="preserve">time treatment admissions by opioid type, </w:t>
      </w:r>
      <w:r>
        <w:rPr>
          <w:rFonts w:ascii="Arial" w:hAnsi="Arial" w:cs="Arial"/>
          <w:sz w:val="20"/>
        </w:rPr>
        <w:t>1995–2015</w:t>
      </w:r>
      <w:bookmarkEnd w:id="59"/>
    </w:p>
    <w:tbl>
      <w:tblPr>
        <w:tblpPr w:leftFromText="180" w:rightFromText="180" w:vertAnchor="text" w:tblpY="1"/>
        <w:tblOverlap w:val="never"/>
        <w:tblW w:w="4159" w:type="pct"/>
        <w:tblBorders>
          <w:top w:val="single" w:sz="8" w:space="0" w:color="000000"/>
          <w:bottom w:val="single" w:sz="8" w:space="0" w:color="000000"/>
        </w:tblBorders>
        <w:shd w:val="clear" w:color="auto" w:fill="FFFFFF"/>
        <w:tblLook w:val="04A0" w:firstRow="1" w:lastRow="0" w:firstColumn="1" w:lastColumn="0" w:noHBand="0" w:noVBand="1"/>
      </w:tblPr>
      <w:tblGrid>
        <w:gridCol w:w="883"/>
        <w:gridCol w:w="773"/>
        <w:gridCol w:w="606"/>
        <w:gridCol w:w="551"/>
        <w:gridCol w:w="747"/>
        <w:gridCol w:w="747"/>
        <w:gridCol w:w="606"/>
        <w:gridCol w:w="551"/>
        <w:gridCol w:w="536"/>
        <w:gridCol w:w="773"/>
        <w:gridCol w:w="717"/>
      </w:tblGrid>
      <w:tr w:rsidR="003B0DEE" w:rsidRPr="002E5ABE" w:rsidTr="000D5D90">
        <w:trPr>
          <w:trHeight w:val="20"/>
        </w:trPr>
        <w:tc>
          <w:tcPr>
            <w:tcW w:w="589" w:type="pct"/>
            <w:tcBorders>
              <w:top w:val="single" w:sz="8" w:space="0" w:color="000000"/>
              <w:left w:val="nil"/>
              <w:bottom w:val="single" w:sz="8" w:space="0" w:color="000000"/>
              <w:right w:val="nil"/>
            </w:tcBorders>
            <w:shd w:val="clear" w:color="auto" w:fill="FFFFFF"/>
          </w:tcPr>
          <w:p w:rsidR="003B0DEE" w:rsidRPr="002E5ABE" w:rsidRDefault="003B0DEE" w:rsidP="000D5D90">
            <w:pPr>
              <w:spacing w:line="360" w:lineRule="auto"/>
              <w:jc w:val="left"/>
              <w:rPr>
                <w:rFonts w:ascii="Arial" w:hAnsi="Arial" w:cs="Arial"/>
                <w:b/>
                <w:bCs/>
                <w:color w:val="000000"/>
                <w:sz w:val="20"/>
                <w:lang w:eastAsia="en-US"/>
              </w:rPr>
            </w:pPr>
            <w:r w:rsidRPr="002E5ABE">
              <w:rPr>
                <w:rFonts w:ascii="Arial" w:hAnsi="Arial" w:cs="Arial"/>
                <w:b/>
                <w:bCs/>
                <w:sz w:val="20"/>
                <w:lang w:eastAsia="en-US"/>
              </w:rPr>
              <w:t>Year treated</w:t>
            </w:r>
          </w:p>
        </w:tc>
        <w:tc>
          <w:tcPr>
            <w:tcW w:w="3416" w:type="pct"/>
            <w:gridSpan w:val="8"/>
            <w:tcBorders>
              <w:top w:val="single" w:sz="8" w:space="0" w:color="000000"/>
              <w:left w:val="nil"/>
              <w:bottom w:val="single" w:sz="8" w:space="0" w:color="000000"/>
              <w:right w:val="nil"/>
            </w:tcBorders>
            <w:shd w:val="clear" w:color="auto" w:fill="F2F2F2"/>
          </w:tcPr>
          <w:p w:rsidR="003B0DEE" w:rsidRPr="002E5ABE" w:rsidRDefault="003B0DEE" w:rsidP="000D5D90">
            <w:pPr>
              <w:spacing w:line="360" w:lineRule="auto"/>
              <w:jc w:val="center"/>
              <w:rPr>
                <w:rFonts w:ascii="Arial" w:hAnsi="Arial" w:cs="Arial"/>
                <w:b/>
                <w:bCs/>
                <w:color w:val="000000"/>
                <w:sz w:val="20"/>
                <w:lang w:eastAsia="en-US"/>
              </w:rPr>
            </w:pPr>
            <w:r w:rsidRPr="002E5ABE">
              <w:rPr>
                <w:rFonts w:ascii="Arial" w:hAnsi="Arial" w:cs="Arial"/>
                <w:b/>
                <w:bCs/>
                <w:color w:val="000000"/>
                <w:sz w:val="20"/>
                <w:lang w:eastAsia="en-US"/>
              </w:rPr>
              <w:t>Main problem drug</w:t>
            </w:r>
          </w:p>
        </w:tc>
        <w:tc>
          <w:tcPr>
            <w:tcW w:w="995" w:type="pct"/>
            <w:gridSpan w:val="2"/>
            <w:tcBorders>
              <w:top w:val="single" w:sz="8" w:space="0" w:color="000000"/>
              <w:left w:val="nil"/>
              <w:bottom w:val="single" w:sz="8" w:space="0" w:color="000000"/>
              <w:right w:val="nil"/>
            </w:tcBorders>
            <w:shd w:val="clear" w:color="auto" w:fill="F2F2F2"/>
          </w:tcPr>
          <w:p w:rsidR="003B0DEE" w:rsidRPr="002E5ABE" w:rsidRDefault="003B0DEE" w:rsidP="000D5D90">
            <w:pPr>
              <w:spacing w:line="360" w:lineRule="auto"/>
              <w:jc w:val="center"/>
              <w:rPr>
                <w:rFonts w:ascii="Arial" w:hAnsi="Arial" w:cs="Arial"/>
                <w:b/>
                <w:bCs/>
                <w:color w:val="000000"/>
                <w:sz w:val="20"/>
                <w:lang w:eastAsia="en-US"/>
              </w:rPr>
            </w:pP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p>
        </w:tc>
        <w:tc>
          <w:tcPr>
            <w:tcW w:w="921" w:type="pct"/>
            <w:gridSpan w:val="2"/>
            <w:tcBorders>
              <w:left w:val="nil"/>
              <w:right w:val="nil"/>
            </w:tcBorders>
            <w:shd w:val="clear" w:color="auto" w:fill="F2F2F2"/>
          </w:tcPr>
          <w:p w:rsidR="003B0DEE" w:rsidRPr="002E5ABE" w:rsidRDefault="003B0DEE" w:rsidP="000D5D90">
            <w:pPr>
              <w:spacing w:line="360" w:lineRule="auto"/>
              <w:jc w:val="center"/>
              <w:rPr>
                <w:rFonts w:ascii="Arial" w:hAnsi="Arial" w:cs="Arial"/>
                <w:color w:val="000000"/>
                <w:sz w:val="20"/>
                <w:lang w:eastAsia="en-US"/>
              </w:rPr>
            </w:pPr>
            <w:r w:rsidRPr="002E5ABE">
              <w:rPr>
                <w:rFonts w:ascii="Arial" w:hAnsi="Arial" w:cs="Arial"/>
                <w:sz w:val="20"/>
                <w:lang w:eastAsia="en-US"/>
              </w:rPr>
              <w:t>Her</w:t>
            </w:r>
            <w:r w:rsidRPr="002E5ABE">
              <w:rPr>
                <w:rFonts w:ascii="Arial" w:hAnsi="Arial" w:cs="Arial"/>
                <w:sz w:val="20"/>
                <w:shd w:val="clear" w:color="auto" w:fill="F2F2F2"/>
                <w:lang w:eastAsia="en-US"/>
              </w:rPr>
              <w:t>oin</w:t>
            </w:r>
          </w:p>
        </w:tc>
        <w:tc>
          <w:tcPr>
            <w:tcW w:w="866" w:type="pct"/>
            <w:gridSpan w:val="2"/>
            <w:tcBorders>
              <w:left w:val="nil"/>
              <w:right w:val="nil"/>
            </w:tcBorders>
            <w:shd w:val="clear" w:color="auto" w:fill="FFFFFF"/>
          </w:tcPr>
          <w:p w:rsidR="003B0DEE" w:rsidRPr="002E5ABE" w:rsidRDefault="003B0DEE" w:rsidP="000D5D90">
            <w:pPr>
              <w:spacing w:line="360" w:lineRule="auto"/>
              <w:jc w:val="center"/>
              <w:rPr>
                <w:rFonts w:ascii="Arial" w:hAnsi="Arial" w:cs="Arial"/>
                <w:color w:val="000000"/>
                <w:sz w:val="20"/>
                <w:lang w:eastAsia="en-US"/>
              </w:rPr>
            </w:pPr>
            <w:r w:rsidRPr="002E5ABE">
              <w:rPr>
                <w:rFonts w:ascii="Arial" w:hAnsi="Arial" w:cs="Arial"/>
                <w:sz w:val="20"/>
                <w:lang w:eastAsia="en-US"/>
              </w:rPr>
              <w:t>Illicit methadone</w:t>
            </w:r>
          </w:p>
        </w:tc>
        <w:tc>
          <w:tcPr>
            <w:tcW w:w="903" w:type="pct"/>
            <w:gridSpan w:val="2"/>
            <w:tcBorders>
              <w:left w:val="nil"/>
              <w:right w:val="nil"/>
            </w:tcBorders>
            <w:shd w:val="clear" w:color="auto" w:fill="F2F2F2"/>
          </w:tcPr>
          <w:p w:rsidR="003B0DEE" w:rsidRPr="002E5ABE" w:rsidRDefault="003B0DEE" w:rsidP="000D5D90">
            <w:pPr>
              <w:spacing w:line="360" w:lineRule="auto"/>
              <w:jc w:val="center"/>
              <w:rPr>
                <w:rFonts w:ascii="Arial" w:hAnsi="Arial" w:cs="Arial"/>
                <w:sz w:val="20"/>
                <w:lang w:eastAsia="en-US"/>
              </w:rPr>
            </w:pPr>
            <w:r w:rsidRPr="002E5ABE">
              <w:rPr>
                <w:rFonts w:ascii="Arial" w:hAnsi="Arial" w:cs="Arial"/>
                <w:sz w:val="20"/>
                <w:lang w:eastAsia="en-US"/>
              </w:rPr>
              <w:t>Over-the-counter or</w:t>
            </w:r>
          </w:p>
          <w:p w:rsidR="003B0DEE" w:rsidRPr="002E5ABE" w:rsidRDefault="003B0DEE" w:rsidP="000D5D90">
            <w:pPr>
              <w:spacing w:line="360" w:lineRule="auto"/>
              <w:jc w:val="center"/>
              <w:rPr>
                <w:rFonts w:ascii="Arial" w:hAnsi="Arial" w:cs="Arial"/>
                <w:color w:val="000000"/>
                <w:sz w:val="20"/>
                <w:lang w:eastAsia="en-US"/>
              </w:rPr>
            </w:pPr>
            <w:r w:rsidRPr="002E5ABE">
              <w:rPr>
                <w:rFonts w:ascii="Arial" w:hAnsi="Arial" w:cs="Arial"/>
                <w:sz w:val="20"/>
                <w:lang w:eastAsia="en-US"/>
              </w:rPr>
              <w:t>prescription opioid</w:t>
            </w:r>
          </w:p>
        </w:tc>
        <w:tc>
          <w:tcPr>
            <w:tcW w:w="726" w:type="pct"/>
            <w:gridSpan w:val="2"/>
            <w:tcBorders>
              <w:left w:val="nil"/>
              <w:right w:val="nil"/>
            </w:tcBorders>
            <w:shd w:val="clear" w:color="auto" w:fill="FFFFFF"/>
          </w:tcPr>
          <w:p w:rsidR="003B0DEE" w:rsidRPr="002E5ABE" w:rsidRDefault="003B0DEE" w:rsidP="000D5D90">
            <w:pPr>
              <w:spacing w:line="360" w:lineRule="auto"/>
              <w:jc w:val="center"/>
              <w:rPr>
                <w:rFonts w:ascii="Arial" w:hAnsi="Arial" w:cs="Arial"/>
                <w:color w:val="000000"/>
                <w:sz w:val="20"/>
                <w:lang w:eastAsia="en-US"/>
              </w:rPr>
            </w:pPr>
            <w:r>
              <w:rPr>
                <w:rFonts w:ascii="Arial" w:hAnsi="Arial" w:cs="Arial"/>
                <w:sz w:val="20"/>
                <w:lang w:eastAsia="en-US"/>
              </w:rPr>
              <w:t>Other types of opioid</w:t>
            </w:r>
          </w:p>
        </w:tc>
        <w:tc>
          <w:tcPr>
            <w:tcW w:w="995" w:type="pct"/>
            <w:gridSpan w:val="2"/>
            <w:tcBorders>
              <w:left w:val="nil"/>
              <w:right w:val="nil"/>
            </w:tcBorders>
            <w:shd w:val="clear" w:color="auto" w:fill="F2F2F2"/>
          </w:tcPr>
          <w:p w:rsidR="003B0DEE" w:rsidRPr="002E5ABE" w:rsidRDefault="003B0DEE" w:rsidP="000D5D90">
            <w:pPr>
              <w:spacing w:line="360" w:lineRule="auto"/>
              <w:jc w:val="center"/>
              <w:rPr>
                <w:rFonts w:ascii="Arial" w:hAnsi="Arial" w:cs="Arial"/>
                <w:b/>
                <w:color w:val="000000"/>
                <w:sz w:val="20"/>
                <w:lang w:eastAsia="en-US"/>
              </w:rPr>
            </w:pPr>
            <w:r w:rsidRPr="002E5ABE">
              <w:rPr>
                <w:rFonts w:ascii="Arial" w:hAnsi="Arial" w:cs="Arial"/>
                <w:b/>
                <w:sz w:val="20"/>
                <w:lang w:eastAsia="en-US"/>
              </w:rPr>
              <w:t>Total</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color w:val="000000"/>
                <w:sz w:val="20"/>
                <w:lang w:eastAsia="en-US"/>
              </w:rPr>
            </w:pPr>
          </w:p>
        </w:tc>
        <w:tc>
          <w:tcPr>
            <w:tcW w:w="516"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N</w:t>
            </w:r>
          </w:p>
        </w:tc>
        <w:tc>
          <w:tcPr>
            <w:tcW w:w="405"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w:t>
            </w:r>
          </w:p>
        </w:tc>
        <w:tc>
          <w:tcPr>
            <w:tcW w:w="368" w:type="pct"/>
            <w:shd w:val="clear" w:color="auto" w:fill="FFFFFF"/>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N</w:t>
            </w:r>
          </w:p>
        </w:tc>
        <w:tc>
          <w:tcPr>
            <w:tcW w:w="499" w:type="pct"/>
            <w:shd w:val="clear" w:color="auto" w:fill="FFFFFF"/>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w:t>
            </w:r>
          </w:p>
        </w:tc>
        <w:tc>
          <w:tcPr>
            <w:tcW w:w="49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N</w:t>
            </w:r>
          </w:p>
        </w:tc>
        <w:tc>
          <w:tcPr>
            <w:tcW w:w="405"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w:t>
            </w:r>
          </w:p>
        </w:tc>
        <w:tc>
          <w:tcPr>
            <w:tcW w:w="368" w:type="pct"/>
            <w:shd w:val="clear" w:color="auto" w:fill="FFFFFF"/>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N</w:t>
            </w:r>
          </w:p>
        </w:tc>
        <w:tc>
          <w:tcPr>
            <w:tcW w:w="358" w:type="pct"/>
            <w:shd w:val="clear" w:color="auto" w:fill="FFFFFF"/>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w:t>
            </w:r>
          </w:p>
        </w:tc>
        <w:tc>
          <w:tcPr>
            <w:tcW w:w="516"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N</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1995</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976</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90.4</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36</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3.3</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64</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5.9</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0.4</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1080</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1996</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1227</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96.6</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21</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1.7</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18</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1.4</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0.3</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1270</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1997</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823</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96.0</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23</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2.7</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0.9</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0.4</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857</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1998</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797</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93.2</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40</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4.7</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11</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1.3</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0.8</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855</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1999</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883</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95.8</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23</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2.5</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1.0</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0.8</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922</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2000</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790</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95.2</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25</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3.0</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12</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1.4</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0.4</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830</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2001</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869</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96.4</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1.0</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14</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1.6</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1.0</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901</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2002</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732</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96.2</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14</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1.8</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14</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1.8</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0.1</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761</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2003</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720</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94.9</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18</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2.4</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16</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2.1</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5</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0.7</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759</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2004</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614</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93.9</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14</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2.1</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22</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3.4</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0.6</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654</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2005</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657</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91.0</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28</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3.9</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35</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4.8</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0.3</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722</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2006</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844</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92.4</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32</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3.5</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35</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3.8</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0.2</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913</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2007</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956</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92.3</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19</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1.8</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42</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4.1</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19</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1.8</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1036</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2008</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1100</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91.3</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19</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1.6</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61</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5.1</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25</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2.1</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1205</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2009</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1386</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93.1</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23</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1.5</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77</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5.2</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0.2</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1489</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2010</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1301</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92.3</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0.6</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94</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6.7</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0.5</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1410</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2011</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975</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89.4</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18</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1.6</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98</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9.0</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0</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0.0</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1091</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2012</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925</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89.5</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25</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2.4</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83</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8.0</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0.1</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1034</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2013</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837</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84.2</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35</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3.5</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118</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11.9</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4</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0.4</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994</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2014</w:t>
            </w:r>
          </w:p>
        </w:tc>
        <w:tc>
          <w:tcPr>
            <w:tcW w:w="516"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875</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88.5</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23</w:t>
            </w:r>
          </w:p>
        </w:tc>
        <w:tc>
          <w:tcPr>
            <w:tcW w:w="499"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2.3</w:t>
            </w:r>
          </w:p>
        </w:tc>
        <w:tc>
          <w:tcPr>
            <w:tcW w:w="499" w:type="pct"/>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85</w:t>
            </w:r>
          </w:p>
        </w:tc>
        <w:tc>
          <w:tcPr>
            <w:tcW w:w="405" w:type="pct"/>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8.6</w:t>
            </w:r>
          </w:p>
        </w:tc>
        <w:tc>
          <w:tcPr>
            <w:tcW w:w="368" w:type="pct"/>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6</w:t>
            </w:r>
          </w:p>
        </w:tc>
        <w:tc>
          <w:tcPr>
            <w:tcW w:w="358" w:type="pct"/>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0.6</w:t>
            </w:r>
          </w:p>
        </w:tc>
        <w:tc>
          <w:tcPr>
            <w:tcW w:w="516" w:type="pct"/>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989</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tcBorders>
              <w:left w:val="nil"/>
              <w:right w:val="nil"/>
            </w:tcBorders>
            <w:shd w:val="clear" w:color="auto" w:fill="FFFFFF"/>
          </w:tcPr>
          <w:p w:rsidR="003B0DEE" w:rsidRPr="002E5ABE" w:rsidRDefault="003B0DEE" w:rsidP="000D5D90">
            <w:pPr>
              <w:spacing w:line="360" w:lineRule="auto"/>
              <w:rPr>
                <w:rFonts w:ascii="Arial" w:hAnsi="Arial" w:cs="Arial"/>
                <w:b/>
                <w:bCs/>
                <w:sz w:val="20"/>
                <w:lang w:eastAsia="en-US"/>
              </w:rPr>
            </w:pPr>
            <w:r w:rsidRPr="002E5ABE">
              <w:rPr>
                <w:rFonts w:ascii="Arial" w:hAnsi="Arial" w:cs="Arial"/>
                <w:b/>
                <w:bCs/>
                <w:sz w:val="20"/>
                <w:lang w:eastAsia="en-US"/>
              </w:rPr>
              <w:t>2015</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770</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83.2</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26</w:t>
            </w:r>
          </w:p>
        </w:tc>
        <w:tc>
          <w:tcPr>
            <w:tcW w:w="499"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2.8</w:t>
            </w:r>
          </w:p>
        </w:tc>
        <w:tc>
          <w:tcPr>
            <w:tcW w:w="499"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125</w:t>
            </w:r>
          </w:p>
        </w:tc>
        <w:tc>
          <w:tcPr>
            <w:tcW w:w="405"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13.5</w:t>
            </w:r>
          </w:p>
        </w:tc>
        <w:tc>
          <w:tcPr>
            <w:tcW w:w="36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sz w:val="20"/>
                <w:lang w:eastAsia="en-US"/>
              </w:rPr>
            </w:pPr>
            <w:r w:rsidRPr="002E5ABE">
              <w:rPr>
                <w:rFonts w:ascii="Arial" w:hAnsi="Arial" w:cs="Arial"/>
                <w:color w:val="000000"/>
                <w:sz w:val="20"/>
                <w:lang w:eastAsia="en-US"/>
              </w:rPr>
              <w:t>5</w:t>
            </w:r>
          </w:p>
        </w:tc>
        <w:tc>
          <w:tcPr>
            <w:tcW w:w="358" w:type="pct"/>
            <w:tcBorders>
              <w:left w:val="nil"/>
              <w:right w:val="nil"/>
            </w:tcBorders>
            <w:shd w:val="clear" w:color="auto" w:fill="FFFFFF"/>
            <w:vAlign w:val="center"/>
          </w:tcPr>
          <w:p w:rsidR="003B0DEE" w:rsidRPr="002E5ABE" w:rsidRDefault="003B0DEE" w:rsidP="000D5D90">
            <w:pPr>
              <w:spacing w:line="360" w:lineRule="auto"/>
              <w:jc w:val="right"/>
              <w:rPr>
                <w:rFonts w:ascii="Arial" w:hAnsi="Arial" w:cs="Arial"/>
                <w:color w:val="000000"/>
                <w:sz w:val="20"/>
                <w:lang w:eastAsia="en-US"/>
              </w:rPr>
            </w:pPr>
            <w:r w:rsidRPr="002E5ABE">
              <w:rPr>
                <w:rFonts w:ascii="Arial" w:hAnsi="Arial" w:cs="Arial"/>
                <w:color w:val="000000"/>
                <w:sz w:val="20"/>
                <w:lang w:eastAsia="en-US"/>
              </w:rPr>
              <w:t>0.5</w:t>
            </w:r>
          </w:p>
        </w:tc>
        <w:tc>
          <w:tcPr>
            <w:tcW w:w="516" w:type="pct"/>
            <w:tcBorders>
              <w:left w:val="nil"/>
              <w:right w:val="nil"/>
            </w:tcBorders>
            <w:shd w:val="clear" w:color="auto" w:fill="F2F2F2"/>
            <w:vAlign w:val="center"/>
          </w:tcPr>
          <w:p w:rsidR="003B0DEE" w:rsidRPr="002E5ABE" w:rsidRDefault="003B0DEE" w:rsidP="000D5D90">
            <w:pPr>
              <w:spacing w:line="360" w:lineRule="auto"/>
              <w:jc w:val="right"/>
              <w:rPr>
                <w:rFonts w:ascii="Arial" w:hAnsi="Arial" w:cs="Arial"/>
                <w:b/>
                <w:sz w:val="20"/>
                <w:lang w:eastAsia="en-US"/>
              </w:rPr>
            </w:pPr>
            <w:r w:rsidRPr="002E5ABE">
              <w:rPr>
                <w:rFonts w:ascii="Arial" w:hAnsi="Arial" w:cs="Arial"/>
                <w:b/>
                <w:color w:val="000000"/>
                <w:sz w:val="20"/>
                <w:lang w:eastAsia="en-US"/>
              </w:rPr>
              <w:t>926</w:t>
            </w:r>
          </w:p>
        </w:tc>
        <w:tc>
          <w:tcPr>
            <w:tcW w:w="479" w:type="pct"/>
            <w:tcBorders>
              <w:left w:val="nil"/>
              <w:right w:val="nil"/>
            </w:tcBorders>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r w:rsidR="003B0DEE" w:rsidRPr="002E5ABE" w:rsidTr="000D5D90">
        <w:trPr>
          <w:trHeight w:val="20"/>
        </w:trPr>
        <w:tc>
          <w:tcPr>
            <w:tcW w:w="589" w:type="pct"/>
            <w:shd w:val="clear" w:color="auto" w:fill="FFFFFF"/>
          </w:tcPr>
          <w:p w:rsidR="003B0DEE" w:rsidRPr="002E5ABE" w:rsidRDefault="003B0DEE" w:rsidP="000D5D90">
            <w:pPr>
              <w:spacing w:line="360" w:lineRule="auto"/>
              <w:rPr>
                <w:rFonts w:ascii="Arial" w:hAnsi="Arial" w:cs="Arial"/>
                <w:b/>
                <w:bCs/>
                <w:color w:val="000000"/>
                <w:sz w:val="20"/>
                <w:lang w:eastAsia="en-US"/>
              </w:rPr>
            </w:pPr>
            <w:r w:rsidRPr="002E5ABE">
              <w:rPr>
                <w:rFonts w:ascii="Arial" w:hAnsi="Arial" w:cs="Arial"/>
                <w:b/>
                <w:bCs/>
                <w:color w:val="000000"/>
                <w:sz w:val="20"/>
                <w:lang w:eastAsia="en-US"/>
              </w:rPr>
              <w:t>Total</w:t>
            </w:r>
          </w:p>
        </w:tc>
        <w:tc>
          <w:tcPr>
            <w:tcW w:w="516" w:type="pct"/>
            <w:shd w:val="clear" w:color="auto" w:fill="F2F2F2"/>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19057</w:t>
            </w:r>
          </w:p>
        </w:tc>
        <w:tc>
          <w:tcPr>
            <w:tcW w:w="405" w:type="pct"/>
            <w:shd w:val="clear" w:color="auto" w:fill="F2F2F2"/>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92.1</w:t>
            </w:r>
          </w:p>
        </w:tc>
        <w:tc>
          <w:tcPr>
            <w:tcW w:w="368" w:type="pct"/>
            <w:shd w:val="clear" w:color="auto" w:fill="FFFFFF"/>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479</w:t>
            </w:r>
          </w:p>
        </w:tc>
        <w:tc>
          <w:tcPr>
            <w:tcW w:w="499" w:type="pct"/>
            <w:shd w:val="clear" w:color="auto" w:fill="FFFFFF"/>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2.3</w:t>
            </w:r>
          </w:p>
        </w:tc>
        <w:tc>
          <w:tcPr>
            <w:tcW w:w="499" w:type="pct"/>
            <w:shd w:val="clear" w:color="auto" w:fill="F2F2F2"/>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1041</w:t>
            </w:r>
          </w:p>
        </w:tc>
        <w:tc>
          <w:tcPr>
            <w:tcW w:w="405" w:type="pct"/>
            <w:shd w:val="clear" w:color="auto" w:fill="F2F2F2"/>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5.0</w:t>
            </w:r>
          </w:p>
        </w:tc>
        <w:tc>
          <w:tcPr>
            <w:tcW w:w="368" w:type="pct"/>
            <w:shd w:val="clear" w:color="auto" w:fill="FFFFFF"/>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121</w:t>
            </w:r>
          </w:p>
        </w:tc>
        <w:tc>
          <w:tcPr>
            <w:tcW w:w="358" w:type="pct"/>
            <w:shd w:val="clear" w:color="auto" w:fill="FFFFFF"/>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0.6</w:t>
            </w:r>
          </w:p>
        </w:tc>
        <w:tc>
          <w:tcPr>
            <w:tcW w:w="516" w:type="pct"/>
            <w:shd w:val="clear" w:color="auto" w:fill="F2F2F2"/>
            <w:vAlign w:val="center"/>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20698</w:t>
            </w:r>
          </w:p>
        </w:tc>
        <w:tc>
          <w:tcPr>
            <w:tcW w:w="479" w:type="pct"/>
            <w:shd w:val="clear" w:color="auto" w:fill="F2F2F2"/>
          </w:tcPr>
          <w:p w:rsidR="003B0DEE" w:rsidRPr="002E5ABE" w:rsidRDefault="003B0DEE" w:rsidP="000D5D90">
            <w:pPr>
              <w:spacing w:line="360" w:lineRule="auto"/>
              <w:jc w:val="right"/>
              <w:rPr>
                <w:rFonts w:ascii="Arial" w:hAnsi="Arial" w:cs="Arial"/>
                <w:b/>
                <w:color w:val="000000"/>
                <w:sz w:val="20"/>
                <w:lang w:eastAsia="en-US"/>
              </w:rPr>
            </w:pPr>
            <w:r w:rsidRPr="002E5ABE">
              <w:rPr>
                <w:rFonts w:ascii="Arial" w:hAnsi="Arial" w:cs="Arial"/>
                <w:b/>
                <w:color w:val="000000"/>
                <w:sz w:val="20"/>
                <w:lang w:eastAsia="en-US"/>
              </w:rPr>
              <w:t>100.0</w:t>
            </w:r>
          </w:p>
        </w:tc>
      </w:tr>
    </w:tbl>
    <w:p w:rsidR="003B0DEE" w:rsidRDefault="003B0DEE" w:rsidP="000D5D90">
      <w:pPr>
        <w:rPr>
          <w:rFonts w:cs="Arial"/>
        </w:rPr>
      </w:pPr>
      <w:r>
        <w:rPr>
          <w:rFonts w:cs="Arial"/>
        </w:rPr>
        <w:br w:type="textWrapping" w:clear="all"/>
      </w:r>
    </w:p>
    <w:p w:rsidR="003B0DEE" w:rsidRPr="00080D8A" w:rsidRDefault="003B0DEE" w:rsidP="000D5D90">
      <w:pPr>
        <w:pStyle w:val="Heading3"/>
      </w:pPr>
      <w:bookmarkStart w:id="60" w:name="_Toc15331681"/>
      <w:r w:rsidRPr="00080D8A">
        <w:t>Socio demographic characteristics</w:t>
      </w:r>
      <w:bookmarkEnd w:id="60"/>
    </w:p>
    <w:p w:rsidR="003B0DEE" w:rsidRPr="001E07CA" w:rsidRDefault="003B0DEE" w:rsidP="000D5D90">
      <w:pPr>
        <w:pStyle w:val="BodyText"/>
      </w:pPr>
      <w:r w:rsidRPr="001E07CA">
        <w:t>Males accounted for approximately two-thirds of the</w:t>
      </w:r>
      <w:r>
        <w:t xml:space="preserve"> new treatment entries (Table 4-</w:t>
      </w:r>
      <w:r w:rsidRPr="001E07CA">
        <w:t>2).  In 1995, the age profile of people entering treatment was the same for both men and women (mean=21 years)</w:t>
      </w:r>
      <w:r>
        <w:t>.</w:t>
      </w:r>
      <w:r w:rsidRPr="001E07CA">
        <w:t xml:space="preserve"> </w:t>
      </w:r>
      <w:r>
        <w:t xml:space="preserve"> H</w:t>
      </w:r>
      <w:r w:rsidRPr="001E07CA">
        <w:t>owever</w:t>
      </w:r>
      <w:r>
        <w:t>,</w:t>
      </w:r>
      <w:r w:rsidRPr="001E07CA">
        <w:t xml:space="preserve"> by 2015, men were on average older than women (34 versus 31 years).  Given that age at treatment entry is not normally distributed (Kolmogorov-Smirnov=0.106, p&lt;0.001), the median was a more appropriate measure.  The median age of people entering treatment for the first time increased significantly (by 11 years) from age 20 in 1996 to age 31 in 2015 (U=89416.5, p&lt;0.001), increasing for both males and females (12 year increase for males and 10 year increase for females).  In 1995, 86.8% of people entering treatment were aged 24 years or younger compared to 13.2% in 2015 (Z=866.989, p&lt;0.001).  </w:t>
      </w:r>
    </w:p>
    <w:p w:rsidR="003B0DEE" w:rsidRDefault="003B0DEE" w:rsidP="000D5D90">
      <w:pPr>
        <w:pStyle w:val="BodyText"/>
        <w:sectPr w:rsidR="003B0DEE" w:rsidSect="000D5D90">
          <w:footerReference w:type="default" r:id="rId13"/>
          <w:pgSz w:w="11907" w:h="16840" w:code="9"/>
          <w:pgMar w:top="1134" w:right="1134" w:bottom="1134" w:left="1985" w:header="709" w:footer="709" w:gutter="0"/>
          <w:cols w:space="708"/>
          <w:docGrid w:linePitch="360"/>
        </w:sectPr>
      </w:pPr>
      <w:r w:rsidRPr="001E07CA">
        <w:lastRenderedPageBreak/>
        <w:t xml:space="preserve">The proportion of </w:t>
      </w:r>
      <w:r>
        <w:t xml:space="preserve">people </w:t>
      </w:r>
      <w:r w:rsidRPr="001E07CA">
        <w:t>in regular employment</w:t>
      </w:r>
      <w:r w:rsidRPr="00CE2E3B">
        <w:t xml:space="preserve"> remained low (12.2% in both 1995 and 2015).  The proportion who were unemployed decreased significantly from 84.6% in 1995 to 69.9% in 2015 (Z=62.911, p&lt;0.001).  The number of people classified as retired/on disability/at home increased although starting from a low base in 1995 (0.1% in 1995 to 14.8% in 2015, Z=168.219, p&lt;0.001).  There was a significant decrease in the proportion of people who lived with parents or family (</w:t>
      </w:r>
      <w:r>
        <w:t xml:space="preserve">76.8% to 31.9%, </w:t>
      </w:r>
      <w:r w:rsidRPr="00CE2E3B">
        <w:t>Z=407.998, p&lt;0.001), while significant increases were observed in the proportions living alone (</w:t>
      </w:r>
      <w:r>
        <w:t xml:space="preserve">3.4% to 12.7%, </w:t>
      </w:r>
      <w:r w:rsidRPr="00CE2E3B">
        <w:t>Z=60.669, p&lt;0.001), with child(ren) (</w:t>
      </w:r>
      <w:r>
        <w:t xml:space="preserve">0.3% to 16.3%, </w:t>
      </w:r>
      <w:r w:rsidRPr="00CE2E3B">
        <w:t>Z=180.723, p&lt;0.001), with friends (</w:t>
      </w:r>
      <w:r>
        <w:t xml:space="preserve">0.9% to 2.7%, </w:t>
      </w:r>
      <w:r w:rsidRPr="00CE2E3B">
        <w:t>Z=9.151, p=0.002) or other types of living arrangements (</w:t>
      </w:r>
      <w:r>
        <w:t xml:space="preserve">7.9% to 26.2%, </w:t>
      </w:r>
      <w:r w:rsidRPr="00CE2E3B">
        <w:t>Z=123.027, p&lt;0.001).  The proportion who were left school before their 16</w:t>
      </w:r>
      <w:r w:rsidRPr="00CE2E3B">
        <w:rPr>
          <w:vertAlign w:val="superscript"/>
        </w:rPr>
        <w:t>th</w:t>
      </w:r>
      <w:r w:rsidRPr="00CE2E3B">
        <w:t xml:space="preserve"> birthday decreased significantly from 58.6% in 1995 to 39.4% in 2015 (z=73.471, p&lt;0.001).  </w:t>
      </w:r>
      <w:r>
        <w:t>In 1995, the vast majority of people entering treatment resided in Dublin (</w:t>
      </w:r>
      <w:r w:rsidRPr="00701669">
        <w:rPr>
          <w:bCs/>
        </w:rPr>
        <w:t>96.2%)</w:t>
      </w:r>
      <w:proofErr w:type="gramStart"/>
      <w:r>
        <w:rPr>
          <w:bCs/>
        </w:rPr>
        <w:t>,</w:t>
      </w:r>
      <w:proofErr w:type="gramEnd"/>
      <w:r>
        <w:rPr>
          <w:bCs/>
        </w:rPr>
        <w:t xml:space="preserve"> by 2015 the majority resided outside of Dublin (</w:t>
      </w:r>
      <w:r w:rsidRPr="00701669">
        <w:rPr>
          <w:bCs/>
          <w:szCs w:val="20"/>
        </w:rPr>
        <w:t>63.9%</w:t>
      </w:r>
      <w:r>
        <w:rPr>
          <w:bCs/>
          <w:szCs w:val="20"/>
        </w:rPr>
        <w:t xml:space="preserve">). </w:t>
      </w:r>
    </w:p>
    <w:p w:rsidR="003B0DEE" w:rsidRPr="008F4416" w:rsidRDefault="003B0DEE" w:rsidP="000D5D90">
      <w:pPr>
        <w:jc w:val="left"/>
        <w:rPr>
          <w:rFonts w:ascii="Arial" w:hAnsi="Arial" w:cs="Arial"/>
          <w:b/>
          <w:sz w:val="20"/>
        </w:rPr>
      </w:pPr>
      <w:bookmarkStart w:id="61" w:name="_Toc15331992"/>
      <w:r w:rsidRPr="008F441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2</w:t>
      </w:r>
      <w:r>
        <w:rPr>
          <w:rFonts w:ascii="Arial" w:hAnsi="Arial" w:cs="Arial"/>
          <w:b/>
          <w:sz w:val="20"/>
        </w:rPr>
        <w:fldChar w:fldCharType="end"/>
      </w:r>
      <w:r>
        <w:rPr>
          <w:rFonts w:ascii="Arial" w:hAnsi="Arial" w:cs="Arial"/>
          <w:b/>
          <w:sz w:val="20"/>
        </w:rPr>
        <w:t xml:space="preserve">  </w:t>
      </w:r>
      <w:r w:rsidRPr="008F4416">
        <w:rPr>
          <w:rFonts w:ascii="Arial" w:hAnsi="Arial" w:cs="Arial"/>
          <w:sz w:val="20"/>
        </w:rPr>
        <w:t>Sociodemographic characteristics of first-time opioid treatment entrants in 1995 and 2015</w:t>
      </w:r>
      <w:bookmarkEnd w:id="61"/>
      <w:r w:rsidRPr="008F4416">
        <w:rPr>
          <w:rFonts w:ascii="Arial" w:hAnsi="Arial" w:cs="Arial"/>
          <w:b/>
          <w:sz w:val="20"/>
        </w:rPr>
        <w:t xml:space="preserve"> </w:t>
      </w:r>
    </w:p>
    <w:tbl>
      <w:tblPr>
        <w:tblW w:w="4641" w:type="pct"/>
        <w:tblBorders>
          <w:top w:val="single" w:sz="8" w:space="0" w:color="000000"/>
          <w:bottom w:val="single" w:sz="8" w:space="0" w:color="000000"/>
        </w:tblBorders>
        <w:tblLook w:val="04A0" w:firstRow="1" w:lastRow="0" w:firstColumn="1" w:lastColumn="0" w:noHBand="0" w:noVBand="1"/>
      </w:tblPr>
      <w:tblGrid>
        <w:gridCol w:w="3039"/>
        <w:gridCol w:w="1419"/>
        <w:gridCol w:w="1414"/>
        <w:gridCol w:w="1419"/>
        <w:gridCol w:w="1411"/>
        <w:gridCol w:w="1639"/>
        <w:gridCol w:w="1529"/>
        <w:gridCol w:w="1856"/>
      </w:tblGrid>
      <w:tr w:rsidR="003B0DEE" w:rsidRPr="002E5ABE" w:rsidTr="000D5D90">
        <w:trPr>
          <w:trHeight w:val="20"/>
          <w:tblHeader/>
        </w:trPr>
        <w:tc>
          <w:tcPr>
            <w:tcW w:w="1107"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p>
        </w:tc>
        <w:tc>
          <w:tcPr>
            <w:tcW w:w="2063" w:type="pct"/>
            <w:gridSpan w:val="4"/>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Gender</w:t>
            </w:r>
          </w:p>
        </w:tc>
        <w:tc>
          <w:tcPr>
            <w:tcW w:w="1154" w:type="pct"/>
            <w:gridSpan w:val="2"/>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Total</w:t>
            </w:r>
          </w:p>
        </w:tc>
        <w:tc>
          <w:tcPr>
            <w:tcW w:w="676"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Significance test</w:t>
            </w:r>
          </w:p>
        </w:tc>
      </w:tr>
      <w:tr w:rsidR="003B0DEE" w:rsidRPr="002E5ABE" w:rsidTr="000D5D90">
        <w:trPr>
          <w:trHeight w:val="20"/>
          <w:tblHeader/>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
                <w:bCs/>
                <w:color w:val="000000"/>
                <w:sz w:val="20"/>
                <w:lang w:eastAsia="en-US"/>
              </w:rPr>
            </w:pPr>
          </w:p>
        </w:tc>
        <w:tc>
          <w:tcPr>
            <w:tcW w:w="1032"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Male</w:t>
            </w:r>
          </w:p>
        </w:tc>
        <w:tc>
          <w:tcPr>
            <w:tcW w:w="1031"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Female</w:t>
            </w:r>
          </w:p>
        </w:tc>
        <w:tc>
          <w:tcPr>
            <w:tcW w:w="597" w:type="pct"/>
            <w:tcBorders>
              <w:left w:val="nil"/>
              <w:right w:val="nil"/>
            </w:tcBorders>
            <w:shd w:val="clear" w:color="auto" w:fill="FFFFFF"/>
          </w:tcPr>
          <w:p w:rsidR="003B0DEE" w:rsidRPr="006C1FA0" w:rsidRDefault="003B0DEE" w:rsidP="000D5D90">
            <w:pPr>
              <w:spacing w:line="240" w:lineRule="auto"/>
              <w:rPr>
                <w:rFonts w:ascii="Arial" w:hAnsi="Arial" w:cs="Arial"/>
                <w:b/>
                <w:color w:val="000000"/>
                <w:sz w:val="20"/>
                <w:lang w:eastAsia="en-US"/>
              </w:rPr>
            </w:pPr>
          </w:p>
        </w:tc>
        <w:tc>
          <w:tcPr>
            <w:tcW w:w="557" w:type="pct"/>
            <w:tcBorders>
              <w:left w:val="nil"/>
              <w:right w:val="nil"/>
            </w:tcBorders>
            <w:shd w:val="clear" w:color="auto" w:fill="FFFFFF"/>
          </w:tcPr>
          <w:p w:rsidR="003B0DEE" w:rsidRPr="002E5ABE" w:rsidRDefault="003B0DEE" w:rsidP="000D5D90">
            <w:pPr>
              <w:spacing w:line="240" w:lineRule="auto"/>
              <w:rPr>
                <w:rFonts w:ascii="Arial" w:hAnsi="Arial" w:cs="Arial"/>
                <w:color w:val="000000"/>
                <w:sz w:val="20"/>
                <w:lang w:eastAsia="en-US"/>
              </w:rPr>
            </w:pPr>
          </w:p>
        </w:tc>
        <w:tc>
          <w:tcPr>
            <w:tcW w:w="676" w:type="pct"/>
            <w:tcBorders>
              <w:left w:val="nil"/>
              <w:right w:val="nil"/>
            </w:tcBorders>
            <w:shd w:val="clear" w:color="auto" w:fill="FFFFFF"/>
          </w:tcPr>
          <w:p w:rsidR="003B0DEE" w:rsidRPr="002E5ABE" w:rsidRDefault="003B0DEE" w:rsidP="000D5D90">
            <w:pPr>
              <w:spacing w:line="240" w:lineRule="auto"/>
              <w:rPr>
                <w:rFonts w:ascii="Arial" w:hAnsi="Arial" w:cs="Arial"/>
                <w:color w:val="000000"/>
                <w:sz w:val="20"/>
                <w:lang w:eastAsia="en-US"/>
              </w:rPr>
            </w:pPr>
          </w:p>
        </w:tc>
      </w:tr>
      <w:tr w:rsidR="003B0DEE" w:rsidRPr="002E5ABE" w:rsidTr="000D5D90">
        <w:trPr>
          <w:trHeight w:val="20"/>
          <w:tblHeader/>
        </w:trPr>
        <w:tc>
          <w:tcPr>
            <w:tcW w:w="1107" w:type="pct"/>
            <w:tcBorders>
              <w:bottom w:val="nil"/>
            </w:tcBorders>
            <w:shd w:val="clear" w:color="auto" w:fill="FFFFFF"/>
          </w:tcPr>
          <w:p w:rsidR="003B0DEE" w:rsidRPr="002E5ABE" w:rsidRDefault="003B0DEE" w:rsidP="000D5D90">
            <w:pPr>
              <w:spacing w:line="240" w:lineRule="auto"/>
              <w:jc w:val="left"/>
              <w:rPr>
                <w:rFonts w:ascii="Arial" w:hAnsi="Arial" w:cs="Arial"/>
                <w:b/>
                <w:bCs/>
                <w:color w:val="000000"/>
                <w:sz w:val="20"/>
                <w:lang w:eastAsia="en-US"/>
              </w:rPr>
            </w:pPr>
            <w:r w:rsidRPr="002E5ABE">
              <w:rPr>
                <w:rFonts w:ascii="Arial" w:hAnsi="Arial" w:cs="Arial"/>
                <w:b/>
                <w:bCs/>
                <w:sz w:val="20"/>
                <w:lang w:eastAsia="en-US"/>
              </w:rPr>
              <w:t>Year treat</w:t>
            </w:r>
            <w:r>
              <w:rPr>
                <w:rFonts w:ascii="Arial" w:hAnsi="Arial" w:cs="Arial"/>
                <w:b/>
                <w:bCs/>
                <w:sz w:val="20"/>
                <w:lang w:eastAsia="en-US"/>
              </w:rPr>
              <w:t>ed</w:t>
            </w:r>
          </w:p>
        </w:tc>
        <w:tc>
          <w:tcPr>
            <w:tcW w:w="517"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15"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517"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14"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597"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57"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676" w:type="pct"/>
            <w:tcBorders>
              <w:bottom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Z/t/U (p)</w:t>
            </w:r>
          </w:p>
        </w:tc>
      </w:tr>
      <w:tr w:rsidR="003B0DEE" w:rsidRPr="002E5ABE" w:rsidTr="000D5D90">
        <w:trPr>
          <w:trHeight w:val="20"/>
        </w:trPr>
        <w:tc>
          <w:tcPr>
            <w:tcW w:w="1107" w:type="pct"/>
            <w:tcBorders>
              <w:top w:val="nil"/>
              <w:left w:val="nil"/>
              <w:bottom w:val="nil"/>
              <w:right w:val="nil"/>
            </w:tcBorders>
            <w:shd w:val="clear" w:color="auto" w:fill="FFFFFF" w:themeFill="background1"/>
          </w:tcPr>
          <w:p w:rsidR="003B0DEE" w:rsidRPr="002E5ABE" w:rsidRDefault="003B0DEE" w:rsidP="000D5D90">
            <w:pPr>
              <w:spacing w:line="240" w:lineRule="auto"/>
              <w:jc w:val="left"/>
              <w:rPr>
                <w:rFonts w:ascii="Arial" w:hAnsi="Arial" w:cs="Arial"/>
                <w:b/>
                <w:bCs/>
                <w:color w:val="000000"/>
                <w:sz w:val="20"/>
                <w:lang w:eastAsia="en-US"/>
              </w:rPr>
            </w:pPr>
            <w:r w:rsidRPr="002E5ABE">
              <w:rPr>
                <w:rFonts w:ascii="Arial" w:hAnsi="Arial" w:cs="Arial"/>
                <w:b/>
                <w:bCs/>
                <w:sz w:val="20"/>
                <w:lang w:eastAsia="en-US"/>
              </w:rPr>
              <w:t xml:space="preserve">Number entering treatment </w:t>
            </w:r>
          </w:p>
        </w:tc>
        <w:tc>
          <w:tcPr>
            <w:tcW w:w="517"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835 (77.3%)</w:t>
            </w:r>
          </w:p>
        </w:tc>
        <w:tc>
          <w:tcPr>
            <w:tcW w:w="515"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629 (67.8%)</w:t>
            </w:r>
          </w:p>
        </w:tc>
        <w:tc>
          <w:tcPr>
            <w:tcW w:w="517"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240 (22.2%)</w:t>
            </w:r>
          </w:p>
        </w:tc>
        <w:tc>
          <w:tcPr>
            <w:tcW w:w="514"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296 (32.0%)</w:t>
            </w:r>
          </w:p>
        </w:tc>
        <w:tc>
          <w:tcPr>
            <w:tcW w:w="597"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1080 (100.0%)</w:t>
            </w:r>
          </w:p>
        </w:tc>
        <w:tc>
          <w:tcPr>
            <w:tcW w:w="557"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926 (100.0%)</w:t>
            </w:r>
          </w:p>
        </w:tc>
        <w:tc>
          <w:tcPr>
            <w:tcW w:w="676" w:type="pct"/>
            <w:tcBorders>
              <w:top w:val="nil"/>
              <w:left w:val="nil"/>
              <w:bottom w:val="nil"/>
              <w:right w:val="nil"/>
            </w:tcBorders>
            <w:shd w:val="clear" w:color="auto" w:fill="FFFFFF" w:themeFill="background1"/>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107" w:type="pct"/>
            <w:tcBorders>
              <w:top w:val="nil"/>
              <w:left w:val="nil"/>
              <w:right w:val="nil"/>
            </w:tcBorders>
            <w:shd w:val="clear" w:color="auto" w:fill="D9D9D9"/>
          </w:tcPr>
          <w:p w:rsidR="003B0DEE" w:rsidRPr="002E5ABE" w:rsidRDefault="003B0DEE" w:rsidP="000D5D90">
            <w:pPr>
              <w:spacing w:line="240" w:lineRule="auto"/>
              <w:jc w:val="left"/>
              <w:rPr>
                <w:rFonts w:ascii="Arial" w:hAnsi="Arial" w:cs="Arial"/>
                <w:b/>
                <w:bCs/>
                <w:sz w:val="20"/>
                <w:lang w:eastAsia="en-US"/>
              </w:rPr>
            </w:pPr>
            <w:r>
              <w:rPr>
                <w:rFonts w:ascii="Arial" w:hAnsi="Arial" w:cs="Arial"/>
                <w:b/>
                <w:bCs/>
                <w:sz w:val="20"/>
                <w:lang w:eastAsia="en-US"/>
              </w:rPr>
              <w:t>Age</w:t>
            </w:r>
          </w:p>
        </w:tc>
        <w:tc>
          <w:tcPr>
            <w:tcW w:w="517"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515"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517"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514"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597"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557"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sz w:val="20"/>
                <w:lang w:eastAsia="en-US"/>
              </w:rPr>
            </w:pPr>
          </w:p>
        </w:tc>
        <w:tc>
          <w:tcPr>
            <w:tcW w:w="676" w:type="pct"/>
            <w:tcBorders>
              <w:top w:val="nil"/>
              <w:left w:val="nil"/>
              <w:right w:val="nil"/>
            </w:tcBorders>
            <w:shd w:val="clear" w:color="auto" w:fill="D9D9D9"/>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107" w:type="pct"/>
            <w:shd w:val="clear" w:color="auto" w:fill="FFFFFF"/>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Mean age (years)</w:t>
            </w:r>
          </w:p>
        </w:tc>
        <w:tc>
          <w:tcPr>
            <w:tcW w:w="51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21</w:t>
            </w:r>
          </w:p>
        </w:tc>
        <w:tc>
          <w:tcPr>
            <w:tcW w:w="515"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34</w:t>
            </w:r>
          </w:p>
        </w:tc>
        <w:tc>
          <w:tcPr>
            <w:tcW w:w="51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21</w:t>
            </w:r>
          </w:p>
        </w:tc>
        <w:tc>
          <w:tcPr>
            <w:tcW w:w="514"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31</w:t>
            </w:r>
          </w:p>
        </w:tc>
        <w:tc>
          <w:tcPr>
            <w:tcW w:w="59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21</w:t>
            </w:r>
          </w:p>
        </w:tc>
        <w:tc>
          <w:tcPr>
            <w:tcW w:w="55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33</w:t>
            </w:r>
          </w:p>
        </w:tc>
        <w:tc>
          <w:tcPr>
            <w:tcW w:w="676"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-36.63 (&lt;0.001)</w:t>
            </w:r>
          </w:p>
        </w:tc>
      </w:tr>
      <w:tr w:rsidR="003B0DEE" w:rsidRPr="002E5ABE" w:rsidTr="000D5D90">
        <w:trPr>
          <w:trHeight w:val="20"/>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Median age (years)</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20</w:t>
            </w:r>
          </w:p>
        </w:tc>
        <w:tc>
          <w:tcPr>
            <w:tcW w:w="515"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32</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20</w:t>
            </w:r>
          </w:p>
        </w:tc>
        <w:tc>
          <w:tcPr>
            <w:tcW w:w="514"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30</w:t>
            </w:r>
          </w:p>
        </w:tc>
        <w:tc>
          <w:tcPr>
            <w:tcW w:w="59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20</w:t>
            </w:r>
          </w:p>
        </w:tc>
        <w:tc>
          <w:tcPr>
            <w:tcW w:w="55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31</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89416.5 (&lt;0.001)</w:t>
            </w:r>
          </w:p>
        </w:tc>
      </w:tr>
      <w:tr w:rsidR="003B0DEE" w:rsidRPr="002E5ABE" w:rsidTr="000D5D90">
        <w:trPr>
          <w:trHeight w:val="20"/>
        </w:trPr>
        <w:tc>
          <w:tcPr>
            <w:tcW w:w="1107" w:type="pct"/>
            <w:shd w:val="clear" w:color="auto" w:fill="FFFFFF"/>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Range (5</w:t>
            </w:r>
            <w:r w:rsidRPr="002E5ABE">
              <w:rPr>
                <w:rFonts w:ascii="Arial" w:hAnsi="Arial" w:cs="Arial"/>
                <w:bCs/>
                <w:sz w:val="20"/>
                <w:vertAlign w:val="superscript"/>
                <w:lang w:eastAsia="en-US"/>
              </w:rPr>
              <w:t>th</w:t>
            </w:r>
            <w:r w:rsidRPr="002E5ABE">
              <w:rPr>
                <w:rFonts w:ascii="Arial" w:hAnsi="Arial" w:cs="Arial"/>
                <w:bCs/>
                <w:sz w:val="20"/>
                <w:lang w:eastAsia="en-US"/>
              </w:rPr>
              <w:t>-95</w:t>
            </w:r>
            <w:r w:rsidRPr="002E5ABE">
              <w:rPr>
                <w:rFonts w:ascii="Arial" w:hAnsi="Arial" w:cs="Arial"/>
                <w:bCs/>
                <w:sz w:val="20"/>
                <w:vertAlign w:val="superscript"/>
                <w:lang w:eastAsia="en-US"/>
              </w:rPr>
              <w:t>th</w:t>
            </w:r>
            <w:r w:rsidRPr="002E5ABE">
              <w:rPr>
                <w:rFonts w:ascii="Arial" w:hAnsi="Arial" w:cs="Arial"/>
                <w:bCs/>
                <w:sz w:val="20"/>
                <w:lang w:eastAsia="en-US"/>
              </w:rPr>
              <w:t xml:space="preserve"> percentiles)</w:t>
            </w:r>
          </w:p>
        </w:tc>
        <w:tc>
          <w:tcPr>
            <w:tcW w:w="51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(16-31)</w:t>
            </w:r>
          </w:p>
        </w:tc>
        <w:tc>
          <w:tcPr>
            <w:tcW w:w="515"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(22-52)</w:t>
            </w:r>
          </w:p>
        </w:tc>
        <w:tc>
          <w:tcPr>
            <w:tcW w:w="51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(15-31)</w:t>
            </w:r>
          </w:p>
        </w:tc>
        <w:tc>
          <w:tcPr>
            <w:tcW w:w="514"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(20-50)</w:t>
            </w:r>
          </w:p>
        </w:tc>
        <w:tc>
          <w:tcPr>
            <w:tcW w:w="59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(16-31)</w:t>
            </w:r>
          </w:p>
        </w:tc>
        <w:tc>
          <w:tcPr>
            <w:tcW w:w="557"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(21-52)</w:t>
            </w:r>
          </w:p>
        </w:tc>
        <w:tc>
          <w:tcPr>
            <w:tcW w:w="676"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Number where age known</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831</w:t>
            </w:r>
          </w:p>
        </w:tc>
        <w:tc>
          <w:tcPr>
            <w:tcW w:w="515"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616</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238</w:t>
            </w:r>
          </w:p>
        </w:tc>
        <w:tc>
          <w:tcPr>
            <w:tcW w:w="514"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291</w:t>
            </w:r>
          </w:p>
        </w:tc>
        <w:tc>
          <w:tcPr>
            <w:tcW w:w="59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1074</w:t>
            </w:r>
          </w:p>
        </w:tc>
        <w:tc>
          <w:tcPr>
            <w:tcW w:w="55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909</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107" w:type="pct"/>
            <w:shd w:val="clear" w:color="auto" w:fill="D9D9D9"/>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Employment status</w:t>
            </w:r>
          </w:p>
        </w:tc>
        <w:tc>
          <w:tcPr>
            <w:tcW w:w="517"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515"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517"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514"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597"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557" w:type="pct"/>
            <w:shd w:val="clear" w:color="auto" w:fill="D9D9D9"/>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676" w:type="pct"/>
            <w:shd w:val="clear" w:color="auto" w:fill="D9D9D9"/>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Regular employment</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110 (13.2%)</w:t>
            </w:r>
          </w:p>
        </w:tc>
        <w:tc>
          <w:tcPr>
            <w:tcW w:w="515"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65 (10.4%)</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21 (8.8%)</w:t>
            </w:r>
          </w:p>
        </w:tc>
        <w:tc>
          <w:tcPr>
            <w:tcW w:w="514"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34 (11.5%)</w:t>
            </w:r>
          </w:p>
        </w:tc>
        <w:tc>
          <w:tcPr>
            <w:tcW w:w="597"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132 (12.2%)</w:t>
            </w:r>
          </w:p>
        </w:tc>
        <w:tc>
          <w:tcPr>
            <w:tcW w:w="557"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99 (12.2%)</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NS</w:t>
            </w:r>
          </w:p>
        </w:tc>
      </w:tr>
      <w:tr w:rsidR="003B0DEE" w:rsidRPr="002E5ABE" w:rsidTr="000D5D90">
        <w:trPr>
          <w:trHeight w:val="20"/>
        </w:trPr>
        <w:tc>
          <w:tcPr>
            <w:tcW w:w="1107" w:type="pct"/>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Student</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(0.4%)</w:t>
            </w:r>
          </w:p>
        </w:tc>
        <w:tc>
          <w:tcPr>
            <w:tcW w:w="515"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(0.2%)</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 (1.7%)</w:t>
            </w:r>
          </w:p>
        </w:tc>
        <w:tc>
          <w:tcPr>
            <w:tcW w:w="514"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 (2.4%)</w:t>
            </w:r>
          </w:p>
        </w:tc>
        <w:tc>
          <w:tcPr>
            <w:tcW w:w="59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 (0.6%)</w:t>
            </w:r>
          </w:p>
        </w:tc>
        <w:tc>
          <w:tcPr>
            <w:tcW w:w="55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 (0.9%)</w:t>
            </w:r>
          </w:p>
        </w:tc>
        <w:tc>
          <w:tcPr>
            <w:tcW w:w="676"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NS</w:t>
            </w:r>
          </w:p>
        </w:tc>
      </w:tr>
      <w:tr w:rsidR="003B0DEE" w:rsidRPr="002E5ABE" w:rsidTr="000D5D90">
        <w:trPr>
          <w:trHeight w:val="20"/>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Retired/disability/at home</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515"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116 (18.5%)</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(0.4%)</w:t>
            </w:r>
          </w:p>
        </w:tc>
        <w:tc>
          <w:tcPr>
            <w:tcW w:w="514"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21 (7.1%)</w:t>
            </w:r>
          </w:p>
        </w:tc>
        <w:tc>
          <w:tcPr>
            <w:tcW w:w="59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(0.1%)</w:t>
            </w:r>
          </w:p>
        </w:tc>
        <w:tc>
          <w:tcPr>
            <w:tcW w:w="55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137 (14.8%)</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168.219 (&lt;0.001)</w:t>
            </w:r>
          </w:p>
        </w:tc>
      </w:tr>
      <w:tr w:rsidR="003B0DEE" w:rsidRPr="002E5ABE" w:rsidTr="000D5D90">
        <w:trPr>
          <w:trHeight w:val="20"/>
        </w:trPr>
        <w:tc>
          <w:tcPr>
            <w:tcW w:w="1107" w:type="pct"/>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Unemployed</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702 (84.3%)</w:t>
            </w:r>
          </w:p>
        </w:tc>
        <w:tc>
          <w:tcPr>
            <w:tcW w:w="515"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424 (67.5%)</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206 (85.8%)</w:t>
            </w:r>
          </w:p>
        </w:tc>
        <w:tc>
          <w:tcPr>
            <w:tcW w:w="514"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221 (74.7%)</w:t>
            </w:r>
          </w:p>
        </w:tc>
        <w:tc>
          <w:tcPr>
            <w:tcW w:w="59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914 (84.6%)</w:t>
            </w:r>
          </w:p>
        </w:tc>
        <w:tc>
          <w:tcPr>
            <w:tcW w:w="55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647 (69.9%)</w:t>
            </w:r>
          </w:p>
        </w:tc>
        <w:tc>
          <w:tcPr>
            <w:tcW w:w="676"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62.911 (&lt;0.001)</w:t>
            </w:r>
          </w:p>
        </w:tc>
      </w:tr>
      <w:tr w:rsidR="003B0DEE" w:rsidRPr="002E5ABE" w:rsidTr="000D5D90">
        <w:trPr>
          <w:trHeight w:val="20"/>
        </w:trPr>
        <w:tc>
          <w:tcPr>
            <w:tcW w:w="1107" w:type="pct"/>
            <w:tcBorders>
              <w:left w:val="nil"/>
              <w:right w:val="nil"/>
            </w:tcBorders>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Other</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(0.4%)</w:t>
            </w:r>
          </w:p>
        </w:tc>
        <w:tc>
          <w:tcPr>
            <w:tcW w:w="515"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10 (1.6%)</w:t>
            </w:r>
          </w:p>
        </w:tc>
        <w:tc>
          <w:tcPr>
            <w:tcW w:w="51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 (0.8%)</w:t>
            </w:r>
          </w:p>
        </w:tc>
        <w:tc>
          <w:tcPr>
            <w:tcW w:w="514"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 (2.0%)</w:t>
            </w:r>
          </w:p>
        </w:tc>
        <w:tc>
          <w:tcPr>
            <w:tcW w:w="59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5 (0.5%)</w:t>
            </w:r>
          </w:p>
        </w:tc>
        <w:tc>
          <w:tcPr>
            <w:tcW w:w="557"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16 (1.7%)</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7.7 (0.006)</w:t>
            </w:r>
          </w:p>
        </w:tc>
      </w:tr>
      <w:tr w:rsidR="003B0DEE" w:rsidRPr="002E5ABE" w:rsidTr="000D5D90">
        <w:trPr>
          <w:trHeight w:val="20"/>
        </w:trPr>
        <w:tc>
          <w:tcPr>
            <w:tcW w:w="1107" w:type="pct"/>
            <w:shd w:val="clear" w:color="auto" w:fill="FFFFFF"/>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Unknown</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 (1.8%)</w:t>
            </w:r>
          </w:p>
        </w:tc>
        <w:tc>
          <w:tcPr>
            <w:tcW w:w="515"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 (01.9%)</w:t>
            </w:r>
          </w:p>
        </w:tc>
        <w:tc>
          <w:tcPr>
            <w:tcW w:w="51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 (2.5%)</w:t>
            </w:r>
          </w:p>
        </w:tc>
        <w:tc>
          <w:tcPr>
            <w:tcW w:w="514"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 (2.4%)</w:t>
            </w:r>
          </w:p>
        </w:tc>
        <w:tc>
          <w:tcPr>
            <w:tcW w:w="59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21 (1.9%)</w:t>
            </w:r>
          </w:p>
        </w:tc>
        <w:tc>
          <w:tcPr>
            <w:tcW w:w="557"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19 (2.1%)</w:t>
            </w:r>
          </w:p>
        </w:tc>
        <w:tc>
          <w:tcPr>
            <w:tcW w:w="676" w:type="pct"/>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NS</w:t>
            </w:r>
          </w:p>
        </w:tc>
      </w:tr>
      <w:tr w:rsidR="003B0DEE" w:rsidRPr="002E5ABE" w:rsidTr="000D5D90">
        <w:trPr>
          <w:trHeight w:val="20"/>
        </w:trPr>
        <w:tc>
          <w:tcPr>
            <w:tcW w:w="1107" w:type="pct"/>
            <w:tcBorders>
              <w:left w:val="nil"/>
              <w:right w:val="nil"/>
            </w:tcBorders>
            <w:shd w:val="clear" w:color="auto" w:fill="D9D9D9"/>
            <w:vAlign w:val="bottom"/>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Living arrangements</w:t>
            </w:r>
          </w:p>
        </w:tc>
        <w:tc>
          <w:tcPr>
            <w:tcW w:w="51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5"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4"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9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5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676" w:type="pct"/>
            <w:tcBorders>
              <w:left w:val="nil"/>
              <w:right w:val="nil"/>
            </w:tcBorders>
            <w:shd w:val="clear" w:color="auto" w:fill="D9D9D9"/>
          </w:tcPr>
          <w:p w:rsidR="003B0DEE" w:rsidRPr="002E5ABE" w:rsidRDefault="003B0DEE" w:rsidP="000D5D90">
            <w:pPr>
              <w:spacing w:line="240" w:lineRule="auto"/>
              <w:jc w:val="right"/>
              <w:rPr>
                <w:rFonts w:ascii="Arial" w:hAnsi="Arial" w:cs="Arial"/>
                <w:b/>
                <w:bCs/>
                <w:sz w:val="20"/>
                <w:lang w:eastAsia="en-US"/>
              </w:rPr>
            </w:pP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Alone</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25 (3.0%)</w:t>
            </w:r>
          </w:p>
        </w:tc>
        <w:tc>
          <w:tcPr>
            <w:tcW w:w="51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91 (14.5%)</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 (5.0%)</w:t>
            </w:r>
          </w:p>
        </w:tc>
        <w:tc>
          <w:tcPr>
            <w:tcW w:w="51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26 (8.8%)</w:t>
            </w:r>
          </w:p>
        </w:tc>
        <w:tc>
          <w:tcPr>
            <w:tcW w:w="59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37 (3.4%)</w:t>
            </w:r>
          </w:p>
        </w:tc>
        <w:tc>
          <w:tcPr>
            <w:tcW w:w="55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118 (12.7%)</w:t>
            </w:r>
          </w:p>
        </w:tc>
        <w:tc>
          <w:tcPr>
            <w:tcW w:w="676"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60.669 (&lt;0.001)</w:t>
            </w:r>
          </w:p>
        </w:tc>
      </w:tr>
      <w:tr w:rsidR="003B0DEE" w:rsidRPr="002E5ABE" w:rsidTr="000D5D90">
        <w:trPr>
          <w:trHeight w:val="20"/>
        </w:trPr>
        <w:tc>
          <w:tcPr>
            <w:tcW w:w="110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Parents or family</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677 (81.1%)</w:t>
            </w:r>
          </w:p>
        </w:tc>
        <w:tc>
          <w:tcPr>
            <w:tcW w:w="51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204 (32.5%)</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149 (62.1%)</w:t>
            </w:r>
          </w:p>
        </w:tc>
        <w:tc>
          <w:tcPr>
            <w:tcW w:w="51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90 (30.4%)</w:t>
            </w:r>
          </w:p>
        </w:tc>
        <w:tc>
          <w:tcPr>
            <w:tcW w:w="59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829 (76.8%)</w:t>
            </w:r>
          </w:p>
        </w:tc>
        <w:tc>
          <w:tcPr>
            <w:tcW w:w="55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295 (31.9%)</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407.998 (&lt;0.001)</w:t>
            </w: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Alone with child/</w:t>
            </w:r>
          </w:p>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partner and child</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(0.4%)</w:t>
            </w:r>
          </w:p>
        </w:tc>
        <w:tc>
          <w:tcPr>
            <w:tcW w:w="51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70 (11.1%)</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51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81 (27.4%)</w:t>
            </w:r>
          </w:p>
        </w:tc>
        <w:tc>
          <w:tcPr>
            <w:tcW w:w="59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(0.3%)</w:t>
            </w:r>
          </w:p>
        </w:tc>
        <w:tc>
          <w:tcPr>
            <w:tcW w:w="55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151 (16.3%)</w:t>
            </w:r>
          </w:p>
        </w:tc>
        <w:tc>
          <w:tcPr>
            <w:tcW w:w="676" w:type="pct"/>
            <w:shd w:val="clear" w:color="auto" w:fill="FFFFFF"/>
          </w:tcPr>
          <w:p w:rsidR="003B0DEE" w:rsidRPr="002E5ABE" w:rsidRDefault="003B0DEE" w:rsidP="000D5D90">
            <w:pPr>
              <w:spacing w:line="240" w:lineRule="auto"/>
              <w:jc w:val="right"/>
              <w:rPr>
                <w:rFonts w:ascii="Arial" w:hAnsi="Arial" w:cs="Arial"/>
                <w:sz w:val="20"/>
                <w:lang w:eastAsia="en-US"/>
              </w:rPr>
            </w:pPr>
          </w:p>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180.723 (&lt;0.001)</w:t>
            </w:r>
          </w:p>
        </w:tc>
      </w:tr>
      <w:tr w:rsidR="003B0DEE" w:rsidRPr="002E5ABE" w:rsidTr="000D5D90">
        <w:trPr>
          <w:trHeight w:val="20"/>
        </w:trPr>
        <w:tc>
          <w:tcPr>
            <w:tcW w:w="110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With partner</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67 (8.0%)</w:t>
            </w:r>
          </w:p>
        </w:tc>
        <w:tc>
          <w:tcPr>
            <w:tcW w:w="51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44 (7.0%)</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33 (13.8)</w:t>
            </w:r>
          </w:p>
        </w:tc>
        <w:tc>
          <w:tcPr>
            <w:tcW w:w="51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39 (13.2%)</w:t>
            </w:r>
          </w:p>
        </w:tc>
        <w:tc>
          <w:tcPr>
            <w:tcW w:w="59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101 (9.4%)</w:t>
            </w:r>
          </w:p>
        </w:tc>
        <w:tc>
          <w:tcPr>
            <w:tcW w:w="55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83 (9.0%)</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NS</w:t>
            </w: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Friends</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 (1.0%)</w:t>
            </w:r>
          </w:p>
        </w:tc>
        <w:tc>
          <w:tcPr>
            <w:tcW w:w="51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18 (2.9%)</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(0.8%)</w:t>
            </w:r>
          </w:p>
        </w:tc>
        <w:tc>
          <w:tcPr>
            <w:tcW w:w="51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 (2.4%)</w:t>
            </w:r>
          </w:p>
        </w:tc>
        <w:tc>
          <w:tcPr>
            <w:tcW w:w="59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10 (0.9%)</w:t>
            </w:r>
          </w:p>
        </w:tc>
        <w:tc>
          <w:tcPr>
            <w:tcW w:w="55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25 (2.7%)</w:t>
            </w:r>
          </w:p>
        </w:tc>
        <w:tc>
          <w:tcPr>
            <w:tcW w:w="676"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9.151 (0.002)</w:t>
            </w:r>
          </w:p>
        </w:tc>
      </w:tr>
      <w:tr w:rsidR="003B0DEE" w:rsidRPr="002E5ABE" w:rsidTr="000D5D90">
        <w:trPr>
          <w:trHeight w:val="20"/>
        </w:trPr>
        <w:tc>
          <w:tcPr>
            <w:tcW w:w="110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Other</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46 (5.5%)</w:t>
            </w:r>
          </w:p>
        </w:tc>
        <w:tc>
          <w:tcPr>
            <w:tcW w:w="51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192 (30.6%)</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38 (15.8%)</w:t>
            </w:r>
          </w:p>
        </w:tc>
        <w:tc>
          <w:tcPr>
            <w:tcW w:w="51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51 (17.2%)</w:t>
            </w:r>
          </w:p>
        </w:tc>
        <w:tc>
          <w:tcPr>
            <w:tcW w:w="59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85 (7.9%)</w:t>
            </w:r>
          </w:p>
        </w:tc>
        <w:tc>
          <w:tcPr>
            <w:tcW w:w="55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243 (26.2%)</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123.024 (&lt;0.001)</w:t>
            </w: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Unknown</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9 (1.1%)</w:t>
            </w:r>
          </w:p>
        </w:tc>
        <w:tc>
          <w:tcPr>
            <w:tcW w:w="51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9 (1.4%)</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 (2.5%)</w:t>
            </w:r>
          </w:p>
        </w:tc>
        <w:tc>
          <w:tcPr>
            <w:tcW w:w="51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 (0.7%)</w:t>
            </w:r>
          </w:p>
        </w:tc>
        <w:tc>
          <w:tcPr>
            <w:tcW w:w="59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 (1.4%)</w:t>
            </w:r>
          </w:p>
        </w:tc>
        <w:tc>
          <w:tcPr>
            <w:tcW w:w="55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11 (1.2%)</w:t>
            </w:r>
          </w:p>
        </w:tc>
        <w:tc>
          <w:tcPr>
            <w:tcW w:w="676"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107" w:type="pct"/>
            <w:tcBorders>
              <w:left w:val="nil"/>
              <w:right w:val="nil"/>
            </w:tcBorders>
            <w:shd w:val="clear" w:color="auto" w:fill="D9D9D9"/>
            <w:vAlign w:val="bottom"/>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 xml:space="preserve">Age left school </w:t>
            </w:r>
          </w:p>
        </w:tc>
        <w:tc>
          <w:tcPr>
            <w:tcW w:w="51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5"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14"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97" w:type="pct"/>
            <w:tcBorders>
              <w:left w:val="nil"/>
              <w:right w:val="nil"/>
            </w:tcBorders>
            <w:shd w:val="clear" w:color="auto" w:fill="D9D9D9"/>
            <w:vAlign w:val="bottom"/>
          </w:tcPr>
          <w:p w:rsidR="003B0DEE" w:rsidRPr="002E5ABE" w:rsidRDefault="003B0DEE" w:rsidP="000D5D90">
            <w:pPr>
              <w:spacing w:line="240" w:lineRule="auto"/>
              <w:jc w:val="right"/>
              <w:rPr>
                <w:rFonts w:ascii="Arial" w:hAnsi="Arial" w:cs="Arial"/>
                <w:b/>
                <w:bCs/>
                <w:sz w:val="20"/>
                <w:lang w:eastAsia="en-US"/>
              </w:rPr>
            </w:pPr>
            <w:r w:rsidRPr="002E5ABE">
              <w:rPr>
                <w:rFonts w:ascii="Arial" w:hAnsi="Arial" w:cs="Arial"/>
                <w:b/>
                <w:bCs/>
                <w:sz w:val="20"/>
                <w:lang w:eastAsia="en-US"/>
              </w:rPr>
              <w:t> </w:t>
            </w:r>
          </w:p>
        </w:tc>
        <w:tc>
          <w:tcPr>
            <w:tcW w:w="557" w:type="pct"/>
            <w:tcBorders>
              <w:left w:val="nil"/>
              <w:right w:val="nil"/>
            </w:tcBorders>
            <w:shd w:val="clear" w:color="auto" w:fill="D9D9D9"/>
          </w:tcPr>
          <w:p w:rsidR="003B0DEE" w:rsidRPr="002E5ABE" w:rsidRDefault="003B0DEE" w:rsidP="000D5D90">
            <w:pPr>
              <w:spacing w:line="240" w:lineRule="auto"/>
              <w:jc w:val="right"/>
              <w:rPr>
                <w:rFonts w:ascii="Arial" w:hAnsi="Arial" w:cs="Arial"/>
                <w:b/>
                <w:bCs/>
                <w:sz w:val="20"/>
                <w:lang w:eastAsia="en-US"/>
              </w:rPr>
            </w:pPr>
          </w:p>
        </w:tc>
        <w:tc>
          <w:tcPr>
            <w:tcW w:w="676" w:type="pct"/>
            <w:tcBorders>
              <w:left w:val="nil"/>
              <w:right w:val="nil"/>
            </w:tcBorders>
            <w:shd w:val="clear" w:color="auto" w:fill="D9D9D9"/>
          </w:tcPr>
          <w:p w:rsidR="003B0DEE" w:rsidRPr="002E5ABE" w:rsidRDefault="003B0DEE" w:rsidP="000D5D90">
            <w:pPr>
              <w:spacing w:line="240" w:lineRule="auto"/>
              <w:jc w:val="right"/>
              <w:rPr>
                <w:rFonts w:ascii="Arial" w:hAnsi="Arial" w:cs="Arial"/>
                <w:b/>
                <w:bCs/>
                <w:sz w:val="20"/>
                <w:lang w:eastAsia="en-US"/>
              </w:rPr>
            </w:pP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Mean age (years)</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51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51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51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59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55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w:t>
            </w:r>
          </w:p>
        </w:tc>
        <w:tc>
          <w:tcPr>
            <w:tcW w:w="676"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10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Median age (years)</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w:t>
            </w:r>
          </w:p>
        </w:tc>
        <w:tc>
          <w:tcPr>
            <w:tcW w:w="51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w:t>
            </w:r>
          </w:p>
        </w:tc>
        <w:tc>
          <w:tcPr>
            <w:tcW w:w="51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w:t>
            </w:r>
          </w:p>
        </w:tc>
        <w:tc>
          <w:tcPr>
            <w:tcW w:w="51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17</w:t>
            </w:r>
          </w:p>
        </w:tc>
        <w:tc>
          <w:tcPr>
            <w:tcW w:w="59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16</w:t>
            </w:r>
          </w:p>
        </w:tc>
        <w:tc>
          <w:tcPr>
            <w:tcW w:w="55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16</w:t>
            </w:r>
          </w:p>
        </w:tc>
        <w:tc>
          <w:tcPr>
            <w:tcW w:w="676"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NS</w:t>
            </w:r>
          </w:p>
        </w:tc>
      </w:tr>
      <w:tr w:rsidR="003B0DEE" w:rsidRPr="002E5ABE" w:rsidTr="000D5D90">
        <w:trPr>
          <w:trHeight w:val="20"/>
        </w:trPr>
        <w:tc>
          <w:tcPr>
            <w:tcW w:w="1107" w:type="pct"/>
            <w:tcBorders>
              <w:bottom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Range (5</w:t>
            </w:r>
            <w:r w:rsidRPr="00F07F03">
              <w:rPr>
                <w:rFonts w:ascii="Arial" w:hAnsi="Arial" w:cs="Arial"/>
                <w:bCs/>
                <w:sz w:val="20"/>
                <w:vertAlign w:val="superscript"/>
                <w:lang w:eastAsia="en-US"/>
              </w:rPr>
              <w:t>th</w:t>
            </w:r>
            <w:r w:rsidRPr="002E5ABE">
              <w:rPr>
                <w:rFonts w:ascii="Arial" w:hAnsi="Arial" w:cs="Arial"/>
                <w:bCs/>
                <w:sz w:val="20"/>
                <w:lang w:eastAsia="en-US"/>
              </w:rPr>
              <w:t>-95</w:t>
            </w:r>
            <w:r w:rsidRPr="00F07F03">
              <w:rPr>
                <w:rFonts w:ascii="Arial" w:hAnsi="Arial" w:cs="Arial"/>
                <w:bCs/>
                <w:sz w:val="20"/>
                <w:vertAlign w:val="superscript"/>
                <w:lang w:eastAsia="en-US"/>
              </w:rPr>
              <w:t>th</w:t>
            </w:r>
            <w:r w:rsidRPr="002E5ABE">
              <w:rPr>
                <w:rFonts w:ascii="Arial" w:hAnsi="Arial" w:cs="Arial"/>
                <w:bCs/>
                <w:sz w:val="20"/>
                <w:lang w:eastAsia="en-US"/>
              </w:rPr>
              <w:t xml:space="preserve"> percentiles)</w:t>
            </w:r>
          </w:p>
        </w:tc>
        <w:tc>
          <w:tcPr>
            <w:tcW w:w="517"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(12-17)</w:t>
            </w:r>
          </w:p>
        </w:tc>
        <w:tc>
          <w:tcPr>
            <w:tcW w:w="515"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(12-18)</w:t>
            </w:r>
          </w:p>
        </w:tc>
        <w:tc>
          <w:tcPr>
            <w:tcW w:w="517"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(13-18)</w:t>
            </w:r>
          </w:p>
        </w:tc>
        <w:tc>
          <w:tcPr>
            <w:tcW w:w="514"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(13-18)</w:t>
            </w:r>
          </w:p>
        </w:tc>
        <w:tc>
          <w:tcPr>
            <w:tcW w:w="597"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xml:space="preserve"> (13-17)</w:t>
            </w:r>
          </w:p>
        </w:tc>
        <w:tc>
          <w:tcPr>
            <w:tcW w:w="557" w:type="pct"/>
            <w:tcBorders>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(12-18)</w:t>
            </w:r>
          </w:p>
        </w:tc>
        <w:tc>
          <w:tcPr>
            <w:tcW w:w="676" w:type="pct"/>
            <w:tcBorders>
              <w:bottom w:val="nil"/>
            </w:tcBorders>
            <w:shd w:val="clear" w:color="auto" w:fill="FFFFFF"/>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107" w:type="pct"/>
            <w:tcBorders>
              <w:top w:val="nil"/>
              <w:left w:val="nil"/>
              <w:bottom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Number where age known</w:t>
            </w:r>
          </w:p>
        </w:tc>
        <w:tc>
          <w:tcPr>
            <w:tcW w:w="517"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779</w:t>
            </w:r>
          </w:p>
        </w:tc>
        <w:tc>
          <w:tcPr>
            <w:tcW w:w="515"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518</w:t>
            </w:r>
          </w:p>
        </w:tc>
        <w:tc>
          <w:tcPr>
            <w:tcW w:w="517"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218</w:t>
            </w:r>
          </w:p>
        </w:tc>
        <w:tc>
          <w:tcPr>
            <w:tcW w:w="514"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249</w:t>
            </w:r>
          </w:p>
        </w:tc>
        <w:tc>
          <w:tcPr>
            <w:tcW w:w="597"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1002</w:t>
            </w:r>
          </w:p>
        </w:tc>
        <w:tc>
          <w:tcPr>
            <w:tcW w:w="557" w:type="pct"/>
            <w:tcBorders>
              <w:top w:val="nil"/>
              <w:left w:val="nil"/>
              <w:bottom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768</w:t>
            </w:r>
          </w:p>
        </w:tc>
        <w:tc>
          <w:tcPr>
            <w:tcW w:w="676" w:type="pct"/>
            <w:tcBorders>
              <w:top w:val="nil"/>
              <w:left w:val="nil"/>
              <w:bottom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p>
        </w:tc>
      </w:tr>
      <w:tr w:rsidR="003B0DEE" w:rsidRPr="002E5ABE" w:rsidTr="000D5D90">
        <w:trPr>
          <w:trHeight w:val="20"/>
        </w:trPr>
        <w:tc>
          <w:tcPr>
            <w:tcW w:w="1107" w:type="pct"/>
            <w:tcBorders>
              <w:top w:val="nil"/>
              <w:bottom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left before age 16 years</w:t>
            </w:r>
          </w:p>
        </w:tc>
        <w:tc>
          <w:tcPr>
            <w:tcW w:w="517"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507 (60.7</w:t>
            </w:r>
            <w:r>
              <w:rPr>
                <w:rFonts w:ascii="Arial" w:hAnsi="Arial" w:cs="Arial"/>
                <w:sz w:val="20"/>
                <w:lang w:eastAsia="en-US"/>
              </w:rPr>
              <w:t>%</w:t>
            </w:r>
            <w:r w:rsidRPr="002E5ABE">
              <w:rPr>
                <w:rFonts w:ascii="Arial" w:hAnsi="Arial" w:cs="Arial"/>
                <w:sz w:val="20"/>
                <w:lang w:eastAsia="en-US"/>
              </w:rPr>
              <w:t>)</w:t>
            </w:r>
          </w:p>
        </w:tc>
        <w:tc>
          <w:tcPr>
            <w:tcW w:w="515"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278 (44.3%)</w:t>
            </w:r>
          </w:p>
        </w:tc>
        <w:tc>
          <w:tcPr>
            <w:tcW w:w="517"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123 (51.3%)</w:t>
            </w:r>
          </w:p>
        </w:tc>
        <w:tc>
          <w:tcPr>
            <w:tcW w:w="514"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86 (29.1%)</w:t>
            </w:r>
          </w:p>
        </w:tc>
        <w:tc>
          <w:tcPr>
            <w:tcW w:w="597"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633 (58.6%)</w:t>
            </w:r>
          </w:p>
        </w:tc>
        <w:tc>
          <w:tcPr>
            <w:tcW w:w="557"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365 (39.4%)</w:t>
            </w:r>
          </w:p>
        </w:tc>
        <w:tc>
          <w:tcPr>
            <w:tcW w:w="676" w:type="pct"/>
            <w:tcBorders>
              <w:top w:val="nil"/>
              <w:bottom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73.471 (&lt;0.001)</w:t>
            </w:r>
          </w:p>
        </w:tc>
      </w:tr>
      <w:tr w:rsidR="003B0DEE" w:rsidRPr="002E5ABE" w:rsidTr="000D5D90">
        <w:trPr>
          <w:trHeight w:val="20"/>
        </w:trPr>
        <w:tc>
          <w:tcPr>
            <w:tcW w:w="1107" w:type="pct"/>
            <w:tcBorders>
              <w:top w:val="nil"/>
              <w:bottom w:val="nil"/>
            </w:tcBorders>
            <w:shd w:val="clear" w:color="auto" w:fill="D9D9D9" w:themeFill="background1" w:themeFillShade="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Resident in</w:t>
            </w:r>
          </w:p>
        </w:tc>
        <w:tc>
          <w:tcPr>
            <w:tcW w:w="517"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515"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517"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514"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597"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557"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c>
          <w:tcPr>
            <w:tcW w:w="676" w:type="pct"/>
            <w:tcBorders>
              <w:top w:val="nil"/>
              <w:bottom w:val="nil"/>
            </w:tcBorders>
            <w:shd w:val="clear" w:color="auto" w:fill="D9D9D9" w:themeFill="background1" w:themeFillShade="D9"/>
            <w:vAlign w:val="bottom"/>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107" w:type="pct"/>
            <w:tcBorders>
              <w:top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Dublin</w:t>
            </w:r>
          </w:p>
        </w:tc>
        <w:tc>
          <w:tcPr>
            <w:tcW w:w="517"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0F7B87">
              <w:rPr>
                <w:rFonts w:ascii="Arial" w:hAnsi="Arial" w:cs="Arial"/>
                <w:bCs/>
                <w:sz w:val="20"/>
                <w:lang w:eastAsia="en-US"/>
              </w:rPr>
              <w:t>804</w:t>
            </w:r>
            <w:r w:rsidRPr="00701669">
              <w:rPr>
                <w:rFonts w:ascii="Arial" w:hAnsi="Arial" w:cs="Arial"/>
                <w:bCs/>
                <w:sz w:val="20"/>
                <w:lang w:eastAsia="en-US"/>
              </w:rPr>
              <w:t xml:space="preserve"> (</w:t>
            </w:r>
            <w:r w:rsidRPr="000F7B87">
              <w:rPr>
                <w:rFonts w:ascii="Arial" w:hAnsi="Arial" w:cs="Arial"/>
                <w:bCs/>
                <w:sz w:val="20"/>
                <w:lang w:eastAsia="en-US"/>
              </w:rPr>
              <w:t>96.3%</w:t>
            </w:r>
            <w:r w:rsidRPr="00701669">
              <w:rPr>
                <w:rFonts w:ascii="Arial" w:hAnsi="Arial" w:cs="Arial"/>
                <w:bCs/>
                <w:sz w:val="20"/>
                <w:lang w:eastAsia="en-US"/>
              </w:rPr>
              <w:t>)</w:t>
            </w:r>
          </w:p>
        </w:tc>
        <w:tc>
          <w:tcPr>
            <w:tcW w:w="515"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236 (37.6%)</w:t>
            </w:r>
          </w:p>
        </w:tc>
        <w:tc>
          <w:tcPr>
            <w:tcW w:w="517"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230 (95.8%)</w:t>
            </w:r>
          </w:p>
        </w:tc>
        <w:tc>
          <w:tcPr>
            <w:tcW w:w="514"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96 (32.4%)</w:t>
            </w:r>
          </w:p>
        </w:tc>
        <w:tc>
          <w:tcPr>
            <w:tcW w:w="597"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1039 (96.2%)</w:t>
            </w:r>
          </w:p>
        </w:tc>
        <w:tc>
          <w:tcPr>
            <w:tcW w:w="557" w:type="pct"/>
            <w:tcBorders>
              <w:top w:val="nil"/>
            </w:tcBorders>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334 (36.1%)</w:t>
            </w:r>
          </w:p>
        </w:tc>
        <w:tc>
          <w:tcPr>
            <w:tcW w:w="676" w:type="pct"/>
            <w:tcBorders>
              <w:top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Pr>
                <w:rFonts w:ascii="Arial" w:hAnsi="Arial" w:cs="Arial"/>
                <w:sz w:val="20"/>
                <w:lang w:eastAsia="en-US"/>
              </w:rPr>
              <w:t>837.326</w:t>
            </w:r>
            <w:r w:rsidRPr="002E5ABE">
              <w:rPr>
                <w:rFonts w:ascii="Arial" w:hAnsi="Arial" w:cs="Arial"/>
                <w:sz w:val="20"/>
                <w:lang w:eastAsia="en-US"/>
              </w:rPr>
              <w:t xml:space="preserve"> (&lt;0.001)</w:t>
            </w:r>
            <w:r>
              <w:rPr>
                <w:rFonts w:ascii="Arial" w:hAnsi="Arial" w:cs="Arial"/>
                <w:sz w:val="20"/>
                <w:lang w:eastAsia="en-US"/>
              </w:rPr>
              <w:t xml:space="preserve"> </w:t>
            </w:r>
          </w:p>
        </w:tc>
      </w:tr>
      <w:tr w:rsidR="003B0DEE" w:rsidRPr="002E5ABE" w:rsidTr="000D5D90">
        <w:trPr>
          <w:trHeight w:val="20"/>
        </w:trPr>
        <w:tc>
          <w:tcPr>
            <w:tcW w:w="110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5502B8">
              <w:rPr>
                <w:rFonts w:ascii="Arial" w:hAnsi="Arial" w:cs="Arial"/>
                <w:bCs/>
                <w:color w:val="000000"/>
                <w:sz w:val="20"/>
                <w:lang w:eastAsia="en-US"/>
              </w:rPr>
              <w:t>Outside Dublin</w:t>
            </w:r>
          </w:p>
        </w:tc>
        <w:tc>
          <w:tcPr>
            <w:tcW w:w="517"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0F7B87">
              <w:rPr>
                <w:rFonts w:ascii="Arial" w:hAnsi="Arial" w:cs="Arial"/>
                <w:bCs/>
                <w:sz w:val="20"/>
                <w:lang w:eastAsia="en-US"/>
              </w:rPr>
              <w:t>30</w:t>
            </w:r>
            <w:r w:rsidRPr="00701669">
              <w:rPr>
                <w:rFonts w:ascii="Arial" w:hAnsi="Arial" w:cs="Arial"/>
                <w:bCs/>
                <w:sz w:val="20"/>
                <w:lang w:eastAsia="en-US"/>
              </w:rPr>
              <w:t xml:space="preserve"> (</w:t>
            </w:r>
            <w:r w:rsidRPr="000F7B87">
              <w:rPr>
                <w:rFonts w:ascii="Arial" w:hAnsi="Arial" w:cs="Arial"/>
                <w:bCs/>
                <w:sz w:val="20"/>
                <w:lang w:eastAsia="en-US"/>
              </w:rPr>
              <w:t>3.6%</w:t>
            </w:r>
            <w:r w:rsidRPr="00701669">
              <w:rPr>
                <w:rFonts w:ascii="Arial" w:hAnsi="Arial" w:cs="Arial"/>
                <w:bCs/>
                <w:sz w:val="20"/>
                <w:lang w:eastAsia="en-US"/>
              </w:rPr>
              <w:t>)</w:t>
            </w:r>
          </w:p>
        </w:tc>
        <w:tc>
          <w:tcPr>
            <w:tcW w:w="515"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392 (62.4%)</w:t>
            </w:r>
          </w:p>
        </w:tc>
        <w:tc>
          <w:tcPr>
            <w:tcW w:w="517"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10 (4.2%)</w:t>
            </w:r>
          </w:p>
        </w:tc>
        <w:tc>
          <w:tcPr>
            <w:tcW w:w="514"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200 (67.6%)</w:t>
            </w:r>
          </w:p>
        </w:tc>
        <w:tc>
          <w:tcPr>
            <w:tcW w:w="597"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40 (3.7%)</w:t>
            </w:r>
          </w:p>
        </w:tc>
        <w:tc>
          <w:tcPr>
            <w:tcW w:w="557" w:type="pct"/>
            <w:shd w:val="clear" w:color="auto" w:fill="FFFFFF"/>
            <w:vAlign w:val="bottom"/>
          </w:tcPr>
          <w:p w:rsidR="003B0DEE" w:rsidRPr="00701669" w:rsidRDefault="003B0DEE" w:rsidP="000D5D90">
            <w:pPr>
              <w:spacing w:line="240" w:lineRule="auto"/>
              <w:jc w:val="right"/>
              <w:rPr>
                <w:rFonts w:ascii="Arial" w:hAnsi="Arial" w:cs="Arial"/>
                <w:bCs/>
                <w:sz w:val="20"/>
                <w:lang w:eastAsia="en-US"/>
              </w:rPr>
            </w:pPr>
            <w:r w:rsidRPr="00701669">
              <w:rPr>
                <w:rFonts w:ascii="Arial" w:hAnsi="Arial" w:cs="Arial"/>
                <w:bCs/>
                <w:sz w:val="20"/>
                <w:lang w:eastAsia="en-US"/>
              </w:rPr>
              <w:t>592 (63.9%)</w:t>
            </w:r>
          </w:p>
        </w:tc>
        <w:tc>
          <w:tcPr>
            <w:tcW w:w="676"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r>
    </w:tbl>
    <w:p w:rsidR="003B0DEE" w:rsidRDefault="003B0DEE" w:rsidP="000D5D90">
      <w:pPr>
        <w:spacing w:after="200" w:line="276" w:lineRule="auto"/>
        <w:sectPr w:rsidR="003B0DEE" w:rsidSect="000D5D90">
          <w:pgSz w:w="16840" w:h="11907" w:orient="landscape" w:code="9"/>
          <w:pgMar w:top="1985" w:right="1134" w:bottom="1134" w:left="1134" w:header="709" w:footer="709" w:gutter="0"/>
          <w:cols w:space="708"/>
          <w:docGrid w:linePitch="360"/>
        </w:sectPr>
      </w:pPr>
    </w:p>
    <w:p w:rsidR="003B0DEE" w:rsidRDefault="003B0DEE" w:rsidP="000D5D90">
      <w:pPr>
        <w:pStyle w:val="Heading2"/>
      </w:pPr>
      <w:bookmarkStart w:id="62" w:name="_Toc15331682"/>
      <w:r>
        <w:lastRenderedPageBreak/>
        <w:t>Drug-using</w:t>
      </w:r>
      <w:r w:rsidRPr="006533CE">
        <w:t xml:space="preserve"> career and opioid-using behaviours</w:t>
      </w:r>
      <w:bookmarkEnd w:id="62"/>
    </w:p>
    <w:p w:rsidR="003B0DEE" w:rsidRDefault="003B0DEE" w:rsidP="000D5D90">
      <w:pPr>
        <w:pStyle w:val="Heading3"/>
      </w:pPr>
      <w:bookmarkStart w:id="63" w:name="_Toc15331683"/>
      <w:r>
        <w:t>Types of drugs used</w:t>
      </w:r>
      <w:bookmarkEnd w:id="63"/>
    </w:p>
    <w:p w:rsidR="003B0DEE" w:rsidRPr="00CE2E3B" w:rsidRDefault="003B0DEE" w:rsidP="000D5D90">
      <w:pPr>
        <w:pStyle w:val="BodyText"/>
      </w:pPr>
      <w:r w:rsidRPr="00CE2E3B">
        <w:t>Heroin accounted for the majority of first</w:t>
      </w:r>
      <w:r>
        <w:t xml:space="preserve"> opioid</w:t>
      </w:r>
      <w:r w:rsidRPr="00CE2E3B">
        <w:t xml:space="preserve"> tre</w:t>
      </w:r>
      <w:r>
        <w:t>atments.  However, the proportion</w:t>
      </w:r>
      <w:r w:rsidRPr="00CE2E3B">
        <w:t xml:space="preserve"> of </w:t>
      </w:r>
      <w:r>
        <w:t>first-time heroin treatments</w:t>
      </w:r>
      <w:r w:rsidRPr="0017324B">
        <w:rPr>
          <w:color w:val="FF0000"/>
        </w:rPr>
        <w:t xml:space="preserve"> </w:t>
      </w:r>
      <w:r w:rsidRPr="00CE2E3B">
        <w:t>significantly decreased from 90.4% in 1995 to 83.2% in 20</w:t>
      </w:r>
      <w:r>
        <w:t>15 (Z=23.018, p&lt;0.001) (Table 4-</w:t>
      </w:r>
      <w:r w:rsidRPr="00CE2E3B">
        <w:t xml:space="preserve">3).  The proportions treated for over-the-counter or prescription opioids increased significantly (5.9% to 13.5%, Z=33.503, p&lt;0.001).  The proportions treated for illicit methadone use also fell (3.3% to 2.8%), although non-significantly.  In 2015, treatment for over-the-counter or prescription opioids was more common among women (26.7% of females compared to 7.3% of males, (Z=64.487, p&lt;0.001)).  Approximately half of </w:t>
      </w:r>
      <w:r>
        <w:t>those</w:t>
      </w:r>
      <w:r w:rsidRPr="00CE2E3B">
        <w:t xml:space="preserve"> smoked opioids while one-third injected.  </w:t>
      </w:r>
    </w:p>
    <w:p w:rsidR="003B0DEE" w:rsidRPr="006A0C89" w:rsidRDefault="003B0DEE" w:rsidP="000D5D90">
      <w:pPr>
        <w:pStyle w:val="Heading3"/>
      </w:pPr>
      <w:bookmarkStart w:id="64" w:name="_Toc15331684"/>
      <w:r>
        <w:t>Age of onset</w:t>
      </w:r>
      <w:bookmarkEnd w:id="64"/>
    </w:p>
    <w:p w:rsidR="003B0DEE" w:rsidRPr="00CE2E3B" w:rsidRDefault="003B0DEE" w:rsidP="000D5D90">
      <w:pPr>
        <w:pStyle w:val="BodyText"/>
      </w:pPr>
      <w:r w:rsidRPr="00CE2E3B">
        <w:t>The analysis of age started using opioids (years) and duration</w:t>
      </w:r>
      <w:r>
        <w:t xml:space="preserve"> in years</w:t>
      </w:r>
      <w:r w:rsidRPr="00CE2E3B">
        <w:t xml:space="preserve"> before treat</w:t>
      </w:r>
      <w:r>
        <w:t xml:space="preserve">ment </w:t>
      </w:r>
      <w:r w:rsidRPr="00CE2E3B">
        <w:t>indicate</w:t>
      </w:r>
      <w:r>
        <w:t>s</w:t>
      </w:r>
      <w:r w:rsidRPr="00CE2E3B">
        <w:t xml:space="preserve"> the existence of different subgroups within the opioid treatment population; (1) early and late treatment entries, and (2) early and late opioid use onset.  Overall, the median age at which individuals commenced illicit use of drugs was 15 years and remained unchanged </w:t>
      </w:r>
      <w:r w:rsidRPr="00205C62">
        <w:t>from 1995 to 2015 (Table 4-3).  Different trends were noted for men and women:</w:t>
      </w:r>
      <w:r w:rsidRPr="00CE2E3B">
        <w:t xml:space="preserve"> among men the median age decreased by one year (from 15 to 14 years), and increased by one year for women (from 15 to 16 years).  In 1995, the median age at which people commenced opioid use was 17 years, and half had used opioids for two or more years before entering treatment.  This differed significantly from the situation in 2015, whereby the median age at which people commenced opioid use was 22 years (an increase of five years) (U=246292.0, p&lt;0.001), and half had being using opioids for seven or more years before entering treatment (an increase of five years) (U=60636.0, p&lt;0.001).  Similar trends were observed </w:t>
      </w:r>
      <w:r>
        <w:t>between</w:t>
      </w:r>
      <w:r w:rsidRPr="00CE2E3B">
        <w:t xml:space="preserve"> men and women</w:t>
      </w:r>
      <w:r>
        <w:t>.</w:t>
      </w:r>
      <w:r w:rsidRPr="00CE2E3B">
        <w:t xml:space="preserve"> </w:t>
      </w:r>
      <w:r>
        <w:t xml:space="preserve"> H</w:t>
      </w:r>
      <w:r w:rsidRPr="00CE2E3B">
        <w:t xml:space="preserve">owever, by 2015, men were older than </w:t>
      </w:r>
      <w:r>
        <w:t>wo</w:t>
      </w:r>
      <w:r w:rsidRPr="00CE2E3B">
        <w:t xml:space="preserve">men </w:t>
      </w:r>
      <w:r>
        <w:t xml:space="preserve">when they first used opioids </w:t>
      </w:r>
      <w:r w:rsidRPr="00CE2E3B">
        <w:t xml:space="preserve">(22 versus 21 years) but women </w:t>
      </w:r>
      <w:r>
        <w:t>sought</w:t>
      </w:r>
      <w:r w:rsidRPr="00CE2E3B">
        <w:t xml:space="preserve"> treatment </w:t>
      </w:r>
      <w:r>
        <w:t>earlier</w:t>
      </w:r>
      <w:r w:rsidRPr="00CE2E3B">
        <w:t xml:space="preserve"> than men (four versus six years). </w:t>
      </w:r>
    </w:p>
    <w:p w:rsidR="003B0DEE" w:rsidRPr="006A0C89" w:rsidRDefault="003B0DEE" w:rsidP="000D5D90">
      <w:pPr>
        <w:pStyle w:val="Heading3"/>
      </w:pPr>
      <w:bookmarkStart w:id="65" w:name="_Toc15331685"/>
      <w:r w:rsidRPr="006A0C89">
        <w:t>Frequency of use</w:t>
      </w:r>
      <w:bookmarkEnd w:id="65"/>
    </w:p>
    <w:p w:rsidR="003B0DEE" w:rsidRPr="00CE2E3B" w:rsidRDefault="003B0DEE" w:rsidP="000D5D90">
      <w:pPr>
        <w:pStyle w:val="BodyText"/>
        <w:rPr>
          <w:highlight w:val="yellow"/>
        </w:rPr>
      </w:pPr>
      <w:r w:rsidRPr="00CE2E3B">
        <w:t xml:space="preserve">Although the majority used opioids on a daily basis, the proportion was much higher in 1995 (76.2%) compared to </w:t>
      </w:r>
      <w:r w:rsidRPr="007A31CC">
        <w:t>2015 (54.9</w:t>
      </w:r>
      <w:r w:rsidRPr="00CE2E3B">
        <w:t>%</w:t>
      </w:r>
      <w:proofErr w:type="gramStart"/>
      <w:r w:rsidRPr="00CE2E3B">
        <w:t xml:space="preserve">) </w:t>
      </w:r>
      <w:proofErr w:type="gramEnd"/>
      <w:r w:rsidRPr="00CE2E3B">
        <w:t xml:space="preserve">(Z=100.774, p&lt;0.001).  The proportion with no use in the month prior to treatment increased from 5.8% in 1995 to 19.1% in </w:t>
      </w:r>
      <w:r w:rsidRPr="007A31CC">
        <w:t>2015</w:t>
      </w:r>
      <w:r w:rsidRPr="00CE2E3B">
        <w:t xml:space="preserve"> (Z=83.49, p&lt;0.001).  </w:t>
      </w:r>
    </w:p>
    <w:p w:rsidR="003B0DEE" w:rsidRPr="00307FA2" w:rsidRDefault="003B0DEE" w:rsidP="000D5D90">
      <w:pPr>
        <w:spacing w:after="200" w:line="360" w:lineRule="auto"/>
        <w:jc w:val="left"/>
        <w:rPr>
          <w:b/>
          <w:bCs/>
          <w:szCs w:val="26"/>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sz w:val="20"/>
        </w:rPr>
      </w:pPr>
      <w:bookmarkStart w:id="66" w:name="_Toc15331993"/>
      <w:r w:rsidRPr="005C08E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3</w:t>
      </w:r>
      <w:r>
        <w:rPr>
          <w:rFonts w:ascii="Arial" w:hAnsi="Arial" w:cs="Arial"/>
          <w:b/>
          <w:sz w:val="20"/>
        </w:rPr>
        <w:fldChar w:fldCharType="end"/>
      </w:r>
      <w:r>
        <w:rPr>
          <w:rFonts w:ascii="Arial" w:hAnsi="Arial" w:cs="Arial"/>
          <w:b/>
          <w:sz w:val="20"/>
        </w:rPr>
        <w:t xml:space="preserve">  </w:t>
      </w:r>
      <w:r>
        <w:rPr>
          <w:rFonts w:ascii="Arial" w:hAnsi="Arial" w:cs="Arial"/>
          <w:sz w:val="20"/>
        </w:rPr>
        <w:t>Drug-using</w:t>
      </w:r>
      <w:r w:rsidRPr="005C08E6">
        <w:rPr>
          <w:rFonts w:ascii="Arial" w:hAnsi="Arial" w:cs="Arial"/>
          <w:sz w:val="20"/>
        </w:rPr>
        <w:t xml:space="preserve"> career and opioid-using behaviours for first-time opioid treatment entrants in 1995 and 2015</w:t>
      </w:r>
      <w:bookmarkEnd w:id="66"/>
      <w:r w:rsidRPr="005C08E6">
        <w:rPr>
          <w:rFonts w:ascii="Arial" w:hAnsi="Arial" w:cs="Arial"/>
          <w:sz w:val="20"/>
        </w:rPr>
        <w:tab/>
      </w:r>
    </w:p>
    <w:tbl>
      <w:tblPr>
        <w:tblW w:w="5000" w:type="pct"/>
        <w:tblBorders>
          <w:top w:val="single" w:sz="8" w:space="0" w:color="000000"/>
          <w:bottom w:val="single" w:sz="8" w:space="0" w:color="000000"/>
        </w:tblBorders>
        <w:tblLook w:val="04A0" w:firstRow="1" w:lastRow="0" w:firstColumn="1" w:lastColumn="0" w:noHBand="0" w:noVBand="1"/>
      </w:tblPr>
      <w:tblGrid>
        <w:gridCol w:w="3983"/>
        <w:gridCol w:w="1420"/>
        <w:gridCol w:w="1414"/>
        <w:gridCol w:w="1420"/>
        <w:gridCol w:w="1420"/>
        <w:gridCol w:w="1641"/>
        <w:gridCol w:w="1532"/>
        <w:gridCol w:w="1958"/>
      </w:tblGrid>
      <w:tr w:rsidR="003B0DEE" w:rsidRPr="002E5ABE" w:rsidTr="000D5D90">
        <w:trPr>
          <w:trHeight w:val="20"/>
        </w:trPr>
        <w:tc>
          <w:tcPr>
            <w:tcW w:w="1347"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p>
        </w:tc>
        <w:tc>
          <w:tcPr>
            <w:tcW w:w="1918" w:type="pct"/>
            <w:gridSpan w:val="4"/>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Gender</w:t>
            </w:r>
          </w:p>
        </w:tc>
        <w:tc>
          <w:tcPr>
            <w:tcW w:w="1073" w:type="pct"/>
            <w:gridSpan w:val="2"/>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Total</w:t>
            </w:r>
          </w:p>
        </w:tc>
        <w:tc>
          <w:tcPr>
            <w:tcW w:w="662"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Significance test</w:t>
            </w:r>
          </w:p>
        </w:tc>
      </w:tr>
      <w:tr w:rsidR="003B0DEE" w:rsidRPr="002E5ABE" w:rsidTr="000D5D90">
        <w:trPr>
          <w:trHeight w:val="20"/>
        </w:trPr>
        <w:tc>
          <w:tcPr>
            <w:tcW w:w="1347" w:type="pct"/>
            <w:tcBorders>
              <w:left w:val="nil"/>
              <w:right w:val="nil"/>
            </w:tcBorders>
            <w:shd w:val="clear" w:color="auto" w:fill="FFFFFF"/>
          </w:tcPr>
          <w:p w:rsidR="003B0DEE" w:rsidRPr="002E5ABE" w:rsidRDefault="003B0DEE" w:rsidP="000D5D90">
            <w:pPr>
              <w:spacing w:line="240" w:lineRule="auto"/>
              <w:rPr>
                <w:rFonts w:ascii="Arial" w:hAnsi="Arial" w:cs="Arial"/>
                <w:b/>
                <w:bCs/>
                <w:color w:val="000000"/>
                <w:sz w:val="20"/>
                <w:lang w:eastAsia="en-US"/>
              </w:rPr>
            </w:pPr>
          </w:p>
        </w:tc>
        <w:tc>
          <w:tcPr>
            <w:tcW w:w="958"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Male</w:t>
            </w:r>
          </w:p>
        </w:tc>
        <w:tc>
          <w:tcPr>
            <w:tcW w:w="960"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Female</w:t>
            </w:r>
          </w:p>
        </w:tc>
        <w:tc>
          <w:tcPr>
            <w:tcW w:w="555" w:type="pct"/>
            <w:tcBorders>
              <w:left w:val="nil"/>
              <w:right w:val="nil"/>
            </w:tcBorders>
            <w:shd w:val="clear" w:color="auto" w:fill="FFFFFF"/>
          </w:tcPr>
          <w:p w:rsidR="003B0DEE" w:rsidRPr="002E5ABE" w:rsidRDefault="003B0DEE" w:rsidP="000D5D90">
            <w:pPr>
              <w:spacing w:line="240" w:lineRule="auto"/>
              <w:jc w:val="center"/>
              <w:rPr>
                <w:rFonts w:ascii="Arial" w:hAnsi="Arial" w:cs="Arial"/>
                <w:color w:val="000000"/>
                <w:sz w:val="20"/>
                <w:lang w:eastAsia="en-US"/>
              </w:rPr>
            </w:pPr>
          </w:p>
        </w:tc>
        <w:tc>
          <w:tcPr>
            <w:tcW w:w="518" w:type="pct"/>
            <w:tcBorders>
              <w:left w:val="nil"/>
              <w:right w:val="nil"/>
            </w:tcBorders>
            <w:shd w:val="clear" w:color="auto" w:fill="FFFFFF"/>
          </w:tcPr>
          <w:p w:rsidR="003B0DEE" w:rsidRPr="002E5ABE" w:rsidRDefault="003B0DEE" w:rsidP="000D5D90">
            <w:pPr>
              <w:spacing w:line="240" w:lineRule="auto"/>
              <w:jc w:val="center"/>
              <w:rPr>
                <w:rFonts w:ascii="Arial" w:hAnsi="Arial" w:cs="Arial"/>
                <w:color w:val="000000"/>
                <w:sz w:val="20"/>
                <w:lang w:eastAsia="en-US"/>
              </w:rPr>
            </w:pPr>
          </w:p>
        </w:tc>
        <w:tc>
          <w:tcPr>
            <w:tcW w:w="662" w:type="pct"/>
            <w:tcBorders>
              <w:left w:val="nil"/>
              <w:right w:val="nil"/>
            </w:tcBorders>
            <w:shd w:val="clear" w:color="auto" w:fill="FFFFFF"/>
          </w:tcPr>
          <w:p w:rsidR="003B0DEE" w:rsidRPr="002E5ABE" w:rsidRDefault="003B0DEE" w:rsidP="000D5D90">
            <w:pPr>
              <w:spacing w:line="240" w:lineRule="auto"/>
              <w:jc w:val="center"/>
              <w:rPr>
                <w:rFonts w:ascii="Arial" w:hAnsi="Arial" w:cs="Arial"/>
                <w:color w:val="000000"/>
                <w:sz w:val="20"/>
                <w:lang w:eastAsia="en-US"/>
              </w:rPr>
            </w:pPr>
          </w:p>
        </w:tc>
      </w:tr>
      <w:tr w:rsidR="003B0DEE" w:rsidRPr="002E5ABE" w:rsidTr="000D5D90">
        <w:trPr>
          <w:trHeight w:val="20"/>
        </w:trPr>
        <w:tc>
          <w:tcPr>
            <w:tcW w:w="1347" w:type="pct"/>
            <w:shd w:val="clear" w:color="auto" w:fill="FFFFFF"/>
          </w:tcPr>
          <w:p w:rsidR="003B0DEE" w:rsidRPr="002E5ABE" w:rsidRDefault="003B0DEE" w:rsidP="000D5D90">
            <w:pPr>
              <w:spacing w:line="240" w:lineRule="auto"/>
              <w:rPr>
                <w:rFonts w:ascii="Arial" w:hAnsi="Arial" w:cs="Arial"/>
                <w:b/>
                <w:bCs/>
                <w:color w:val="000000"/>
                <w:sz w:val="20"/>
                <w:lang w:eastAsia="en-US"/>
              </w:rPr>
            </w:pPr>
            <w:r w:rsidRPr="002E5ABE">
              <w:rPr>
                <w:rFonts w:ascii="Arial" w:hAnsi="Arial" w:cs="Arial"/>
                <w:b/>
                <w:bCs/>
                <w:sz w:val="20"/>
                <w:lang w:eastAsia="en-US"/>
              </w:rPr>
              <w:t>Year treated</w:t>
            </w:r>
          </w:p>
        </w:tc>
        <w:tc>
          <w:tcPr>
            <w:tcW w:w="480"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478"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480"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480"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555"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18"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662"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Z/t/U (p)</w:t>
            </w:r>
          </w:p>
        </w:tc>
      </w:tr>
      <w:tr w:rsidR="003B0DEE" w:rsidRPr="002E5ABE" w:rsidTr="000D5D90">
        <w:trPr>
          <w:trHeight w:val="20"/>
        </w:trPr>
        <w:tc>
          <w:tcPr>
            <w:tcW w:w="1347" w:type="pct"/>
            <w:tcBorders>
              <w:left w:val="nil"/>
              <w:right w:val="nil"/>
            </w:tcBorders>
            <w:shd w:val="clear" w:color="auto" w:fill="FFFFFF"/>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 xml:space="preserve">Number entering treatment </w:t>
            </w:r>
          </w:p>
        </w:tc>
        <w:tc>
          <w:tcPr>
            <w:tcW w:w="480"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835 (77.3%)</w:t>
            </w:r>
          </w:p>
        </w:tc>
        <w:tc>
          <w:tcPr>
            <w:tcW w:w="478"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629 (67.8%)</w:t>
            </w:r>
          </w:p>
        </w:tc>
        <w:tc>
          <w:tcPr>
            <w:tcW w:w="480"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240 (22.2%)</w:t>
            </w:r>
          </w:p>
        </w:tc>
        <w:tc>
          <w:tcPr>
            <w:tcW w:w="480"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296 (32.0%)</w:t>
            </w:r>
          </w:p>
        </w:tc>
        <w:tc>
          <w:tcPr>
            <w:tcW w:w="555"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1080 (100.0%)</w:t>
            </w:r>
          </w:p>
        </w:tc>
        <w:tc>
          <w:tcPr>
            <w:tcW w:w="518"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926 (100.0%)</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347" w:type="pct"/>
            <w:shd w:val="clear" w:color="auto" w:fill="D9D9D9"/>
            <w:vAlign w:val="bottom"/>
          </w:tcPr>
          <w:p w:rsidR="003B0DEE" w:rsidRPr="002E5ABE" w:rsidRDefault="003B0DEE" w:rsidP="000D5D90">
            <w:pPr>
              <w:spacing w:line="240" w:lineRule="auto"/>
              <w:rPr>
                <w:rFonts w:ascii="Arial" w:hAnsi="Arial" w:cs="Arial"/>
                <w:b/>
                <w:bCs/>
                <w:sz w:val="20"/>
                <w:lang w:eastAsia="en-US"/>
              </w:rPr>
            </w:pPr>
            <w:r>
              <w:rPr>
                <w:rFonts w:ascii="Arial" w:hAnsi="Arial" w:cs="Arial"/>
                <w:b/>
                <w:bCs/>
                <w:sz w:val="20"/>
                <w:lang w:eastAsia="en-US"/>
              </w:rPr>
              <w:t>Drug-using</w:t>
            </w:r>
            <w:r w:rsidRPr="002E5ABE">
              <w:rPr>
                <w:rFonts w:ascii="Arial" w:hAnsi="Arial" w:cs="Arial"/>
                <w:b/>
                <w:bCs/>
                <w:sz w:val="20"/>
                <w:lang w:eastAsia="en-US"/>
              </w:rPr>
              <w:t xml:space="preserve"> career</w:t>
            </w:r>
          </w:p>
        </w:tc>
        <w:tc>
          <w:tcPr>
            <w:tcW w:w="2991" w:type="pct"/>
            <w:gridSpan w:val="6"/>
            <w:shd w:val="clear" w:color="auto" w:fill="D9D9D9"/>
            <w:vAlign w:val="bottom"/>
          </w:tcPr>
          <w:p w:rsidR="003B0DEE" w:rsidRPr="002E5ABE" w:rsidRDefault="003B0DEE" w:rsidP="000D5D90">
            <w:pPr>
              <w:spacing w:line="240" w:lineRule="auto"/>
              <w:jc w:val="center"/>
              <w:rPr>
                <w:rFonts w:ascii="Arial" w:hAnsi="Arial" w:cs="Arial"/>
                <w:b/>
                <w:sz w:val="20"/>
                <w:lang w:eastAsia="en-US"/>
              </w:rPr>
            </w:pPr>
            <w:r w:rsidRPr="002E5ABE">
              <w:rPr>
                <w:rFonts w:ascii="Arial" w:hAnsi="Arial" w:cs="Arial"/>
                <w:b/>
                <w:sz w:val="20"/>
                <w:lang w:eastAsia="en-US"/>
              </w:rPr>
              <w:t>Median years (Range</w:t>
            </w:r>
            <w:r>
              <w:rPr>
                <w:rFonts w:ascii="Arial" w:hAnsi="Arial" w:cs="Arial"/>
                <w:b/>
                <w:sz w:val="20"/>
                <w:lang w:eastAsia="en-US"/>
              </w:rPr>
              <w:t>*</w:t>
            </w:r>
            <w:r w:rsidRPr="002E5ABE">
              <w:rPr>
                <w:rFonts w:ascii="Arial" w:hAnsi="Arial" w:cs="Arial"/>
                <w:b/>
                <w:sz w:val="20"/>
                <w:lang w:eastAsia="en-US"/>
              </w:rPr>
              <w:t>)</w:t>
            </w:r>
          </w:p>
        </w:tc>
        <w:tc>
          <w:tcPr>
            <w:tcW w:w="662" w:type="pct"/>
            <w:shd w:val="clear" w:color="auto" w:fill="D9D9D9"/>
          </w:tcPr>
          <w:p w:rsidR="003B0DEE" w:rsidRPr="002E5ABE" w:rsidRDefault="003B0DEE" w:rsidP="000D5D90">
            <w:pPr>
              <w:spacing w:line="240" w:lineRule="auto"/>
              <w:rPr>
                <w:rFonts w:ascii="Arial" w:hAnsi="Arial" w:cs="Arial"/>
                <w:b/>
                <w:sz w:val="20"/>
                <w:lang w:eastAsia="en-US"/>
              </w:rPr>
            </w:pP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Age first used any drug </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 (12-19)</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14 (11-30)</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 (12-25)</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16 (12-38)</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 (12-20)</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 (11-35)</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378607.5 (0.039)</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Age first used </w:t>
            </w:r>
            <w:r>
              <w:rPr>
                <w:rFonts w:ascii="Arial" w:hAnsi="Arial" w:cs="Arial"/>
                <w:bCs/>
                <w:sz w:val="20"/>
                <w:lang w:eastAsia="en-US"/>
              </w:rPr>
              <w:t>opioid</w:t>
            </w:r>
            <w:r w:rsidRPr="002E5ABE">
              <w:rPr>
                <w:rFonts w:ascii="Arial" w:hAnsi="Arial" w:cs="Arial"/>
                <w:bCs/>
                <w:sz w:val="20"/>
                <w:lang w:eastAsia="en-US"/>
              </w:rPr>
              <w:t xml:space="preserve">s </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17 (15-25)</w:t>
            </w:r>
          </w:p>
        </w:tc>
        <w:tc>
          <w:tcPr>
            <w:tcW w:w="47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22 (14-42)</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18 (14-27)</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21 (14-40)</w:t>
            </w:r>
          </w:p>
        </w:tc>
        <w:tc>
          <w:tcPr>
            <w:tcW w:w="55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17 (154-25)</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22 (14-41)</w:t>
            </w:r>
          </w:p>
        </w:tc>
        <w:tc>
          <w:tcPr>
            <w:tcW w:w="662"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246292.0 (&lt;0.001)</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Time lag between first use of </w:t>
            </w:r>
            <w:r>
              <w:rPr>
                <w:rFonts w:ascii="Arial" w:hAnsi="Arial" w:cs="Arial"/>
                <w:bCs/>
                <w:sz w:val="20"/>
                <w:lang w:eastAsia="en-US"/>
              </w:rPr>
              <w:t>opioid</w:t>
            </w:r>
            <w:r w:rsidRPr="002E5ABE">
              <w:rPr>
                <w:rFonts w:ascii="Arial" w:hAnsi="Arial" w:cs="Arial"/>
                <w:bCs/>
                <w:sz w:val="20"/>
                <w:lang w:eastAsia="en-US"/>
              </w:rPr>
              <w:t xml:space="preserve">s </w:t>
            </w:r>
          </w:p>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and seeking treatment </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 (0-8)</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 (1-25)</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 (0-8)</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 (0-21)</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 (0-8)</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 (1-25)</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60636.0 (&lt;0.001)</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jc w:val="left"/>
              <w:rPr>
                <w:rFonts w:ascii="Arial" w:hAnsi="Arial" w:cs="Arial"/>
                <w:bCs/>
                <w:sz w:val="20"/>
                <w:lang w:eastAsia="en-US"/>
              </w:rPr>
            </w:pPr>
            <w:r w:rsidRPr="002E5ABE">
              <w:rPr>
                <w:rFonts w:ascii="Arial" w:hAnsi="Arial" w:cs="Arial"/>
                <w:bCs/>
                <w:sz w:val="20"/>
                <w:lang w:eastAsia="en-US"/>
              </w:rPr>
              <w:t xml:space="preserve">Time smoking </w:t>
            </w:r>
            <w:r>
              <w:rPr>
                <w:rFonts w:ascii="Arial" w:hAnsi="Arial" w:cs="Arial"/>
                <w:bCs/>
                <w:sz w:val="20"/>
                <w:lang w:eastAsia="en-US"/>
              </w:rPr>
              <w:t>opioid</w:t>
            </w:r>
            <w:r w:rsidRPr="002E5ABE">
              <w:rPr>
                <w:rFonts w:ascii="Arial" w:hAnsi="Arial" w:cs="Arial"/>
                <w:bCs/>
                <w:sz w:val="20"/>
                <w:lang w:eastAsia="en-US"/>
              </w:rPr>
              <w:t>s before seeking treatment^</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 (0-6)</w:t>
            </w:r>
          </w:p>
        </w:tc>
        <w:tc>
          <w:tcPr>
            <w:tcW w:w="47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 (1-25)</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(0-5)</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 (1-21)</w:t>
            </w:r>
          </w:p>
        </w:tc>
        <w:tc>
          <w:tcPr>
            <w:tcW w:w="55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(0-5)</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 (1-22)</w:t>
            </w:r>
          </w:p>
        </w:tc>
        <w:tc>
          <w:tcPr>
            <w:tcW w:w="662"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40404.5 (&lt;0.001)</w:t>
            </w:r>
          </w:p>
        </w:tc>
      </w:tr>
      <w:tr w:rsidR="003B0DEE" w:rsidRPr="002E5ABE" w:rsidTr="000D5D90">
        <w:trPr>
          <w:trHeight w:val="20"/>
        </w:trPr>
        <w:tc>
          <w:tcPr>
            <w:tcW w:w="1347" w:type="pct"/>
            <w:tcBorders>
              <w:left w:val="nil"/>
              <w:right w:val="nil"/>
            </w:tcBorders>
            <w:shd w:val="clear" w:color="auto" w:fill="D9D9D9"/>
            <w:vAlign w:val="bottom"/>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Current drug use</w:t>
            </w:r>
          </w:p>
        </w:tc>
        <w:tc>
          <w:tcPr>
            <w:tcW w:w="2991" w:type="pct"/>
            <w:gridSpan w:val="6"/>
            <w:tcBorders>
              <w:left w:val="nil"/>
              <w:right w:val="nil"/>
            </w:tcBorders>
            <w:shd w:val="clear" w:color="auto" w:fill="D9D9D9"/>
            <w:vAlign w:val="bottom"/>
          </w:tcPr>
          <w:p w:rsidR="003B0DEE" w:rsidRPr="002E5ABE" w:rsidRDefault="003B0DEE" w:rsidP="000D5D90">
            <w:pPr>
              <w:spacing w:line="240" w:lineRule="auto"/>
              <w:jc w:val="center"/>
              <w:rPr>
                <w:rFonts w:ascii="Arial" w:hAnsi="Arial" w:cs="Arial"/>
                <w:bCs/>
                <w:sz w:val="20"/>
                <w:lang w:eastAsia="en-US"/>
              </w:rPr>
            </w:pPr>
            <w:r w:rsidRPr="002E5ABE">
              <w:rPr>
                <w:rFonts w:ascii="Arial" w:hAnsi="Arial" w:cs="Arial"/>
                <w:b/>
                <w:sz w:val="20"/>
                <w:lang w:eastAsia="en-US"/>
              </w:rPr>
              <w:t>Number (%)</w:t>
            </w:r>
          </w:p>
        </w:tc>
        <w:tc>
          <w:tcPr>
            <w:tcW w:w="662" w:type="pct"/>
            <w:tcBorders>
              <w:left w:val="nil"/>
              <w:right w:val="nil"/>
            </w:tcBorders>
            <w:shd w:val="clear" w:color="auto" w:fill="D9D9D9"/>
          </w:tcPr>
          <w:p w:rsidR="003B0DEE" w:rsidRPr="002E5ABE" w:rsidRDefault="003B0DEE" w:rsidP="000D5D90">
            <w:pPr>
              <w:spacing w:line="240" w:lineRule="auto"/>
              <w:rPr>
                <w:rFonts w:ascii="Arial" w:hAnsi="Arial" w:cs="Arial"/>
                <w:bCs/>
                <w:sz w:val="20"/>
                <w:lang w:eastAsia="en-US"/>
              </w:rPr>
            </w:pPr>
          </w:p>
        </w:tc>
      </w:tr>
      <w:tr w:rsidR="003B0DEE" w:rsidRPr="002E5ABE" w:rsidTr="000D5D90">
        <w:trPr>
          <w:trHeight w:val="20"/>
        </w:trPr>
        <w:tc>
          <w:tcPr>
            <w:tcW w:w="1347" w:type="pct"/>
            <w:shd w:val="clear" w:color="auto" w:fill="FFFFFF"/>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 xml:space="preserve">Main type of problem </w:t>
            </w:r>
            <w:r>
              <w:rPr>
                <w:rFonts w:ascii="Arial" w:hAnsi="Arial" w:cs="Arial"/>
                <w:b/>
                <w:bCs/>
                <w:sz w:val="20"/>
                <w:lang w:eastAsia="en-US"/>
              </w:rPr>
              <w:t>opioid</w:t>
            </w:r>
          </w:p>
        </w:tc>
        <w:tc>
          <w:tcPr>
            <w:tcW w:w="480"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478"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480"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480"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555"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518" w:type="pct"/>
            <w:shd w:val="clear" w:color="auto" w:fill="FFFFFF"/>
          </w:tcPr>
          <w:p w:rsidR="003B0DEE" w:rsidRPr="002E5ABE" w:rsidRDefault="003B0DEE" w:rsidP="000D5D90">
            <w:pPr>
              <w:spacing w:line="240" w:lineRule="auto"/>
              <w:jc w:val="right"/>
              <w:rPr>
                <w:rFonts w:ascii="Arial" w:hAnsi="Arial" w:cs="Arial"/>
                <w:sz w:val="20"/>
                <w:lang w:eastAsia="en-US"/>
              </w:rPr>
            </w:pPr>
          </w:p>
        </w:tc>
        <w:tc>
          <w:tcPr>
            <w:tcW w:w="662" w:type="pct"/>
            <w:shd w:val="clear" w:color="auto" w:fill="FFFFFF"/>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Heroin</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747 (89.5%)</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565 (90.0%)</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224 (93.3%)</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203 (68.6%)</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976 (90.4%)</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770 (83.2%)</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23.018 (&lt;0.001)</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Illicit methadone</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29 (3.5%)</w:t>
            </w:r>
          </w:p>
        </w:tc>
        <w:tc>
          <w:tcPr>
            <w:tcW w:w="47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16 (2.5%)</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7 (2.9%)</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10 (3.4%)</w:t>
            </w:r>
          </w:p>
        </w:tc>
        <w:tc>
          <w:tcPr>
            <w:tcW w:w="55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36 (3.3%)</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26 (2.8%)</w:t>
            </w:r>
          </w:p>
        </w:tc>
        <w:tc>
          <w:tcPr>
            <w:tcW w:w="662"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Over-the-counter or prescription </w:t>
            </w:r>
            <w:r>
              <w:rPr>
                <w:rFonts w:ascii="Arial" w:hAnsi="Arial" w:cs="Arial"/>
                <w:bCs/>
                <w:sz w:val="20"/>
                <w:lang w:eastAsia="en-US"/>
              </w:rPr>
              <w:t>opioid</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56 (6.7%)</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46 (7.3%)</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 (3.3%)</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79 (26.7%)</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64 (5.9%)</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125 (13.5%)</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33.503 (&lt;0.001)</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Other </w:t>
            </w:r>
            <w:r>
              <w:rPr>
                <w:rFonts w:ascii="Arial" w:hAnsi="Arial" w:cs="Arial"/>
                <w:bCs/>
                <w:sz w:val="20"/>
                <w:lang w:eastAsia="en-US"/>
              </w:rPr>
              <w:t>opioid</w:t>
            </w:r>
            <w:r w:rsidRPr="002E5ABE">
              <w:rPr>
                <w:rFonts w:ascii="Arial" w:hAnsi="Arial" w:cs="Arial"/>
                <w:bCs/>
                <w:sz w:val="20"/>
                <w:lang w:eastAsia="en-US"/>
              </w:rPr>
              <w:t>s</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 (0.4%)</w:t>
            </w:r>
          </w:p>
        </w:tc>
        <w:tc>
          <w:tcPr>
            <w:tcW w:w="47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 (0.2%)</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xml:space="preserve"> 1 (0.4%)</w:t>
            </w:r>
          </w:p>
        </w:tc>
        <w:tc>
          <w:tcPr>
            <w:tcW w:w="48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 (1.4%)</w:t>
            </w:r>
          </w:p>
        </w:tc>
        <w:tc>
          <w:tcPr>
            <w:tcW w:w="555"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 (0.4%)</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xml:space="preserve">5 (0.5%) </w:t>
            </w:r>
          </w:p>
        </w:tc>
        <w:tc>
          <w:tcPr>
            <w:tcW w:w="662"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 xml:space="preserve">Route of administration </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Inject</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341 (40.8%)</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190 (30.3%)</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75 (31.3%)</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77 (26.0%)</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418 (38.7%)</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267 (28.8%)</w:t>
            </w:r>
          </w:p>
        </w:tc>
        <w:tc>
          <w:tcPr>
            <w:tcW w:w="662"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 xml:space="preserve">21.598 (&lt;0.001) </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Smoke</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451 (54.0%)</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361 (57.5%)</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155 (64.6%)</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122 (41.2%)</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609 (56.4%)</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485 (52.4%)</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Eat or drink</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39 (4.7%)</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61 (9.7%)</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9 (3.8%)</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90 (30.4%)</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48 (44.4%)</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151 (16.3%)</w:t>
            </w:r>
          </w:p>
        </w:tc>
        <w:tc>
          <w:tcPr>
            <w:tcW w:w="662"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78.503 (&lt;0.001)</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Other</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0 (0.0%)</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Not recorded</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 (0.5%)</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16 (2.5%)</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 (0.5%)</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 (2.4%)</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 (0.5%)</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23 (2.5%)</w:t>
            </w:r>
          </w:p>
        </w:tc>
        <w:tc>
          <w:tcPr>
            <w:tcW w:w="662"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14.793 (&lt;0.001)</w:t>
            </w:r>
          </w:p>
        </w:tc>
      </w:tr>
      <w:tr w:rsidR="003B0DEE" w:rsidRPr="002E5ABE" w:rsidTr="000D5D90">
        <w:trPr>
          <w:trHeight w:val="20"/>
        </w:trPr>
        <w:tc>
          <w:tcPr>
            <w:tcW w:w="1827" w:type="pct"/>
            <w:gridSpan w:val="2"/>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sz w:val="20"/>
                <w:lang w:eastAsia="en-US"/>
              </w:rPr>
            </w:pPr>
            <w:r w:rsidRPr="002E5ABE">
              <w:rPr>
                <w:rFonts w:ascii="Arial" w:hAnsi="Arial" w:cs="Arial"/>
                <w:b/>
                <w:bCs/>
                <w:sz w:val="20"/>
                <w:lang w:eastAsia="en-US"/>
              </w:rPr>
              <w:t>Frequency of use in month prior to treatment</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 </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Daily</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621 (74.4%)</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321 (51.1%)</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197 (82.4%)</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187 (63.2%)</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882 (76.2%)</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508 (54.9%)</w:t>
            </w:r>
          </w:p>
        </w:tc>
        <w:tc>
          <w:tcPr>
            <w:tcW w:w="662" w:type="pct"/>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100.774 (&lt;0.001)</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2-6 days per week</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123 (14.7%)</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82 (13.1%)</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22 (9.2%)</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45 (15.2%)</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146 (13.5%)</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129 (13.9%)</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Once a week or less</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29 (3.5%)</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30 (4.8%)</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 (2.1%)</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10 (3.4%)</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34 (3.2%)</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40 (4.3%)</w:t>
            </w:r>
          </w:p>
        </w:tc>
        <w:tc>
          <w:tcPr>
            <w:tcW w:w="662" w:type="pct"/>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NS</w:t>
            </w:r>
          </w:p>
        </w:tc>
      </w:tr>
      <w:tr w:rsidR="003B0DEE" w:rsidRPr="002E5ABE" w:rsidTr="000D5D90">
        <w:trPr>
          <w:trHeight w:val="20"/>
        </w:trPr>
        <w:tc>
          <w:tcPr>
            <w:tcW w:w="1347"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No use in the past month</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50 (6.0%)</w:t>
            </w:r>
          </w:p>
        </w:tc>
        <w:tc>
          <w:tcPr>
            <w:tcW w:w="47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137 (21.8%)</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13 (5.4%)</w:t>
            </w:r>
          </w:p>
        </w:tc>
        <w:tc>
          <w:tcPr>
            <w:tcW w:w="48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40 (13.5%)</w:t>
            </w:r>
          </w:p>
        </w:tc>
        <w:tc>
          <w:tcPr>
            <w:tcW w:w="555"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63 (5.8%)</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177 (19.1%)</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83.49 (&lt;0.001)</w:t>
            </w:r>
          </w:p>
        </w:tc>
      </w:tr>
      <w:tr w:rsidR="003B0DEE" w:rsidRPr="002E5ABE" w:rsidTr="000D5D90">
        <w:trPr>
          <w:trHeight w:val="20"/>
        </w:trPr>
        <w:tc>
          <w:tcPr>
            <w:tcW w:w="1347"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sz w:val="20"/>
                <w:lang w:eastAsia="en-US"/>
              </w:rPr>
              <w:t xml:space="preserve">  Unknown</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12 (1.4%)</w:t>
            </w:r>
          </w:p>
        </w:tc>
        <w:tc>
          <w:tcPr>
            <w:tcW w:w="47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59 (9.2%)</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2 (0.8%)</w:t>
            </w:r>
          </w:p>
        </w:tc>
        <w:tc>
          <w:tcPr>
            <w:tcW w:w="480"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16 (4.7%)</w:t>
            </w:r>
          </w:p>
        </w:tc>
        <w:tc>
          <w:tcPr>
            <w:tcW w:w="555"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14 (1.3%)</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72 (7.8%)</w:t>
            </w:r>
          </w:p>
        </w:tc>
        <w:tc>
          <w:tcPr>
            <w:tcW w:w="662" w:type="pct"/>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bCs/>
                <w:sz w:val="20"/>
                <w:lang w:eastAsia="en-US"/>
              </w:rPr>
              <w:t>51.003 (&lt;0.001)</w:t>
            </w:r>
          </w:p>
        </w:tc>
      </w:tr>
    </w:tbl>
    <w:p w:rsidR="003B0DEE" w:rsidRPr="002E5ABE" w:rsidRDefault="003B0DEE" w:rsidP="000D5D90">
      <w:pPr>
        <w:spacing w:line="240" w:lineRule="auto"/>
        <w:jc w:val="left"/>
        <w:rPr>
          <w:rFonts w:ascii="Arial" w:hAnsi="Arial" w:cs="Arial"/>
          <w:color w:val="000000"/>
          <w:sz w:val="20"/>
          <w:szCs w:val="22"/>
        </w:rPr>
      </w:pPr>
      <w:r w:rsidRPr="002E5ABE">
        <w:rPr>
          <w:rFonts w:ascii="Arial" w:hAnsi="Arial" w:cs="Arial"/>
          <w:color w:val="000000"/>
          <w:sz w:val="20"/>
          <w:szCs w:val="22"/>
        </w:rPr>
        <w:t>^ Smokers only (those who have never injected)</w:t>
      </w:r>
      <w:r w:rsidR="00C75A7D">
        <w:rPr>
          <w:rFonts w:ascii="Arial" w:hAnsi="Arial" w:cs="Arial"/>
          <w:color w:val="000000"/>
          <w:sz w:val="20"/>
          <w:szCs w:val="22"/>
        </w:rPr>
        <w:t>.</w:t>
      </w:r>
      <w:r w:rsidRPr="002E5ABE">
        <w:rPr>
          <w:rFonts w:ascii="Arial" w:hAnsi="Arial" w:cs="Arial"/>
          <w:color w:val="000000"/>
          <w:sz w:val="20"/>
          <w:szCs w:val="22"/>
        </w:rPr>
        <w:t xml:space="preserve"> </w:t>
      </w:r>
    </w:p>
    <w:p w:rsidR="003B0DEE" w:rsidRDefault="003B0DEE" w:rsidP="00F07F03">
      <w:pPr>
        <w:spacing w:after="200" w:line="276" w:lineRule="auto"/>
        <w:jc w:val="left"/>
        <w:sectPr w:rsidR="003B0DEE" w:rsidSect="000D5D90">
          <w:pgSz w:w="16840" w:h="11907" w:orient="landscape" w:code="9"/>
          <w:pgMar w:top="1985" w:right="1134" w:bottom="1134" w:left="1134" w:header="709" w:footer="709" w:gutter="0"/>
          <w:cols w:space="708"/>
          <w:docGrid w:linePitch="360"/>
        </w:sectPr>
      </w:pPr>
      <w:r>
        <w:t xml:space="preserve">* </w:t>
      </w:r>
      <w:r w:rsidRPr="00F07F03">
        <w:rPr>
          <w:rFonts w:ascii="Arial" w:hAnsi="Arial" w:cs="Arial"/>
          <w:color w:val="000000"/>
          <w:sz w:val="20"/>
          <w:szCs w:val="22"/>
        </w:rPr>
        <w:t>Age range presented is the 5th and 95th percentile</w:t>
      </w:r>
      <w:r w:rsidR="00C75A7D">
        <w:rPr>
          <w:rFonts w:ascii="Arial" w:hAnsi="Arial" w:cs="Arial"/>
          <w:color w:val="000000"/>
          <w:sz w:val="20"/>
          <w:szCs w:val="22"/>
        </w:rPr>
        <w:t>.</w:t>
      </w:r>
    </w:p>
    <w:p w:rsidR="003B0DEE" w:rsidRPr="001B57A9" w:rsidRDefault="003B0DEE" w:rsidP="000D5D90">
      <w:pPr>
        <w:pStyle w:val="Heading3"/>
      </w:pPr>
      <w:bookmarkStart w:id="67" w:name="_Toc15331686"/>
      <w:r>
        <w:lastRenderedPageBreak/>
        <w:t>Polysubstance use</w:t>
      </w:r>
      <w:bookmarkEnd w:id="67"/>
    </w:p>
    <w:p w:rsidR="003B0DEE" w:rsidRPr="004C3597" w:rsidRDefault="003B0DEE" w:rsidP="000D5D90">
      <w:pPr>
        <w:pStyle w:val="BodyText"/>
        <w:rPr>
          <w:highlight w:val="yellow"/>
        </w:rPr>
      </w:pPr>
      <w:r w:rsidRPr="00CE2E3B">
        <w:t>The proportion with problem use of two or more substances decreased fro</w:t>
      </w:r>
      <w:r>
        <w:t>m 85.4% in 1995 to 55.</w:t>
      </w:r>
      <w:r w:rsidRPr="00CE2E3B">
        <w:t xml:space="preserve">9% in 2015 (Z=213.202, p&lt;0.001).  </w:t>
      </w:r>
      <w:r>
        <w:t>Overall, t</w:t>
      </w:r>
      <w:r w:rsidRPr="00CE2E3B">
        <w:t xml:space="preserve">he most commonly reported substances in addition to opioids were cannabis (51.9%), benzodiazepines (36.9%) and cocaine (26.3%).  The overall proportions reporting problem use of alcohol, cocaine and other substances (such as antidepressant or antiparkinson drugs) increased </w:t>
      </w:r>
      <w:r>
        <w:t xml:space="preserve">significantly (p&lt;0.05) (Table 4-4).  </w:t>
      </w:r>
      <w:r w:rsidRPr="00CE2E3B">
        <w:t xml:space="preserve">The number of people reporting </w:t>
      </w:r>
      <w:r>
        <w:t xml:space="preserve">problem use of </w:t>
      </w:r>
      <w:r w:rsidRPr="00CE2E3B">
        <w:t xml:space="preserve">alcohol </w:t>
      </w:r>
      <w:r w:rsidRPr="004C3597">
        <w:t xml:space="preserve">increased three fold while numbers reporting cocaine increased fivefold.  While the overall proportion of </w:t>
      </w:r>
      <w:r>
        <w:t>people</w:t>
      </w:r>
      <w:r w:rsidRPr="004C3597">
        <w:t xml:space="preserve"> reporting benzodiazepine use increased (though not significantly) by 16.6%, the increase was more prominent among women (+21.0%) </w:t>
      </w:r>
      <w:r>
        <w:t>than among men (+6.9%</w:t>
      </w:r>
      <w:r w:rsidR="009D2A34">
        <w:t xml:space="preserve">)  </w:t>
      </w:r>
      <w:proofErr w:type="gramStart"/>
      <w:r>
        <w:t>(Table 4-</w:t>
      </w:r>
      <w:r w:rsidRPr="004C3597">
        <w:t>4).</w:t>
      </w:r>
      <w:proofErr w:type="gramEnd"/>
      <w:r w:rsidRPr="004C3597">
        <w:t xml:space="preserve">  </w:t>
      </w:r>
    </w:p>
    <w:p w:rsidR="003B0DEE" w:rsidRPr="004C3597" w:rsidRDefault="003B0DEE" w:rsidP="000D5D90">
      <w:pPr>
        <w:pStyle w:val="BodyText"/>
        <w:rPr>
          <w:highlight w:val="yellow"/>
        </w:rPr>
      </w:pPr>
      <w:r w:rsidRPr="004C3597">
        <w:t xml:space="preserve">There </w:t>
      </w:r>
      <w:r>
        <w:t>were</w:t>
      </w:r>
      <w:r w:rsidRPr="004C3597">
        <w:t xml:space="preserve"> significa</w:t>
      </w:r>
      <w:r>
        <w:t>nt</w:t>
      </w:r>
      <w:r w:rsidRPr="004C3597">
        <w:t xml:space="preserve"> decreases in overall proportions reporting problem use of cannabis (Z=26.217, p&lt;0.001), ecstasy (Z=117.212, p&lt;0.001) and other types of </w:t>
      </w:r>
      <w:r>
        <w:t>opioid</w:t>
      </w:r>
      <w:r w:rsidRPr="004C3597">
        <w:t xml:space="preserve"> drugs (Z=188.814, p&lt;0.001).  For cannabi</w:t>
      </w:r>
      <w:r>
        <w:t>s, the trend differed by gender</w:t>
      </w:r>
      <w:r w:rsidRPr="004C3597">
        <w:t xml:space="preserve"> with the proportion of men reporting problem cannabis use increasing by 3.6%, and decreasing by 13.2% among women. </w:t>
      </w:r>
    </w:p>
    <w:p w:rsidR="003B0DEE" w:rsidRPr="00307FA2" w:rsidRDefault="003B0DEE" w:rsidP="000D5D90">
      <w:pPr>
        <w:spacing w:after="200" w:line="360" w:lineRule="auto"/>
        <w:rPr>
          <w:b/>
          <w:bCs/>
          <w:sz w:val="24"/>
          <w:szCs w:val="26"/>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sz w:val="20"/>
        </w:rPr>
      </w:pPr>
      <w:bookmarkStart w:id="68" w:name="_Toc15331994"/>
      <w:r w:rsidRPr="005C08E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t xml:space="preserve">  </w:t>
      </w:r>
      <w:r w:rsidRPr="005C08E6">
        <w:rPr>
          <w:rFonts w:ascii="Arial" w:hAnsi="Arial" w:cs="Arial"/>
          <w:sz w:val="20"/>
        </w:rPr>
        <w:t>Polysubstance use and additional drugs used alongside opioids for first-time opioid treatment entrants in 1995 and 2015</w:t>
      </w:r>
      <w:bookmarkEnd w:id="68"/>
    </w:p>
    <w:tbl>
      <w:tblPr>
        <w:tblW w:w="5000" w:type="pct"/>
        <w:tblBorders>
          <w:top w:val="single" w:sz="8" w:space="0" w:color="000000"/>
          <w:bottom w:val="single" w:sz="8" w:space="0" w:color="000000"/>
        </w:tblBorders>
        <w:tblLook w:val="04A0" w:firstRow="1" w:lastRow="0" w:firstColumn="1" w:lastColumn="0" w:noHBand="0" w:noVBand="1"/>
      </w:tblPr>
      <w:tblGrid>
        <w:gridCol w:w="3980"/>
        <w:gridCol w:w="1422"/>
        <w:gridCol w:w="1411"/>
        <w:gridCol w:w="1423"/>
        <w:gridCol w:w="1423"/>
        <w:gridCol w:w="1639"/>
        <w:gridCol w:w="1532"/>
        <w:gridCol w:w="1958"/>
      </w:tblGrid>
      <w:tr w:rsidR="003B0DEE" w:rsidRPr="002E5ABE" w:rsidTr="000D5D90">
        <w:trPr>
          <w:trHeight w:val="20"/>
        </w:trPr>
        <w:tc>
          <w:tcPr>
            <w:tcW w:w="1346"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p>
        </w:tc>
        <w:tc>
          <w:tcPr>
            <w:tcW w:w="1920" w:type="pct"/>
            <w:gridSpan w:val="4"/>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Gender</w:t>
            </w:r>
          </w:p>
        </w:tc>
        <w:tc>
          <w:tcPr>
            <w:tcW w:w="1072" w:type="pct"/>
            <w:gridSpan w:val="2"/>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Total</w:t>
            </w:r>
          </w:p>
        </w:tc>
        <w:tc>
          <w:tcPr>
            <w:tcW w:w="662"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Significance test</w:t>
            </w:r>
          </w:p>
        </w:tc>
      </w:tr>
      <w:tr w:rsidR="003B0DEE" w:rsidRPr="002E5ABE" w:rsidTr="000D5D90">
        <w:trPr>
          <w:trHeight w:val="20"/>
        </w:trPr>
        <w:tc>
          <w:tcPr>
            <w:tcW w:w="1346" w:type="pct"/>
            <w:tcBorders>
              <w:left w:val="nil"/>
              <w:right w:val="nil"/>
            </w:tcBorders>
            <w:shd w:val="clear" w:color="auto" w:fill="FFFFFF"/>
          </w:tcPr>
          <w:p w:rsidR="003B0DEE" w:rsidRPr="002E5ABE" w:rsidRDefault="003B0DEE" w:rsidP="000D5D90">
            <w:pPr>
              <w:spacing w:line="240" w:lineRule="auto"/>
              <w:rPr>
                <w:rFonts w:ascii="Arial" w:hAnsi="Arial" w:cs="Arial"/>
                <w:b/>
                <w:bCs/>
                <w:color w:val="000000"/>
                <w:sz w:val="20"/>
                <w:lang w:eastAsia="en-US"/>
              </w:rPr>
            </w:pPr>
          </w:p>
        </w:tc>
        <w:tc>
          <w:tcPr>
            <w:tcW w:w="958"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Male</w:t>
            </w:r>
          </w:p>
        </w:tc>
        <w:tc>
          <w:tcPr>
            <w:tcW w:w="962"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Female</w:t>
            </w:r>
          </w:p>
        </w:tc>
        <w:tc>
          <w:tcPr>
            <w:tcW w:w="554" w:type="pct"/>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p>
        </w:tc>
        <w:tc>
          <w:tcPr>
            <w:tcW w:w="518" w:type="pct"/>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p>
        </w:tc>
        <w:tc>
          <w:tcPr>
            <w:tcW w:w="662" w:type="pct"/>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p>
        </w:tc>
      </w:tr>
      <w:tr w:rsidR="003B0DEE" w:rsidRPr="002E5ABE" w:rsidTr="000D5D90">
        <w:trPr>
          <w:trHeight w:val="20"/>
        </w:trPr>
        <w:tc>
          <w:tcPr>
            <w:tcW w:w="1346" w:type="pct"/>
            <w:shd w:val="clear" w:color="auto" w:fill="FFFFFF"/>
          </w:tcPr>
          <w:p w:rsidR="003B0DEE" w:rsidRPr="002E5ABE" w:rsidRDefault="003B0DEE" w:rsidP="000D5D90">
            <w:pPr>
              <w:spacing w:line="240" w:lineRule="auto"/>
              <w:rPr>
                <w:rFonts w:ascii="Arial" w:hAnsi="Arial" w:cs="Arial"/>
                <w:b/>
                <w:bCs/>
                <w:color w:val="000000"/>
                <w:sz w:val="20"/>
                <w:lang w:eastAsia="en-US"/>
              </w:rPr>
            </w:pPr>
            <w:r w:rsidRPr="002E5ABE">
              <w:rPr>
                <w:rFonts w:ascii="Arial" w:hAnsi="Arial" w:cs="Arial"/>
                <w:b/>
                <w:bCs/>
                <w:sz w:val="20"/>
                <w:lang w:eastAsia="en-US"/>
              </w:rPr>
              <w:t>Year treated</w:t>
            </w:r>
          </w:p>
        </w:tc>
        <w:tc>
          <w:tcPr>
            <w:tcW w:w="481" w:type="pct"/>
            <w:shd w:val="clear" w:color="auto" w:fill="FFFFFF"/>
          </w:tcPr>
          <w:p w:rsidR="003B0DEE" w:rsidRPr="002E5ABE" w:rsidRDefault="003B0DEE" w:rsidP="000D5D90">
            <w:pPr>
              <w:spacing w:line="240" w:lineRule="auto"/>
              <w:rPr>
                <w:rFonts w:ascii="Arial" w:hAnsi="Arial" w:cs="Arial"/>
                <w:b/>
                <w:color w:val="000000"/>
                <w:sz w:val="20"/>
                <w:lang w:eastAsia="en-US"/>
              </w:rPr>
            </w:pPr>
            <w:r w:rsidRPr="002E5ABE">
              <w:rPr>
                <w:rFonts w:ascii="Arial" w:hAnsi="Arial" w:cs="Arial"/>
                <w:b/>
                <w:color w:val="000000"/>
                <w:sz w:val="20"/>
                <w:lang w:eastAsia="en-US"/>
              </w:rPr>
              <w:t>1995</w:t>
            </w:r>
          </w:p>
        </w:tc>
        <w:tc>
          <w:tcPr>
            <w:tcW w:w="477"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481"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481"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554"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18"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662"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Z/t/U (p)</w:t>
            </w:r>
          </w:p>
        </w:tc>
      </w:tr>
      <w:tr w:rsidR="003B0DEE" w:rsidRPr="002E5ABE" w:rsidTr="000D5D90">
        <w:trPr>
          <w:trHeight w:val="20"/>
        </w:trPr>
        <w:tc>
          <w:tcPr>
            <w:tcW w:w="1346" w:type="pct"/>
            <w:tcBorders>
              <w:left w:val="nil"/>
              <w:right w:val="nil"/>
            </w:tcBorders>
            <w:shd w:val="clear" w:color="auto" w:fill="FFFFFF"/>
          </w:tcPr>
          <w:p w:rsidR="003B0DEE" w:rsidRPr="002E5ABE" w:rsidRDefault="003B0DEE" w:rsidP="000D5D90">
            <w:pPr>
              <w:spacing w:line="240" w:lineRule="auto"/>
              <w:rPr>
                <w:rFonts w:ascii="Arial" w:hAnsi="Arial" w:cs="Arial"/>
                <w:b/>
                <w:bCs/>
                <w:color w:val="000000"/>
                <w:sz w:val="20"/>
                <w:lang w:eastAsia="en-US"/>
              </w:rPr>
            </w:pPr>
            <w:r w:rsidRPr="002E5ABE">
              <w:rPr>
                <w:rFonts w:ascii="Arial" w:hAnsi="Arial" w:cs="Arial"/>
                <w:b/>
                <w:bCs/>
                <w:sz w:val="20"/>
                <w:lang w:eastAsia="en-US"/>
              </w:rPr>
              <w:t xml:space="preserve">Number entering treatment </w:t>
            </w:r>
          </w:p>
        </w:tc>
        <w:tc>
          <w:tcPr>
            <w:tcW w:w="481"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835 (77.3%)</w:t>
            </w:r>
          </w:p>
        </w:tc>
        <w:tc>
          <w:tcPr>
            <w:tcW w:w="47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629 (67.8%)</w:t>
            </w:r>
          </w:p>
        </w:tc>
        <w:tc>
          <w:tcPr>
            <w:tcW w:w="481"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240 (22.2%)</w:t>
            </w:r>
          </w:p>
        </w:tc>
        <w:tc>
          <w:tcPr>
            <w:tcW w:w="481"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296 (32.0%)</w:t>
            </w:r>
          </w:p>
        </w:tc>
        <w:tc>
          <w:tcPr>
            <w:tcW w:w="554"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1080 (100.0%)</w:t>
            </w:r>
          </w:p>
        </w:tc>
        <w:tc>
          <w:tcPr>
            <w:tcW w:w="518"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926 (100.0%)</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346" w:type="pct"/>
            <w:shd w:val="clear" w:color="auto" w:fill="D9D9D9"/>
            <w:vAlign w:val="bottom"/>
          </w:tcPr>
          <w:p w:rsidR="003B0DEE" w:rsidRPr="002E5ABE" w:rsidRDefault="003B0DEE" w:rsidP="000D5D90">
            <w:pPr>
              <w:spacing w:line="240" w:lineRule="auto"/>
              <w:rPr>
                <w:rFonts w:ascii="Arial" w:hAnsi="Arial" w:cs="Arial"/>
                <w:b/>
                <w:bCs/>
                <w:sz w:val="20"/>
                <w:lang w:eastAsia="en-US"/>
              </w:rPr>
            </w:pPr>
            <w:r w:rsidRPr="002E5ABE">
              <w:rPr>
                <w:rFonts w:ascii="Arial" w:hAnsi="Arial" w:cs="Arial"/>
                <w:b/>
                <w:bCs/>
                <w:sz w:val="20"/>
                <w:lang w:eastAsia="en-US"/>
              </w:rPr>
              <w:t>Polysubstance use</w:t>
            </w:r>
          </w:p>
        </w:tc>
        <w:tc>
          <w:tcPr>
            <w:tcW w:w="481"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727 (87.1%)</w:t>
            </w:r>
          </w:p>
        </w:tc>
        <w:tc>
          <w:tcPr>
            <w:tcW w:w="477"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363 (57.8%)</w:t>
            </w:r>
          </w:p>
        </w:tc>
        <w:tc>
          <w:tcPr>
            <w:tcW w:w="481"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192 (80.0%)</w:t>
            </w:r>
          </w:p>
        </w:tc>
        <w:tc>
          <w:tcPr>
            <w:tcW w:w="481"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153 (51.7%)</w:t>
            </w:r>
          </w:p>
        </w:tc>
        <w:tc>
          <w:tcPr>
            <w:tcW w:w="554"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922 (85.4%)</w:t>
            </w:r>
          </w:p>
        </w:tc>
        <w:tc>
          <w:tcPr>
            <w:tcW w:w="518" w:type="pct"/>
            <w:shd w:val="clear" w:color="auto" w:fill="D9D9D9"/>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518 (55.9%)</w:t>
            </w:r>
          </w:p>
        </w:tc>
        <w:tc>
          <w:tcPr>
            <w:tcW w:w="662" w:type="pct"/>
            <w:shd w:val="clear" w:color="auto" w:fill="D9D9D9"/>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213.202 (&lt;0.001</w:t>
            </w:r>
            <w:r>
              <w:rPr>
                <w:rFonts w:ascii="Arial" w:hAnsi="Arial" w:cs="Arial"/>
                <w:color w:val="000000"/>
                <w:sz w:val="20"/>
                <w:lang w:eastAsia="en-US"/>
              </w:rPr>
              <w:t>)</w:t>
            </w:r>
          </w:p>
        </w:tc>
      </w:tr>
      <w:tr w:rsidR="003B0DEE" w:rsidRPr="002E5ABE" w:rsidTr="000D5D90">
        <w:trPr>
          <w:trHeight w:val="20"/>
        </w:trPr>
        <w:tc>
          <w:tcPr>
            <w:tcW w:w="1826" w:type="pct"/>
            <w:gridSpan w:val="2"/>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sz w:val="20"/>
                <w:lang w:eastAsia="en-US"/>
              </w:rPr>
            </w:pPr>
            <w:r w:rsidRPr="002E5ABE">
              <w:rPr>
                <w:rFonts w:ascii="Arial" w:hAnsi="Arial" w:cs="Arial"/>
                <w:b/>
                <w:bCs/>
                <w:color w:val="000000"/>
                <w:sz w:val="20"/>
                <w:lang w:eastAsia="en-US"/>
              </w:rPr>
              <w:t xml:space="preserve">Number of problem substances </w:t>
            </w:r>
            <w:r>
              <w:rPr>
                <w:rFonts w:ascii="Arial" w:hAnsi="Arial" w:cs="Arial"/>
                <w:b/>
                <w:bCs/>
                <w:color w:val="000000"/>
                <w:sz w:val="20"/>
                <w:lang w:eastAsia="en-US"/>
              </w:rPr>
              <w:t>reported</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One substance</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108 (12.9%)</w:t>
            </w:r>
          </w:p>
        </w:tc>
        <w:tc>
          <w:tcPr>
            <w:tcW w:w="477"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265 (42.2%)</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48 (20.0%)</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143 (48.3%)</w:t>
            </w:r>
          </w:p>
        </w:tc>
        <w:tc>
          <w:tcPr>
            <w:tcW w:w="554"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159 (14.6%)</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408 (44.1%)</w:t>
            </w:r>
          </w:p>
        </w:tc>
        <w:tc>
          <w:tcPr>
            <w:tcW w:w="662"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213.202 (&lt;0.001)</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Two substances</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146 (17.5%)</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176 (28.0%)</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60 (25.0%)</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74 (25.0%)</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206 (19.1%)</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252 (27.2%)</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18.748 (&lt;0.001)</w:t>
            </w: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color w:val="000000"/>
                <w:sz w:val="20"/>
                <w:lang w:eastAsia="en-US"/>
              </w:rPr>
              <w:t xml:space="preserve">  Three substances</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581 (69.6%)</w:t>
            </w:r>
          </w:p>
        </w:tc>
        <w:tc>
          <w:tcPr>
            <w:tcW w:w="477"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112 (17.8%)</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132 (55.0%)</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57 (19.3%)</w:t>
            </w:r>
          </w:p>
        </w:tc>
        <w:tc>
          <w:tcPr>
            <w:tcW w:w="554"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716 (66.3%)</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169 (18.3%)</w:t>
            </w:r>
          </w:p>
        </w:tc>
        <w:tc>
          <w:tcPr>
            <w:tcW w:w="662" w:type="pct"/>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color w:val="000000"/>
                <w:sz w:val="20"/>
                <w:lang w:eastAsia="en-US"/>
              </w:rPr>
              <w:t>466.796 (&lt;0.001)</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color w:val="000000"/>
                <w:sz w:val="20"/>
                <w:lang w:eastAsia="en-US"/>
              </w:rPr>
            </w:pPr>
            <w:r w:rsidRPr="002E5ABE">
              <w:rPr>
                <w:rFonts w:ascii="Arial" w:hAnsi="Arial" w:cs="Arial"/>
                <w:bCs/>
                <w:color w:val="000000"/>
                <w:sz w:val="20"/>
                <w:lang w:eastAsia="en-US"/>
              </w:rPr>
              <w:t xml:space="preserve">  Four substances*</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75 (11.9%)</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22 (7.4%)</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97 (10.5%)</w:t>
            </w:r>
          </w:p>
        </w:tc>
        <w:tc>
          <w:tcPr>
            <w:tcW w:w="66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color w:val="000000"/>
                <w:sz w:val="20"/>
                <w:lang w:eastAsia="en-US"/>
              </w:rPr>
            </w:pPr>
            <w:r w:rsidRPr="002E5ABE">
              <w:rPr>
                <w:rFonts w:ascii="Arial" w:hAnsi="Arial" w:cs="Arial"/>
                <w:bCs/>
                <w:color w:val="000000"/>
                <w:sz w:val="20"/>
                <w:lang w:eastAsia="en-US"/>
              </w:rPr>
              <w:t>*</w:t>
            </w:r>
          </w:p>
        </w:tc>
      </w:tr>
      <w:tr w:rsidR="003B0DEE" w:rsidRPr="002E5ABE" w:rsidTr="000D5D90">
        <w:trPr>
          <w:trHeight w:val="20"/>
        </w:trPr>
        <w:tc>
          <w:tcPr>
            <w:tcW w:w="5000" w:type="pct"/>
            <w:gridSpan w:val="8"/>
            <w:shd w:val="clear" w:color="auto" w:fill="FFFFFF"/>
            <w:vAlign w:val="bottom"/>
          </w:tcPr>
          <w:p w:rsidR="003B0DEE" w:rsidRPr="002E5ABE" w:rsidRDefault="003B0DEE" w:rsidP="000D5D90">
            <w:pPr>
              <w:spacing w:line="240" w:lineRule="auto"/>
              <w:rPr>
                <w:rFonts w:ascii="Arial" w:hAnsi="Arial" w:cs="Arial"/>
                <w:color w:val="000000"/>
                <w:sz w:val="20"/>
                <w:lang w:eastAsia="en-US"/>
              </w:rPr>
            </w:pPr>
            <w:r>
              <w:rPr>
                <w:rFonts w:ascii="Arial" w:hAnsi="Arial" w:cs="Arial"/>
                <w:b/>
                <w:bCs/>
                <w:color w:val="000000"/>
                <w:sz w:val="20"/>
                <w:lang w:eastAsia="en-US"/>
              </w:rPr>
              <w:t>Type of a</w:t>
            </w:r>
            <w:r w:rsidRPr="002E5ABE">
              <w:rPr>
                <w:rFonts w:ascii="Arial" w:hAnsi="Arial" w:cs="Arial"/>
                <w:b/>
                <w:bCs/>
                <w:color w:val="000000"/>
                <w:sz w:val="20"/>
                <w:lang w:eastAsia="en-US"/>
              </w:rPr>
              <w:t>dditional problem substances used†</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Alcohol </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23 (3.4%)</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74 (20.4%)</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8 (4.9%)</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16 (10.5%)</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31 (3.7%)</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90 (17.4%)</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41.258 (&lt;0.001)</w:t>
            </w: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w:t>
            </w:r>
            <w:r>
              <w:rPr>
                <w:rFonts w:ascii="Arial" w:hAnsi="Arial" w:cs="Arial"/>
                <w:bCs/>
                <w:color w:val="000000"/>
                <w:sz w:val="20"/>
                <w:lang w:eastAsia="en-US"/>
              </w:rPr>
              <w:t>Amphetamines</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7 (1.0%)</w:t>
            </w:r>
          </w:p>
        </w:tc>
        <w:tc>
          <w:tcPr>
            <w:tcW w:w="477"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6 (1.7%)</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 (1.8%)</w:t>
            </w:r>
          </w:p>
        </w:tc>
        <w:tc>
          <w:tcPr>
            <w:tcW w:w="481"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5 (3.3%)</w:t>
            </w:r>
          </w:p>
        </w:tc>
        <w:tc>
          <w:tcPr>
            <w:tcW w:w="554"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10 (1.2%)</w:t>
            </w:r>
          </w:p>
        </w:tc>
        <w:tc>
          <w:tcPr>
            <w:tcW w:w="518" w:type="pct"/>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11 (2.1%)</w:t>
            </w:r>
          </w:p>
        </w:tc>
        <w:tc>
          <w:tcPr>
            <w:tcW w:w="662" w:type="pct"/>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NS</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Benzodiazepines</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243 (35.9%)</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164 (42.8%)</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51 (31.3%)</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80 (52.3%)</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264 (31.5%)</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249 (48.1%)</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NS</w:t>
            </w: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Cannabis</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302 (44.9%)</w:t>
            </w:r>
          </w:p>
        </w:tc>
        <w:tc>
          <w:tcPr>
            <w:tcW w:w="47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176 (48.5%)</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86 (52.8%)</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59 (38.6%)</w:t>
            </w:r>
          </w:p>
        </w:tc>
        <w:tc>
          <w:tcPr>
            <w:tcW w:w="55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391 (46.6%)</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236 (45.6%)</w:t>
            </w:r>
          </w:p>
        </w:tc>
        <w:tc>
          <w:tcPr>
            <w:tcW w:w="662"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26.217 (&lt;0.001)</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Cocaine</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18 (2.7%)</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78 (21.5%)</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6 (3.7%)</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31 (20.3%)</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24 (2.9%)</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110 (21.2%)</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70.002 (&lt;0.001)</w:t>
            </w: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Ecstasy</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104 (21.2%)</w:t>
            </w:r>
          </w:p>
        </w:tc>
        <w:tc>
          <w:tcPr>
            <w:tcW w:w="47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16 (4.4%)</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34 (20.9%)</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3 (2.8%)</w:t>
            </w:r>
          </w:p>
        </w:tc>
        <w:tc>
          <w:tcPr>
            <w:tcW w:w="55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178 (21.2%)</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19 (3.7%)</w:t>
            </w:r>
          </w:p>
        </w:tc>
        <w:tc>
          <w:tcPr>
            <w:tcW w:w="662"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117.212 (&lt;0.001)</w:t>
            </w:r>
          </w:p>
        </w:tc>
      </w:tr>
      <w:tr w:rsidR="003B0DEE" w:rsidRPr="002E5ABE" w:rsidTr="000D5D90">
        <w:trPr>
          <w:trHeight w:val="20"/>
        </w:trPr>
        <w:tc>
          <w:tcPr>
            <w:tcW w:w="1346" w:type="pct"/>
            <w:tcBorders>
              <w:left w:val="nil"/>
              <w:right w:val="nil"/>
            </w:tcBorders>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w:t>
            </w:r>
            <w:r>
              <w:rPr>
                <w:rFonts w:ascii="Arial" w:hAnsi="Arial" w:cs="Arial"/>
                <w:bCs/>
                <w:color w:val="000000"/>
                <w:sz w:val="20"/>
                <w:lang w:eastAsia="en-US"/>
              </w:rPr>
              <w:t>Opioid</w:t>
            </w:r>
            <w:r w:rsidRPr="002E5ABE">
              <w:rPr>
                <w:rFonts w:ascii="Arial" w:hAnsi="Arial" w:cs="Arial"/>
                <w:bCs/>
                <w:color w:val="000000"/>
                <w:sz w:val="20"/>
                <w:lang w:eastAsia="en-US"/>
              </w:rPr>
              <w:t>s</w:t>
            </w:r>
            <w:r w:rsidRPr="002E5ABE">
              <w:rPr>
                <w:rFonts w:ascii="Arial" w:hAnsi="Arial" w:cs="Arial"/>
                <w:bCs/>
                <w:color w:val="000000"/>
                <w:sz w:val="20"/>
                <w:vertAlign w:val="superscript"/>
                <w:lang w:eastAsia="en-US"/>
              </w:rPr>
              <w:t>‡</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387 (57.5%)</w:t>
            </w:r>
          </w:p>
        </w:tc>
        <w:tc>
          <w:tcPr>
            <w:tcW w:w="47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64 (16.7%)</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51 (31.3%)</w:t>
            </w:r>
          </w:p>
        </w:tc>
        <w:tc>
          <w:tcPr>
            <w:tcW w:w="481"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36 (23.5%)</w:t>
            </w:r>
          </w:p>
        </w:tc>
        <w:tc>
          <w:tcPr>
            <w:tcW w:w="554"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440 (52.4%)</w:t>
            </w:r>
          </w:p>
        </w:tc>
        <w:tc>
          <w:tcPr>
            <w:tcW w:w="518"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90 (17.4%)</w:t>
            </w:r>
          </w:p>
        </w:tc>
        <w:tc>
          <w:tcPr>
            <w:tcW w:w="662" w:type="pct"/>
            <w:tcBorders>
              <w:left w:val="nil"/>
              <w:right w:val="nil"/>
            </w:tcBorders>
            <w:shd w:val="clear" w:color="auto" w:fill="FFFFFF"/>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188.814 (&lt;0.001)</w:t>
            </w:r>
          </w:p>
        </w:tc>
      </w:tr>
      <w:tr w:rsidR="003B0DEE" w:rsidRPr="002E5ABE" w:rsidTr="000D5D90">
        <w:trPr>
          <w:trHeight w:val="20"/>
        </w:trPr>
        <w:tc>
          <w:tcPr>
            <w:tcW w:w="1346" w:type="pct"/>
            <w:shd w:val="clear" w:color="auto" w:fill="FFFFFF"/>
            <w:vAlign w:val="bottom"/>
          </w:tcPr>
          <w:p w:rsidR="003B0DEE" w:rsidRPr="002E5ABE" w:rsidRDefault="003B0DEE" w:rsidP="000D5D90">
            <w:pPr>
              <w:spacing w:line="240" w:lineRule="auto"/>
              <w:rPr>
                <w:rFonts w:ascii="Arial" w:hAnsi="Arial" w:cs="Arial"/>
                <w:bCs/>
                <w:sz w:val="20"/>
                <w:lang w:eastAsia="en-US"/>
              </w:rPr>
            </w:pPr>
            <w:r w:rsidRPr="002E5ABE">
              <w:rPr>
                <w:rFonts w:ascii="Arial" w:hAnsi="Arial" w:cs="Arial"/>
                <w:bCs/>
                <w:color w:val="000000"/>
                <w:sz w:val="20"/>
                <w:lang w:eastAsia="en-US"/>
              </w:rPr>
              <w:t xml:space="preserve">  Other substances</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41 (6.0%)</w:t>
            </w:r>
          </w:p>
        </w:tc>
        <w:tc>
          <w:tcPr>
            <w:tcW w:w="47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52 (13.8%)</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8 (4.9%)</w:t>
            </w:r>
          </w:p>
        </w:tc>
        <w:tc>
          <w:tcPr>
            <w:tcW w:w="481"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24 (15.7%)</w:t>
            </w:r>
          </w:p>
        </w:tc>
        <w:tc>
          <w:tcPr>
            <w:tcW w:w="554"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49 (5.8%)</w:t>
            </w:r>
          </w:p>
        </w:tc>
        <w:tc>
          <w:tcPr>
            <w:tcW w:w="518"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76 (14.7%)</w:t>
            </w:r>
          </w:p>
        </w:tc>
        <w:tc>
          <w:tcPr>
            <w:tcW w:w="662" w:type="pct"/>
            <w:shd w:val="clear" w:color="auto" w:fill="FFFFFF"/>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color w:val="000000"/>
                <w:sz w:val="20"/>
                <w:lang w:eastAsia="en-US"/>
              </w:rPr>
              <w:t>8.207 (&lt;0.004)</w:t>
            </w:r>
          </w:p>
        </w:tc>
      </w:tr>
    </w:tbl>
    <w:p w:rsidR="003B0DEE" w:rsidRPr="002E5ABE" w:rsidRDefault="003B0DEE" w:rsidP="000D5D90">
      <w:pPr>
        <w:spacing w:line="240" w:lineRule="auto"/>
        <w:jc w:val="left"/>
        <w:rPr>
          <w:rFonts w:ascii="Arial" w:hAnsi="Arial" w:cs="Arial"/>
          <w:sz w:val="20"/>
          <w:szCs w:val="22"/>
        </w:rPr>
      </w:pPr>
      <w:r w:rsidRPr="002E5ABE">
        <w:rPr>
          <w:rFonts w:ascii="Arial" w:hAnsi="Arial" w:cs="Arial"/>
          <w:sz w:val="20"/>
          <w:szCs w:val="22"/>
        </w:rPr>
        <w:t>* Prior to 1996 only up to three problem substances were recorded</w:t>
      </w:r>
      <w:r w:rsidR="00C75A7D">
        <w:rPr>
          <w:rFonts w:ascii="Arial" w:hAnsi="Arial" w:cs="Arial"/>
          <w:sz w:val="20"/>
          <w:szCs w:val="22"/>
        </w:rPr>
        <w:t>.</w:t>
      </w:r>
    </w:p>
    <w:p w:rsidR="003B0DEE" w:rsidRPr="002E5ABE" w:rsidRDefault="003B0DEE" w:rsidP="000D5D90">
      <w:pPr>
        <w:spacing w:line="240" w:lineRule="auto"/>
        <w:jc w:val="left"/>
        <w:rPr>
          <w:rFonts w:ascii="Arial" w:hAnsi="Arial" w:cs="Arial"/>
          <w:sz w:val="16"/>
        </w:rPr>
      </w:pPr>
      <w:r w:rsidRPr="002E5ABE">
        <w:rPr>
          <w:rFonts w:ascii="Arial" w:hAnsi="Arial" w:cs="Arial"/>
          <w:color w:val="000000"/>
          <w:sz w:val="20"/>
          <w:szCs w:val="22"/>
        </w:rPr>
        <w:t>† By cases reporting use of one, two or three additional substances</w:t>
      </w:r>
      <w:r w:rsidR="00C75A7D">
        <w:rPr>
          <w:rFonts w:ascii="Arial" w:hAnsi="Arial" w:cs="Arial"/>
          <w:color w:val="000000"/>
          <w:sz w:val="20"/>
          <w:szCs w:val="22"/>
        </w:rPr>
        <w:t>.</w:t>
      </w:r>
    </w:p>
    <w:p w:rsidR="003B0DEE" w:rsidRPr="002E5ABE" w:rsidRDefault="003B0DEE" w:rsidP="000D5D90">
      <w:pPr>
        <w:spacing w:after="200" w:line="276" w:lineRule="auto"/>
        <w:jc w:val="left"/>
        <w:rPr>
          <w:rFonts w:ascii="Arial" w:hAnsi="Arial" w:cs="Arial"/>
          <w:color w:val="000000"/>
          <w:sz w:val="20"/>
          <w:szCs w:val="22"/>
        </w:rPr>
        <w:sectPr w:rsidR="003B0DEE" w:rsidRPr="002E5ABE" w:rsidSect="000D5D90">
          <w:pgSz w:w="16840" w:h="11907" w:orient="landscape" w:code="9"/>
          <w:pgMar w:top="1985" w:right="1134" w:bottom="1134" w:left="1134" w:header="709" w:footer="709" w:gutter="0"/>
          <w:cols w:space="708"/>
          <w:docGrid w:linePitch="360"/>
        </w:sectPr>
      </w:pPr>
      <w:r w:rsidRPr="002E5ABE">
        <w:rPr>
          <w:rFonts w:ascii="Arial" w:hAnsi="Arial" w:cs="Arial"/>
          <w:color w:val="000000"/>
          <w:sz w:val="20"/>
          <w:szCs w:val="22"/>
        </w:rPr>
        <w:t xml:space="preserve">‡ Cases may report one type of </w:t>
      </w:r>
      <w:r>
        <w:rPr>
          <w:rFonts w:ascii="Arial" w:hAnsi="Arial" w:cs="Arial"/>
          <w:color w:val="000000"/>
          <w:sz w:val="20"/>
          <w:szCs w:val="22"/>
        </w:rPr>
        <w:t>opioid</w:t>
      </w:r>
      <w:r w:rsidRPr="002E5ABE">
        <w:rPr>
          <w:rFonts w:ascii="Arial" w:hAnsi="Arial" w:cs="Arial"/>
          <w:color w:val="000000"/>
          <w:sz w:val="20"/>
          <w:szCs w:val="22"/>
        </w:rPr>
        <w:t xml:space="preserve"> as their main problem substance and another type of </w:t>
      </w:r>
      <w:r>
        <w:rPr>
          <w:rFonts w:ascii="Arial" w:hAnsi="Arial" w:cs="Arial"/>
          <w:color w:val="000000"/>
          <w:sz w:val="20"/>
          <w:szCs w:val="22"/>
        </w:rPr>
        <w:t>opioid</w:t>
      </w:r>
      <w:r w:rsidRPr="002E5ABE">
        <w:rPr>
          <w:rFonts w:ascii="Arial" w:hAnsi="Arial" w:cs="Arial"/>
          <w:color w:val="000000"/>
          <w:sz w:val="20"/>
          <w:szCs w:val="22"/>
        </w:rPr>
        <w:t xml:space="preserve"> as an additional problem substance</w:t>
      </w:r>
      <w:r w:rsidR="00C75A7D">
        <w:rPr>
          <w:rFonts w:ascii="Arial" w:hAnsi="Arial" w:cs="Arial"/>
          <w:color w:val="000000"/>
          <w:sz w:val="20"/>
          <w:szCs w:val="22"/>
        </w:rPr>
        <w:t>.</w:t>
      </w:r>
    </w:p>
    <w:p w:rsidR="003B0DEE" w:rsidRPr="001B57A9" w:rsidRDefault="003B0DEE" w:rsidP="000D5D90">
      <w:pPr>
        <w:pStyle w:val="Heading3"/>
      </w:pPr>
      <w:bookmarkStart w:id="69" w:name="_Toc15331687"/>
      <w:r w:rsidRPr="006533CE">
        <w:lastRenderedPageBreak/>
        <w:t>Injecting risk</w:t>
      </w:r>
      <w:r>
        <w:t xml:space="preserve"> behaviours</w:t>
      </w:r>
      <w:bookmarkEnd w:id="69"/>
    </w:p>
    <w:p w:rsidR="003B0DEE" w:rsidRPr="00CE2E3B" w:rsidRDefault="003B0DEE" w:rsidP="000D5D90">
      <w:pPr>
        <w:pStyle w:val="BodyText"/>
      </w:pPr>
      <w:r w:rsidRPr="00CE2E3B">
        <w:t xml:space="preserve">Injecting peaked in 1999 at 65.4%, and declined each year between 2003 (57.0%) and 2010 (35.7%).  Since 2010 injecting rates have fluctuated between 45.2% and 50.3%.  The proportion who injected drugs decreased (although non-significantly) from 49.6% in 1995 to 45.4% in 2015 </w:t>
      </w:r>
      <w:r>
        <w:t>(Table 4-</w:t>
      </w:r>
      <w:r w:rsidRPr="00CE2E3B">
        <w:t>5).  The median age commencing injecting increased significantly by five years from 18 years (1995) to 23 years (2015) (U=42090.0, p&lt;0.001).  Half of individuals started to inject within the first 12 months of opioid use; this was identical for males and females and remained unchanged between 1995 and 2015.  In 2015, the median time interval between first injecting and commencing treatment was six years compared to just two years in 1995.  The proportion who were injecting at the time of treatment entry decreased significantly from 62.1% (1995) to 44.8% (2015) (Z=28.635, p&lt;0.001).  The proportion of injectors who had shared injecting equipment remained the same (36.0% in 1996 versus 36.4% in 201</w:t>
      </w:r>
      <w:r>
        <w:t>5)</w:t>
      </w:r>
      <w:r w:rsidRPr="00CE2E3B">
        <w:t>.  There were gender differences in three areas: (1) a greater proportion of men injected drugs compared to women</w:t>
      </w:r>
      <w:r>
        <w:t>;</w:t>
      </w:r>
      <w:r w:rsidRPr="00CE2E3B">
        <w:t xml:space="preserve"> in 2015, 49.7% of men had injected compared to 36.1% of women </w:t>
      </w:r>
      <w:r w:rsidRPr="00307FA2">
        <w:rPr>
          <w:shd w:val="clear" w:color="auto" w:fill="FFFFFF"/>
        </w:rPr>
        <w:t>(Z=14.866, p&lt;0.001),</w:t>
      </w:r>
      <w:r w:rsidRPr="00CE2E3B">
        <w:t xml:space="preserve"> (2) women who injected came to treatment faster than their male counterparts, the median time interval between first injecting and entering treatment was six years for men compared to four years for women (an increase of  four years for men and three years for women),  and (3) the proportion of male injectors who had shared equipment remained unchanged (35.1% in 1995, 35.3% in 2015, Z=0.002, p=0.969), but the proportion increased slightly, although non-significantly among women (37.9% in 1995, 39.3% in 201</w:t>
      </w:r>
      <w:r>
        <w:t>5</w:t>
      </w:r>
      <w:r w:rsidRPr="00CE2E3B">
        <w:t xml:space="preserve">, Z=0.043, p=0.836). </w:t>
      </w:r>
    </w:p>
    <w:p w:rsidR="003B0DEE" w:rsidRPr="00CE2E3B" w:rsidRDefault="003B0DEE" w:rsidP="000D5D90">
      <w:pPr>
        <w:spacing w:after="200" w:line="360" w:lineRule="auto"/>
        <w:rPr>
          <w:rFonts w:cs="Arial"/>
          <w:b/>
          <w:bCs/>
          <w:kern w:val="32"/>
          <w:sz w:val="20"/>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b/>
          <w:sz w:val="20"/>
        </w:rPr>
      </w:pPr>
      <w:bookmarkStart w:id="70" w:name="_Toc15331995"/>
      <w:r w:rsidRPr="005C08E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5</w:t>
      </w:r>
      <w:r>
        <w:rPr>
          <w:rFonts w:ascii="Arial" w:hAnsi="Arial" w:cs="Arial"/>
          <w:b/>
          <w:sz w:val="20"/>
        </w:rPr>
        <w:fldChar w:fldCharType="end"/>
      </w:r>
      <w:r>
        <w:rPr>
          <w:rFonts w:ascii="Arial" w:hAnsi="Arial" w:cs="Arial"/>
          <w:b/>
          <w:sz w:val="20"/>
        </w:rPr>
        <w:t xml:space="preserve">  </w:t>
      </w:r>
      <w:r w:rsidRPr="005C08E6">
        <w:rPr>
          <w:rFonts w:ascii="Arial" w:hAnsi="Arial" w:cs="Arial"/>
          <w:sz w:val="20"/>
        </w:rPr>
        <w:t>Injecting risk behaviours for first-time opioid treatment entrants in 1995 and 2015</w:t>
      </w:r>
      <w:bookmarkEnd w:id="70"/>
    </w:p>
    <w:tbl>
      <w:tblPr>
        <w:tblW w:w="5077" w:type="pct"/>
        <w:tblBorders>
          <w:top w:val="single" w:sz="8" w:space="0" w:color="000000"/>
          <w:bottom w:val="single" w:sz="8" w:space="0" w:color="000000"/>
        </w:tblBorders>
        <w:tblLook w:val="04A0" w:firstRow="1" w:lastRow="0" w:firstColumn="1" w:lastColumn="0" w:noHBand="0" w:noVBand="1"/>
      </w:tblPr>
      <w:tblGrid>
        <w:gridCol w:w="4212"/>
        <w:gridCol w:w="1420"/>
        <w:gridCol w:w="1412"/>
        <w:gridCol w:w="1421"/>
        <w:gridCol w:w="1418"/>
        <w:gridCol w:w="1643"/>
        <w:gridCol w:w="1574"/>
        <w:gridCol w:w="1916"/>
      </w:tblGrid>
      <w:tr w:rsidR="003B0DEE" w:rsidRPr="002E5ABE" w:rsidTr="000D5D90">
        <w:trPr>
          <w:trHeight w:val="20"/>
        </w:trPr>
        <w:tc>
          <w:tcPr>
            <w:tcW w:w="1403"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p>
        </w:tc>
        <w:tc>
          <w:tcPr>
            <w:tcW w:w="1888" w:type="pct"/>
            <w:gridSpan w:val="4"/>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Gender</w:t>
            </w:r>
          </w:p>
        </w:tc>
        <w:tc>
          <w:tcPr>
            <w:tcW w:w="1070" w:type="pct"/>
            <w:gridSpan w:val="2"/>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Total</w:t>
            </w:r>
          </w:p>
        </w:tc>
        <w:tc>
          <w:tcPr>
            <w:tcW w:w="639" w:type="pct"/>
            <w:tcBorders>
              <w:top w:val="single" w:sz="8" w:space="0" w:color="000000"/>
              <w:left w:val="nil"/>
              <w:bottom w:val="single" w:sz="8" w:space="0" w:color="000000"/>
              <w:right w:val="nil"/>
            </w:tcBorders>
            <w:shd w:val="clear" w:color="auto" w:fill="auto"/>
          </w:tcPr>
          <w:p w:rsidR="003B0DEE" w:rsidRPr="002E5ABE" w:rsidRDefault="003B0DEE" w:rsidP="000D5D90">
            <w:pPr>
              <w:spacing w:line="240" w:lineRule="auto"/>
              <w:jc w:val="center"/>
              <w:rPr>
                <w:rFonts w:ascii="Arial" w:hAnsi="Arial" w:cs="Arial"/>
                <w:b/>
                <w:bCs/>
                <w:color w:val="000000"/>
                <w:sz w:val="20"/>
                <w:lang w:eastAsia="en-US"/>
              </w:rPr>
            </w:pPr>
            <w:r w:rsidRPr="002E5ABE">
              <w:rPr>
                <w:rFonts w:ascii="Arial" w:hAnsi="Arial" w:cs="Arial"/>
                <w:b/>
                <w:bCs/>
                <w:color w:val="000000"/>
                <w:sz w:val="20"/>
                <w:lang w:eastAsia="en-US"/>
              </w:rPr>
              <w:t>Significance test</w:t>
            </w:r>
          </w:p>
        </w:tc>
      </w:tr>
      <w:tr w:rsidR="003B0DEE" w:rsidRPr="002E5ABE" w:rsidTr="000D5D90">
        <w:trPr>
          <w:trHeight w:val="20"/>
        </w:trPr>
        <w:tc>
          <w:tcPr>
            <w:tcW w:w="1403" w:type="pct"/>
            <w:tcBorders>
              <w:left w:val="nil"/>
              <w:right w:val="nil"/>
            </w:tcBorders>
            <w:shd w:val="clear" w:color="auto" w:fill="FFFFFF"/>
          </w:tcPr>
          <w:p w:rsidR="003B0DEE" w:rsidRPr="002E5ABE" w:rsidRDefault="003B0DEE" w:rsidP="000D5D90">
            <w:pPr>
              <w:spacing w:line="240" w:lineRule="auto"/>
              <w:rPr>
                <w:rFonts w:ascii="Arial" w:hAnsi="Arial" w:cs="Arial"/>
                <w:b/>
                <w:bCs/>
                <w:color w:val="000000"/>
                <w:sz w:val="20"/>
                <w:lang w:eastAsia="en-US"/>
              </w:rPr>
            </w:pPr>
          </w:p>
        </w:tc>
        <w:tc>
          <w:tcPr>
            <w:tcW w:w="943"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Male</w:t>
            </w:r>
          </w:p>
        </w:tc>
        <w:tc>
          <w:tcPr>
            <w:tcW w:w="945"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Female</w:t>
            </w:r>
          </w:p>
        </w:tc>
        <w:tc>
          <w:tcPr>
            <w:tcW w:w="1070" w:type="pct"/>
            <w:gridSpan w:val="2"/>
            <w:tcBorders>
              <w:left w:val="nil"/>
              <w:right w:val="nil"/>
            </w:tcBorders>
            <w:shd w:val="clear" w:color="auto" w:fill="FFFFFF"/>
          </w:tcPr>
          <w:p w:rsidR="003B0DEE" w:rsidRPr="002E5ABE" w:rsidRDefault="003B0DEE" w:rsidP="000D5D90">
            <w:pPr>
              <w:spacing w:line="240" w:lineRule="auto"/>
              <w:jc w:val="center"/>
              <w:rPr>
                <w:rFonts w:ascii="Arial" w:hAnsi="Arial" w:cs="Arial"/>
                <w:b/>
                <w:color w:val="000000"/>
                <w:sz w:val="20"/>
                <w:lang w:eastAsia="en-US"/>
              </w:rPr>
            </w:pPr>
          </w:p>
        </w:tc>
        <w:tc>
          <w:tcPr>
            <w:tcW w:w="639" w:type="pct"/>
            <w:tcBorders>
              <w:left w:val="nil"/>
              <w:right w:val="nil"/>
            </w:tcBorders>
            <w:shd w:val="clear" w:color="auto" w:fill="FFFFFF"/>
          </w:tcPr>
          <w:p w:rsidR="003B0DEE" w:rsidRPr="002E5ABE" w:rsidRDefault="003B0DEE" w:rsidP="000D5D90">
            <w:pPr>
              <w:spacing w:line="240" w:lineRule="auto"/>
              <w:jc w:val="center"/>
              <w:rPr>
                <w:rFonts w:ascii="Arial" w:hAnsi="Arial" w:cs="Arial"/>
                <w:color w:val="000000"/>
                <w:sz w:val="20"/>
                <w:lang w:eastAsia="en-US"/>
              </w:rPr>
            </w:pPr>
          </w:p>
        </w:tc>
      </w:tr>
      <w:tr w:rsidR="003B0DEE" w:rsidRPr="002E5ABE" w:rsidTr="000D5D90">
        <w:trPr>
          <w:trHeight w:val="20"/>
        </w:trPr>
        <w:tc>
          <w:tcPr>
            <w:tcW w:w="1403" w:type="pct"/>
            <w:shd w:val="clear" w:color="auto" w:fill="FFFFFF"/>
          </w:tcPr>
          <w:p w:rsidR="003B0DEE" w:rsidRPr="002E5ABE" w:rsidRDefault="003B0DEE" w:rsidP="000D5D90">
            <w:pPr>
              <w:spacing w:line="240" w:lineRule="auto"/>
              <w:jc w:val="left"/>
              <w:rPr>
                <w:rFonts w:ascii="Arial" w:hAnsi="Arial" w:cs="Arial"/>
                <w:b/>
                <w:bCs/>
                <w:color w:val="000000"/>
                <w:sz w:val="20"/>
                <w:lang w:eastAsia="en-US"/>
              </w:rPr>
            </w:pPr>
            <w:r w:rsidRPr="002E5ABE">
              <w:rPr>
                <w:rFonts w:ascii="Arial" w:hAnsi="Arial" w:cs="Arial"/>
                <w:b/>
                <w:bCs/>
                <w:sz w:val="20"/>
                <w:lang w:eastAsia="en-US"/>
              </w:rPr>
              <w:t>Year treated</w:t>
            </w:r>
          </w:p>
        </w:tc>
        <w:tc>
          <w:tcPr>
            <w:tcW w:w="473"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470"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473"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472"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547"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1995</w:t>
            </w:r>
          </w:p>
        </w:tc>
        <w:tc>
          <w:tcPr>
            <w:tcW w:w="523"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2015</w:t>
            </w:r>
          </w:p>
        </w:tc>
        <w:tc>
          <w:tcPr>
            <w:tcW w:w="639" w:type="pct"/>
            <w:shd w:val="clear" w:color="auto" w:fill="FFFFFF"/>
          </w:tcPr>
          <w:p w:rsidR="003B0DEE" w:rsidRPr="002E5ABE" w:rsidRDefault="003B0DEE" w:rsidP="000D5D90">
            <w:pPr>
              <w:spacing w:line="240" w:lineRule="auto"/>
              <w:jc w:val="center"/>
              <w:rPr>
                <w:rFonts w:ascii="Arial" w:hAnsi="Arial" w:cs="Arial"/>
                <w:b/>
                <w:color w:val="000000"/>
                <w:sz w:val="20"/>
                <w:lang w:eastAsia="en-US"/>
              </w:rPr>
            </w:pPr>
            <w:r w:rsidRPr="002E5ABE">
              <w:rPr>
                <w:rFonts w:ascii="Arial" w:hAnsi="Arial" w:cs="Arial"/>
                <w:b/>
                <w:color w:val="000000"/>
                <w:sz w:val="20"/>
                <w:lang w:eastAsia="en-US"/>
              </w:rPr>
              <w:t>Z/t/U (p)</w:t>
            </w:r>
          </w:p>
        </w:tc>
      </w:tr>
      <w:tr w:rsidR="003B0DEE" w:rsidRPr="002E5ABE" w:rsidTr="000D5D90">
        <w:trPr>
          <w:trHeight w:val="20"/>
        </w:trPr>
        <w:tc>
          <w:tcPr>
            <w:tcW w:w="1403" w:type="pct"/>
            <w:tcBorders>
              <w:left w:val="nil"/>
              <w:right w:val="nil"/>
            </w:tcBorders>
            <w:shd w:val="clear" w:color="auto" w:fill="FFFFFF"/>
          </w:tcPr>
          <w:p w:rsidR="003B0DEE" w:rsidRPr="002E5ABE" w:rsidRDefault="003B0DEE" w:rsidP="000D5D90">
            <w:pPr>
              <w:spacing w:line="240" w:lineRule="auto"/>
              <w:jc w:val="left"/>
              <w:rPr>
                <w:rFonts w:ascii="Arial" w:hAnsi="Arial" w:cs="Arial"/>
                <w:b/>
                <w:bCs/>
                <w:color w:val="000000"/>
                <w:sz w:val="20"/>
                <w:lang w:eastAsia="en-US"/>
              </w:rPr>
            </w:pPr>
            <w:r w:rsidRPr="002E5ABE">
              <w:rPr>
                <w:rFonts w:ascii="Arial" w:hAnsi="Arial" w:cs="Arial"/>
                <w:b/>
                <w:bCs/>
                <w:sz w:val="20"/>
                <w:lang w:eastAsia="en-US"/>
              </w:rPr>
              <w:t xml:space="preserve">Number entering treatment </w:t>
            </w:r>
          </w:p>
        </w:tc>
        <w:tc>
          <w:tcPr>
            <w:tcW w:w="473"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835 (77.3%)</w:t>
            </w:r>
          </w:p>
        </w:tc>
        <w:tc>
          <w:tcPr>
            <w:tcW w:w="470"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629 (67.8%)</w:t>
            </w:r>
          </w:p>
        </w:tc>
        <w:tc>
          <w:tcPr>
            <w:tcW w:w="473"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240 (22.2%)</w:t>
            </w:r>
          </w:p>
        </w:tc>
        <w:tc>
          <w:tcPr>
            <w:tcW w:w="472"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296 (32.0%)</w:t>
            </w:r>
          </w:p>
        </w:tc>
        <w:tc>
          <w:tcPr>
            <w:tcW w:w="547"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1080 (100.0%)</w:t>
            </w:r>
          </w:p>
        </w:tc>
        <w:tc>
          <w:tcPr>
            <w:tcW w:w="523"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926 (100.0%)</w:t>
            </w:r>
          </w:p>
        </w:tc>
        <w:tc>
          <w:tcPr>
            <w:tcW w:w="639" w:type="pct"/>
            <w:tcBorders>
              <w:left w:val="nil"/>
              <w:right w:val="nil"/>
            </w:tcBorders>
            <w:shd w:val="clear" w:color="auto" w:fill="FFFFFF"/>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D9D9D9"/>
            <w:vAlign w:val="bottom"/>
          </w:tcPr>
          <w:p w:rsidR="003B0DEE" w:rsidRPr="002E5ABE" w:rsidRDefault="003B0DEE" w:rsidP="000D5D90">
            <w:pPr>
              <w:spacing w:line="240" w:lineRule="auto"/>
              <w:jc w:val="left"/>
              <w:rPr>
                <w:rFonts w:ascii="Arial" w:hAnsi="Arial" w:cs="Arial"/>
                <w:b/>
                <w:bCs/>
                <w:sz w:val="20"/>
                <w:lang w:eastAsia="en-US"/>
              </w:rPr>
            </w:pPr>
            <w:r w:rsidRPr="002E5ABE">
              <w:rPr>
                <w:rFonts w:ascii="Arial" w:hAnsi="Arial" w:cs="Arial"/>
                <w:b/>
                <w:bCs/>
                <w:sz w:val="20"/>
                <w:lang w:eastAsia="en-US"/>
              </w:rPr>
              <w:t>Injecting</w:t>
            </w:r>
          </w:p>
        </w:tc>
        <w:tc>
          <w:tcPr>
            <w:tcW w:w="2959" w:type="pct"/>
            <w:gridSpan w:val="6"/>
            <w:shd w:val="clear" w:color="auto" w:fill="D9D9D9"/>
            <w:vAlign w:val="bottom"/>
          </w:tcPr>
          <w:p w:rsidR="003B0DEE" w:rsidRPr="002E5ABE" w:rsidRDefault="003B0DEE" w:rsidP="000D5D90">
            <w:pPr>
              <w:spacing w:line="240" w:lineRule="auto"/>
              <w:rPr>
                <w:rFonts w:ascii="Arial" w:hAnsi="Arial" w:cs="Arial"/>
                <w:b/>
                <w:sz w:val="20"/>
                <w:lang w:eastAsia="en-US"/>
              </w:rPr>
            </w:pPr>
          </w:p>
        </w:tc>
        <w:tc>
          <w:tcPr>
            <w:tcW w:w="639" w:type="pct"/>
            <w:shd w:val="clear" w:color="auto" w:fill="D9D9D9"/>
          </w:tcPr>
          <w:p w:rsidR="003B0DEE" w:rsidRPr="002E5ABE" w:rsidRDefault="003B0DEE" w:rsidP="000D5D90">
            <w:pPr>
              <w:spacing w:line="240" w:lineRule="auto"/>
              <w:rPr>
                <w:rFonts w:ascii="Arial" w:hAnsi="Arial" w:cs="Arial"/>
                <w:b/>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b/>
                <w:bCs/>
                <w:sz w:val="20"/>
                <w:lang w:eastAsia="en-US"/>
              </w:rPr>
            </w:pPr>
            <w:r w:rsidRPr="002E5ABE">
              <w:rPr>
                <w:rFonts w:ascii="Arial" w:hAnsi="Arial" w:cs="Arial"/>
                <w:b/>
                <w:bCs/>
                <w:color w:val="000000"/>
                <w:sz w:val="20"/>
                <w:lang w:eastAsia="en-US"/>
              </w:rPr>
              <w:t>Ever injected</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430 (51.5%)</w:t>
            </w: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312 (49.7%)</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103 (42.9%)</w:t>
            </w: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107 (36.1%)</w:t>
            </w: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536 (49.6%)</w:t>
            </w: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420 (45.4%)</w:t>
            </w: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NS</w:t>
            </w: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sz w:val="20"/>
                <w:lang w:eastAsia="en-US"/>
              </w:rPr>
            </w:pPr>
            <w:r w:rsidRPr="005502B8">
              <w:rPr>
                <w:rFonts w:ascii="Arial" w:hAnsi="Arial" w:cs="Arial"/>
                <w:bCs/>
                <w:color w:val="000000"/>
                <w:sz w:val="20"/>
                <w:lang w:eastAsia="en-US"/>
              </w:rPr>
              <w:t>Median (Range) age first injected (years)</w:t>
            </w:r>
            <w:r w:rsidRPr="005502B8">
              <w:rPr>
                <w:rFonts w:ascii="Arial" w:hAnsi="Arial" w:cs="Arial"/>
                <w:color w:val="000000"/>
                <w:sz w:val="20"/>
                <w:szCs w:val="22"/>
              </w:rPr>
              <w:t xml:space="preserve"> </w:t>
            </w:r>
            <w:r w:rsidRPr="00684F99">
              <w:rPr>
                <w:rFonts w:ascii="Arial" w:hAnsi="Arial" w:cs="Arial"/>
                <w:color w:val="000000"/>
                <w:sz w:val="20"/>
                <w:szCs w:val="22"/>
                <w:vertAlign w:val="superscript"/>
              </w:rPr>
              <w:t>†</w:t>
            </w:r>
            <w:r w:rsidRPr="005502B8">
              <w:rPr>
                <w:rFonts w:ascii="Arial" w:hAnsi="Arial" w:cs="Arial"/>
                <w:bCs/>
                <w:color w:val="000000"/>
                <w:sz w:val="20"/>
                <w:lang w:eastAsia="en-US"/>
              </w:rPr>
              <w:t>*</w:t>
            </w:r>
          </w:p>
        </w:tc>
        <w:tc>
          <w:tcPr>
            <w:tcW w:w="473"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19 (15-26)</w:t>
            </w:r>
          </w:p>
        </w:tc>
        <w:tc>
          <w:tcPr>
            <w:tcW w:w="470"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23 (15-35)</w:t>
            </w:r>
          </w:p>
        </w:tc>
        <w:tc>
          <w:tcPr>
            <w:tcW w:w="473"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19 (15-26)</w:t>
            </w:r>
          </w:p>
        </w:tc>
        <w:tc>
          <w:tcPr>
            <w:tcW w:w="472"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22 (14-35)</w:t>
            </w:r>
          </w:p>
        </w:tc>
        <w:tc>
          <w:tcPr>
            <w:tcW w:w="547"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18 (15-26)</w:t>
            </w:r>
          </w:p>
        </w:tc>
        <w:tc>
          <w:tcPr>
            <w:tcW w:w="523"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23 (15-35)</w:t>
            </w:r>
          </w:p>
        </w:tc>
        <w:tc>
          <w:tcPr>
            <w:tcW w:w="639" w:type="pct"/>
            <w:shd w:val="clear" w:color="auto" w:fill="FFFFFF"/>
            <w:vAlign w:val="bottom"/>
          </w:tcPr>
          <w:p w:rsidR="003B0DEE" w:rsidRPr="002E5ABE" w:rsidRDefault="003B0DEE" w:rsidP="000D5D90">
            <w:pPr>
              <w:spacing w:line="240" w:lineRule="auto"/>
              <w:jc w:val="right"/>
              <w:rPr>
                <w:rFonts w:ascii="Arial" w:hAnsi="Arial" w:cs="Arial"/>
                <w:sz w:val="20"/>
                <w:lang w:eastAsia="en-US"/>
              </w:rPr>
            </w:pPr>
            <w:r w:rsidRPr="002E5ABE">
              <w:rPr>
                <w:rFonts w:ascii="Arial" w:hAnsi="Arial" w:cs="Arial"/>
                <w:sz w:val="20"/>
                <w:lang w:eastAsia="en-US"/>
              </w:rPr>
              <w:t>42090.0 (&lt;0.001)</w:t>
            </w:r>
          </w:p>
        </w:tc>
      </w:tr>
      <w:tr w:rsidR="003B0DEE" w:rsidRPr="002E5ABE" w:rsidTr="000D5D90">
        <w:trPr>
          <w:trHeight w:val="20"/>
        </w:trPr>
        <w:tc>
          <w:tcPr>
            <w:tcW w:w="1403"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Median (Range) time lag between first used</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 (0-3)</w:t>
            </w: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1.5 (0-8)</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 (0-3)</w:t>
            </w: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 (0-8)</w:t>
            </w: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1(0-3)</w:t>
            </w: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1 (0-18)</w:t>
            </w: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sz w:val="20"/>
                <w:lang w:eastAsia="en-US"/>
              </w:rPr>
              <w:t>46948.5 (&lt;0.001)</w:t>
            </w:r>
          </w:p>
        </w:tc>
      </w:tr>
      <w:tr w:rsidR="003B0DEE" w:rsidRPr="002E5ABE" w:rsidTr="000D5D90">
        <w:trPr>
          <w:trHeight w:val="20"/>
        </w:trPr>
        <w:tc>
          <w:tcPr>
            <w:tcW w:w="1403"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Pr>
                <w:rFonts w:ascii="Arial" w:hAnsi="Arial" w:cs="Arial"/>
                <w:bCs/>
                <w:color w:val="000000"/>
                <w:sz w:val="20"/>
                <w:lang w:eastAsia="en-US"/>
              </w:rPr>
              <w:t>opioid</w:t>
            </w:r>
            <w:r w:rsidRPr="005502B8">
              <w:rPr>
                <w:rFonts w:ascii="Arial" w:hAnsi="Arial" w:cs="Arial"/>
                <w:bCs/>
                <w:color w:val="000000"/>
                <w:sz w:val="20"/>
                <w:lang w:eastAsia="en-US"/>
              </w:rPr>
              <w:t>s and commencing  injecting (years)</w:t>
            </w:r>
            <w:r w:rsidRPr="00684F99">
              <w:rPr>
                <w:rFonts w:ascii="Arial" w:hAnsi="Arial" w:cs="Arial"/>
                <w:color w:val="000000"/>
                <w:sz w:val="20"/>
                <w:szCs w:val="22"/>
                <w:vertAlign w:val="superscript"/>
              </w:rPr>
              <w:t>†</w:t>
            </w:r>
            <w:r w:rsidRPr="005502B8">
              <w:rPr>
                <w:rFonts w:ascii="Arial" w:hAnsi="Arial" w:cs="Arial"/>
                <w:bCs/>
                <w:color w:val="000000"/>
                <w:sz w:val="20"/>
                <w:vertAlign w:val="superscript"/>
                <w:lang w:eastAsia="en-US"/>
              </w:rPr>
              <w:t>*Ψ</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Median (Range) time lag between</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 (0-10)</w:t>
            </w: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6.5 (0-25)</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1 (0-12)</w:t>
            </w: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4 (0-22)</w:t>
            </w: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 (0-10)</w:t>
            </w: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6 (0-23)</w:t>
            </w: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38693.5 (&lt;0.001)</w:t>
            </w: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commencing injecting and seeking treatment</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(years)</w:t>
            </w:r>
            <w:r w:rsidRPr="00684F99">
              <w:rPr>
                <w:rFonts w:ascii="Arial" w:hAnsi="Arial" w:cs="Arial"/>
                <w:color w:val="000000"/>
                <w:sz w:val="20"/>
                <w:szCs w:val="22"/>
                <w:vertAlign w:val="superscript"/>
              </w:rPr>
              <w:t xml:space="preserve"> †</w:t>
            </w:r>
            <w:r w:rsidRPr="005502B8">
              <w:rPr>
                <w:rFonts w:ascii="Arial" w:hAnsi="Arial" w:cs="Arial"/>
                <w:bCs/>
                <w:color w:val="000000"/>
                <w:sz w:val="20"/>
                <w:vertAlign w:val="superscript"/>
                <w:lang w:eastAsia="en-US"/>
              </w:rPr>
              <w:t>*Ψ</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FFFFFF"/>
            <w:vAlign w:val="bottom"/>
          </w:tcPr>
          <w:p w:rsidR="003B0DEE" w:rsidRPr="002E5ABE" w:rsidRDefault="003B0DEE" w:rsidP="000D5D90">
            <w:pPr>
              <w:spacing w:line="240" w:lineRule="auto"/>
              <w:jc w:val="left"/>
              <w:rPr>
                <w:rFonts w:ascii="Arial" w:hAnsi="Arial" w:cs="Arial"/>
                <w:b/>
                <w:bCs/>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b/>
                <w:bCs/>
                <w:color w:val="000000"/>
                <w:sz w:val="20"/>
                <w:lang w:eastAsia="en-US"/>
              </w:rPr>
            </w:pPr>
            <w:r w:rsidRPr="002E5ABE">
              <w:rPr>
                <w:rFonts w:ascii="Arial" w:hAnsi="Arial" w:cs="Arial"/>
                <w:b/>
                <w:bCs/>
                <w:color w:val="000000"/>
                <w:sz w:val="20"/>
                <w:lang w:eastAsia="en-US"/>
              </w:rPr>
              <w:t>Currently injecting</w:t>
            </w:r>
            <w:r w:rsidRPr="002E5ABE">
              <w:rPr>
                <w:rFonts w:ascii="Arial" w:hAnsi="Arial" w:cs="Arial"/>
                <w:b/>
                <w:bCs/>
                <w:color w:val="000000"/>
                <w:sz w:val="20"/>
                <w:vertAlign w:val="superscript"/>
                <w:lang w:eastAsia="en-US"/>
              </w:rPr>
              <w:t>+</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274 (63.7%)</w:t>
            </w: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125 (40.1%)</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58 (56.3%)</w:t>
            </w: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63 (41.1%)</w:t>
            </w: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333 (62.1%)</w:t>
            </w: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188 (44.8%)</w:t>
            </w: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28.635 (&lt;0.001)</w:t>
            </w: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For current injectors: median (Range) time</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 (0-9.5)</w:t>
            </w: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4.5 (0-23)</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1 (0-13)</w:t>
            </w: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3 (0-18)</w:t>
            </w: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2 (0-10)</w:t>
            </w: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4 (0-22)</w:t>
            </w: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r w:rsidRPr="002E5ABE">
              <w:rPr>
                <w:rFonts w:ascii="Arial" w:hAnsi="Arial" w:cs="Arial"/>
                <w:color w:val="000000"/>
                <w:sz w:val="20"/>
                <w:lang w:eastAsia="en-US"/>
              </w:rPr>
              <w:t>12724.5 (&lt;0.001)</w:t>
            </w:r>
          </w:p>
        </w:tc>
      </w:tr>
      <w:tr w:rsidR="003B0DEE" w:rsidRPr="002E5ABE" w:rsidTr="000D5D90">
        <w:trPr>
          <w:trHeight w:val="20"/>
        </w:trPr>
        <w:tc>
          <w:tcPr>
            <w:tcW w:w="1403"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 xml:space="preserve">lag between commencing injecting and </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FFFFFF"/>
            <w:vAlign w:val="bottom"/>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seeking treatment (years)</w:t>
            </w:r>
            <w:r w:rsidRPr="00684F99">
              <w:rPr>
                <w:rFonts w:ascii="Arial" w:hAnsi="Arial" w:cs="Arial"/>
                <w:color w:val="000000"/>
                <w:sz w:val="20"/>
                <w:szCs w:val="22"/>
                <w:vertAlign w:val="superscript"/>
              </w:rPr>
              <w:t xml:space="preserve"> †</w:t>
            </w:r>
            <w:r w:rsidRPr="005502B8">
              <w:rPr>
                <w:rFonts w:ascii="Arial" w:hAnsi="Arial" w:cs="Arial"/>
                <w:bCs/>
                <w:color w:val="000000"/>
                <w:sz w:val="20"/>
                <w:vertAlign w:val="superscript"/>
                <w:lang w:eastAsia="en-US"/>
              </w:rPr>
              <w:t>*Ψ</w:t>
            </w: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b/>
                <w:bCs/>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color w:val="000000"/>
                <w:sz w:val="20"/>
                <w:lang w:eastAsia="en-US"/>
              </w:rPr>
            </w:pPr>
          </w:p>
        </w:tc>
      </w:tr>
      <w:tr w:rsidR="003B0DEE" w:rsidRPr="002E5ABE" w:rsidTr="000D5D90">
        <w:trPr>
          <w:trHeight w:val="20"/>
        </w:trPr>
        <w:tc>
          <w:tcPr>
            <w:tcW w:w="1403" w:type="pct"/>
            <w:shd w:val="clear" w:color="auto" w:fill="D9D9D9"/>
            <w:vAlign w:val="bottom"/>
          </w:tcPr>
          <w:p w:rsidR="003B0DEE" w:rsidRPr="002E5ABE" w:rsidRDefault="003B0DEE" w:rsidP="000D5D90">
            <w:pPr>
              <w:spacing w:line="240" w:lineRule="auto"/>
              <w:jc w:val="left"/>
              <w:rPr>
                <w:rFonts w:ascii="Arial" w:hAnsi="Arial" w:cs="Arial"/>
                <w:b/>
                <w:bCs/>
                <w:sz w:val="20"/>
                <w:lang w:eastAsia="en-US"/>
              </w:rPr>
            </w:pPr>
            <w:r w:rsidRPr="002E5ABE">
              <w:rPr>
                <w:rFonts w:ascii="Arial" w:hAnsi="Arial" w:cs="Arial"/>
                <w:b/>
                <w:bCs/>
                <w:color w:val="000000"/>
                <w:sz w:val="20"/>
                <w:lang w:eastAsia="en-US"/>
              </w:rPr>
              <w:t>Sharing injecting equipment</w:t>
            </w:r>
          </w:p>
        </w:tc>
        <w:tc>
          <w:tcPr>
            <w:tcW w:w="473"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470"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473"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472"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547"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523" w:type="pct"/>
            <w:shd w:val="clear" w:color="auto" w:fill="D9D9D9"/>
            <w:vAlign w:val="bottom"/>
          </w:tcPr>
          <w:p w:rsidR="003B0DEE" w:rsidRPr="002E5ABE" w:rsidRDefault="003B0DEE" w:rsidP="000D5D90">
            <w:pPr>
              <w:spacing w:line="240" w:lineRule="auto"/>
              <w:jc w:val="right"/>
              <w:rPr>
                <w:rFonts w:ascii="Arial" w:hAnsi="Arial" w:cs="Arial"/>
                <w:b/>
                <w:sz w:val="20"/>
                <w:lang w:eastAsia="en-US"/>
              </w:rPr>
            </w:pPr>
            <w:r w:rsidRPr="002E5ABE">
              <w:rPr>
                <w:rFonts w:ascii="Arial" w:hAnsi="Arial" w:cs="Arial"/>
                <w:b/>
                <w:bCs/>
                <w:color w:val="000000"/>
                <w:sz w:val="20"/>
                <w:lang w:eastAsia="en-US"/>
              </w:rPr>
              <w:t> </w:t>
            </w:r>
          </w:p>
        </w:tc>
        <w:tc>
          <w:tcPr>
            <w:tcW w:w="639" w:type="pct"/>
            <w:shd w:val="clear" w:color="auto" w:fill="D9D9D9"/>
          </w:tcPr>
          <w:p w:rsidR="003B0DEE" w:rsidRPr="002E5ABE" w:rsidRDefault="003B0DEE" w:rsidP="000D5D90">
            <w:pPr>
              <w:spacing w:line="240" w:lineRule="auto"/>
              <w:jc w:val="right"/>
              <w:rPr>
                <w:rFonts w:ascii="Arial" w:hAnsi="Arial" w:cs="Arial"/>
                <w:b/>
                <w:sz w:val="20"/>
                <w:lang w:eastAsia="en-US"/>
              </w:rPr>
            </w:pPr>
          </w:p>
        </w:tc>
      </w:tr>
      <w:tr w:rsidR="003B0DEE" w:rsidRPr="002E5ABE" w:rsidTr="000D5D90">
        <w:trPr>
          <w:trHeight w:val="20"/>
        </w:trPr>
        <w:tc>
          <w:tcPr>
            <w:tcW w:w="1403" w:type="pct"/>
            <w:tcBorders>
              <w:left w:val="nil"/>
              <w:right w:val="nil"/>
            </w:tcBorders>
            <w:shd w:val="clear" w:color="auto" w:fill="FFFFFF"/>
            <w:vAlign w:val="bottom"/>
          </w:tcPr>
          <w:p w:rsidR="003B0DEE" w:rsidRPr="002E5ABE" w:rsidRDefault="003B0DEE" w:rsidP="000D5D90">
            <w:pPr>
              <w:spacing w:line="240" w:lineRule="auto"/>
              <w:jc w:val="left"/>
              <w:rPr>
                <w:rFonts w:ascii="Arial" w:hAnsi="Arial" w:cs="Arial"/>
                <w:b/>
                <w:bCs/>
                <w:sz w:val="20"/>
                <w:lang w:eastAsia="en-US"/>
              </w:rPr>
            </w:pPr>
            <w:r w:rsidRPr="002E5ABE">
              <w:rPr>
                <w:rFonts w:ascii="Arial" w:hAnsi="Arial" w:cs="Arial"/>
                <w:b/>
                <w:bCs/>
                <w:color w:val="000000"/>
                <w:sz w:val="20"/>
                <w:lang w:eastAsia="en-US"/>
              </w:rPr>
              <w:t>Ever shared injecting equipment</w:t>
            </w:r>
            <w:r w:rsidRPr="00684F99">
              <w:rPr>
                <w:rFonts w:ascii="Arial" w:hAnsi="Arial" w:cs="Arial"/>
                <w:color w:val="000000"/>
                <w:sz w:val="20"/>
                <w:szCs w:val="22"/>
                <w:vertAlign w:val="superscript"/>
              </w:rPr>
              <w:t>†</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151 (35.1%)</w:t>
            </w:r>
          </w:p>
        </w:tc>
        <w:tc>
          <w:tcPr>
            <w:tcW w:w="470"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110 (35.3%)</w:t>
            </w:r>
          </w:p>
        </w:tc>
        <w:tc>
          <w:tcPr>
            <w:tcW w:w="47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39 (37.9%)</w:t>
            </w:r>
          </w:p>
        </w:tc>
        <w:tc>
          <w:tcPr>
            <w:tcW w:w="472"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42 (39.3%)</w:t>
            </w:r>
          </w:p>
        </w:tc>
        <w:tc>
          <w:tcPr>
            <w:tcW w:w="547"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193 (36.0%)</w:t>
            </w:r>
          </w:p>
        </w:tc>
        <w:tc>
          <w:tcPr>
            <w:tcW w:w="523"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153 (36.4%)</w:t>
            </w:r>
          </w:p>
        </w:tc>
        <w:tc>
          <w:tcPr>
            <w:tcW w:w="639" w:type="pct"/>
            <w:tcBorders>
              <w:left w:val="nil"/>
              <w:right w:val="nil"/>
            </w:tcBorders>
            <w:shd w:val="clear" w:color="auto" w:fill="FFFFFF"/>
            <w:vAlign w:val="bottom"/>
          </w:tcPr>
          <w:p w:rsidR="003B0DEE" w:rsidRPr="002E5ABE" w:rsidRDefault="003B0DEE" w:rsidP="000D5D90">
            <w:pPr>
              <w:spacing w:line="240" w:lineRule="auto"/>
              <w:jc w:val="right"/>
              <w:rPr>
                <w:rFonts w:ascii="Arial" w:hAnsi="Arial" w:cs="Arial"/>
                <w:bCs/>
                <w:sz w:val="20"/>
                <w:lang w:eastAsia="en-US"/>
              </w:rPr>
            </w:pPr>
            <w:r w:rsidRPr="002E5ABE">
              <w:rPr>
                <w:rFonts w:ascii="Arial" w:hAnsi="Arial" w:cs="Arial"/>
                <w:color w:val="000000"/>
                <w:sz w:val="20"/>
                <w:lang w:eastAsia="en-US"/>
              </w:rPr>
              <w:t>NS</w:t>
            </w:r>
          </w:p>
        </w:tc>
      </w:tr>
    </w:tbl>
    <w:p w:rsidR="003B0DEE" w:rsidRPr="005502B8" w:rsidRDefault="003B0DEE" w:rsidP="000D5D90">
      <w:pPr>
        <w:spacing w:line="240" w:lineRule="auto"/>
        <w:jc w:val="left"/>
        <w:rPr>
          <w:rFonts w:ascii="Arial" w:hAnsi="Arial" w:cs="Arial"/>
          <w:color w:val="000000"/>
          <w:sz w:val="20"/>
          <w:szCs w:val="22"/>
        </w:rPr>
      </w:pPr>
      <w:r w:rsidRPr="005502B8">
        <w:rPr>
          <w:rFonts w:ascii="Arial" w:hAnsi="Arial" w:cs="Arial"/>
          <w:color w:val="000000"/>
          <w:sz w:val="20"/>
          <w:szCs w:val="22"/>
        </w:rPr>
        <w:t xml:space="preserve">† </w:t>
      </w:r>
      <w:r w:rsidR="009D2A34">
        <w:rPr>
          <w:rFonts w:ascii="Arial" w:hAnsi="Arial" w:cs="Arial"/>
          <w:color w:val="000000"/>
          <w:sz w:val="20"/>
          <w:szCs w:val="22"/>
        </w:rPr>
        <w:t>I</w:t>
      </w:r>
      <w:r w:rsidRPr="005502B8">
        <w:rPr>
          <w:rFonts w:ascii="Arial" w:hAnsi="Arial" w:cs="Arial"/>
          <w:color w:val="000000"/>
          <w:sz w:val="20"/>
          <w:szCs w:val="22"/>
        </w:rPr>
        <w:t>njectors only</w:t>
      </w:r>
      <w:r w:rsidR="00C75A7D">
        <w:rPr>
          <w:rFonts w:ascii="Arial" w:hAnsi="Arial" w:cs="Arial"/>
          <w:color w:val="000000"/>
          <w:sz w:val="20"/>
          <w:szCs w:val="22"/>
        </w:rPr>
        <w:t>.</w:t>
      </w:r>
    </w:p>
    <w:p w:rsidR="003B0DEE" w:rsidRPr="005502B8" w:rsidRDefault="003B0DEE" w:rsidP="000D5D90">
      <w:pPr>
        <w:spacing w:line="240" w:lineRule="auto"/>
        <w:jc w:val="left"/>
        <w:rPr>
          <w:rFonts w:ascii="Arial" w:hAnsi="Arial" w:cs="Arial"/>
          <w:color w:val="000000"/>
          <w:sz w:val="20"/>
          <w:szCs w:val="22"/>
        </w:rPr>
      </w:pPr>
      <w:r w:rsidRPr="005502B8">
        <w:rPr>
          <w:rFonts w:ascii="Arial" w:hAnsi="Arial" w:cs="Arial"/>
          <w:color w:val="000000"/>
          <w:sz w:val="20"/>
          <w:szCs w:val="22"/>
        </w:rPr>
        <w:t>* Age range presented is the 5th percentile to 95th percentile.</w:t>
      </w:r>
    </w:p>
    <w:p w:rsidR="003B0DEE" w:rsidRPr="005502B8" w:rsidRDefault="003B0DEE" w:rsidP="000D5D90">
      <w:pPr>
        <w:spacing w:after="200" w:line="240" w:lineRule="auto"/>
        <w:jc w:val="left"/>
        <w:rPr>
          <w:rFonts w:ascii="Arial" w:hAnsi="Arial" w:cs="Arial"/>
          <w:b/>
          <w:bCs/>
          <w:kern w:val="32"/>
          <w:sz w:val="24"/>
          <w:szCs w:val="26"/>
        </w:rPr>
      </w:pPr>
      <w:r w:rsidRPr="005502B8">
        <w:rPr>
          <w:rFonts w:ascii="Arial" w:hAnsi="Arial" w:cs="Arial"/>
          <w:color w:val="000000"/>
          <w:sz w:val="20"/>
          <w:szCs w:val="22"/>
        </w:rPr>
        <w:t xml:space="preserve">Ψ Cases who were already injecting prior to commencing </w:t>
      </w:r>
      <w:r>
        <w:rPr>
          <w:rFonts w:ascii="Arial" w:hAnsi="Arial" w:cs="Arial"/>
          <w:color w:val="000000"/>
          <w:sz w:val="20"/>
          <w:szCs w:val="22"/>
        </w:rPr>
        <w:t>opioid</w:t>
      </w:r>
      <w:r w:rsidRPr="005502B8">
        <w:rPr>
          <w:rFonts w:ascii="Arial" w:hAnsi="Arial" w:cs="Arial"/>
          <w:color w:val="000000"/>
          <w:sz w:val="20"/>
          <w:szCs w:val="22"/>
        </w:rPr>
        <w:t xml:space="preserve"> use have been excluded from calculations</w:t>
      </w:r>
      <w:r w:rsidR="00C75A7D">
        <w:rPr>
          <w:rFonts w:ascii="Arial" w:hAnsi="Arial" w:cs="Arial"/>
          <w:color w:val="000000"/>
          <w:sz w:val="20"/>
          <w:szCs w:val="22"/>
        </w:rPr>
        <w:t>.</w:t>
      </w:r>
      <w:r w:rsidRPr="005502B8">
        <w:rPr>
          <w:rFonts w:ascii="Arial" w:hAnsi="Arial" w:cs="Arial"/>
          <w:sz w:val="20"/>
          <w:highlight w:val="yellow"/>
        </w:rPr>
        <w:t xml:space="preserve"> </w:t>
      </w:r>
    </w:p>
    <w:p w:rsidR="003B0DEE" w:rsidRDefault="003B0DEE" w:rsidP="000D5D90">
      <w:pPr>
        <w:pStyle w:val="Heading2"/>
        <w:numPr>
          <w:ilvl w:val="0"/>
          <w:numId w:val="0"/>
        </w:numPr>
        <w:ind w:left="432" w:hanging="432"/>
        <w:rPr>
          <w:rFonts w:cs="Arial"/>
          <w:sz w:val="24"/>
        </w:rPr>
        <w:sectPr w:rsidR="003B0DEE" w:rsidSect="000D5D90">
          <w:pgSz w:w="16840" w:h="11907" w:orient="landscape" w:code="9"/>
          <w:pgMar w:top="1985" w:right="1134" w:bottom="1134" w:left="1134" w:header="709" w:footer="709" w:gutter="0"/>
          <w:cols w:space="708"/>
          <w:docGrid w:linePitch="360"/>
        </w:sectPr>
      </w:pPr>
    </w:p>
    <w:p w:rsidR="003B0DEE" w:rsidRPr="00080D8A" w:rsidRDefault="003B0DEE" w:rsidP="000D5D90">
      <w:pPr>
        <w:pStyle w:val="Heading2"/>
      </w:pPr>
      <w:bookmarkStart w:id="71" w:name="_Toc15331688"/>
      <w:r w:rsidRPr="00080D8A">
        <w:lastRenderedPageBreak/>
        <w:t>Incidence of treated opioid use</w:t>
      </w:r>
      <w:bookmarkEnd w:id="71"/>
      <w:r w:rsidRPr="00080D8A">
        <w:t xml:space="preserve"> </w:t>
      </w:r>
    </w:p>
    <w:p w:rsidR="003B0DEE" w:rsidRDefault="003B0DEE" w:rsidP="000D5D90">
      <w:pPr>
        <w:pStyle w:val="BodyText"/>
      </w:pPr>
      <w:r w:rsidRPr="00CE2E3B">
        <w:t xml:space="preserve">Overall, the trend of age-adjusted treatment incidence has declined </w:t>
      </w:r>
      <w:r>
        <w:t>over the period 1995–2015 (Table 4-</w:t>
      </w:r>
      <w:r w:rsidRPr="00CE2E3B">
        <w:t>6).  Investigating incidence by age group revealed a downward trend among younger age groups, with an upward trend among older age groups.  In early years (1995</w:t>
      </w:r>
      <w:r>
        <w:rPr>
          <w:color w:val="000000"/>
          <w:sz w:val="18"/>
          <w:szCs w:val="18"/>
        </w:rPr>
        <w:t>–</w:t>
      </w:r>
      <w:r w:rsidRPr="00CE2E3B">
        <w:t xml:space="preserve">2002), incidence was concentrated among younger age groups, becoming more dispersed as years progressed.  Incidence among older age groups increased during the period with the emergence of two groups, (1) lower rates in early years which increased by varying amounts among 25-44 year olds, and (2) rising incidence which did not previously exist among 45-74 year olds.  </w:t>
      </w:r>
    </w:p>
    <w:p w:rsidR="003B0DEE" w:rsidRPr="00FA080E" w:rsidRDefault="003B0DEE" w:rsidP="000D5D90">
      <w:pPr>
        <w:pStyle w:val="BodyText"/>
      </w:pPr>
      <w:r w:rsidRPr="00CE2E3B">
        <w:t>Joinpoint analysis results reveal significant trends in the rate of treatment admissions, overall (age-adjusted</w:t>
      </w:r>
      <w:r>
        <w:t>) and by age group (Table 4-</w:t>
      </w:r>
      <w:r w:rsidRPr="00CE2E3B">
        <w:t xml:space="preserve">7).  Trends in admissions fluctuated across the period.  Downward and significant trends were seen in age-adjusted rates in the years 1995-2005, with an annual percentage change (APC) of -4.8% (CI: -7.0 to -2.5, p&lt;0.001), and also in the period 2009 to 2015 (APC=-6.4, CI: -10.6 to -2.0, p&lt;0.001).  In the interim period (2005-2009) the trend was </w:t>
      </w:r>
      <w:r w:rsidRPr="00FA080E">
        <w:t>upward and significant (APC=17.4, CI: 2.1 to 35.0, p&lt;</w:t>
      </w:r>
      <w:r>
        <w:t>0.001).  The examination of age-</w:t>
      </w:r>
      <w:r w:rsidRPr="00FA080E">
        <w:t xml:space="preserve">based sub-populations also showed significant trends.  The largest significant downward trends were among </w:t>
      </w:r>
    </w:p>
    <w:p w:rsidR="003B0DEE" w:rsidRPr="00FA080E" w:rsidRDefault="003B0DEE" w:rsidP="000D5D90">
      <w:pPr>
        <w:pStyle w:val="ListParagraph"/>
        <w:numPr>
          <w:ilvl w:val="0"/>
          <w:numId w:val="6"/>
        </w:numPr>
        <w:rPr>
          <w:rFonts w:cs="Arial"/>
        </w:rPr>
      </w:pPr>
      <w:r w:rsidRPr="00FA080E">
        <w:rPr>
          <w:rFonts w:cs="Arial"/>
        </w:rPr>
        <w:t>15-19 year olds in the years 1995</w:t>
      </w:r>
      <w:r>
        <w:rPr>
          <w:rFonts w:cs="Arial"/>
          <w:color w:val="000000"/>
          <w:sz w:val="18"/>
          <w:szCs w:val="18"/>
          <w:lang w:eastAsia="en-US"/>
        </w:rPr>
        <w:t>–</w:t>
      </w:r>
      <w:r w:rsidRPr="00FA080E">
        <w:rPr>
          <w:rFonts w:cs="Arial"/>
        </w:rPr>
        <w:t xml:space="preserve">2004 (APC=-20.6, CI: -24.0 to -17.1, p&lt;0.001), </w:t>
      </w:r>
    </w:p>
    <w:p w:rsidR="003B0DEE" w:rsidRPr="00FA080E" w:rsidRDefault="003B0DEE" w:rsidP="000D5D90">
      <w:pPr>
        <w:pStyle w:val="ListParagraph"/>
        <w:numPr>
          <w:ilvl w:val="0"/>
          <w:numId w:val="6"/>
        </w:numPr>
        <w:rPr>
          <w:rFonts w:cs="Arial"/>
        </w:rPr>
      </w:pPr>
      <w:r w:rsidRPr="00FA080E">
        <w:rPr>
          <w:rFonts w:cs="Arial"/>
        </w:rPr>
        <w:t>15-19 year olds in the years 2004</w:t>
      </w:r>
      <w:r>
        <w:rPr>
          <w:rFonts w:cs="Arial"/>
          <w:color w:val="000000"/>
          <w:sz w:val="18"/>
          <w:szCs w:val="18"/>
          <w:lang w:eastAsia="en-US"/>
        </w:rPr>
        <w:t>–</w:t>
      </w:r>
      <w:r w:rsidRPr="00FA080E">
        <w:rPr>
          <w:rFonts w:cs="Arial"/>
        </w:rPr>
        <w:t xml:space="preserve">2015 (APC=-24.7, CI: -37.4 to -9.5, p&lt;0.001), and </w:t>
      </w:r>
    </w:p>
    <w:p w:rsidR="003B0DEE" w:rsidRPr="00FA080E" w:rsidRDefault="003B0DEE" w:rsidP="000D5D90">
      <w:pPr>
        <w:pStyle w:val="ListParagraph"/>
        <w:numPr>
          <w:ilvl w:val="0"/>
          <w:numId w:val="6"/>
        </w:numPr>
        <w:rPr>
          <w:rFonts w:cs="Arial"/>
        </w:rPr>
      </w:pPr>
      <w:proofErr w:type="gramStart"/>
      <w:r w:rsidRPr="00FA080E">
        <w:rPr>
          <w:rFonts w:cs="Arial"/>
        </w:rPr>
        <w:t>among</w:t>
      </w:r>
      <w:proofErr w:type="gramEnd"/>
      <w:r w:rsidRPr="00FA080E">
        <w:rPr>
          <w:rFonts w:cs="Arial"/>
        </w:rPr>
        <w:t xml:space="preserve"> 20-24 year olds in the years 2010-2015 (APC=-16.0, CI: -23.4 to -7.9, p&lt;0.001). </w:t>
      </w:r>
    </w:p>
    <w:p w:rsidR="003B0DEE" w:rsidRPr="00FA080E" w:rsidRDefault="003B0DEE" w:rsidP="000D5D90">
      <w:pPr>
        <w:pStyle w:val="BodyText"/>
      </w:pPr>
      <w:r w:rsidRPr="00FA080E">
        <w:t xml:space="preserve">As expected, upward trends were detected among older age groups with the largest significant upward trends among </w:t>
      </w:r>
    </w:p>
    <w:p w:rsidR="003B0DEE" w:rsidRPr="00FA080E" w:rsidRDefault="003B0DEE" w:rsidP="000D5D90">
      <w:pPr>
        <w:pStyle w:val="ListParagraph"/>
        <w:numPr>
          <w:ilvl w:val="0"/>
          <w:numId w:val="7"/>
        </w:numPr>
        <w:rPr>
          <w:rFonts w:cs="Arial"/>
        </w:rPr>
      </w:pPr>
      <w:r w:rsidRPr="00FA080E">
        <w:rPr>
          <w:rFonts w:cs="Arial"/>
        </w:rPr>
        <w:t>35-39 year olds in the years 2004</w:t>
      </w:r>
      <w:r>
        <w:rPr>
          <w:rFonts w:cs="Arial"/>
          <w:color w:val="000000"/>
          <w:sz w:val="18"/>
          <w:szCs w:val="18"/>
          <w:lang w:eastAsia="en-US"/>
        </w:rPr>
        <w:t>–</w:t>
      </w:r>
      <w:r w:rsidRPr="00FA080E">
        <w:rPr>
          <w:rFonts w:cs="Arial"/>
        </w:rPr>
        <w:t xml:space="preserve">2009 (APC=29.5, CI: 10.2 to 52.3.6, p&lt;0.001), </w:t>
      </w:r>
    </w:p>
    <w:p w:rsidR="003B0DEE" w:rsidRPr="00FA080E" w:rsidRDefault="003B0DEE" w:rsidP="000D5D90">
      <w:pPr>
        <w:pStyle w:val="ListParagraph"/>
        <w:numPr>
          <w:ilvl w:val="0"/>
          <w:numId w:val="7"/>
        </w:numPr>
        <w:rPr>
          <w:rFonts w:cs="Arial"/>
        </w:rPr>
      </w:pPr>
      <w:r w:rsidRPr="00FA080E">
        <w:rPr>
          <w:rFonts w:cs="Arial"/>
        </w:rPr>
        <w:t>40-44 year olds in the years 1995</w:t>
      </w:r>
      <w:r>
        <w:rPr>
          <w:rFonts w:cs="Arial"/>
          <w:color w:val="000000"/>
          <w:sz w:val="18"/>
          <w:szCs w:val="18"/>
          <w:lang w:eastAsia="en-US"/>
        </w:rPr>
        <w:t>–</w:t>
      </w:r>
      <w:r w:rsidRPr="00FA080E">
        <w:rPr>
          <w:rFonts w:cs="Arial"/>
        </w:rPr>
        <w:t>2009 (APC=17.5, CI: 12.7 to 22.6, p&lt;0.001)</w:t>
      </w:r>
      <w:r>
        <w:rPr>
          <w:rFonts w:cs="Arial"/>
        </w:rPr>
        <w:t>,</w:t>
      </w:r>
      <w:r w:rsidRPr="00FA080E">
        <w:rPr>
          <w:rFonts w:cs="Arial"/>
        </w:rPr>
        <w:t xml:space="preserve"> and</w:t>
      </w:r>
    </w:p>
    <w:p w:rsidR="003B0DEE" w:rsidRDefault="003B0DEE" w:rsidP="000D5D90">
      <w:pPr>
        <w:pStyle w:val="ListParagraph"/>
        <w:numPr>
          <w:ilvl w:val="0"/>
          <w:numId w:val="7"/>
        </w:numPr>
        <w:rPr>
          <w:rFonts w:cs="Arial"/>
        </w:rPr>
      </w:pPr>
      <w:r w:rsidRPr="00FA080E">
        <w:rPr>
          <w:rFonts w:cs="Arial"/>
        </w:rPr>
        <w:t>45-49 year olds in the years 1995</w:t>
      </w:r>
      <w:r>
        <w:rPr>
          <w:rFonts w:cs="Arial"/>
          <w:color w:val="000000"/>
          <w:sz w:val="18"/>
          <w:szCs w:val="18"/>
          <w:lang w:eastAsia="en-US"/>
        </w:rPr>
        <w:t>–</w:t>
      </w:r>
      <w:r w:rsidRPr="00FA080E">
        <w:rPr>
          <w:rFonts w:cs="Arial"/>
        </w:rPr>
        <w:t xml:space="preserve">2008 (APC=20.2, CI: 11.1 to 30.0, p&lt;0.001).  </w:t>
      </w:r>
    </w:p>
    <w:p w:rsidR="003B0DEE" w:rsidRPr="00FA080E" w:rsidRDefault="003B0DEE" w:rsidP="000D5D90">
      <w:pPr>
        <w:pStyle w:val="BodyText"/>
      </w:pPr>
      <w:r w:rsidRPr="00FA080E">
        <w:t>Joinpoint analysis did not detect the increasing trends among groups aged 50 years and older as significant.</w:t>
      </w:r>
    </w:p>
    <w:p w:rsidR="003B0DEE" w:rsidRDefault="003B0DEE" w:rsidP="000D5D90">
      <w:pPr>
        <w:spacing w:after="200" w:line="360" w:lineRule="auto"/>
        <w:rPr>
          <w:rFonts w:cs="Arial"/>
          <w:b/>
          <w:bCs/>
          <w:kern w:val="32"/>
          <w:sz w:val="28"/>
          <w:szCs w:val="32"/>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sz w:val="20"/>
        </w:rPr>
      </w:pPr>
      <w:bookmarkStart w:id="72" w:name="_Toc15331996"/>
      <w:r w:rsidRPr="005C08E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t xml:space="preserve">  </w:t>
      </w:r>
      <w:r w:rsidRPr="005C08E6">
        <w:rPr>
          <w:rFonts w:ascii="Arial" w:hAnsi="Arial" w:cs="Arial"/>
          <w:sz w:val="20"/>
        </w:rPr>
        <w:t>Crude and age-adjusted incidence rates (per 100,000 population) for first-time opioid treatment entrants, 1995</w:t>
      </w:r>
      <w:r w:rsidRPr="00D224FA">
        <w:rPr>
          <w:rFonts w:ascii="Arial" w:hAnsi="Arial" w:cs="Arial"/>
          <w:sz w:val="20"/>
        </w:rPr>
        <w:t>–</w:t>
      </w:r>
      <w:r w:rsidRPr="005C08E6">
        <w:rPr>
          <w:rFonts w:ascii="Arial" w:hAnsi="Arial" w:cs="Arial"/>
          <w:sz w:val="20"/>
        </w:rPr>
        <w:t>2015</w:t>
      </w:r>
      <w:bookmarkEnd w:id="72"/>
    </w:p>
    <w:tbl>
      <w:tblPr>
        <w:tblW w:w="5136" w:type="pct"/>
        <w:tblLook w:val="04A0" w:firstRow="1" w:lastRow="0" w:firstColumn="1" w:lastColumn="0" w:noHBand="0" w:noVBand="1"/>
      </w:tblPr>
      <w:tblGrid>
        <w:gridCol w:w="1205"/>
        <w:gridCol w:w="698"/>
        <w:gridCol w:w="698"/>
        <w:gridCol w:w="698"/>
        <w:gridCol w:w="698"/>
        <w:gridCol w:w="698"/>
        <w:gridCol w:w="698"/>
        <w:gridCol w:w="698"/>
        <w:gridCol w:w="644"/>
        <w:gridCol w:w="644"/>
        <w:gridCol w:w="644"/>
        <w:gridCol w:w="644"/>
        <w:gridCol w:w="644"/>
        <w:gridCol w:w="644"/>
        <w:gridCol w:w="644"/>
        <w:gridCol w:w="699"/>
        <w:gridCol w:w="699"/>
        <w:gridCol w:w="644"/>
        <w:gridCol w:w="644"/>
        <w:gridCol w:w="644"/>
        <w:gridCol w:w="644"/>
        <w:gridCol w:w="617"/>
      </w:tblGrid>
      <w:tr w:rsidR="003B0DEE" w:rsidRPr="005502B8" w:rsidTr="000D5D90">
        <w:trPr>
          <w:trHeight w:val="238"/>
        </w:trPr>
        <w:tc>
          <w:tcPr>
            <w:tcW w:w="397" w:type="pct"/>
            <w:tcBorders>
              <w:top w:val="single" w:sz="4" w:space="0" w:color="000000"/>
              <w:bottom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p>
        </w:tc>
        <w:tc>
          <w:tcPr>
            <w:tcW w:w="4603" w:type="pct"/>
            <w:gridSpan w:val="21"/>
            <w:tcBorders>
              <w:top w:val="single" w:sz="4" w:space="0" w:color="000000"/>
              <w:bottom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Year treated</w:t>
            </w:r>
          </w:p>
        </w:tc>
      </w:tr>
      <w:tr w:rsidR="003B0DEE" w:rsidRPr="005502B8" w:rsidTr="000D5D90">
        <w:trPr>
          <w:trHeight w:val="20"/>
        </w:trPr>
        <w:tc>
          <w:tcPr>
            <w:tcW w:w="397" w:type="pct"/>
            <w:tcBorders>
              <w:top w:val="single" w:sz="4" w:space="0" w:color="000000"/>
            </w:tcBorders>
            <w:shd w:val="clear" w:color="auto" w:fill="auto"/>
          </w:tcPr>
          <w:p w:rsidR="003B0DEE" w:rsidRPr="005502B8" w:rsidRDefault="003B0DEE" w:rsidP="000D5D90">
            <w:pPr>
              <w:spacing w:line="240" w:lineRule="auto"/>
              <w:rPr>
                <w:rFonts w:ascii="Arial" w:hAnsi="Arial" w:cs="Arial"/>
                <w:b/>
                <w:color w:val="000000"/>
                <w:sz w:val="18"/>
                <w:szCs w:val="18"/>
                <w:lang w:eastAsia="en-US"/>
              </w:rPr>
            </w:pP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1995</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1996</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1997</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1998</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1999</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2000</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2001</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2002</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2003</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2004</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2005</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2006</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2007</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2008</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2009</w:t>
            </w:r>
          </w:p>
        </w:tc>
        <w:tc>
          <w:tcPr>
            <w:tcW w:w="230"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2010</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2011</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2012</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2013</w:t>
            </w:r>
          </w:p>
        </w:tc>
        <w:tc>
          <w:tcPr>
            <w:tcW w:w="212"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2014</w:t>
            </w:r>
          </w:p>
        </w:tc>
        <w:tc>
          <w:tcPr>
            <w:tcW w:w="207" w:type="pct"/>
            <w:tcBorders>
              <w:top w:val="single" w:sz="4" w:space="0" w:color="000000"/>
            </w:tcBorders>
            <w:shd w:val="clear" w:color="auto" w:fill="auto"/>
          </w:tcPr>
          <w:p w:rsidR="003B0DEE" w:rsidRPr="005502B8" w:rsidRDefault="003B0DEE" w:rsidP="000D5D90">
            <w:pPr>
              <w:spacing w:line="240" w:lineRule="auto"/>
              <w:jc w:val="center"/>
              <w:rPr>
                <w:rFonts w:ascii="Arial" w:hAnsi="Arial" w:cs="Arial"/>
                <w:b/>
                <w:color w:val="000000"/>
                <w:sz w:val="18"/>
                <w:szCs w:val="18"/>
                <w:lang w:eastAsia="en-US"/>
              </w:rPr>
            </w:pPr>
            <w:r w:rsidRPr="005502B8">
              <w:rPr>
                <w:rFonts w:ascii="Arial" w:hAnsi="Arial" w:cs="Arial"/>
                <w:b/>
                <w:color w:val="000000"/>
                <w:sz w:val="18"/>
                <w:szCs w:val="18"/>
                <w:lang w:eastAsia="en-US"/>
              </w:rPr>
              <w:t>2015</w:t>
            </w:r>
          </w:p>
        </w:tc>
      </w:tr>
      <w:tr w:rsidR="003B0DEE" w:rsidRPr="005502B8" w:rsidTr="000D5D90">
        <w:trPr>
          <w:trHeight w:val="20"/>
        </w:trPr>
        <w:tc>
          <w:tcPr>
            <w:tcW w:w="5000" w:type="pct"/>
            <w:gridSpan w:val="22"/>
            <w:shd w:val="clear" w:color="auto" w:fill="D9D9D9"/>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b/>
                <w:sz w:val="18"/>
                <w:szCs w:val="18"/>
                <w:lang w:eastAsia="en-US"/>
              </w:rPr>
              <w:t>Crude incidence rates per 100,000 population</w:t>
            </w:r>
          </w:p>
        </w:tc>
      </w:tr>
      <w:tr w:rsidR="003B0DEE" w:rsidRPr="005502B8" w:rsidTr="000D5D90">
        <w:trPr>
          <w:trHeight w:val="20"/>
        </w:trPr>
        <w:tc>
          <w:tcPr>
            <w:tcW w:w="5000" w:type="pct"/>
            <w:gridSpan w:val="22"/>
            <w:shd w:val="clear" w:color="auto" w:fill="auto"/>
            <w:vAlign w:val="bottom"/>
          </w:tcPr>
          <w:p w:rsidR="003B0DEE" w:rsidRPr="005502B8" w:rsidRDefault="003B0DEE" w:rsidP="000D5D90">
            <w:pPr>
              <w:spacing w:line="240" w:lineRule="auto"/>
              <w:rPr>
                <w:rFonts w:ascii="Arial" w:hAnsi="Arial" w:cs="Arial"/>
                <w:b/>
                <w:sz w:val="18"/>
                <w:szCs w:val="18"/>
                <w:lang w:eastAsia="en-US"/>
              </w:rPr>
            </w:pPr>
            <w:r w:rsidRPr="005502B8">
              <w:rPr>
                <w:rFonts w:ascii="Arial" w:hAnsi="Arial" w:cs="Arial"/>
                <w:b/>
                <w:sz w:val="18"/>
                <w:szCs w:val="18"/>
                <w:lang w:eastAsia="en-US"/>
              </w:rPr>
              <w:t>Age group (years)</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75+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70-74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0.7</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65-69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60-64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4.8</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55-59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6.2</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50-54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7.9</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9.2</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45-49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11.7</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12.0</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40-44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23.9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23.3</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21.6</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35-39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30.7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34.1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56.1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41.7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36.9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39.5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42.8</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36.6</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30-34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23.8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26.8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26.7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29.5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31.6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32.9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42.9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52.3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50.9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66.8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74.8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74.2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60.5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61.2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58.3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60.3</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61.2</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25-29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45.0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54.4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45.8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55.4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62.2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66.0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75.5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60.4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72.8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51.0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63.7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67.4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73.5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86.9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101.8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104.0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80.2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85.9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79.7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80.7</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78.5</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20-24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134.7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159.2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117.8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116.0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127.7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118.3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113.4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93.2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81.7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72.3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59.5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72.5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70.8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72.8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98.2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107.3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86.1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73.1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61.8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62.6</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40.9</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15-19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149.0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161.7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88.2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78.8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65.6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41.3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47.8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35.4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33.6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29.4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29.9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30.8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11.3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9.3</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7.1</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 10-14 </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0.0</w:t>
            </w:r>
          </w:p>
        </w:tc>
      </w:tr>
      <w:tr w:rsidR="003B0DEE" w:rsidRPr="005502B8" w:rsidTr="000D5D90">
        <w:trPr>
          <w:trHeight w:val="20"/>
        </w:trPr>
        <w:tc>
          <w:tcPr>
            <w:tcW w:w="5000" w:type="pct"/>
            <w:gridSpan w:val="22"/>
            <w:shd w:val="clear" w:color="auto" w:fill="D9D9D9"/>
            <w:vAlign w:val="bottom"/>
          </w:tcPr>
          <w:p w:rsidR="003B0DEE" w:rsidRPr="005502B8" w:rsidRDefault="003B0DEE" w:rsidP="000D5D90">
            <w:pPr>
              <w:spacing w:line="240" w:lineRule="auto"/>
              <w:rPr>
                <w:rFonts w:ascii="Arial" w:hAnsi="Arial" w:cs="Arial"/>
                <w:b/>
                <w:color w:val="000000"/>
                <w:sz w:val="18"/>
                <w:szCs w:val="18"/>
                <w:lang w:eastAsia="en-US"/>
              </w:rPr>
            </w:pPr>
            <w:r w:rsidRPr="005502B8">
              <w:rPr>
                <w:rFonts w:ascii="Arial" w:hAnsi="Arial" w:cs="Arial"/>
                <w:b/>
                <w:color w:val="000000"/>
                <w:sz w:val="18"/>
                <w:szCs w:val="18"/>
                <w:lang w:eastAsia="en-US"/>
              </w:rPr>
              <w:t xml:space="preserve">Overall age-adjusted incidence </w:t>
            </w:r>
            <w:r w:rsidRPr="005502B8">
              <w:rPr>
                <w:rFonts w:ascii="Arial" w:hAnsi="Arial" w:cs="Arial"/>
                <w:b/>
                <w:sz w:val="18"/>
                <w:szCs w:val="18"/>
                <w:lang w:eastAsia="en-US"/>
              </w:rPr>
              <w:t>rate per 100,000 population</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b/>
                <w:color w:val="000000"/>
                <w:sz w:val="18"/>
                <w:szCs w:val="18"/>
                <w:lang w:eastAsia="en-US"/>
              </w:rPr>
            </w:pPr>
            <w:r w:rsidRPr="005502B8">
              <w:rPr>
                <w:rFonts w:ascii="Arial" w:hAnsi="Arial" w:cs="Arial"/>
                <w:b/>
                <w:color w:val="000000"/>
                <w:sz w:val="18"/>
                <w:szCs w:val="18"/>
                <w:lang w:eastAsia="en-US"/>
              </w:rPr>
              <w:t>Rate</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26.1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24.4</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24.3</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19.0</w:t>
            </w:r>
          </w:p>
        </w:tc>
      </w:tr>
      <w:tr w:rsidR="003B0DEE" w:rsidRPr="005502B8" w:rsidTr="000D5D90">
        <w:trPr>
          <w:trHeight w:val="20"/>
        </w:trPr>
        <w:tc>
          <w:tcPr>
            <w:tcW w:w="5000" w:type="pct"/>
            <w:gridSpan w:val="22"/>
            <w:shd w:val="clear" w:color="auto" w:fill="FFFFFF"/>
            <w:vAlign w:val="bottom"/>
          </w:tcPr>
          <w:p w:rsidR="003B0DEE" w:rsidRPr="005502B8" w:rsidRDefault="003B0DEE" w:rsidP="000D5D90">
            <w:pPr>
              <w:spacing w:line="240" w:lineRule="auto"/>
              <w:rPr>
                <w:rFonts w:ascii="Arial" w:hAnsi="Arial" w:cs="Arial"/>
                <w:b/>
                <w:color w:val="000000"/>
                <w:sz w:val="18"/>
                <w:szCs w:val="18"/>
                <w:lang w:eastAsia="en-US"/>
              </w:rPr>
            </w:pPr>
            <w:r w:rsidRPr="005502B8">
              <w:rPr>
                <w:rFonts w:ascii="Arial" w:hAnsi="Arial" w:cs="Arial"/>
                <w:b/>
                <w:color w:val="000000"/>
                <w:sz w:val="18"/>
                <w:szCs w:val="18"/>
                <w:lang w:eastAsia="en-US"/>
              </w:rPr>
              <w:t>95% confidence interval limits</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Lower</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22.9</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21.5</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13.3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15.3</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20.2</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23.1</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26.4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23.1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18.6</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17.7</w:t>
            </w:r>
          </w:p>
        </w:tc>
      </w:tr>
      <w:tr w:rsidR="003B0DEE" w:rsidRPr="005502B8" w:rsidTr="000D5D90">
        <w:trPr>
          <w:trHeight w:val="20"/>
        </w:trPr>
        <w:tc>
          <w:tcPr>
            <w:tcW w:w="397" w:type="pct"/>
            <w:shd w:val="clear" w:color="auto" w:fill="auto"/>
            <w:vAlign w:val="bottom"/>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Upper</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25.7</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22.6</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21.3</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18.8</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16.6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15.5</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17.6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25.8</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29.4</w:t>
            </w:r>
          </w:p>
        </w:tc>
        <w:tc>
          <w:tcPr>
            <w:tcW w:w="230"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27.6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25.7</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24.1</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22.6</w:t>
            </w:r>
          </w:p>
        </w:tc>
        <w:tc>
          <w:tcPr>
            <w:tcW w:w="212"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21.2</w:t>
            </w:r>
          </w:p>
        </w:tc>
        <w:tc>
          <w:tcPr>
            <w:tcW w:w="207" w:type="pct"/>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20.3</w:t>
            </w:r>
          </w:p>
        </w:tc>
      </w:tr>
      <w:tr w:rsidR="003B0DEE" w:rsidRPr="005502B8" w:rsidTr="000D5D90">
        <w:trPr>
          <w:trHeight w:val="20"/>
        </w:trPr>
        <w:tc>
          <w:tcPr>
            <w:tcW w:w="5000" w:type="pct"/>
            <w:gridSpan w:val="22"/>
            <w:shd w:val="clear" w:color="auto" w:fill="D9D9D9"/>
            <w:vAlign w:val="bottom"/>
          </w:tcPr>
          <w:p w:rsidR="003B0DEE" w:rsidRPr="005502B8" w:rsidRDefault="003B0DEE" w:rsidP="000D5D90">
            <w:pPr>
              <w:spacing w:line="240" w:lineRule="auto"/>
              <w:rPr>
                <w:rFonts w:ascii="Arial" w:hAnsi="Arial" w:cs="Arial"/>
                <w:b/>
                <w:color w:val="000000"/>
                <w:sz w:val="18"/>
                <w:szCs w:val="18"/>
                <w:lang w:eastAsia="en-US"/>
              </w:rPr>
            </w:pPr>
            <w:r w:rsidRPr="005502B8">
              <w:rPr>
                <w:rFonts w:ascii="Arial" w:hAnsi="Arial" w:cs="Arial"/>
                <w:b/>
                <w:color w:val="000000"/>
                <w:sz w:val="18"/>
                <w:szCs w:val="18"/>
                <w:lang w:eastAsia="en-US"/>
              </w:rPr>
              <w:t xml:space="preserve">Number of </w:t>
            </w:r>
            <w:r>
              <w:rPr>
                <w:rFonts w:ascii="Arial" w:hAnsi="Arial" w:cs="Arial"/>
                <w:b/>
                <w:color w:val="000000"/>
                <w:sz w:val="18"/>
                <w:szCs w:val="18"/>
                <w:lang w:eastAsia="en-US"/>
              </w:rPr>
              <w:t>opioid</w:t>
            </w:r>
            <w:r w:rsidRPr="005502B8">
              <w:rPr>
                <w:rFonts w:ascii="Arial" w:hAnsi="Arial" w:cs="Arial"/>
                <w:b/>
                <w:color w:val="000000"/>
                <w:sz w:val="18"/>
                <w:szCs w:val="18"/>
                <w:lang w:eastAsia="en-US"/>
              </w:rPr>
              <w:t xml:space="preserve"> admissions</w:t>
            </w:r>
          </w:p>
        </w:tc>
      </w:tr>
      <w:tr w:rsidR="003B0DEE" w:rsidRPr="005502B8" w:rsidTr="000D5D90">
        <w:trPr>
          <w:trHeight w:val="20"/>
        </w:trPr>
        <w:tc>
          <w:tcPr>
            <w:tcW w:w="397" w:type="pct"/>
            <w:tcBorders>
              <w:bottom w:val="single" w:sz="4" w:space="0" w:color="auto"/>
            </w:tcBorders>
            <w:shd w:val="clear" w:color="auto" w:fill="auto"/>
            <w:vAlign w:val="bottom"/>
          </w:tcPr>
          <w:p w:rsidR="003B0DEE" w:rsidRPr="005502B8" w:rsidRDefault="003B0DEE" w:rsidP="000D5D90">
            <w:pPr>
              <w:spacing w:line="240" w:lineRule="auto"/>
              <w:rPr>
                <w:rFonts w:ascii="Arial" w:hAnsi="Arial" w:cs="Arial"/>
                <w:b/>
                <w:color w:val="000000"/>
                <w:sz w:val="18"/>
                <w:szCs w:val="18"/>
                <w:lang w:eastAsia="en-US"/>
              </w:rPr>
            </w:pPr>
            <w:r>
              <w:rPr>
                <w:rFonts w:ascii="Arial" w:hAnsi="Arial" w:cs="Arial"/>
                <w:b/>
                <w:color w:val="000000"/>
                <w:sz w:val="18"/>
                <w:szCs w:val="18"/>
                <w:lang w:eastAsia="en-US"/>
              </w:rPr>
              <w:t>First-time</w:t>
            </w:r>
            <w:r w:rsidRPr="005502B8">
              <w:rPr>
                <w:rFonts w:ascii="Arial" w:hAnsi="Arial" w:cs="Arial"/>
                <w:b/>
                <w:color w:val="000000"/>
                <w:sz w:val="18"/>
                <w:szCs w:val="18"/>
                <w:lang w:eastAsia="en-US"/>
              </w:rPr>
              <w:t xml:space="preserve"> </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1080</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1270</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857</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855</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922</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830</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901</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761</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759</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654</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722</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913</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1036</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1205</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1489</w:t>
            </w:r>
          </w:p>
        </w:tc>
        <w:tc>
          <w:tcPr>
            <w:tcW w:w="230"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1410</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1091</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1034</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994</w:t>
            </w:r>
          </w:p>
        </w:tc>
        <w:tc>
          <w:tcPr>
            <w:tcW w:w="212"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989</w:t>
            </w:r>
          </w:p>
        </w:tc>
        <w:tc>
          <w:tcPr>
            <w:tcW w:w="207" w:type="pct"/>
            <w:tcBorders>
              <w:bottom w:val="single" w:sz="4" w:space="0" w:color="auto"/>
            </w:tcBorders>
            <w:shd w:val="clear" w:color="auto" w:fill="auto"/>
            <w:vAlign w:val="bottom"/>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989</w:t>
            </w:r>
          </w:p>
        </w:tc>
      </w:tr>
    </w:tbl>
    <w:p w:rsidR="003B0DEE" w:rsidRDefault="003B0DEE" w:rsidP="000D5D90">
      <w:pPr>
        <w:spacing w:after="200" w:line="276" w:lineRule="auto"/>
      </w:pP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b/>
          <w:sz w:val="20"/>
        </w:rPr>
      </w:pPr>
      <w:r>
        <w:br w:type="page"/>
      </w:r>
      <w:bookmarkStart w:id="73" w:name="_Toc15331997"/>
      <w:r w:rsidRPr="005502B8">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7</w:t>
      </w:r>
      <w:r>
        <w:rPr>
          <w:rFonts w:ascii="Arial" w:hAnsi="Arial" w:cs="Arial"/>
          <w:b/>
          <w:sz w:val="20"/>
        </w:rPr>
        <w:fldChar w:fldCharType="end"/>
      </w:r>
      <w:r>
        <w:rPr>
          <w:rFonts w:ascii="Arial" w:hAnsi="Arial" w:cs="Arial"/>
          <w:b/>
          <w:sz w:val="20"/>
        </w:rPr>
        <w:t xml:space="preserve">  </w:t>
      </w:r>
      <w:r w:rsidRPr="005C08E6">
        <w:rPr>
          <w:rFonts w:ascii="Arial" w:hAnsi="Arial" w:cs="Arial"/>
          <w:sz w:val="20"/>
        </w:rPr>
        <w:t>Significant trends in incidence rates and annual percentage change (APC) of first-time opioid treatment admissions per year and age group</w:t>
      </w:r>
      <w:bookmarkEnd w:id="73"/>
    </w:p>
    <w:tbl>
      <w:tblPr>
        <w:tblW w:w="5070" w:type="pct"/>
        <w:tblLayout w:type="fixed"/>
        <w:tblLook w:val="04A0" w:firstRow="1" w:lastRow="0" w:firstColumn="1" w:lastColumn="0" w:noHBand="0" w:noVBand="1"/>
      </w:tblPr>
      <w:tblGrid>
        <w:gridCol w:w="788"/>
        <w:gridCol w:w="1175"/>
        <w:gridCol w:w="1361"/>
        <w:gridCol w:w="1304"/>
        <w:gridCol w:w="1178"/>
        <w:gridCol w:w="1473"/>
        <w:gridCol w:w="1362"/>
        <w:gridCol w:w="1194"/>
        <w:gridCol w:w="1305"/>
        <w:gridCol w:w="1362"/>
        <w:gridCol w:w="1191"/>
        <w:gridCol w:w="1302"/>
      </w:tblGrid>
      <w:tr w:rsidR="003B0DEE" w:rsidRPr="005502B8" w:rsidTr="000D5D90">
        <w:tc>
          <w:tcPr>
            <w:tcW w:w="263"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Type</w:t>
            </w:r>
          </w:p>
        </w:tc>
        <w:tc>
          <w:tcPr>
            <w:tcW w:w="392"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Period 1</w:t>
            </w:r>
          </w:p>
        </w:tc>
        <w:tc>
          <w:tcPr>
            <w:tcW w:w="454"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APC</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APC)</w:t>
            </w:r>
          </w:p>
        </w:tc>
        <w:tc>
          <w:tcPr>
            <w:tcW w:w="435"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First Joinpoint</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of Joinpoint)</w:t>
            </w:r>
          </w:p>
        </w:tc>
        <w:tc>
          <w:tcPr>
            <w:tcW w:w="393"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Period 2</w:t>
            </w:r>
          </w:p>
        </w:tc>
        <w:tc>
          <w:tcPr>
            <w:tcW w:w="491"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APC</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APC)</w:t>
            </w:r>
          </w:p>
        </w:tc>
        <w:tc>
          <w:tcPr>
            <w:tcW w:w="454"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Second Joinpoint</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of Joinpoint)</w:t>
            </w:r>
          </w:p>
        </w:tc>
        <w:tc>
          <w:tcPr>
            <w:tcW w:w="398"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Period 3</w:t>
            </w:r>
          </w:p>
        </w:tc>
        <w:tc>
          <w:tcPr>
            <w:tcW w:w="435"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APC</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APC)</w:t>
            </w:r>
          </w:p>
        </w:tc>
        <w:tc>
          <w:tcPr>
            <w:tcW w:w="454"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Third Joinpoint</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of Joinpoint)</w:t>
            </w:r>
          </w:p>
        </w:tc>
        <w:tc>
          <w:tcPr>
            <w:tcW w:w="397"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Period 4</w:t>
            </w:r>
          </w:p>
        </w:tc>
        <w:tc>
          <w:tcPr>
            <w:tcW w:w="434" w:type="pct"/>
            <w:tcBorders>
              <w:top w:val="single" w:sz="4" w:space="0" w:color="000000"/>
              <w:bottom w:val="single" w:sz="4" w:space="0" w:color="000000"/>
            </w:tcBorders>
            <w:shd w:val="clear" w:color="auto" w:fill="auto"/>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APC</w:t>
            </w:r>
          </w:p>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(95% CI APC)</w:t>
            </w:r>
          </w:p>
        </w:tc>
      </w:tr>
      <w:tr w:rsidR="003B0DEE" w:rsidRPr="005502B8" w:rsidTr="000D5D90">
        <w:tc>
          <w:tcPr>
            <w:tcW w:w="4999" w:type="pct"/>
            <w:gridSpan w:val="12"/>
            <w:tcBorders>
              <w:top w:val="single" w:sz="4" w:space="0" w:color="000000"/>
            </w:tcBorders>
            <w:shd w:val="clear" w:color="auto" w:fill="D9D9D9"/>
          </w:tcPr>
          <w:p w:rsidR="003B0DEE" w:rsidRPr="005502B8" w:rsidRDefault="003B0DEE" w:rsidP="000D5D90">
            <w:pPr>
              <w:spacing w:line="240" w:lineRule="auto"/>
              <w:jc w:val="left"/>
              <w:rPr>
                <w:rFonts w:ascii="Arial" w:hAnsi="Arial" w:cs="Arial"/>
                <w:color w:val="000000"/>
                <w:sz w:val="18"/>
                <w:szCs w:val="18"/>
                <w:lang w:eastAsia="en-US"/>
              </w:rPr>
            </w:pPr>
            <w:r w:rsidRPr="005502B8">
              <w:rPr>
                <w:rFonts w:ascii="Arial" w:hAnsi="Arial" w:cs="Arial"/>
                <w:b/>
                <w:color w:val="000000"/>
                <w:sz w:val="18"/>
                <w:szCs w:val="18"/>
                <w:lang w:eastAsia="en-US"/>
              </w:rPr>
              <w:t xml:space="preserve">Overall </w:t>
            </w:r>
            <w:r w:rsidRPr="005502B8">
              <w:rPr>
                <w:rFonts w:ascii="Arial" w:hAnsi="Arial" w:cs="Arial"/>
                <w:b/>
                <w:color w:val="000000"/>
                <w:sz w:val="18"/>
                <w:szCs w:val="18"/>
                <w:shd w:val="clear" w:color="auto" w:fill="D9D9D9"/>
                <w:lang w:eastAsia="en-US"/>
              </w:rPr>
              <w:t xml:space="preserve">age-adjusted incidence </w:t>
            </w:r>
            <w:r w:rsidRPr="005502B8">
              <w:rPr>
                <w:rFonts w:ascii="Arial" w:hAnsi="Arial" w:cs="Arial"/>
                <w:b/>
                <w:sz w:val="18"/>
                <w:szCs w:val="18"/>
                <w:shd w:val="clear" w:color="auto" w:fill="D9D9D9"/>
                <w:lang w:eastAsia="en-US"/>
              </w:rPr>
              <w:t>rate per 100,000 population</w:t>
            </w: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Rate</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2005</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-4.8</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(-7.0, -2.5)</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2005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(2002,2007)</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2005</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17.4</w:t>
            </w:r>
            <w:r w:rsidRPr="005502B8">
              <w:rPr>
                <w:rFonts w:ascii="Arial" w:hAnsi="Arial" w:cs="Arial"/>
                <w:color w:val="000000"/>
                <w:sz w:val="18"/>
                <w:szCs w:val="18"/>
                <w:vertAlign w:val="superscript"/>
                <w:lang w:eastAsia="en-US"/>
              </w:rPr>
              <w:t xml:space="preserve">a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(2.1, 35.0)</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2009 (2007,2011)</w:t>
            </w:r>
          </w:p>
        </w:tc>
        <w:tc>
          <w:tcPr>
            <w:tcW w:w="398"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vertAlign w:val="superscript"/>
                <w:lang w:eastAsia="en-US"/>
              </w:rPr>
            </w:pPr>
            <w:r w:rsidRPr="005502B8">
              <w:rPr>
                <w:rFonts w:ascii="Arial" w:hAnsi="Arial" w:cs="Arial"/>
                <w:color w:val="000000"/>
                <w:sz w:val="18"/>
                <w:szCs w:val="18"/>
                <w:lang w:eastAsia="en-US"/>
              </w:rPr>
              <w:t>-6.4</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(-10.6, -2.0)</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397"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43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p>
        </w:tc>
      </w:tr>
      <w:tr w:rsidR="003B0DEE" w:rsidRPr="005502B8" w:rsidTr="000D5D90">
        <w:tc>
          <w:tcPr>
            <w:tcW w:w="5000" w:type="pct"/>
            <w:gridSpan w:val="12"/>
            <w:shd w:val="clear" w:color="auto" w:fill="D9D9D9"/>
          </w:tcPr>
          <w:p w:rsidR="003B0DEE" w:rsidRPr="005502B8" w:rsidRDefault="003B0DEE" w:rsidP="000D5D90">
            <w:pPr>
              <w:spacing w:line="240" w:lineRule="auto"/>
              <w:jc w:val="left"/>
              <w:rPr>
                <w:rFonts w:ascii="Arial" w:hAnsi="Arial" w:cs="Arial"/>
                <w:b/>
                <w:color w:val="000000"/>
                <w:sz w:val="18"/>
                <w:szCs w:val="18"/>
                <w:lang w:eastAsia="en-US"/>
              </w:rPr>
            </w:pPr>
            <w:r w:rsidRPr="005502B8">
              <w:rPr>
                <w:rFonts w:ascii="Arial" w:hAnsi="Arial" w:cs="Arial"/>
                <w:b/>
                <w:color w:val="000000"/>
                <w:sz w:val="18"/>
                <w:szCs w:val="18"/>
                <w:lang w:eastAsia="en-US"/>
              </w:rPr>
              <w:t xml:space="preserve">Age groups (years) – crude </w:t>
            </w:r>
            <w:r w:rsidRPr="005502B8">
              <w:rPr>
                <w:rFonts w:ascii="Arial" w:hAnsi="Arial" w:cs="Arial"/>
                <w:b/>
                <w:color w:val="000000"/>
                <w:sz w:val="18"/>
                <w:szCs w:val="18"/>
                <w:shd w:val="clear" w:color="auto" w:fill="D9D9D9"/>
                <w:lang w:eastAsia="en-US"/>
              </w:rPr>
              <w:t xml:space="preserve">incidence </w:t>
            </w:r>
            <w:r w:rsidRPr="005502B8">
              <w:rPr>
                <w:rFonts w:ascii="Arial" w:hAnsi="Arial" w:cs="Arial"/>
                <w:b/>
                <w:sz w:val="18"/>
                <w:szCs w:val="18"/>
                <w:shd w:val="clear" w:color="auto" w:fill="D9D9D9"/>
                <w:lang w:eastAsia="en-US"/>
              </w:rPr>
              <w:t>rate per 100,000 population</w:t>
            </w: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15-19</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2004</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-20.6</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(-24.0,-17.1)</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2004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(2000,2006)</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2004</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10.3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(-114.8,-42.8)</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2009 (2006,2012)</w:t>
            </w:r>
          </w:p>
        </w:tc>
        <w:tc>
          <w:tcPr>
            <w:tcW w:w="398"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vertAlign w:val="superscript"/>
                <w:lang w:eastAsia="en-US"/>
              </w:rPr>
            </w:pPr>
            <w:r w:rsidRPr="005502B8">
              <w:rPr>
                <w:rFonts w:ascii="Arial" w:hAnsi="Arial" w:cs="Arial"/>
                <w:color w:val="000000"/>
                <w:sz w:val="18"/>
                <w:szCs w:val="18"/>
                <w:lang w:eastAsia="en-US"/>
              </w:rPr>
              <w:t>-24.7</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(-37.4, -9.5)</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397"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p>
        </w:tc>
        <w:tc>
          <w:tcPr>
            <w:tcW w:w="43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20-24</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2001</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-3.9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(-8.2,0.6)</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2001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(1997,2004)</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2001</w:t>
            </w:r>
            <w:r>
              <w:rPr>
                <w:rFonts w:ascii="Arial" w:hAnsi="Arial" w:cs="Arial"/>
                <w:color w:val="000000"/>
                <w:sz w:val="18"/>
                <w:szCs w:val="18"/>
                <w:lang w:eastAsia="en-US"/>
              </w:rPr>
              <w:t>–</w:t>
            </w:r>
            <w:r w:rsidRPr="005502B8">
              <w:rPr>
                <w:rFonts w:ascii="Arial" w:hAnsi="Arial" w:cs="Arial"/>
                <w:color w:val="000000"/>
                <w:sz w:val="18"/>
                <w:szCs w:val="18"/>
                <w:lang w:eastAsia="en-US"/>
              </w:rPr>
              <w:t>2005</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-14.3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(-27.2, 0.8)</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2005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(2003, 2008)</w:t>
            </w:r>
          </w:p>
        </w:tc>
        <w:tc>
          <w:tcPr>
            <w:tcW w:w="398"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2005</w:t>
            </w:r>
            <w:r>
              <w:rPr>
                <w:rFonts w:ascii="Arial" w:hAnsi="Arial" w:cs="Arial"/>
                <w:color w:val="000000"/>
                <w:sz w:val="18"/>
                <w:szCs w:val="18"/>
                <w:lang w:eastAsia="en-US"/>
              </w:rPr>
              <w:t>–</w:t>
            </w:r>
            <w:r w:rsidRPr="005502B8">
              <w:rPr>
                <w:rFonts w:ascii="Arial" w:hAnsi="Arial" w:cs="Arial"/>
                <w:color w:val="000000"/>
                <w:sz w:val="18"/>
                <w:szCs w:val="18"/>
                <w:lang w:eastAsia="en-US"/>
              </w:rPr>
              <w:t>2010</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vertAlign w:val="superscript"/>
                <w:lang w:eastAsia="en-US"/>
              </w:rPr>
            </w:pPr>
            <w:r w:rsidRPr="005502B8">
              <w:rPr>
                <w:rFonts w:ascii="Arial" w:hAnsi="Arial" w:cs="Arial"/>
                <w:color w:val="000000"/>
                <w:sz w:val="18"/>
                <w:szCs w:val="18"/>
                <w:lang w:eastAsia="en-US"/>
              </w:rPr>
              <w:t>10.9</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(-0.4, 22.4)</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2010</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(2008, 2012)</w:t>
            </w:r>
          </w:p>
        </w:tc>
        <w:tc>
          <w:tcPr>
            <w:tcW w:w="397"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2010</w:t>
            </w:r>
            <w:r>
              <w:rPr>
                <w:rFonts w:ascii="Arial" w:hAnsi="Arial" w:cs="Arial"/>
                <w:color w:val="000000"/>
                <w:sz w:val="18"/>
                <w:szCs w:val="18"/>
                <w:lang w:eastAsia="en-US"/>
              </w:rPr>
              <w:t>–</w:t>
            </w:r>
            <w:r w:rsidRPr="005502B8">
              <w:rPr>
                <w:rFonts w:ascii="Arial" w:hAnsi="Arial" w:cs="Arial"/>
                <w:color w:val="000000"/>
                <w:sz w:val="18"/>
                <w:szCs w:val="18"/>
                <w:lang w:eastAsia="en-US"/>
              </w:rPr>
              <w:t>2015</w:t>
            </w:r>
          </w:p>
        </w:tc>
        <w:tc>
          <w:tcPr>
            <w:tcW w:w="43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-16.0</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(-23.4, -7.9)</w:t>
            </w: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25-29</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2001</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8.6</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(3.0,14.6)</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2001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(1997,2007)</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2001</w:t>
            </w:r>
            <w:r>
              <w:rPr>
                <w:rFonts w:ascii="Arial" w:hAnsi="Arial" w:cs="Arial"/>
                <w:color w:val="000000"/>
                <w:sz w:val="18"/>
                <w:szCs w:val="18"/>
                <w:lang w:eastAsia="en-US"/>
              </w:rPr>
              <w:t>–</w:t>
            </w:r>
            <w:r w:rsidRPr="005502B8">
              <w:rPr>
                <w:rFonts w:ascii="Arial" w:hAnsi="Arial" w:cs="Arial"/>
                <w:color w:val="000000"/>
                <w:sz w:val="18"/>
                <w:szCs w:val="18"/>
                <w:lang w:eastAsia="en-US"/>
              </w:rPr>
              <w:t>2004</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-8.5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(-29.9, 19.3)</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2004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(2002, 2010)</w:t>
            </w:r>
          </w:p>
        </w:tc>
        <w:tc>
          <w:tcPr>
            <w:tcW w:w="398"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2004</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vertAlign w:val="superscript"/>
                <w:lang w:eastAsia="en-US"/>
              </w:rPr>
            </w:pPr>
            <w:r w:rsidRPr="005502B8">
              <w:rPr>
                <w:rFonts w:ascii="Arial" w:hAnsi="Arial" w:cs="Arial"/>
                <w:color w:val="000000"/>
                <w:sz w:val="18"/>
                <w:szCs w:val="18"/>
                <w:lang w:eastAsia="en-US"/>
              </w:rPr>
              <w:t>11.7</w:t>
            </w:r>
            <w:r w:rsidRPr="005502B8">
              <w:rPr>
                <w:rFonts w:ascii="Arial" w:hAnsi="Arial" w:cs="Arial"/>
                <w:color w:val="000000"/>
                <w:sz w:val="18"/>
                <w:szCs w:val="18"/>
                <w:vertAlign w:val="superscript"/>
                <w:lang w:eastAsia="en-US"/>
              </w:rPr>
              <w:t>a</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(3.8, 20.1)</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2009</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(2007, 2013)</w:t>
            </w:r>
          </w:p>
        </w:tc>
        <w:tc>
          <w:tcPr>
            <w:tcW w:w="397"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3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-4.5</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(-8.0, -0.8)</w:t>
            </w: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30-34</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11.5</w:t>
            </w:r>
            <w:r w:rsidRPr="005502B8">
              <w:rPr>
                <w:rFonts w:ascii="Arial" w:hAnsi="Arial" w:cs="Arial"/>
                <w:color w:val="000000"/>
                <w:sz w:val="18"/>
                <w:szCs w:val="18"/>
                <w:vertAlign w:val="superscript"/>
                <w:lang w:eastAsia="en-US"/>
              </w:rPr>
              <w:t xml:space="preserve">a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(9.4,13.5)</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2009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(2008,2011)</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-3.3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(-7.2, 0.9)</w:t>
            </w:r>
          </w:p>
        </w:tc>
        <w:tc>
          <w:tcPr>
            <w:tcW w:w="454" w:type="pct"/>
            <w:shd w:val="clear" w:color="auto" w:fill="auto"/>
          </w:tcPr>
          <w:p w:rsidR="003B0DEE" w:rsidRPr="005502B8" w:rsidRDefault="003B0DEE" w:rsidP="000D5D90">
            <w:pPr>
              <w:rPr>
                <w:rFonts w:ascii="Arial" w:hAnsi="Arial" w:cs="Arial"/>
                <w:color w:val="000000"/>
                <w:sz w:val="18"/>
                <w:szCs w:val="18"/>
                <w:lang w:eastAsia="en-US"/>
              </w:rPr>
            </w:pPr>
          </w:p>
        </w:tc>
        <w:tc>
          <w:tcPr>
            <w:tcW w:w="398" w:type="pct"/>
            <w:shd w:val="clear" w:color="auto" w:fill="auto"/>
          </w:tcPr>
          <w:p w:rsidR="003B0DEE" w:rsidRPr="005502B8" w:rsidRDefault="003B0DEE" w:rsidP="000D5D90">
            <w:pPr>
              <w:jc w:val="right"/>
              <w:rPr>
                <w:rFonts w:ascii="Arial" w:hAnsi="Arial" w:cs="Arial"/>
                <w:color w:val="000000"/>
                <w:sz w:val="18"/>
                <w:szCs w:val="18"/>
                <w:lang w:eastAsia="en-US"/>
              </w:rPr>
            </w:pPr>
          </w:p>
        </w:tc>
        <w:tc>
          <w:tcPr>
            <w:tcW w:w="435" w:type="pct"/>
            <w:shd w:val="clear" w:color="auto" w:fill="auto"/>
          </w:tcPr>
          <w:p w:rsidR="003B0DEE" w:rsidRPr="005502B8" w:rsidRDefault="003B0DEE" w:rsidP="000D5D90">
            <w:pPr>
              <w:rPr>
                <w:rFonts w:ascii="Arial" w:hAnsi="Arial" w:cs="Arial"/>
                <w:color w:val="000000"/>
                <w:sz w:val="18"/>
                <w:szCs w:val="18"/>
                <w:lang w:eastAsia="en-US"/>
              </w:rPr>
            </w:pPr>
          </w:p>
        </w:tc>
        <w:tc>
          <w:tcPr>
            <w:tcW w:w="454" w:type="pct"/>
            <w:shd w:val="clear" w:color="auto" w:fill="auto"/>
          </w:tcPr>
          <w:p w:rsidR="003B0DEE" w:rsidRPr="005502B8" w:rsidRDefault="003B0DEE" w:rsidP="000D5D90">
            <w:pPr>
              <w:rPr>
                <w:rFonts w:ascii="Arial" w:hAnsi="Arial" w:cs="Arial"/>
                <w:color w:val="000000"/>
                <w:sz w:val="18"/>
                <w:szCs w:val="18"/>
                <w:lang w:eastAsia="en-US"/>
              </w:rPr>
            </w:pPr>
          </w:p>
        </w:tc>
        <w:tc>
          <w:tcPr>
            <w:tcW w:w="397" w:type="pct"/>
            <w:shd w:val="clear" w:color="auto" w:fill="auto"/>
          </w:tcPr>
          <w:p w:rsidR="003B0DEE" w:rsidRPr="005502B8" w:rsidRDefault="003B0DEE" w:rsidP="000D5D90">
            <w:pPr>
              <w:rPr>
                <w:rFonts w:ascii="Arial" w:hAnsi="Arial" w:cs="Arial"/>
                <w:color w:val="000000"/>
                <w:sz w:val="18"/>
                <w:szCs w:val="18"/>
                <w:lang w:eastAsia="en-US"/>
              </w:rPr>
            </w:pPr>
          </w:p>
        </w:tc>
        <w:tc>
          <w:tcPr>
            <w:tcW w:w="434" w:type="pct"/>
            <w:shd w:val="clear" w:color="auto" w:fill="auto"/>
          </w:tcPr>
          <w:p w:rsidR="003B0DEE" w:rsidRPr="005502B8" w:rsidRDefault="003B0DEE" w:rsidP="000D5D90">
            <w:pPr>
              <w:rPr>
                <w:rFonts w:ascii="Arial" w:hAnsi="Arial" w:cs="Arial"/>
                <w:color w:val="000000"/>
                <w:sz w:val="18"/>
                <w:szCs w:val="18"/>
                <w:lang w:eastAsia="en-US"/>
              </w:rPr>
            </w:pP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35-39</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2004</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4.1</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(-3.9,12.8)</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2004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(1999,2007)</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2004</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29.5</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(10.2,52.3)</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2009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(2006, 2010)</w:t>
            </w:r>
          </w:p>
        </w:tc>
        <w:tc>
          <w:tcPr>
            <w:tcW w:w="398"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-3.9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(-9.9, 2.5)</w:t>
            </w:r>
          </w:p>
        </w:tc>
        <w:tc>
          <w:tcPr>
            <w:tcW w:w="454" w:type="pct"/>
            <w:shd w:val="clear" w:color="auto" w:fill="auto"/>
          </w:tcPr>
          <w:p w:rsidR="003B0DEE" w:rsidRPr="005502B8" w:rsidRDefault="003B0DEE" w:rsidP="000D5D90">
            <w:pPr>
              <w:rPr>
                <w:rFonts w:ascii="Arial" w:hAnsi="Arial" w:cs="Arial"/>
                <w:color w:val="000000"/>
                <w:sz w:val="18"/>
                <w:szCs w:val="18"/>
                <w:lang w:eastAsia="en-US"/>
              </w:rPr>
            </w:pPr>
          </w:p>
        </w:tc>
        <w:tc>
          <w:tcPr>
            <w:tcW w:w="397" w:type="pct"/>
            <w:shd w:val="clear" w:color="auto" w:fill="auto"/>
          </w:tcPr>
          <w:p w:rsidR="003B0DEE" w:rsidRPr="005502B8" w:rsidRDefault="003B0DEE" w:rsidP="000D5D90">
            <w:pPr>
              <w:rPr>
                <w:rFonts w:ascii="Arial" w:hAnsi="Arial" w:cs="Arial"/>
                <w:color w:val="000000"/>
                <w:sz w:val="18"/>
                <w:szCs w:val="18"/>
                <w:lang w:eastAsia="en-US"/>
              </w:rPr>
            </w:pPr>
          </w:p>
        </w:tc>
        <w:tc>
          <w:tcPr>
            <w:tcW w:w="434" w:type="pct"/>
            <w:shd w:val="clear" w:color="auto" w:fill="auto"/>
          </w:tcPr>
          <w:p w:rsidR="003B0DEE" w:rsidRPr="005502B8" w:rsidRDefault="003B0DEE" w:rsidP="000D5D90">
            <w:pPr>
              <w:rPr>
                <w:rFonts w:ascii="Arial" w:hAnsi="Arial" w:cs="Arial"/>
                <w:color w:val="000000"/>
                <w:sz w:val="18"/>
                <w:szCs w:val="18"/>
                <w:lang w:eastAsia="en-US"/>
              </w:rPr>
            </w:pPr>
          </w:p>
        </w:tc>
      </w:tr>
      <w:tr w:rsidR="003B0DEE" w:rsidRPr="005502B8" w:rsidTr="000D5D90">
        <w:tc>
          <w:tcPr>
            <w:tcW w:w="263"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40-44</w:t>
            </w:r>
          </w:p>
        </w:tc>
        <w:tc>
          <w:tcPr>
            <w:tcW w:w="392"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2009</w:t>
            </w:r>
          </w:p>
        </w:tc>
        <w:tc>
          <w:tcPr>
            <w:tcW w:w="454"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17.5</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(12.7,22.6)</w:t>
            </w:r>
          </w:p>
        </w:tc>
        <w:tc>
          <w:tcPr>
            <w:tcW w:w="435"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2009</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(2007,2011)</w:t>
            </w:r>
          </w:p>
        </w:tc>
        <w:tc>
          <w:tcPr>
            <w:tcW w:w="393" w:type="pct"/>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2009–2015</w:t>
            </w:r>
          </w:p>
        </w:tc>
        <w:tc>
          <w:tcPr>
            <w:tcW w:w="491" w:type="pct"/>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 xml:space="preserve">-0.8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(-8.2,7.1)</w:t>
            </w:r>
          </w:p>
        </w:tc>
        <w:tc>
          <w:tcPr>
            <w:tcW w:w="454" w:type="pct"/>
            <w:shd w:val="clear" w:color="auto" w:fill="auto"/>
          </w:tcPr>
          <w:p w:rsidR="003B0DEE" w:rsidRPr="005502B8" w:rsidRDefault="003B0DEE" w:rsidP="000D5D90">
            <w:pPr>
              <w:rPr>
                <w:rFonts w:ascii="Arial" w:hAnsi="Arial" w:cs="Arial"/>
                <w:color w:val="000000"/>
                <w:sz w:val="18"/>
                <w:szCs w:val="18"/>
                <w:lang w:eastAsia="en-US"/>
              </w:rPr>
            </w:pPr>
          </w:p>
        </w:tc>
        <w:tc>
          <w:tcPr>
            <w:tcW w:w="398" w:type="pct"/>
            <w:shd w:val="clear" w:color="auto" w:fill="auto"/>
          </w:tcPr>
          <w:p w:rsidR="003B0DEE" w:rsidRPr="005502B8" w:rsidRDefault="003B0DEE" w:rsidP="000D5D90">
            <w:pPr>
              <w:jc w:val="right"/>
              <w:rPr>
                <w:rFonts w:ascii="Arial" w:hAnsi="Arial" w:cs="Arial"/>
                <w:color w:val="000000"/>
                <w:sz w:val="18"/>
                <w:szCs w:val="18"/>
                <w:lang w:eastAsia="en-US"/>
              </w:rPr>
            </w:pPr>
          </w:p>
        </w:tc>
        <w:tc>
          <w:tcPr>
            <w:tcW w:w="435" w:type="pct"/>
            <w:shd w:val="clear" w:color="auto" w:fill="auto"/>
          </w:tcPr>
          <w:p w:rsidR="003B0DEE" w:rsidRPr="005502B8" w:rsidRDefault="003B0DEE" w:rsidP="000D5D90">
            <w:pPr>
              <w:rPr>
                <w:rFonts w:ascii="Arial" w:hAnsi="Arial" w:cs="Arial"/>
                <w:color w:val="000000"/>
                <w:sz w:val="18"/>
                <w:szCs w:val="18"/>
                <w:lang w:eastAsia="en-US"/>
              </w:rPr>
            </w:pPr>
          </w:p>
        </w:tc>
        <w:tc>
          <w:tcPr>
            <w:tcW w:w="454" w:type="pct"/>
            <w:shd w:val="clear" w:color="auto" w:fill="auto"/>
          </w:tcPr>
          <w:p w:rsidR="003B0DEE" w:rsidRPr="005502B8" w:rsidRDefault="003B0DEE" w:rsidP="000D5D90">
            <w:pPr>
              <w:rPr>
                <w:rFonts w:ascii="Arial" w:hAnsi="Arial" w:cs="Arial"/>
                <w:color w:val="000000"/>
                <w:sz w:val="18"/>
                <w:szCs w:val="18"/>
                <w:lang w:eastAsia="en-US"/>
              </w:rPr>
            </w:pPr>
          </w:p>
        </w:tc>
        <w:tc>
          <w:tcPr>
            <w:tcW w:w="397" w:type="pct"/>
            <w:shd w:val="clear" w:color="auto" w:fill="auto"/>
          </w:tcPr>
          <w:p w:rsidR="003B0DEE" w:rsidRPr="005502B8" w:rsidRDefault="003B0DEE" w:rsidP="000D5D90">
            <w:pPr>
              <w:rPr>
                <w:rFonts w:ascii="Arial" w:hAnsi="Arial" w:cs="Arial"/>
                <w:color w:val="000000"/>
                <w:sz w:val="18"/>
                <w:szCs w:val="18"/>
                <w:lang w:eastAsia="en-US"/>
              </w:rPr>
            </w:pPr>
          </w:p>
        </w:tc>
        <w:tc>
          <w:tcPr>
            <w:tcW w:w="434" w:type="pct"/>
            <w:shd w:val="clear" w:color="auto" w:fill="auto"/>
          </w:tcPr>
          <w:p w:rsidR="003B0DEE" w:rsidRPr="005502B8" w:rsidRDefault="003B0DEE" w:rsidP="000D5D90">
            <w:pPr>
              <w:rPr>
                <w:rFonts w:ascii="Arial" w:hAnsi="Arial" w:cs="Arial"/>
                <w:color w:val="000000"/>
                <w:sz w:val="18"/>
                <w:szCs w:val="18"/>
                <w:lang w:eastAsia="en-US"/>
              </w:rPr>
            </w:pPr>
          </w:p>
        </w:tc>
      </w:tr>
      <w:tr w:rsidR="003B0DEE" w:rsidRPr="005502B8" w:rsidTr="000D5D90">
        <w:tc>
          <w:tcPr>
            <w:tcW w:w="263"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45-49</w:t>
            </w:r>
          </w:p>
        </w:tc>
        <w:tc>
          <w:tcPr>
            <w:tcW w:w="392" w:type="pct"/>
            <w:tcBorders>
              <w:bottom w:val="single" w:sz="4" w:space="0" w:color="000000"/>
            </w:tcBorders>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1995</w:t>
            </w:r>
            <w:r>
              <w:rPr>
                <w:rFonts w:ascii="Arial" w:hAnsi="Arial" w:cs="Arial"/>
                <w:color w:val="000000"/>
                <w:sz w:val="18"/>
                <w:szCs w:val="18"/>
                <w:lang w:eastAsia="en-US"/>
              </w:rPr>
              <w:t>–</w:t>
            </w:r>
            <w:r w:rsidRPr="005502B8">
              <w:rPr>
                <w:rFonts w:ascii="Arial" w:hAnsi="Arial" w:cs="Arial"/>
                <w:color w:val="000000"/>
                <w:sz w:val="18"/>
                <w:szCs w:val="18"/>
                <w:lang w:eastAsia="en-US"/>
              </w:rPr>
              <w:t>2008</w:t>
            </w:r>
          </w:p>
        </w:tc>
        <w:tc>
          <w:tcPr>
            <w:tcW w:w="454"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20.2</w:t>
            </w:r>
            <w:r w:rsidRPr="005502B8">
              <w:rPr>
                <w:rFonts w:ascii="Arial" w:hAnsi="Arial" w:cs="Arial"/>
                <w:color w:val="000000"/>
                <w:sz w:val="18"/>
                <w:szCs w:val="18"/>
                <w:vertAlign w:val="superscript"/>
                <w:lang w:eastAsia="en-US"/>
              </w:rPr>
              <w:t>a</w:t>
            </w:r>
            <w:r w:rsidRPr="005502B8">
              <w:rPr>
                <w:rFonts w:ascii="Arial" w:hAnsi="Arial" w:cs="Arial"/>
                <w:color w:val="000000"/>
                <w:sz w:val="18"/>
                <w:szCs w:val="18"/>
                <w:lang w:eastAsia="en-US"/>
              </w:rPr>
              <w:t xml:space="preserve"> </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(11.1,30.0)</w:t>
            </w:r>
          </w:p>
        </w:tc>
        <w:tc>
          <w:tcPr>
            <w:tcW w:w="435"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2008</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(2005,2010)</w:t>
            </w:r>
          </w:p>
        </w:tc>
        <w:tc>
          <w:tcPr>
            <w:tcW w:w="393" w:type="pct"/>
            <w:tcBorders>
              <w:bottom w:val="single" w:sz="4" w:space="0" w:color="000000"/>
            </w:tcBorders>
            <w:shd w:val="clear" w:color="auto" w:fill="auto"/>
          </w:tcPr>
          <w:p w:rsidR="003B0DEE" w:rsidRPr="005502B8" w:rsidRDefault="003B0DEE" w:rsidP="000D5D90">
            <w:pPr>
              <w:spacing w:line="240" w:lineRule="auto"/>
              <w:jc w:val="right"/>
              <w:rPr>
                <w:rFonts w:ascii="Arial" w:hAnsi="Arial" w:cs="Arial"/>
                <w:color w:val="000000"/>
                <w:sz w:val="18"/>
                <w:szCs w:val="18"/>
                <w:lang w:eastAsia="en-US"/>
              </w:rPr>
            </w:pPr>
            <w:r w:rsidRPr="005502B8">
              <w:rPr>
                <w:rFonts w:ascii="Arial" w:hAnsi="Arial" w:cs="Arial"/>
                <w:color w:val="000000"/>
                <w:sz w:val="18"/>
                <w:szCs w:val="18"/>
                <w:lang w:eastAsia="en-US"/>
              </w:rPr>
              <w:t>2008</w:t>
            </w:r>
            <w:r>
              <w:rPr>
                <w:rFonts w:ascii="Arial" w:hAnsi="Arial" w:cs="Arial"/>
                <w:color w:val="000000"/>
                <w:sz w:val="18"/>
                <w:szCs w:val="18"/>
                <w:lang w:eastAsia="en-US"/>
              </w:rPr>
              <w:t>–</w:t>
            </w:r>
            <w:r w:rsidRPr="005502B8">
              <w:rPr>
                <w:rFonts w:ascii="Arial" w:hAnsi="Arial" w:cs="Arial"/>
                <w:color w:val="000000"/>
                <w:sz w:val="18"/>
                <w:szCs w:val="18"/>
                <w:lang w:eastAsia="en-US"/>
              </w:rPr>
              <w:t>2015</w:t>
            </w:r>
          </w:p>
        </w:tc>
        <w:tc>
          <w:tcPr>
            <w:tcW w:w="491"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-2.2</w:t>
            </w:r>
          </w:p>
          <w:p w:rsidR="003B0DEE" w:rsidRPr="005502B8" w:rsidRDefault="003B0DEE" w:rsidP="000D5D90">
            <w:pPr>
              <w:spacing w:line="240" w:lineRule="auto"/>
              <w:rPr>
                <w:rFonts w:ascii="Arial" w:hAnsi="Arial" w:cs="Arial"/>
                <w:color w:val="000000"/>
                <w:sz w:val="18"/>
                <w:szCs w:val="18"/>
                <w:lang w:eastAsia="en-US"/>
              </w:rPr>
            </w:pPr>
            <w:r w:rsidRPr="005502B8">
              <w:rPr>
                <w:rFonts w:ascii="Arial" w:hAnsi="Arial" w:cs="Arial"/>
                <w:color w:val="000000"/>
                <w:sz w:val="18"/>
                <w:szCs w:val="18"/>
                <w:lang w:eastAsia="en-US"/>
              </w:rPr>
              <w:t>(-10.2,6.5)</w:t>
            </w:r>
          </w:p>
        </w:tc>
        <w:tc>
          <w:tcPr>
            <w:tcW w:w="454"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398"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435"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454"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397"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c>
          <w:tcPr>
            <w:tcW w:w="434" w:type="pct"/>
            <w:tcBorders>
              <w:bottom w:val="single" w:sz="4" w:space="0" w:color="000000"/>
            </w:tcBorders>
            <w:shd w:val="clear" w:color="auto" w:fill="auto"/>
          </w:tcPr>
          <w:p w:rsidR="003B0DEE" w:rsidRPr="005502B8" w:rsidRDefault="003B0DEE" w:rsidP="000D5D90">
            <w:pPr>
              <w:spacing w:line="240" w:lineRule="auto"/>
              <w:rPr>
                <w:rFonts w:ascii="Arial" w:hAnsi="Arial" w:cs="Arial"/>
                <w:color w:val="000000"/>
                <w:sz w:val="18"/>
                <w:szCs w:val="18"/>
                <w:lang w:eastAsia="en-US"/>
              </w:rPr>
            </w:pPr>
          </w:p>
        </w:tc>
      </w:tr>
    </w:tbl>
    <w:p w:rsidR="003B0DEE" w:rsidRPr="005502B8" w:rsidRDefault="003B0DEE" w:rsidP="000D5D90">
      <w:pPr>
        <w:spacing w:line="240" w:lineRule="auto"/>
        <w:jc w:val="left"/>
        <w:rPr>
          <w:rFonts w:ascii="Arial" w:hAnsi="Arial" w:cs="Arial"/>
          <w:sz w:val="20"/>
          <w:szCs w:val="22"/>
        </w:rPr>
      </w:pPr>
      <w:r w:rsidRPr="005502B8">
        <w:rPr>
          <w:rFonts w:ascii="Arial" w:hAnsi="Arial" w:cs="Arial"/>
          <w:sz w:val="20"/>
          <w:szCs w:val="22"/>
        </w:rPr>
        <w:t>APC = Estimated per cent change per year for segment from the best fitting Joinpoint model</w:t>
      </w:r>
      <w:r w:rsidR="00C75A7D">
        <w:rPr>
          <w:rFonts w:ascii="Arial" w:hAnsi="Arial" w:cs="Arial"/>
          <w:sz w:val="20"/>
          <w:szCs w:val="22"/>
        </w:rPr>
        <w:t>.</w:t>
      </w:r>
      <w:r w:rsidRPr="005502B8">
        <w:rPr>
          <w:rFonts w:ascii="Arial" w:hAnsi="Arial" w:cs="Arial"/>
          <w:sz w:val="20"/>
          <w:szCs w:val="22"/>
        </w:rPr>
        <w:t xml:space="preserve"> </w:t>
      </w:r>
    </w:p>
    <w:p w:rsidR="003B0DEE" w:rsidRPr="005502B8" w:rsidRDefault="003B0DEE" w:rsidP="000D5D90">
      <w:pPr>
        <w:spacing w:line="240" w:lineRule="auto"/>
        <w:jc w:val="left"/>
        <w:rPr>
          <w:rFonts w:ascii="Arial" w:hAnsi="Arial" w:cs="Arial"/>
          <w:sz w:val="20"/>
          <w:szCs w:val="22"/>
        </w:rPr>
      </w:pPr>
      <w:r w:rsidRPr="005502B8">
        <w:rPr>
          <w:rFonts w:ascii="Arial" w:hAnsi="Arial" w:cs="Arial"/>
          <w:sz w:val="20"/>
          <w:szCs w:val="22"/>
          <w:vertAlign w:val="superscript"/>
        </w:rPr>
        <w:t>a</w:t>
      </w:r>
      <w:r w:rsidRPr="005502B8">
        <w:rPr>
          <w:rFonts w:ascii="Arial" w:hAnsi="Arial" w:cs="Arial"/>
          <w:sz w:val="20"/>
          <w:szCs w:val="22"/>
        </w:rPr>
        <w:t xml:space="preserve"> = APC is significantly different from zero at 0.05 level</w:t>
      </w:r>
      <w:r w:rsidR="00C75A7D">
        <w:rPr>
          <w:rFonts w:ascii="Arial" w:hAnsi="Arial" w:cs="Arial"/>
          <w:sz w:val="20"/>
          <w:szCs w:val="22"/>
        </w:rPr>
        <w:t>.</w:t>
      </w:r>
    </w:p>
    <w:p w:rsidR="003B0DEE" w:rsidRPr="005502B8" w:rsidRDefault="003B0DEE" w:rsidP="000D5D90">
      <w:pPr>
        <w:spacing w:line="240" w:lineRule="auto"/>
        <w:jc w:val="left"/>
        <w:rPr>
          <w:rFonts w:ascii="Arial" w:hAnsi="Arial" w:cs="Arial"/>
          <w:sz w:val="20"/>
          <w:szCs w:val="22"/>
        </w:rPr>
      </w:pPr>
      <w:r w:rsidRPr="005502B8">
        <w:rPr>
          <w:rFonts w:ascii="Arial" w:hAnsi="Arial" w:cs="Arial"/>
          <w:sz w:val="20"/>
          <w:szCs w:val="22"/>
        </w:rPr>
        <w:t>CI = confidence interval</w:t>
      </w:r>
      <w:r w:rsidR="00C75A7D">
        <w:rPr>
          <w:rFonts w:ascii="Arial" w:hAnsi="Arial" w:cs="Arial"/>
          <w:sz w:val="20"/>
          <w:szCs w:val="22"/>
        </w:rPr>
        <w:t>.</w:t>
      </w:r>
    </w:p>
    <w:p w:rsidR="003B0DEE" w:rsidRDefault="003B0DEE" w:rsidP="000D5D90">
      <w:pPr>
        <w:spacing w:after="200" w:line="276" w:lineRule="auto"/>
        <w:jc w:val="left"/>
        <w:sectPr w:rsidR="003B0DEE" w:rsidSect="000D5D90">
          <w:pgSz w:w="16840" w:h="11907" w:orient="landscape" w:code="9"/>
          <w:pgMar w:top="1985" w:right="1134" w:bottom="1134" w:left="1134" w:header="709" w:footer="709" w:gutter="0"/>
          <w:cols w:space="708"/>
          <w:docGrid w:linePitch="360"/>
        </w:sectPr>
      </w:pPr>
    </w:p>
    <w:p w:rsidR="003B0DEE" w:rsidRPr="006533CE" w:rsidRDefault="003B0DEE" w:rsidP="000D5D90">
      <w:pPr>
        <w:pStyle w:val="Heading2"/>
      </w:pPr>
      <w:bookmarkStart w:id="74" w:name="_Toc15331689"/>
      <w:r w:rsidRPr="006533CE">
        <w:lastRenderedPageBreak/>
        <w:t xml:space="preserve">Discussion of </w:t>
      </w:r>
      <w:r>
        <w:t>results</w:t>
      </w:r>
      <w:bookmarkEnd w:id="74"/>
      <w:r w:rsidRPr="006533CE">
        <w:t xml:space="preserve"> </w:t>
      </w:r>
    </w:p>
    <w:p w:rsidR="003B0DEE" w:rsidRPr="00976DE2" w:rsidRDefault="003B0DEE" w:rsidP="000D5D90">
      <w:pPr>
        <w:pStyle w:val="BodyText"/>
      </w:pPr>
      <w:r w:rsidRPr="00976DE2">
        <w:t>This is the first time that the data f</w:t>
      </w:r>
      <w:r>
        <w:t>rom a country within the Europe-</w:t>
      </w:r>
      <w:r w:rsidRPr="00976DE2">
        <w:t>wide EMCDDA TDI has specifically analysed opioid treatment groups and ageing in detail.  This study profiles new opioid treatment entries in Ireland and provides important findings including: (1) increasing incidence among older age groups, with a rising incidence not previously observed among those aged 45 years and older</w:t>
      </w:r>
      <w:r w:rsidRPr="00CC3637">
        <w:t>, (2) the existence of subgroups, different onset and treatment entry groups, (3) increased opioid-using duration prior to entering treatment, (4) increased rates of injecting and injecting duration prior to entering treatment</w:t>
      </w:r>
      <w:r w:rsidRPr="00976DE2">
        <w:t xml:space="preserve">.  </w:t>
      </w:r>
    </w:p>
    <w:p w:rsidR="003B0DEE" w:rsidRDefault="003B0DEE" w:rsidP="000D5D90">
      <w:pPr>
        <w:pStyle w:val="Heading3"/>
      </w:pPr>
      <w:bookmarkStart w:id="75" w:name="_Toc15331690"/>
      <w:r>
        <w:t>Results in context</w:t>
      </w:r>
      <w:bookmarkEnd w:id="75"/>
    </w:p>
    <w:p w:rsidR="003B0DEE" w:rsidRPr="00976DE2" w:rsidRDefault="003B0DEE" w:rsidP="000D5D90">
      <w:pPr>
        <w:pStyle w:val="BodyText"/>
      </w:pPr>
      <w:r w:rsidRPr="00976DE2">
        <w:t xml:space="preserve">Opioids (mainly heroin) are the most commonly reported primary illicit drug used by people entering drug treatment </w:t>
      </w:r>
      <w:r>
        <w:t xml:space="preserve">both </w:t>
      </w:r>
      <w:r w:rsidRPr="00976DE2">
        <w:t xml:space="preserve">in Ireland </w:t>
      </w:r>
      <w:r>
        <w:t xml:space="preserve">and in Europe </w:t>
      </w:r>
      <w:r>
        <w:rPr>
          <w:noProof/>
        </w:rPr>
        <w:t>(European Monitoring Centre for Drugs and Drug Addiction 2010b, 2017c, 2018b)</w:t>
      </w:r>
      <w:r w:rsidRPr="00976DE2">
        <w:t xml:space="preserve">.  The number of persons with first-time treatment episodes decreased by more than one-third from a peak of 1,489 in 2009, to 924 in 2015, a trend similar </w:t>
      </w:r>
      <w:r>
        <w:t xml:space="preserve">to that seen at European level </w:t>
      </w:r>
      <w:r>
        <w:rPr>
          <w:noProof/>
        </w:rPr>
        <w:t>(Barrio</w:t>
      </w:r>
      <w:r w:rsidRPr="00625F3F">
        <w:rPr>
          <w:i/>
          <w:noProof/>
        </w:rPr>
        <w:t xml:space="preserve"> et al.</w:t>
      </w:r>
      <w:r>
        <w:rPr>
          <w:noProof/>
        </w:rPr>
        <w:t xml:space="preserve"> 2013, European Monitoring Centre for Drugs and Drug Addiction 2017a)</w:t>
      </w:r>
      <w:r w:rsidRPr="00976DE2">
        <w:t xml:space="preserve">.  </w:t>
      </w:r>
      <w:r>
        <w:t xml:space="preserve">The increased number of treatment entrants between 2008 and 2010 reflect the expansion of treatment services outside Dublin with many new services opening in the years 2007 and 2008 </w:t>
      </w:r>
      <w:r>
        <w:rPr>
          <w:noProof/>
        </w:rPr>
        <w:t>(Farrell &amp; Barry 2010)</w:t>
      </w:r>
      <w:r>
        <w:t xml:space="preserve">.  </w:t>
      </w:r>
      <w:r w:rsidRPr="00976DE2">
        <w:t xml:space="preserve">Annual incidence rates of treated opioid use also decreased.  Decreases in the numbers of new admissions over time may be attributed to a number of factors including treatment capacity, propensity to enter treatment, time lag to treatment and data-reporting coverage </w:t>
      </w:r>
      <w:r>
        <w:rPr>
          <w:noProof/>
        </w:rPr>
        <w:t>(De la Fuente</w:t>
      </w:r>
      <w:r w:rsidRPr="00E40AAD">
        <w:rPr>
          <w:i/>
          <w:noProof/>
        </w:rPr>
        <w:t xml:space="preserve"> et al.</w:t>
      </w:r>
      <w:r>
        <w:rPr>
          <w:noProof/>
        </w:rPr>
        <w:t xml:space="preserve"> 2006, European Monitoring Centre for Drugs and Drug Addiction 2012c, 2012d)</w:t>
      </w:r>
      <w:r w:rsidRPr="00976DE2">
        <w:t xml:space="preserve">.  In the Irish context, available information suggests that decreases in the number of people entering treatment for the first time and corresponding incidence rates are likely attributed to changes in the time lag to treatment, as the analysis shows an increased duration of five years between first opioid use and </w:t>
      </w:r>
      <w:r w:rsidRPr="00CC3637">
        <w:t xml:space="preserve">first treatment.  Available information suggests that treatment capacity and data coverage are unlikely factors as </w:t>
      </w:r>
      <w:r w:rsidRPr="00976DE2">
        <w:t xml:space="preserve">the number of treatment places have increased overall </w:t>
      </w:r>
      <w:r>
        <w:rPr>
          <w:noProof/>
        </w:rPr>
        <w:t>(Comptroller and Auditor General 2009, Farrell &amp; Barry 2010, European Monitoring Centre for Drugs and Drug Addiction 2017c)</w:t>
      </w:r>
      <w:r w:rsidRPr="00976DE2">
        <w:t xml:space="preserve">, and data coverage (numbers of people and treatment centres covered by the TDI reporting system) has also remained stable or has increased, particularly in the last decade where ageing trends are noted </w:t>
      </w:r>
      <w:r>
        <w:rPr>
          <w:noProof/>
        </w:rPr>
        <w:t>(Carew</w:t>
      </w:r>
      <w:r w:rsidRPr="00791A95">
        <w:rPr>
          <w:i/>
          <w:noProof/>
        </w:rPr>
        <w:t xml:space="preserve"> et al.</w:t>
      </w:r>
      <w:r>
        <w:rPr>
          <w:noProof/>
        </w:rPr>
        <w:t xml:space="preserve"> 2009, Comptroller and Auditor General 2009)</w:t>
      </w:r>
      <w:r w:rsidRPr="00976DE2">
        <w:t xml:space="preserve">.  Trends in the number of people entering treatment for the first time can also reflect prevalence trends </w:t>
      </w:r>
      <w:r>
        <w:t xml:space="preserve">for problem opioid users </w:t>
      </w:r>
      <w:r w:rsidRPr="00976DE2">
        <w:t xml:space="preserve">as the probability of entering treatment is conditioned on having started drug use and length of use, which brings new people who use drugs into treatment </w:t>
      </w:r>
      <w:r>
        <w:rPr>
          <w:noProof/>
        </w:rPr>
        <w:t>(Barrio</w:t>
      </w:r>
      <w:r w:rsidRPr="00791A95">
        <w:rPr>
          <w:i/>
          <w:noProof/>
        </w:rPr>
        <w:t xml:space="preserve"> et al.</w:t>
      </w:r>
      <w:r>
        <w:rPr>
          <w:noProof/>
        </w:rPr>
        <w:t xml:space="preserve"> 2013)</w:t>
      </w:r>
      <w:r>
        <w:t>.</w:t>
      </w:r>
      <w:r w:rsidRPr="00976DE2">
        <w:t xml:space="preserve"> </w:t>
      </w:r>
      <w:r>
        <w:t xml:space="preserve"> H</w:t>
      </w:r>
      <w:r w:rsidRPr="00976DE2">
        <w:t xml:space="preserve">owever, in Ireland this is unlikely as the prevalence of </w:t>
      </w:r>
      <w:r>
        <w:t xml:space="preserve">problem </w:t>
      </w:r>
      <w:r w:rsidRPr="00976DE2">
        <w:t xml:space="preserve">opioid use remained relatively stable </w:t>
      </w:r>
      <w:r>
        <w:t xml:space="preserve">between 2002 and 2014 </w:t>
      </w:r>
      <w:r>
        <w:rPr>
          <w:noProof/>
        </w:rPr>
        <w:t>(Kelly</w:t>
      </w:r>
      <w:r w:rsidRPr="00791A95">
        <w:rPr>
          <w:i/>
          <w:noProof/>
        </w:rPr>
        <w:t xml:space="preserve"> et al.</w:t>
      </w:r>
      <w:r>
        <w:rPr>
          <w:noProof/>
        </w:rPr>
        <w:t xml:space="preserve"> 2003, Kelly</w:t>
      </w:r>
      <w:r w:rsidRPr="00791A95">
        <w:rPr>
          <w:i/>
          <w:noProof/>
        </w:rPr>
        <w:t xml:space="preserve"> et al.</w:t>
      </w:r>
      <w:r>
        <w:rPr>
          <w:noProof/>
        </w:rPr>
        <w:t xml:space="preserve"> 2009, Hay</w:t>
      </w:r>
      <w:r w:rsidRPr="00791A95">
        <w:rPr>
          <w:i/>
          <w:noProof/>
        </w:rPr>
        <w:t xml:space="preserve"> et al.</w:t>
      </w:r>
      <w:r>
        <w:rPr>
          <w:noProof/>
        </w:rPr>
        <w:t xml:space="preserve"> 2017)</w:t>
      </w:r>
      <w:r w:rsidRPr="00976DE2">
        <w:t xml:space="preserve">.  It is important that trends are actively monitored as past experience shows that drug problems </w:t>
      </w:r>
      <w:r>
        <w:t>occur in</w:t>
      </w:r>
      <w:r w:rsidRPr="00976DE2">
        <w:t xml:space="preserve"> epidemic waves </w:t>
      </w:r>
      <w:r>
        <w:rPr>
          <w:noProof/>
        </w:rPr>
        <w:t>(Barrio</w:t>
      </w:r>
      <w:r w:rsidRPr="00791A95">
        <w:rPr>
          <w:i/>
          <w:noProof/>
        </w:rPr>
        <w:t xml:space="preserve"> et al.</w:t>
      </w:r>
      <w:r>
        <w:rPr>
          <w:noProof/>
        </w:rPr>
        <w:t xml:space="preserve"> 2013)</w:t>
      </w:r>
      <w:r w:rsidRPr="00976DE2">
        <w:t>.  Although problem use of opioids other than heroin are small, numbers are increasing, and given that these drugs are a major problem in other regions, including North America</w:t>
      </w:r>
      <w:r>
        <w:t xml:space="preserve"> and Northern Europe</w:t>
      </w:r>
      <w:r w:rsidRPr="00976DE2">
        <w:t xml:space="preserve">, it is important that they are monitored </w:t>
      </w:r>
      <w:r>
        <w:rPr>
          <w:noProof/>
        </w:rPr>
        <w:t>(European Monitoring Centre for Drugs and Drug Addiction 2013, Chhatre</w:t>
      </w:r>
      <w:r w:rsidRPr="009E7E6A">
        <w:rPr>
          <w:i/>
          <w:noProof/>
        </w:rPr>
        <w:t xml:space="preserve"> et al.</w:t>
      </w:r>
      <w:r>
        <w:rPr>
          <w:noProof/>
        </w:rPr>
        <w:t xml:space="preserve"> 2017)</w:t>
      </w:r>
      <w:r w:rsidRPr="00976DE2">
        <w:t xml:space="preserve">. </w:t>
      </w:r>
    </w:p>
    <w:p w:rsidR="003B0DEE" w:rsidRDefault="003B0DEE" w:rsidP="000D5D90">
      <w:pPr>
        <w:pStyle w:val="Heading3"/>
      </w:pPr>
      <w:bookmarkStart w:id="76" w:name="_Toc15331691"/>
      <w:r>
        <w:lastRenderedPageBreak/>
        <w:t>Ageing</w:t>
      </w:r>
      <w:bookmarkEnd w:id="76"/>
    </w:p>
    <w:p w:rsidR="003B0DEE" w:rsidRPr="00CC3637" w:rsidRDefault="003B0DEE" w:rsidP="000D5D90">
      <w:pPr>
        <w:pStyle w:val="BodyText"/>
      </w:pPr>
      <w:r w:rsidRPr="00CC3637">
        <w:t xml:space="preserve">The growing trend of older people </w:t>
      </w:r>
      <w:r>
        <w:t>using</w:t>
      </w:r>
      <w:r w:rsidRPr="00CC3637">
        <w:t xml:space="preserve"> opioids is likely due to demographic changes, drug availability, increased life expectancy, improved treatment access and the development of harm reduction services </w:t>
      </w:r>
      <w:r>
        <w:rPr>
          <w:noProof/>
        </w:rPr>
        <w:t>(Hartnoll 1986, Substance Abuse and Mental Health Services Administration 1998, Gfroerer</w:t>
      </w:r>
      <w:r w:rsidRPr="00E40AAD">
        <w:rPr>
          <w:i/>
          <w:noProof/>
        </w:rPr>
        <w:t xml:space="preserve"> et al.</w:t>
      </w:r>
      <w:r>
        <w:rPr>
          <w:noProof/>
        </w:rPr>
        <w:t xml:space="preserve"> 2003, Colliver</w:t>
      </w:r>
      <w:r w:rsidRPr="00E40AAD">
        <w:rPr>
          <w:i/>
          <w:noProof/>
        </w:rPr>
        <w:t xml:space="preserve"> et al.</w:t>
      </w:r>
      <w:r>
        <w:rPr>
          <w:noProof/>
        </w:rPr>
        <w:t xml:space="preserve"> 2006, Simoni-Wastila &amp; Yang 2006, Substance Abuse and Mental Health Services Administration 2007, Beynon 2009, Burns</w:t>
      </w:r>
      <w:r w:rsidRPr="00E40AAD">
        <w:rPr>
          <w:i/>
          <w:noProof/>
        </w:rPr>
        <w:t xml:space="preserve"> et al.</w:t>
      </w:r>
      <w:r>
        <w:rPr>
          <w:noProof/>
        </w:rPr>
        <w:t xml:space="preserve"> 2009, Han</w:t>
      </w:r>
      <w:r w:rsidRPr="00E40AAD">
        <w:rPr>
          <w:i/>
          <w:noProof/>
        </w:rPr>
        <w:t xml:space="preserve"> et al.</w:t>
      </w:r>
      <w:r>
        <w:rPr>
          <w:noProof/>
        </w:rPr>
        <w:t xml:space="preserve"> 2009a, Johnson &amp; Sung 2009, European Monitoring Centre for Drugs and Drug Addiction 2010a, Hartnoll</w:t>
      </w:r>
      <w:r w:rsidRPr="00E40AAD">
        <w:rPr>
          <w:i/>
          <w:noProof/>
        </w:rPr>
        <w:t xml:space="preserve"> et al.</w:t>
      </w:r>
      <w:r>
        <w:rPr>
          <w:noProof/>
        </w:rPr>
        <w:t xml:space="preserve"> 2010, Australian Injecting Illicit Drug Users League 2011, Vincent &amp; Velkoff 2011, Institute of Medicine 2012, Crome</w:t>
      </w:r>
      <w:r w:rsidRPr="00E40AAD">
        <w:rPr>
          <w:i/>
          <w:noProof/>
        </w:rPr>
        <w:t xml:space="preserve"> et al.</w:t>
      </w:r>
      <w:r>
        <w:rPr>
          <w:noProof/>
        </w:rPr>
        <w:t xml:space="preserve"> 2015, Pirona</w:t>
      </w:r>
      <w:r w:rsidRPr="00E40AAD">
        <w:rPr>
          <w:i/>
          <w:noProof/>
        </w:rPr>
        <w:t xml:space="preserve"> et al.</w:t>
      </w:r>
      <w:r>
        <w:rPr>
          <w:noProof/>
        </w:rPr>
        <w:t xml:space="preserve"> 2015, United States Department of Health &amp; Human Services. Substance Abuse Mental Health Services Administration. </w:t>
      </w:r>
      <w:proofErr w:type="gramStart"/>
      <w:r>
        <w:rPr>
          <w:noProof/>
        </w:rPr>
        <w:t>Center for Behavioral Health Statistics Quality 2015)</w:t>
      </w:r>
      <w:r w:rsidRPr="00CC3637">
        <w:t>.</w:t>
      </w:r>
      <w:proofErr w:type="gramEnd"/>
      <w:r w:rsidRPr="00CC3637">
        <w:t xml:space="preserve">  The Irish population increased from 3.6 to 4.6 million people between 1995 and 2015, and the age profile has changed with decreasing proportions aged 29 years and younger and increasing proportions in older age groups </w:t>
      </w:r>
      <w:r>
        <w:rPr>
          <w:noProof/>
        </w:rPr>
        <w:t>(European Commission 2016)</w:t>
      </w:r>
      <w:r w:rsidRPr="00CC3637">
        <w:t xml:space="preserve">.  There were an estimated 18,988 (95% CI: 18,720–21,454) people with problematic </w:t>
      </w:r>
      <w:r>
        <w:t>opioid</w:t>
      </w:r>
      <w:r w:rsidRPr="00CC3637">
        <w:t xml:space="preserve"> use in Ireland in 2014, a figure broadly similar to the estimate eight years previously in 2006 (20,790, 95% CI: 18,136–23,576) </w:t>
      </w:r>
      <w:r>
        <w:rPr>
          <w:noProof/>
        </w:rPr>
        <w:t>(Hay</w:t>
      </w:r>
      <w:r w:rsidRPr="00791A95">
        <w:rPr>
          <w:i/>
          <w:noProof/>
        </w:rPr>
        <w:t xml:space="preserve"> et al.</w:t>
      </w:r>
      <w:r>
        <w:rPr>
          <w:noProof/>
        </w:rPr>
        <w:t xml:space="preserve"> 2017)</w:t>
      </w:r>
      <w:r w:rsidRPr="00CC3637">
        <w:t>.  There are no available estimates regarding the proportion requiring treatment</w:t>
      </w:r>
      <w:r>
        <w:t>.</w:t>
      </w:r>
      <w:r w:rsidRPr="00CC3637">
        <w:t xml:space="preserve"> </w:t>
      </w:r>
      <w:r>
        <w:t xml:space="preserve"> H</w:t>
      </w:r>
      <w:r w:rsidRPr="00CC3637">
        <w:t xml:space="preserve">owever, a total of 9,339 patients received </w:t>
      </w:r>
      <w:r>
        <w:t>opioid</w:t>
      </w:r>
      <w:r w:rsidRPr="00CC3637">
        <w:t xml:space="preserve"> substitute treatment (outside prisons) in December 2014 </w:t>
      </w:r>
      <w:r>
        <w:rPr>
          <w:noProof/>
        </w:rPr>
        <w:t>(Health Service Executive 2014)</w:t>
      </w:r>
      <w:r w:rsidRPr="00CC3637">
        <w:t xml:space="preserve">, and an additional 3,195 people who used </w:t>
      </w:r>
      <w:r>
        <w:t>opioid</w:t>
      </w:r>
      <w:r w:rsidRPr="00CC3637">
        <w:t xml:space="preserve">s commenced treatment (other than </w:t>
      </w:r>
      <w:r>
        <w:t>opioid</w:t>
      </w:r>
      <w:r w:rsidRPr="00CC3637">
        <w:t xml:space="preserve"> substitute treatment) in 2014 and were reported to the NDTRS.  Increasing proportions of older people using opioids along with decreased numbers of younger people are evident through epidemiological surveys and admissions to addiction services in developed countries, and this trend is likely to continue for the next two decades </w:t>
      </w:r>
      <w:r>
        <w:rPr>
          <w:noProof/>
        </w:rPr>
        <w:t>(Beynon</w:t>
      </w:r>
      <w:r w:rsidRPr="0062594C">
        <w:rPr>
          <w:i/>
          <w:noProof/>
        </w:rPr>
        <w:t xml:space="preserve"> et al.</w:t>
      </w:r>
      <w:r>
        <w:rPr>
          <w:noProof/>
        </w:rPr>
        <w:t xml:space="preserve"> 2007, Gossop 2008, Han</w:t>
      </w:r>
      <w:r w:rsidRPr="0062594C">
        <w:rPr>
          <w:i/>
          <w:noProof/>
        </w:rPr>
        <w:t xml:space="preserve"> et al.</w:t>
      </w:r>
      <w:r>
        <w:rPr>
          <w:noProof/>
        </w:rPr>
        <w:t xml:space="preserve"> 2009b, Australian Injecting Illicit Drug Users League 2011, Crome</w:t>
      </w:r>
      <w:r w:rsidRPr="0062594C">
        <w:rPr>
          <w:i/>
          <w:noProof/>
        </w:rPr>
        <w:t xml:space="preserve"> et al.</w:t>
      </w:r>
      <w:r>
        <w:rPr>
          <w:noProof/>
        </w:rPr>
        <w:t xml:space="preserve"> 2011b, Crome</w:t>
      </w:r>
      <w:r w:rsidRPr="0062594C">
        <w:rPr>
          <w:i/>
          <w:noProof/>
        </w:rPr>
        <w:t xml:space="preserve"> et al.</w:t>
      </w:r>
      <w:r>
        <w:rPr>
          <w:noProof/>
        </w:rPr>
        <w:t xml:space="preserve"> 2011a, Frances 2011, Wu &amp; Blazer 2011, Han</w:t>
      </w:r>
      <w:r w:rsidRPr="0062594C">
        <w:rPr>
          <w:i/>
          <w:noProof/>
        </w:rPr>
        <w:t xml:space="preserve"> et al.</w:t>
      </w:r>
      <w:r>
        <w:rPr>
          <w:noProof/>
        </w:rPr>
        <w:t xml:space="preserve"> 2015)</w:t>
      </w:r>
      <w:r w:rsidRPr="00CC3637">
        <w:t xml:space="preserve">.  European data indicates that older people make up an increasing proportion of opioid related drug treatments and drug-related deaths </w:t>
      </w:r>
      <w:r>
        <w:rPr>
          <w:noProof/>
        </w:rPr>
        <w:t>(European Monitoring Centre for Drugs and Drug Addiction 2017b)</w:t>
      </w:r>
      <w:r w:rsidRPr="00CC3637">
        <w:t xml:space="preserve">.  Public health approaches have significantly improved survival rates across Europe </w:t>
      </w:r>
      <w:r>
        <w:rPr>
          <w:noProof/>
        </w:rPr>
        <w:t>(Johnstone</w:t>
      </w:r>
      <w:r w:rsidRPr="00791A95">
        <w:rPr>
          <w:i/>
          <w:noProof/>
        </w:rPr>
        <w:t xml:space="preserve"> et al.</w:t>
      </w:r>
      <w:r>
        <w:rPr>
          <w:noProof/>
        </w:rPr>
        <w:t xml:space="preserve"> 2017)</w:t>
      </w:r>
      <w:r w:rsidRPr="00CC3637">
        <w:t xml:space="preserve"> and the scaling up of harm reduction services has also been cited as a possible reason for keeping people with problem heroin use alive into the later years </w:t>
      </w:r>
      <w:r>
        <w:rPr>
          <w:noProof/>
        </w:rPr>
        <w:t>(European Monitoring Centre for Drugs and Drug Addiction 2017b)</w:t>
      </w:r>
      <w:r w:rsidRPr="00CC3637">
        <w:t xml:space="preserve">.  </w:t>
      </w:r>
    </w:p>
    <w:p w:rsidR="003B0DEE" w:rsidRPr="00CC3637" w:rsidRDefault="003B0DEE" w:rsidP="000D5D90">
      <w:pPr>
        <w:pStyle w:val="BodyText"/>
        <w:rPr>
          <w:highlight w:val="yellow"/>
        </w:rPr>
      </w:pPr>
      <w:r w:rsidRPr="00CC3637">
        <w:t xml:space="preserve">Traditionally </w:t>
      </w:r>
      <w:r>
        <w:t>opioid</w:t>
      </w:r>
      <w:r w:rsidRPr="00CC3637">
        <w:t xml:space="preserve"> misuse has been perceived as a problem largely among those aged 40 years and younger </w:t>
      </w:r>
      <w:r>
        <w:rPr>
          <w:noProof/>
        </w:rPr>
        <w:t>(Carew &amp; Comiskey 2018a)</w:t>
      </w:r>
      <w:r w:rsidRPr="00CC3637">
        <w:t xml:space="preserve">.  This analysis shows that the population with problematic opioid use entering treatment is ageing.  The age distribution of individuals entering  treatment has changed and </w:t>
      </w:r>
      <w:r>
        <w:t xml:space="preserve">the </w:t>
      </w:r>
      <w:r w:rsidRPr="00CC3637">
        <w:t xml:space="preserve">median age entering treatment has increased significantly, with half of people entering treatment in 2015 aged 31 years and older.  </w:t>
      </w:r>
      <w:r>
        <w:t>Treatment i</w:t>
      </w:r>
      <w:r w:rsidRPr="00CC3637">
        <w:t xml:space="preserve">ncidence among older age groups increased, with a rising incidence not previously observed among those aged 45 years and older.  The analysis indicates that ageing among the cohort is likely due to (1) initiation into opioid use at an older age, and (2) an increasing time interval between first use of opioids and seeking treatment.  </w:t>
      </w:r>
    </w:p>
    <w:p w:rsidR="003B0DEE" w:rsidRPr="00976DE2" w:rsidRDefault="003B0DEE" w:rsidP="000D5D90">
      <w:pPr>
        <w:pStyle w:val="BodyText"/>
      </w:pPr>
      <w:r w:rsidRPr="00CC3637">
        <w:t xml:space="preserve">Previous studies </w:t>
      </w:r>
      <w:r>
        <w:t>that</w:t>
      </w:r>
      <w:r w:rsidRPr="00CC3637">
        <w:t xml:space="preserve"> investigate</w:t>
      </w:r>
      <w:r>
        <w:t>d</w:t>
      </w:r>
      <w:r w:rsidRPr="00CC3637">
        <w:t xml:space="preserve"> ageing within the opioid treatment population use</w:t>
      </w:r>
      <w:r>
        <w:t>d</w:t>
      </w:r>
      <w:r w:rsidRPr="00CC3637">
        <w:t xml:space="preserve"> arbitrary and inconsistent definitions of ‘older’.  No rationale </w:t>
      </w:r>
      <w:r>
        <w:t>wa</w:t>
      </w:r>
      <w:r w:rsidRPr="00CC3637">
        <w:t xml:space="preserve">s given for the lower age cut-off used (with the </w:t>
      </w:r>
      <w:r w:rsidRPr="00CC3637">
        <w:lastRenderedPageBreak/>
        <w:t>exception of one study</w:t>
      </w:r>
      <w:r>
        <w:t xml:space="preserve"> </w:t>
      </w:r>
      <w:r>
        <w:rPr>
          <w:noProof/>
        </w:rPr>
        <w:t>(Lofwall</w:t>
      </w:r>
      <w:r w:rsidRPr="003D5572">
        <w:rPr>
          <w:i/>
          <w:noProof/>
        </w:rPr>
        <w:t xml:space="preserve"> et al.</w:t>
      </w:r>
      <w:r>
        <w:rPr>
          <w:noProof/>
        </w:rPr>
        <w:t xml:space="preserve"> 2005)</w:t>
      </w:r>
      <w:r w:rsidRPr="00CC3637">
        <w:t>), and none of the studies use</w:t>
      </w:r>
      <w:r>
        <w:t>d</w:t>
      </w:r>
      <w:r w:rsidRPr="00CC3637">
        <w:t xml:space="preserve"> data to determine what the lower age cut-off should be </w:t>
      </w:r>
      <w:r>
        <w:rPr>
          <w:noProof/>
        </w:rPr>
        <w:t>(Carew &amp; Comiskey 2018a)</w:t>
      </w:r>
      <w:r w:rsidRPr="00B07E28">
        <w:t>.  Although the literature acknowledges that the cohort is ageing, there is no accepted definition of ‘older’</w:t>
      </w:r>
      <w:r>
        <w:t>.</w:t>
      </w:r>
      <w:r w:rsidRPr="00B07E28">
        <w:t xml:space="preserve"> </w:t>
      </w:r>
      <w:r>
        <w:t xml:space="preserve"> I</w:t>
      </w:r>
      <w:r w:rsidRPr="00B07E28">
        <w:t xml:space="preserve">t ranges quite extensively from 37-55, 40+, 45+, 50+, 55+, 60+, 65+, 49-61, 50-59, 50-66 and 50-74 years </w:t>
      </w:r>
      <w:r>
        <w:rPr>
          <w:noProof/>
        </w:rPr>
        <w:t>(Raffoul</w:t>
      </w:r>
      <w:r w:rsidRPr="0062594C">
        <w:rPr>
          <w:i/>
          <w:noProof/>
        </w:rPr>
        <w:t xml:space="preserve"> et al.</w:t>
      </w:r>
      <w:r>
        <w:rPr>
          <w:noProof/>
        </w:rPr>
        <w:t xml:space="preserve"> 1981, Schonfeld</w:t>
      </w:r>
      <w:r w:rsidRPr="0062594C">
        <w:rPr>
          <w:i/>
          <w:noProof/>
        </w:rPr>
        <w:t xml:space="preserve"> et al.</w:t>
      </w:r>
      <w:r>
        <w:rPr>
          <w:noProof/>
        </w:rPr>
        <w:t xml:space="preserve"> 2000, Satre</w:t>
      </w:r>
      <w:r w:rsidRPr="0062594C">
        <w:rPr>
          <w:i/>
          <w:noProof/>
        </w:rPr>
        <w:t xml:space="preserve"> et al.</w:t>
      </w:r>
      <w:r>
        <w:rPr>
          <w:noProof/>
        </w:rPr>
        <w:t xml:space="preserve"> 2003, Satre</w:t>
      </w:r>
      <w:r w:rsidRPr="0062594C">
        <w:rPr>
          <w:i/>
          <w:noProof/>
        </w:rPr>
        <w:t xml:space="preserve"> et al.</w:t>
      </w:r>
      <w:r>
        <w:rPr>
          <w:noProof/>
        </w:rPr>
        <w:t xml:space="preserve"> 2004, Lofwall</w:t>
      </w:r>
      <w:r w:rsidRPr="0062594C">
        <w:rPr>
          <w:i/>
          <w:noProof/>
        </w:rPr>
        <w:t xml:space="preserve"> et al.</w:t>
      </w:r>
      <w:r>
        <w:rPr>
          <w:noProof/>
        </w:rPr>
        <w:t xml:space="preserve"> 2005, Beynon</w:t>
      </w:r>
      <w:r w:rsidRPr="0062594C">
        <w:rPr>
          <w:i/>
          <w:noProof/>
        </w:rPr>
        <w:t xml:space="preserve"> et al.</w:t>
      </w:r>
      <w:r>
        <w:rPr>
          <w:noProof/>
        </w:rPr>
        <w:t xml:space="preserve"> 2007, Lofwall</w:t>
      </w:r>
      <w:r w:rsidRPr="0062594C">
        <w:rPr>
          <w:i/>
          <w:noProof/>
        </w:rPr>
        <w:t xml:space="preserve"> et al.</w:t>
      </w:r>
      <w:r>
        <w:rPr>
          <w:noProof/>
        </w:rPr>
        <w:t xml:space="preserve"> 2008, Han</w:t>
      </w:r>
      <w:r w:rsidRPr="0062594C">
        <w:rPr>
          <w:i/>
          <w:noProof/>
        </w:rPr>
        <w:t xml:space="preserve"> et al.</w:t>
      </w:r>
      <w:r>
        <w:rPr>
          <w:noProof/>
        </w:rPr>
        <w:t xml:space="preserve"> 2009b, Han</w:t>
      </w:r>
      <w:r w:rsidRPr="0062594C">
        <w:rPr>
          <w:i/>
          <w:noProof/>
        </w:rPr>
        <w:t xml:space="preserve"> et al.</w:t>
      </w:r>
      <w:r>
        <w:rPr>
          <w:noProof/>
        </w:rPr>
        <w:t xml:space="preserve"> 2009a, Beynon</w:t>
      </w:r>
      <w:r w:rsidRPr="0062594C">
        <w:rPr>
          <w:i/>
          <w:noProof/>
        </w:rPr>
        <w:t xml:space="preserve"> et al.</w:t>
      </w:r>
      <w:r>
        <w:rPr>
          <w:noProof/>
        </w:rPr>
        <w:t xml:space="preserve"> 2010, European Monitoring Centre for Drugs and Drug Addiction 2010a, Kalapatapu &amp; Sullivan 2010, Roe</w:t>
      </w:r>
      <w:r w:rsidRPr="0062594C">
        <w:rPr>
          <w:i/>
          <w:noProof/>
        </w:rPr>
        <w:t xml:space="preserve"> et al.</w:t>
      </w:r>
      <w:r>
        <w:rPr>
          <w:noProof/>
        </w:rPr>
        <w:t xml:space="preserve"> 2010, Boeri</w:t>
      </w:r>
      <w:r w:rsidRPr="0062594C">
        <w:rPr>
          <w:i/>
          <w:noProof/>
        </w:rPr>
        <w:t xml:space="preserve"> et al.</w:t>
      </w:r>
      <w:r>
        <w:rPr>
          <w:noProof/>
        </w:rPr>
        <w:t xml:space="preserve"> 2011, Crome</w:t>
      </w:r>
      <w:r w:rsidRPr="0062594C">
        <w:rPr>
          <w:i/>
          <w:noProof/>
        </w:rPr>
        <w:t xml:space="preserve"> et al.</w:t>
      </w:r>
      <w:r>
        <w:rPr>
          <w:noProof/>
        </w:rPr>
        <w:t xml:space="preserve"> 2011a, Doukas 2011, Grella &amp; Lovinger 2011, Rosen</w:t>
      </w:r>
      <w:r w:rsidRPr="0062594C">
        <w:rPr>
          <w:i/>
          <w:noProof/>
        </w:rPr>
        <w:t xml:space="preserve"> et al.</w:t>
      </w:r>
      <w:r>
        <w:rPr>
          <w:noProof/>
        </w:rPr>
        <w:t xml:space="preserve"> 2011, Wu &amp; Blazer 2011, Cicero</w:t>
      </w:r>
      <w:r w:rsidRPr="0062594C">
        <w:rPr>
          <w:i/>
          <w:noProof/>
        </w:rPr>
        <w:t xml:space="preserve"> et al.</w:t>
      </w:r>
      <w:r>
        <w:rPr>
          <w:noProof/>
        </w:rPr>
        <w:t xml:space="preserve"> 2012, Institute of Medicine 2012, Outlaw</w:t>
      </w:r>
      <w:r w:rsidRPr="0062594C">
        <w:rPr>
          <w:i/>
          <w:noProof/>
        </w:rPr>
        <w:t xml:space="preserve"> et al.</w:t>
      </w:r>
      <w:r>
        <w:rPr>
          <w:noProof/>
        </w:rPr>
        <w:t xml:space="preserve"> 2012, Han</w:t>
      </w:r>
      <w:r w:rsidRPr="0062594C">
        <w:rPr>
          <w:i/>
          <w:noProof/>
        </w:rPr>
        <w:t xml:space="preserve"> et al.</w:t>
      </w:r>
      <w:r>
        <w:rPr>
          <w:noProof/>
        </w:rPr>
        <w:t xml:space="preserve"> 2015, Carew &amp; Comiskey 2018a)</w:t>
      </w:r>
      <w:r w:rsidRPr="00976DE2">
        <w:t>.  Results from this study suggest that ‘old’ may be as young as 31 years for the Irish opioid treatment population (</w:t>
      </w:r>
      <w:r>
        <w:t>median age of people entering treatment in</w:t>
      </w:r>
      <w:r w:rsidRPr="00976DE2">
        <w:t xml:space="preserve"> 2015).  However, duration of opioid use is also an important ageing factor and therefore onset should also be considered in future work to investigate the ageing population in more detail.   </w:t>
      </w:r>
    </w:p>
    <w:p w:rsidR="003B0DEE" w:rsidRPr="00976DE2" w:rsidRDefault="003B0DEE" w:rsidP="000D5D90">
      <w:pPr>
        <w:pStyle w:val="BodyText"/>
      </w:pPr>
      <w:r w:rsidRPr="00976DE2">
        <w:t xml:space="preserve">The characteristics of people entering treatment for the first time in Ireland (age treated, age first used opioids, route of administration, along with current and lifetime injecting characteristics) are broadly in line with those reported in Western European countries </w:t>
      </w:r>
      <w:r>
        <w:rPr>
          <w:noProof/>
        </w:rPr>
        <w:t>(Barrio</w:t>
      </w:r>
      <w:r w:rsidRPr="00791A95">
        <w:rPr>
          <w:i/>
          <w:noProof/>
        </w:rPr>
        <w:t xml:space="preserve"> et al.</w:t>
      </w:r>
      <w:r>
        <w:rPr>
          <w:noProof/>
        </w:rPr>
        <w:t xml:space="preserve"> 2013)</w:t>
      </w:r>
      <w:r w:rsidRPr="00976DE2">
        <w:t>.  The median age first used any drug is less than the median age first used opioids, indicating that opioids are unlikely to be among the first drugs used.  The increased opioid-using duration prior to entering treatment observed in this study indicates that people with a prolonged history of opioid use are taking longer to come to treatment.  The interval (seven years in 2015) is</w:t>
      </w:r>
      <w:r>
        <w:t>,</w:t>
      </w:r>
      <w:r w:rsidRPr="00976DE2">
        <w:t xml:space="preserve"> however, shorter that that reported across Western European countries where an interval of 9.5 years was </w:t>
      </w:r>
      <w:r w:rsidRPr="007A25EF">
        <w:t xml:space="preserve">reported for 2009 </w:t>
      </w:r>
      <w:r>
        <w:rPr>
          <w:noProof/>
        </w:rPr>
        <w:t>(Barrio</w:t>
      </w:r>
      <w:r w:rsidRPr="00791A95">
        <w:rPr>
          <w:i/>
          <w:noProof/>
        </w:rPr>
        <w:t xml:space="preserve"> et al.</w:t>
      </w:r>
      <w:r>
        <w:rPr>
          <w:noProof/>
        </w:rPr>
        <w:t xml:space="preserve"> 2013)</w:t>
      </w:r>
      <w:r w:rsidRPr="00976DE2">
        <w:t xml:space="preserve">.  Subgroups identified in this </w:t>
      </w:r>
      <w:r>
        <w:t>chapter</w:t>
      </w:r>
      <w:r w:rsidRPr="00976DE2">
        <w:t xml:space="preserve"> (early and late treatment entries, and early and late opioid </w:t>
      </w:r>
      <w:r>
        <w:t xml:space="preserve">use </w:t>
      </w:r>
      <w:r w:rsidRPr="00976DE2">
        <w:t>onset) require further and in-depth investigation</w:t>
      </w:r>
      <w:r>
        <w:t xml:space="preserve"> (carried out in the next chapter (Chapter 4))</w:t>
      </w:r>
      <w:r w:rsidRPr="00976DE2">
        <w:t xml:space="preserve"> a</w:t>
      </w:r>
      <w:r>
        <w:t xml:space="preserve">s </w:t>
      </w:r>
      <w:r w:rsidRPr="00976DE2">
        <w:t>a detailed description of these groups would lead to a better understanding of the changing opioid endemic.</w:t>
      </w:r>
      <w:r>
        <w:t xml:space="preserve"> </w:t>
      </w:r>
    </w:p>
    <w:p w:rsidR="003B0DEE" w:rsidRDefault="003B0DEE" w:rsidP="000D5D90">
      <w:pPr>
        <w:pStyle w:val="Heading3"/>
      </w:pPr>
      <w:bookmarkStart w:id="77" w:name="_Toc15331692"/>
      <w:r>
        <w:t>Temporal changes</w:t>
      </w:r>
      <w:bookmarkEnd w:id="77"/>
    </w:p>
    <w:p w:rsidR="003B0DEE" w:rsidRPr="00976DE2" w:rsidRDefault="003B0DEE" w:rsidP="000D5D90">
      <w:pPr>
        <w:pStyle w:val="BodyText"/>
      </w:pPr>
      <w:r w:rsidRPr="00976DE2">
        <w:t xml:space="preserve">Although study results indicate a delayed initiation into </w:t>
      </w:r>
      <w:r>
        <w:t xml:space="preserve">more problematic </w:t>
      </w:r>
      <w:r w:rsidRPr="00976DE2">
        <w:t xml:space="preserve">drug use in more recent years, the opportunity to avert injecting continues to lie within the first year of opioid use and therefore it is important to target this group at the time of onset.  Prolonged use of opioids, increased proportions of injectors, increased durations of injecting before seeking treatment, along with increased sharing of injecting equipment among women, all indicate a population with more complex and chronic </w:t>
      </w:r>
      <w:r>
        <w:t>drug-using</w:t>
      </w:r>
      <w:r w:rsidRPr="00976DE2">
        <w:t xml:space="preserve"> practice and more complex needs which may be more difficult to treat.  Women are likely to seek treatment earlier which reduces their duration of opioid use</w:t>
      </w:r>
      <w:r>
        <w:t>.</w:t>
      </w:r>
      <w:r w:rsidRPr="00976DE2">
        <w:t xml:space="preserve"> </w:t>
      </w:r>
      <w:r>
        <w:t xml:space="preserve"> H</w:t>
      </w:r>
      <w:r w:rsidRPr="00976DE2">
        <w:t>owever</w:t>
      </w:r>
      <w:r>
        <w:t>,</w:t>
      </w:r>
      <w:r w:rsidRPr="00976DE2">
        <w:t xml:space="preserve"> they are more likely than men to engage in risky injecting behaviours.  Improved history taking among service providers or the existence of fewer people who use opioids with developed chronic polysubstance-using practices may account for the decreased proportion using more than one substance</w:t>
      </w:r>
      <w:r>
        <w:t>.</w:t>
      </w:r>
      <w:r w:rsidRPr="00976DE2">
        <w:t xml:space="preserve"> </w:t>
      </w:r>
      <w:r>
        <w:t xml:space="preserve"> H</w:t>
      </w:r>
      <w:r w:rsidRPr="00976DE2">
        <w:t>owever</w:t>
      </w:r>
      <w:r>
        <w:t>,</w:t>
      </w:r>
      <w:r w:rsidRPr="00976DE2">
        <w:t xml:space="preserve"> this finding requires further investigation to determine the true reason.</w:t>
      </w:r>
      <w:r>
        <w:t xml:space="preserve">  It may be possible that the high level of individuals reporting no opioid use in the month prior to entering treatment in 2015 may be due to a misclassification of incidence cases</w:t>
      </w:r>
      <w:r w:rsidRPr="00976DE2">
        <w:t xml:space="preserve"> </w:t>
      </w:r>
      <w:r>
        <w:t>by practitioners collecting the data.  This finding warrants further investigation and remedy (if appropriate) by NDTRS staff.</w:t>
      </w:r>
      <w:r w:rsidRPr="00976DE2">
        <w:t xml:space="preserve"> </w:t>
      </w:r>
      <w:r>
        <w:t xml:space="preserve"> </w:t>
      </w:r>
      <w:r w:rsidRPr="00976DE2">
        <w:t xml:space="preserve">Temporal changes are evident, with </w:t>
      </w:r>
      <w:r>
        <w:t xml:space="preserve">fewer proportions of </w:t>
      </w:r>
      <w:r w:rsidRPr="00976DE2">
        <w:t xml:space="preserve">people entering treatment </w:t>
      </w:r>
      <w:r>
        <w:lastRenderedPageBreak/>
        <w:t>with daily opioid use in 2015</w:t>
      </w:r>
      <w:r w:rsidRPr="00976DE2">
        <w:t xml:space="preserve">, and benzodiazepines are more commonly used alongside opioids.  Individuals may not use opioids in the month prior to treatment for a number of reasons, including entering inpatient treatment facilities or abstinence based treatment programmes which require </w:t>
      </w:r>
      <w:r>
        <w:t>people</w:t>
      </w:r>
      <w:r w:rsidRPr="00976DE2">
        <w:t xml:space="preserve"> to significantly reduce their drug use or become drug free prior to admission, or, being in prison.  Co-use of benzodiazepines and opioids is not uncommon, despite the potential adverse effects such as increased morbidity and mortality, increased risks of overdose, HIV infection, respiratory problems, impaired cognitive function, poorer treatment outcomes and poorer social functioning </w:t>
      </w:r>
      <w:r>
        <w:rPr>
          <w:noProof/>
        </w:rPr>
        <w:t>(Darke</w:t>
      </w:r>
      <w:r w:rsidRPr="00791A95">
        <w:rPr>
          <w:i/>
          <w:noProof/>
        </w:rPr>
        <w:t xml:space="preserve"> et al.</w:t>
      </w:r>
      <w:r>
        <w:rPr>
          <w:noProof/>
        </w:rPr>
        <w:t xml:space="preserve"> 1995, Jones</w:t>
      </w:r>
      <w:r w:rsidRPr="00791A95">
        <w:rPr>
          <w:i/>
          <w:noProof/>
        </w:rPr>
        <w:t xml:space="preserve"> et al.</w:t>
      </w:r>
      <w:r>
        <w:rPr>
          <w:noProof/>
        </w:rPr>
        <w:t xml:space="preserve"> 2012, Ford &amp; Law 2014, Lader 2014)</w:t>
      </w:r>
      <w:r w:rsidRPr="00976DE2">
        <w:t>.</w:t>
      </w:r>
    </w:p>
    <w:p w:rsidR="003B0DEE" w:rsidRDefault="003B0DEE" w:rsidP="000D5D90">
      <w:pPr>
        <w:pStyle w:val="Heading3"/>
      </w:pPr>
      <w:bookmarkStart w:id="78" w:name="_Toc15331693"/>
      <w:r>
        <w:t>Strengths and limitations</w:t>
      </w:r>
      <w:bookmarkEnd w:id="78"/>
    </w:p>
    <w:p w:rsidR="003B0DEE" w:rsidRPr="00976DE2" w:rsidRDefault="003B0DEE" w:rsidP="000D5D90">
      <w:pPr>
        <w:pStyle w:val="BodyText"/>
        <w:rPr>
          <w:highlight w:val="yellow"/>
        </w:rPr>
      </w:pPr>
      <w:r w:rsidRPr="00976DE2">
        <w:t xml:space="preserve">Several factors render this </w:t>
      </w:r>
      <w:r>
        <w:t>analysis</w:t>
      </w:r>
      <w:r w:rsidRPr="00976DE2">
        <w:t xml:space="preserve"> unique amongst the current literature relating to the ageing </w:t>
      </w:r>
      <w:r>
        <w:t>opioid-using</w:t>
      </w:r>
      <w:r w:rsidRPr="00976DE2">
        <w:t xml:space="preserve"> population.  This is the first </w:t>
      </w:r>
      <w:r>
        <w:t>analysis</w:t>
      </w:r>
      <w:r w:rsidRPr="00976DE2">
        <w:t xml:space="preserve"> to comprehensively describe the trends in ageing and gender characteristics surrounding the </w:t>
      </w:r>
      <w:r>
        <w:t>opioid</w:t>
      </w:r>
      <w:r w:rsidRPr="00976DE2">
        <w:t xml:space="preserve"> treatment population using a national dataset from an EU wide recorded indicator.  This </w:t>
      </w:r>
      <w:r>
        <w:t>analysis</w:t>
      </w:r>
      <w:r w:rsidRPr="00976DE2">
        <w:t xml:space="preserve"> highlights the importance of maintaining drug treatment registers and their usefulness epidemiologically in contributing to the knowledge of the dynamics of epidemics.  A limitation of the study is the use of self-reported data, which affects reliability and validity.  Recall of historical information such as age first left school and age of first use may be affected by memory</w:t>
      </w:r>
      <w:r>
        <w:t xml:space="preserve">, although </w:t>
      </w:r>
      <w:r w:rsidRPr="00234B28">
        <w:t>st</w:t>
      </w:r>
      <w:r>
        <w:t>udies have generally found self-</w:t>
      </w:r>
      <w:r w:rsidRPr="00234B28">
        <w:t xml:space="preserve">report of substance use to be reliable </w:t>
      </w:r>
      <w:r>
        <w:rPr>
          <w:noProof/>
        </w:rPr>
        <w:t>(Ehrman &amp; Robbins 1994, Adelekan</w:t>
      </w:r>
      <w:r w:rsidRPr="00791A95">
        <w:rPr>
          <w:i/>
          <w:noProof/>
        </w:rPr>
        <w:t xml:space="preserve"> et al.</w:t>
      </w:r>
      <w:r>
        <w:rPr>
          <w:noProof/>
        </w:rPr>
        <w:t xml:space="preserve"> 1996, Darke 1998)</w:t>
      </w:r>
      <w:r w:rsidRPr="00976DE2">
        <w:t>.  However, current drug problems are assessed and recorded by professionals treating the individual, as are treatment interventions.  NDTRS data coverage (numbers of admissions and treatment centres reporting data) is constantly high (&gt;70%</w:t>
      </w:r>
      <w:proofErr w:type="gramStart"/>
      <w:r w:rsidRPr="00976DE2">
        <w:t xml:space="preserve">) </w:t>
      </w:r>
      <w:proofErr w:type="gramEnd"/>
      <w:r>
        <w:rPr>
          <w:noProof/>
        </w:rPr>
        <w:t>(Health Research Board 2017)</w:t>
      </w:r>
      <w:r w:rsidRPr="00976DE2">
        <w:t xml:space="preserve"> and has remained stable or has increased, particularly in the last decade where ageing trends are noted.  </w:t>
      </w:r>
      <w:r>
        <w:t xml:space="preserve">Comparisons across years were limited by the variables recorded.  It was not possible to assess educational attainment or type of living accommodation as this data was not initially recorded in the NDTRS.  </w:t>
      </w:r>
      <w:r w:rsidRPr="00976DE2">
        <w:t xml:space="preserve">Only those who have sought treatment are included in the reporting system and therefore we cannot take into account those who do not request treatment such as people with non-problematic drug use, those previously treated for other types of drugs and subsequently used opioids, those who ceased their drug use, or people who died before seeking treatment.  Although </w:t>
      </w:r>
      <w:r>
        <w:t xml:space="preserve">treatment </w:t>
      </w:r>
      <w:r w:rsidRPr="00B01B97">
        <w:t>incidence</w:t>
      </w:r>
      <w:r w:rsidRPr="00976DE2">
        <w:t xml:space="preserve"> rates are normed to the European Standard Population, it should be noted that this does not standardise results to all aspects of the population.  The European Standard Population is a reflection of the age structure of the general European population, and not specifically the age structure of individuals being admitted </w:t>
      </w:r>
      <w:r>
        <w:t xml:space="preserve">to </w:t>
      </w:r>
      <w:r w:rsidRPr="00976DE2">
        <w:t xml:space="preserve">drug treatment or </w:t>
      </w:r>
      <w:r>
        <w:t xml:space="preserve">to </w:t>
      </w:r>
      <w:r w:rsidRPr="00976DE2">
        <w:t xml:space="preserve">the Irish population.  However, the European Standard Population is the accepted methodological standard in health statistics in Ireland as recommended by the Department of Health </w:t>
      </w:r>
      <w:r>
        <w:rPr>
          <w:noProof/>
        </w:rPr>
        <w:t>(Department of Health 2017b)</w:t>
      </w:r>
      <w:r w:rsidRPr="00976DE2">
        <w:t xml:space="preserve">.  </w:t>
      </w:r>
    </w:p>
    <w:p w:rsidR="003B0DEE" w:rsidRDefault="003B0DEE" w:rsidP="000D5D90">
      <w:pPr>
        <w:pStyle w:val="Heading3"/>
      </w:pPr>
      <w:bookmarkStart w:id="79" w:name="_Toc15331694"/>
      <w:r>
        <w:t>Implications for policy and practice</w:t>
      </w:r>
      <w:bookmarkEnd w:id="79"/>
    </w:p>
    <w:p w:rsidR="003B0DEE" w:rsidRDefault="003B0DEE" w:rsidP="000D5D90">
      <w:pPr>
        <w:pStyle w:val="BodyText"/>
      </w:pPr>
      <w:r w:rsidRPr="00976DE2">
        <w:t xml:space="preserve">Monitoring opioid treatment trends, socio-demographic characteristics, drug initiation, usage and risk behaviours, offers public health providers opportunities to assess and monitor the extent of </w:t>
      </w:r>
      <w:r>
        <w:t xml:space="preserve">a </w:t>
      </w:r>
      <w:r w:rsidRPr="00976DE2">
        <w:t xml:space="preserve">problem, and to develop appropriate evidence-based responses.  This </w:t>
      </w:r>
      <w:r>
        <w:t>analysis</w:t>
      </w:r>
      <w:r w:rsidRPr="00976DE2">
        <w:t xml:space="preserve"> adds to the field of addiction by</w:t>
      </w:r>
      <w:r>
        <w:t xml:space="preserve"> addressing the previously understated topic of the ageing opioid-</w:t>
      </w:r>
      <w:r w:rsidRPr="00976DE2">
        <w:t xml:space="preserve">using population.  The findings presented add evidence that the </w:t>
      </w:r>
      <w:r>
        <w:t>opioid</w:t>
      </w:r>
      <w:r w:rsidRPr="00976DE2">
        <w:t xml:space="preserve"> treatment population is ageing and that </w:t>
      </w:r>
      <w:r w:rsidRPr="00976DE2">
        <w:lastRenderedPageBreak/>
        <w:t xml:space="preserve">important and unique subgroups exist.  Study findings are directly related to current drug treatment policies both in Ireland and across Europe.  Results indicate how service need has changed over the last two decades and provide an indication of possible future service need, essential for planning purposes.  Challenges are expected for policymakers and healthcare </w:t>
      </w:r>
      <w:proofErr w:type="gramStart"/>
      <w:r w:rsidRPr="00976DE2">
        <w:t>providers</w:t>
      </w:r>
      <w:proofErr w:type="gramEnd"/>
      <w:r w:rsidRPr="00976DE2">
        <w:t xml:space="preserve"> alike </w:t>
      </w:r>
      <w:r>
        <w:rPr>
          <w:noProof/>
        </w:rPr>
        <w:t>(Gfroerer</w:t>
      </w:r>
      <w:r w:rsidRPr="00791A95">
        <w:rPr>
          <w:i/>
          <w:noProof/>
        </w:rPr>
        <w:t xml:space="preserve"> et al.</w:t>
      </w:r>
      <w:r>
        <w:rPr>
          <w:noProof/>
        </w:rPr>
        <w:t xml:space="preserve"> 2003, Rosen</w:t>
      </w:r>
      <w:r w:rsidRPr="00791A95">
        <w:rPr>
          <w:i/>
          <w:noProof/>
        </w:rPr>
        <w:t xml:space="preserve"> et al.</w:t>
      </w:r>
      <w:r>
        <w:rPr>
          <w:noProof/>
        </w:rPr>
        <w:t xml:space="preserve"> 2011, Wu &amp; Blazer 2011, Rao &amp; Roche 2017)</w:t>
      </w:r>
      <w:r w:rsidRPr="00976DE2">
        <w:t xml:space="preserve">.  Current drug policies are predominately focused on the needs of the known, younger profile of people who use drugs, and it is inevitable that existing services need to adapt to the ageing population </w:t>
      </w:r>
      <w:r>
        <w:rPr>
          <w:noProof/>
        </w:rPr>
        <w:t>(Wu &amp; Blazer 2011, Rao &amp; Roche 2017)</w:t>
      </w:r>
      <w:r w:rsidRPr="00976DE2">
        <w:t xml:space="preserve">.  Given that older people who use opioids are likely to form the majority of the drug treatment population in the near future; careful planning is needed to meet their complex health and social needs.  Service providers are unaware of age-specific and gender-specific issues </w:t>
      </w:r>
      <w:r>
        <w:rPr>
          <w:noProof/>
        </w:rPr>
        <w:t>(Johnstone</w:t>
      </w:r>
      <w:r w:rsidRPr="00791A95">
        <w:rPr>
          <w:i/>
          <w:noProof/>
        </w:rPr>
        <w:t xml:space="preserve"> et al.</w:t>
      </w:r>
      <w:r>
        <w:rPr>
          <w:noProof/>
        </w:rPr>
        <w:t xml:space="preserve"> 2017)</w:t>
      </w:r>
      <w:r w:rsidRPr="00976DE2">
        <w:t xml:space="preserve"> and few treatment programmes address the needs of older people who use drugs.  Addiction and other healthcare services may benefit from awareness programmes relating to this growing population </w:t>
      </w:r>
      <w:r>
        <w:rPr>
          <w:noProof/>
        </w:rPr>
        <w:t>(European Monitoring Centre for Drugs and Drug Addiction 2010a)</w:t>
      </w:r>
      <w:r w:rsidRPr="00976DE2">
        <w:t>.  Other valuable education programmes for health and social care providers include the screening, assessment and diagnosis of problem substance use in ageing populations</w:t>
      </w:r>
      <w:r>
        <w:t xml:space="preserve"> </w:t>
      </w:r>
      <w:r>
        <w:rPr>
          <w:noProof/>
        </w:rPr>
        <w:t>(Carew &amp; Comiskey 2018a)</w:t>
      </w:r>
      <w:r w:rsidRPr="00976DE2">
        <w:t xml:space="preserve">.  Overdose prevention strategies and hepatitis C antiviral therapies are particularly important for older people with prolonged use of opioids.  </w:t>
      </w:r>
    </w:p>
    <w:p w:rsidR="003B0DEE" w:rsidRDefault="003B0DEE" w:rsidP="000D5D90">
      <w:pPr>
        <w:pStyle w:val="BodyText"/>
      </w:pPr>
      <w:r w:rsidRPr="00976DE2">
        <w:t xml:space="preserve">The changing composition of this cohort implies a wide range of services will be required into the future and integrated approaches across addiction and health care services would be beneficial in identifying and treating addiction problems among older people who use drugs.  Currently, specialised treatment programmes for older people who use drugs are rare, </w:t>
      </w:r>
      <w:r>
        <w:t xml:space="preserve">and </w:t>
      </w:r>
      <w:r w:rsidRPr="00976DE2">
        <w:t xml:space="preserve">concerns have been voiced regarding the readiness of current treatment systems to meet the needs of the ageing cohort who use opioids </w:t>
      </w:r>
      <w:r>
        <w:rPr>
          <w:noProof/>
        </w:rPr>
        <w:t>(Rao &amp; Roche 2017)</w:t>
      </w:r>
      <w:r w:rsidRPr="00976DE2">
        <w:t xml:space="preserve">, who have increasing and complex drug and health needs </w:t>
      </w:r>
      <w:r>
        <w:rPr>
          <w:noProof/>
        </w:rPr>
        <w:t>(Colliver</w:t>
      </w:r>
      <w:r w:rsidRPr="00791A95">
        <w:rPr>
          <w:i/>
          <w:noProof/>
        </w:rPr>
        <w:t xml:space="preserve"> et al.</w:t>
      </w:r>
      <w:r>
        <w:rPr>
          <w:noProof/>
        </w:rPr>
        <w:t xml:space="preserve"> 2006, Pirona</w:t>
      </w:r>
      <w:r w:rsidRPr="00791A95">
        <w:rPr>
          <w:i/>
          <w:noProof/>
        </w:rPr>
        <w:t xml:space="preserve"> et al.</w:t>
      </w:r>
      <w:r>
        <w:rPr>
          <w:noProof/>
        </w:rPr>
        <w:t xml:space="preserve"> 2015)</w:t>
      </w:r>
      <w:r w:rsidRPr="00976DE2">
        <w:t xml:space="preserve">.  The </w:t>
      </w:r>
      <w:r>
        <w:t>opioid</w:t>
      </w:r>
      <w:r w:rsidRPr="00976DE2">
        <w:t xml:space="preserve"> treatment population is ageing.  People admitted for </w:t>
      </w:r>
      <w:r>
        <w:t>opioid</w:t>
      </w:r>
      <w:r w:rsidRPr="00976DE2">
        <w:t xml:space="preserve"> use treatment in Ireland are significantly older, have taken longer to enter treatment, and have injected for longer.  These findings highlight hidden groups at risk of chronic harm who may require consideration and prioritis</w:t>
      </w:r>
      <w:r>
        <w:t>ation</w:t>
      </w:r>
      <w:r w:rsidRPr="00976DE2">
        <w:t xml:space="preserve"> in policy and practice.  </w:t>
      </w:r>
      <w:r>
        <w:t>Improved c</w:t>
      </w:r>
      <w:r w:rsidRPr="00976DE2">
        <w:t xml:space="preserve">ollaboration across health and social care services along with integrated multidisciplinary approaches may be useful to address medical, psychological and social needs, particularly as many older people may already be in regular contact with services due to health issues, therefore making these providers well placed to identify substance problems among this population.  Johnstone et al suggest modifying provisions within existing services, coordinating resources and services, restructuring service provision, and developing innovative, specialised services </w:t>
      </w:r>
      <w:r>
        <w:rPr>
          <w:noProof/>
        </w:rPr>
        <w:t>(Johnstone</w:t>
      </w:r>
      <w:r w:rsidRPr="00791A95">
        <w:rPr>
          <w:i/>
          <w:noProof/>
        </w:rPr>
        <w:t xml:space="preserve"> et al.</w:t>
      </w:r>
      <w:r>
        <w:rPr>
          <w:noProof/>
        </w:rPr>
        <w:t xml:space="preserve"> 2017)</w:t>
      </w:r>
      <w:r w:rsidRPr="00976DE2">
        <w:t xml:space="preserve">.  </w:t>
      </w:r>
      <w:r w:rsidRPr="002105EF">
        <w:t xml:space="preserve">An Irish study by Cullen et al showed that people receiving methadone substitution treatment regularly attended their general practitioner for issues other than their addiction, and also had frequent need for secondary care services including the emergency department, gastroenterology, hepatology, infectious diseases, other addiction services and psychiatry </w:t>
      </w:r>
      <w:r w:rsidRPr="002105EF">
        <w:rPr>
          <w:noProof/>
        </w:rPr>
        <w:t>(Cullen</w:t>
      </w:r>
      <w:r w:rsidRPr="002105EF">
        <w:rPr>
          <w:i/>
          <w:noProof/>
        </w:rPr>
        <w:t xml:space="preserve"> et al.</w:t>
      </w:r>
      <w:r w:rsidRPr="002105EF">
        <w:rPr>
          <w:noProof/>
        </w:rPr>
        <w:t xml:space="preserve"> 2009)</w:t>
      </w:r>
      <w:r w:rsidRPr="002105EF">
        <w:t xml:space="preserve">.  An integrated care model incorporating primary care and addiction care is best in addressing the health needs of people who use drugs </w:t>
      </w:r>
      <w:r w:rsidRPr="002105EF">
        <w:rPr>
          <w:noProof/>
        </w:rPr>
        <w:t>(Weisner</w:t>
      </w:r>
      <w:r w:rsidRPr="002105EF">
        <w:rPr>
          <w:i/>
          <w:noProof/>
        </w:rPr>
        <w:t xml:space="preserve"> et al.</w:t>
      </w:r>
      <w:r w:rsidRPr="002105EF">
        <w:rPr>
          <w:noProof/>
        </w:rPr>
        <w:t xml:space="preserve"> 2001)</w:t>
      </w:r>
      <w:r w:rsidRPr="002105EF">
        <w:t xml:space="preserve">.  Evidence indicates coordination across settings and providers is superior to single or uncoordinated interventions </w:t>
      </w:r>
      <w:r w:rsidRPr="002105EF">
        <w:rPr>
          <w:noProof/>
        </w:rPr>
        <w:t>(World Health Organization 2005)</w:t>
      </w:r>
      <w:r w:rsidRPr="002105EF">
        <w:t xml:space="preserve">.  Given the already high rates of </w:t>
      </w:r>
      <w:r w:rsidRPr="002105EF">
        <w:lastRenderedPageBreak/>
        <w:t>chronic illness and health service utilisation among this cohort, and additional age-related health issues due to the fact that the cohort is ageing, the integration of opioid addiction treatment into general practice as a chronic care model, similar to the treatment of diabetes, asthma, hypertension and other chronic diseases</w:t>
      </w:r>
      <w:r>
        <w:t>,</w:t>
      </w:r>
      <w:r w:rsidRPr="002105EF">
        <w:t xml:space="preserve"> would ensure a systematic approach to coordinating the totality of a person’s health care needs.  </w:t>
      </w:r>
    </w:p>
    <w:p w:rsidR="003B0DEE" w:rsidRPr="006533CE" w:rsidRDefault="003B0DEE" w:rsidP="000D5D90">
      <w:pPr>
        <w:pStyle w:val="Heading2"/>
      </w:pPr>
      <w:bookmarkStart w:id="80" w:name="_Toc15331695"/>
      <w:r w:rsidRPr="006533CE">
        <w:t>Conclusion</w:t>
      </w:r>
      <w:bookmarkEnd w:id="80"/>
    </w:p>
    <w:p w:rsidR="003B0DEE" w:rsidRPr="00976DE2" w:rsidRDefault="003B0DEE" w:rsidP="000D5D90">
      <w:pPr>
        <w:pStyle w:val="BodyText"/>
        <w:rPr>
          <w:b/>
          <w:bCs/>
          <w:kern w:val="32"/>
        </w:rPr>
      </w:pPr>
      <w:r w:rsidRPr="00976DE2">
        <w:t xml:space="preserve">In summary, </w:t>
      </w:r>
      <w:r>
        <w:t>C</w:t>
      </w:r>
      <w:r w:rsidRPr="00976DE2">
        <w:t xml:space="preserve">hapter </w:t>
      </w:r>
      <w:r>
        <w:t>4</w:t>
      </w:r>
      <w:r w:rsidRPr="00976DE2">
        <w:t xml:space="preserve"> describe</w:t>
      </w:r>
      <w:r>
        <w:t>s</w:t>
      </w:r>
      <w:r w:rsidRPr="00976DE2">
        <w:t xml:space="preserve"> the study population and also details the results of the trend analysis investigating age-related </w:t>
      </w:r>
      <w:r w:rsidRPr="005D51A5">
        <w:t>incidence</w:t>
      </w:r>
      <w:r w:rsidRPr="00976DE2">
        <w:t xml:space="preserve"> and </w:t>
      </w:r>
      <w:r>
        <w:t>drug-using</w:t>
      </w:r>
      <w:r w:rsidRPr="00976DE2">
        <w:t xml:space="preserve"> behaviours.  These findings inform the statistical models described in chapter</w:t>
      </w:r>
      <w:r>
        <w:t>s five and</w:t>
      </w:r>
      <w:r w:rsidRPr="00976DE2">
        <w:t xml:space="preserve"> six.  The next chapter presents the findings of the cluster analysis </w:t>
      </w:r>
      <w:r w:rsidRPr="00430D86">
        <w:t>ex</w:t>
      </w:r>
      <w:r>
        <w:t>amining the</w:t>
      </w:r>
      <w:r w:rsidRPr="00430D86">
        <w:t xml:space="preserve"> typologies of client characteristics</w:t>
      </w:r>
      <w:r>
        <w:t xml:space="preserve"> and drug-using </w:t>
      </w:r>
      <w:r w:rsidRPr="00430D86">
        <w:t>behaviours</w:t>
      </w:r>
      <w:r>
        <w:t>.</w:t>
      </w:r>
      <w:r w:rsidRPr="00430D86">
        <w:t xml:space="preserve"> </w:t>
      </w:r>
    </w:p>
    <w:p w:rsidR="003B0DEE" w:rsidRPr="00415182" w:rsidRDefault="003B0DEE" w:rsidP="000D5D90">
      <w:pPr>
        <w:spacing w:after="200" w:line="360" w:lineRule="auto"/>
        <w:rPr>
          <w:highlight w:val="yellow"/>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7C2B59" w:rsidRDefault="003B0DEE" w:rsidP="000D5D90">
      <w:pPr>
        <w:pStyle w:val="Heading1"/>
        <w:rPr>
          <w:color w:val="FFFFFF"/>
          <w:sz w:val="20"/>
          <w:szCs w:val="20"/>
        </w:rPr>
      </w:pPr>
      <w:bookmarkStart w:id="81" w:name="_Toc15331696"/>
      <w:r w:rsidRPr="007C2B59">
        <w:rPr>
          <w:color w:val="FFFFFF"/>
          <w:sz w:val="20"/>
          <w:szCs w:val="20"/>
        </w:rPr>
        <w:lastRenderedPageBreak/>
        <w:t>Chapter 5</w:t>
      </w:r>
      <w:r w:rsidRPr="007C2B59">
        <w:rPr>
          <w:color w:val="FFFFFF"/>
          <w:sz w:val="20"/>
          <w:szCs w:val="20"/>
        </w:rPr>
        <w:tab/>
        <w:t>Using cluster modelling techniques to uncover hidden aspects of the opioids</w:t>
      </w:r>
      <w:bookmarkEnd w:id="81"/>
    </w:p>
    <w:p w:rsidR="003B0DEE" w:rsidRDefault="003B0DEE" w:rsidP="000D5D90">
      <w:pPr>
        <w:pStyle w:val="Chapter"/>
      </w:pPr>
      <w:r w:rsidRPr="00697C05">
        <w:t xml:space="preserve">Chapter </w:t>
      </w:r>
      <w:r>
        <w:t>5</w:t>
      </w:r>
      <w:r>
        <w:tab/>
      </w:r>
    </w:p>
    <w:p w:rsidR="003B0DEE" w:rsidRPr="00A842D7" w:rsidRDefault="003B0DEE" w:rsidP="000D5D90">
      <w:pPr>
        <w:pStyle w:val="Chapter"/>
      </w:pPr>
      <w:r w:rsidRPr="00A842D7">
        <w:t>Using cluster modelling techniques to uncover hidden aspects of the opioid crisis</w:t>
      </w:r>
    </w:p>
    <w:p w:rsidR="003B0DEE" w:rsidRPr="00F32A9E" w:rsidRDefault="003B0DEE" w:rsidP="000D5D90"/>
    <w:p w:rsidR="003B0DEE" w:rsidRDefault="003B0DEE" w:rsidP="000D5D90">
      <w:pPr>
        <w:pStyle w:val="Heading2"/>
      </w:pPr>
      <w:bookmarkStart w:id="82" w:name="_Toc15331697"/>
      <w:r w:rsidRPr="00722495">
        <w:t>Introduction</w:t>
      </w:r>
      <w:bookmarkEnd w:id="82"/>
    </w:p>
    <w:p w:rsidR="003B0DEE" w:rsidRPr="00454539" w:rsidRDefault="003B0DEE" w:rsidP="000D5D90">
      <w:pPr>
        <w:pStyle w:val="BodyText"/>
      </w:pPr>
      <w:r w:rsidRPr="00F035B9">
        <w:t>The aim of this study was to investigate the age profile of the opioid tre</w:t>
      </w:r>
      <w:r>
        <w:t>atment population over a twenty-one-year-period</w:t>
      </w:r>
      <w:r w:rsidRPr="00F035B9">
        <w:t xml:space="preserve"> using routine health surveillance data, and to explore typologies of client characteristics, behaviours and associated treatment discharge outcomes.  The study results are presented in three interconnected chapters.  This, the second results chapter focuses on the third study objective “To examine the typology of </w:t>
      </w:r>
      <w:r>
        <w:t>opioid-using</w:t>
      </w:r>
      <w:r w:rsidRPr="00F035B9">
        <w:t xml:space="preserve"> behaviours and client characteristics a</w:t>
      </w:r>
      <w:r>
        <w:t>mong opioid treatment entrants</w:t>
      </w:r>
      <w:r w:rsidRPr="00454539">
        <w:t>”</w:t>
      </w:r>
      <w:r>
        <w:t>.</w:t>
      </w:r>
      <w:r w:rsidRPr="00454539">
        <w:t xml:space="preserve">  It details the results of a cluster analysis detailing the typology of </w:t>
      </w:r>
      <w:r>
        <w:t>opioid-using</w:t>
      </w:r>
      <w:r w:rsidRPr="00454539">
        <w:t xml:space="preserve"> behaviours among first-time opioid treatment entrants.  The results of this chapter inform the statistical models presented in the third results chapter (</w:t>
      </w:r>
      <w:r>
        <w:t>C</w:t>
      </w:r>
      <w:r w:rsidRPr="00454539">
        <w:t xml:space="preserve">hapter 6).  </w:t>
      </w:r>
    </w:p>
    <w:p w:rsidR="003B0DEE" w:rsidRDefault="003B0DEE" w:rsidP="000D5D90">
      <w:pPr>
        <w:pStyle w:val="Heading2"/>
      </w:pPr>
      <w:bookmarkStart w:id="83" w:name="_Toc15331698"/>
      <w:r>
        <w:t>Description of the sample</w:t>
      </w:r>
      <w:bookmarkEnd w:id="83"/>
    </w:p>
    <w:p w:rsidR="003B0DEE" w:rsidRPr="001E07CA" w:rsidRDefault="003B0DEE" w:rsidP="000D5D90">
      <w:pPr>
        <w:pStyle w:val="Heading3"/>
      </w:pPr>
      <w:bookmarkStart w:id="84" w:name="_Toc15331699"/>
      <w:r w:rsidRPr="001E07CA">
        <w:t>Treatment admissions subsample</w:t>
      </w:r>
      <w:bookmarkEnd w:id="84"/>
    </w:p>
    <w:p w:rsidR="003B0DEE" w:rsidRPr="001E07CA" w:rsidRDefault="003B0DEE" w:rsidP="000D5D90">
      <w:pPr>
        <w:pStyle w:val="BodyText"/>
        <w:rPr>
          <w:szCs w:val="20"/>
        </w:rPr>
      </w:pPr>
      <w:r w:rsidRPr="001E07CA">
        <w:rPr>
          <w:szCs w:val="20"/>
        </w:rPr>
        <w:t xml:space="preserve">The previous </w:t>
      </w:r>
      <w:r>
        <w:rPr>
          <w:szCs w:val="20"/>
        </w:rPr>
        <w:t>C</w:t>
      </w:r>
      <w:r w:rsidRPr="001E07CA">
        <w:rPr>
          <w:szCs w:val="20"/>
        </w:rPr>
        <w:t xml:space="preserve">hapter 4 investigated age related trends in first-time treatment admissions and showed the most recent significant </w:t>
      </w:r>
      <w:r>
        <w:rPr>
          <w:szCs w:val="20"/>
        </w:rPr>
        <w:t xml:space="preserve">change in </w:t>
      </w:r>
      <w:r w:rsidRPr="001E07CA">
        <w:rPr>
          <w:szCs w:val="20"/>
        </w:rPr>
        <w:t xml:space="preserve">trend commenced in 2009.  Therefore, data used in this chapter is the subset of people who entered opioid treatment in the years 2009 to 2015 inclusive.  </w:t>
      </w:r>
    </w:p>
    <w:p w:rsidR="003B0DEE" w:rsidRPr="001E07CA" w:rsidRDefault="003B0DEE" w:rsidP="000D5D90">
      <w:pPr>
        <w:pStyle w:val="BodyText"/>
        <w:rPr>
          <w:szCs w:val="20"/>
        </w:rPr>
      </w:pPr>
      <w:r w:rsidRPr="001E07CA">
        <w:rPr>
          <w:szCs w:val="20"/>
        </w:rPr>
        <w:t>A total of 7,933 new individuals entered treatment for problem opioid use between 2009 and 2015.  Admissions were highest in 2009 (n=1,489, 18.8%) with numbers declining year-on-year to 926 individuals (11.7%) in 2015.  Males accounted for 70.6% (n=5,589) of treatment entries.  Heroin was the main problem opioid accounting for 89.1% (n=7,069) of all treatment</w:t>
      </w:r>
      <w:r>
        <w:rPr>
          <w:szCs w:val="20"/>
        </w:rPr>
        <w:t xml:space="preserve"> entries.  Other types of opioid</w:t>
      </w:r>
      <w:r w:rsidRPr="001E07CA">
        <w:rPr>
          <w:szCs w:val="20"/>
        </w:rPr>
        <w:t xml:space="preserve"> (non-heroin) accounted for 10.9% (n=864) of treatment entries and were mainly over-the-counter and other prescribed opioids</w:t>
      </w:r>
      <w:r>
        <w:rPr>
          <w:szCs w:val="20"/>
        </w:rPr>
        <w:t xml:space="preserve"> </w:t>
      </w:r>
      <w:r>
        <w:t>(such as codeine, codeine derivatives, morphine, prescribed synthetic opioids)</w:t>
      </w:r>
      <w:r w:rsidRPr="001E07CA">
        <w:rPr>
          <w:szCs w:val="20"/>
        </w:rPr>
        <w:t xml:space="preserve"> (8.6%, n=680). </w:t>
      </w:r>
    </w:p>
    <w:p w:rsidR="003B0DEE" w:rsidRPr="002D78DA" w:rsidRDefault="003B0DEE" w:rsidP="000D5D90">
      <w:pPr>
        <w:pStyle w:val="Heading2"/>
      </w:pPr>
      <w:bookmarkStart w:id="85" w:name="_Toc15331700"/>
      <w:r w:rsidRPr="002D78DA">
        <w:t>Cluster solution</w:t>
      </w:r>
      <w:bookmarkEnd w:id="85"/>
    </w:p>
    <w:p w:rsidR="003B0DEE" w:rsidRDefault="003B0DEE" w:rsidP="000D5D90">
      <w:pPr>
        <w:pStyle w:val="BodyText"/>
      </w:pPr>
      <w:r w:rsidRPr="001E07CA">
        <w:t xml:space="preserve">Two variables, type of opioid and age of opioid use onset, produced the best cluster solution and these two variables provided distinguishing features between clusters. </w:t>
      </w:r>
      <w:r>
        <w:t xml:space="preserve"> </w:t>
      </w:r>
      <w:r w:rsidRPr="006F4147">
        <w:t>The optimal number of clusters determined by the model was five.</w:t>
      </w:r>
      <w:r w:rsidRPr="00BE2D6F">
        <w:t xml:space="preserve"> </w:t>
      </w:r>
      <w:r>
        <w:t xml:space="preserve"> The silhouette measure of cohesion and separation rating of 0.8 indicated a good model solution with strong evidence of cluster structure.  </w:t>
      </w:r>
      <w:r w:rsidRPr="001E07CA">
        <w:t xml:space="preserve">The cluster analysis revealed five distinct groups (Table </w:t>
      </w:r>
      <w:r>
        <w:t>5-</w:t>
      </w:r>
      <w:r w:rsidRPr="001E07CA">
        <w:t>1)</w:t>
      </w:r>
      <w:r>
        <w:t xml:space="preserve"> with the </w:t>
      </w:r>
      <w:r w:rsidRPr="001E07CA">
        <w:t xml:space="preserve">following cluster profiles identified: </w:t>
      </w:r>
    </w:p>
    <w:p w:rsidR="003B0DEE" w:rsidRPr="00C34E44" w:rsidRDefault="003B0DEE" w:rsidP="000D5D90">
      <w:pPr>
        <w:pStyle w:val="ListParagraph"/>
        <w:numPr>
          <w:ilvl w:val="0"/>
          <w:numId w:val="5"/>
        </w:numPr>
        <w:rPr>
          <w:b/>
          <w:bCs/>
          <w:szCs w:val="18"/>
        </w:rPr>
      </w:pPr>
      <w:r w:rsidRPr="00C34E44">
        <w:rPr>
          <w:rFonts w:cs="Arial"/>
          <w:b/>
        </w:rPr>
        <w:lastRenderedPageBreak/>
        <w:t>Cluster 1:</w:t>
      </w:r>
      <w:r w:rsidRPr="00C34E44">
        <w:rPr>
          <w:rFonts w:cs="Arial"/>
        </w:rPr>
        <w:t xml:space="preserve"> </w:t>
      </w:r>
      <w:r w:rsidRPr="00C34E44">
        <w:rPr>
          <w:rFonts w:cs="Arial"/>
          <w:i/>
        </w:rPr>
        <w:t>people who used over-the-counter/prescription/other opioids with late-onset drug use</w:t>
      </w:r>
      <w:r w:rsidRPr="00C34E44">
        <w:rPr>
          <w:rFonts w:cs="Arial"/>
        </w:rPr>
        <w:t xml:space="preserve"> </w:t>
      </w:r>
      <w:proofErr w:type="gramStart"/>
      <w:r w:rsidRPr="00C34E44">
        <w:rPr>
          <w:rFonts w:cs="Arial"/>
        </w:rPr>
        <w:t>was</w:t>
      </w:r>
      <w:proofErr w:type="gramEnd"/>
      <w:r w:rsidRPr="00C34E44">
        <w:rPr>
          <w:rFonts w:cs="Arial"/>
        </w:rPr>
        <w:t xml:space="preserve"> the smallest cluster and consisted of 10.9% (n=864) of treatment entries.  A distinguishing feature of this cluster was the exclusive primary use of non-heroin opioids, mainly codeine (n=524, 60.6%) and synthetic opioids (n=282, 32.6%).  </w:t>
      </w:r>
    </w:p>
    <w:p w:rsidR="003B0DEE" w:rsidRPr="00C34E44" w:rsidRDefault="003B0DEE" w:rsidP="000D5D90">
      <w:pPr>
        <w:pStyle w:val="ListParagraph"/>
        <w:numPr>
          <w:ilvl w:val="0"/>
          <w:numId w:val="5"/>
        </w:numPr>
        <w:rPr>
          <w:b/>
          <w:bCs/>
          <w:szCs w:val="18"/>
        </w:rPr>
      </w:pPr>
      <w:r w:rsidRPr="00C34E44">
        <w:rPr>
          <w:rFonts w:cs="Arial"/>
          <w:b/>
        </w:rPr>
        <w:t>Cluster 2:</w:t>
      </w:r>
      <w:r w:rsidRPr="00C34E44">
        <w:rPr>
          <w:rFonts w:cs="Arial"/>
        </w:rPr>
        <w:t xml:space="preserve"> </w:t>
      </w:r>
      <w:r w:rsidRPr="00C34E44">
        <w:rPr>
          <w:rFonts w:cs="Arial"/>
          <w:i/>
        </w:rPr>
        <w:t>people who used heroin and who had shortest duration between opioid use onset and treatment</w:t>
      </w:r>
      <w:r w:rsidRPr="00C34E44">
        <w:rPr>
          <w:rFonts w:cs="Arial"/>
        </w:rPr>
        <w:t xml:space="preserve"> accounted for 20.1% (n=1,594) of treatment entries.  This group had the shortest duration between commencing opioid use and entering treatment, with a median time lag of 4 years (range 0–15 years).  </w:t>
      </w:r>
    </w:p>
    <w:p w:rsidR="003B0DEE" w:rsidRPr="00C34E44" w:rsidRDefault="003B0DEE" w:rsidP="000D5D90">
      <w:pPr>
        <w:pStyle w:val="ListParagraph"/>
        <w:numPr>
          <w:ilvl w:val="0"/>
          <w:numId w:val="5"/>
        </w:numPr>
        <w:rPr>
          <w:b/>
          <w:bCs/>
          <w:szCs w:val="18"/>
        </w:rPr>
      </w:pPr>
      <w:r w:rsidRPr="00C34E44">
        <w:rPr>
          <w:rFonts w:cs="Arial"/>
          <w:b/>
        </w:rPr>
        <w:t>Cluster 3:</w:t>
      </w:r>
      <w:r w:rsidRPr="00C34E44">
        <w:rPr>
          <w:rFonts w:cs="Arial"/>
        </w:rPr>
        <w:t xml:space="preserve"> </w:t>
      </w:r>
      <w:r w:rsidRPr="00C34E44">
        <w:rPr>
          <w:rFonts w:cs="Arial"/>
          <w:i/>
        </w:rPr>
        <w:t>people who used heroin and were the oldest to commence opioid use</w:t>
      </w:r>
      <w:r w:rsidRPr="00C34E44">
        <w:rPr>
          <w:rFonts w:cs="Arial"/>
        </w:rPr>
        <w:t xml:space="preserve"> consisted of 14.2% (n=1,123) of treatment entries and was entirely made up of heroin users.  A distinguishing feature of this cluster was that it is the oldest in terms of opioid use onset with a median age of 31 years (range 12–44 years).  </w:t>
      </w:r>
    </w:p>
    <w:p w:rsidR="003B0DEE" w:rsidRPr="00C34E44" w:rsidRDefault="003B0DEE" w:rsidP="000D5D90">
      <w:pPr>
        <w:pStyle w:val="ListParagraph"/>
        <w:numPr>
          <w:ilvl w:val="0"/>
          <w:numId w:val="5"/>
        </w:numPr>
        <w:rPr>
          <w:b/>
          <w:bCs/>
          <w:szCs w:val="18"/>
        </w:rPr>
      </w:pPr>
      <w:r w:rsidRPr="00C34E44">
        <w:rPr>
          <w:rFonts w:cs="Arial"/>
          <w:b/>
        </w:rPr>
        <w:t>Cluster 4:</w:t>
      </w:r>
      <w:r w:rsidRPr="00C34E44">
        <w:rPr>
          <w:rFonts w:cs="Arial"/>
        </w:rPr>
        <w:t xml:space="preserve"> </w:t>
      </w:r>
      <w:r w:rsidRPr="00C34E44">
        <w:rPr>
          <w:rFonts w:cs="Arial"/>
          <w:i/>
        </w:rPr>
        <w:t>people who used heroin and were young treatment entrants</w:t>
      </w:r>
      <w:r w:rsidRPr="00C34E44">
        <w:rPr>
          <w:rFonts w:cs="Arial"/>
        </w:rPr>
        <w:t xml:space="preserve"> consisted of 22.3% (n=1,766) of treatment entries and was entirely made up of heroin users.  Half of this group had started using heroin by the time they were aged 22 years (range 20–24 years). </w:t>
      </w:r>
    </w:p>
    <w:p w:rsidR="003B0DEE" w:rsidRPr="00C34E44" w:rsidRDefault="003B0DEE" w:rsidP="000D5D90">
      <w:pPr>
        <w:pStyle w:val="ListParagraph"/>
        <w:numPr>
          <w:ilvl w:val="0"/>
          <w:numId w:val="5"/>
        </w:numPr>
        <w:rPr>
          <w:b/>
          <w:bCs/>
          <w:szCs w:val="18"/>
        </w:rPr>
      </w:pPr>
      <w:r w:rsidRPr="00C34E44">
        <w:rPr>
          <w:rFonts w:cs="Arial"/>
          <w:b/>
        </w:rPr>
        <w:t>Cluster 5:</w:t>
      </w:r>
      <w:r w:rsidRPr="00C34E44">
        <w:rPr>
          <w:rFonts w:cs="Arial"/>
        </w:rPr>
        <w:t xml:space="preserve"> </w:t>
      </w:r>
      <w:r w:rsidRPr="00C34E44">
        <w:rPr>
          <w:rFonts w:cs="Arial"/>
          <w:i/>
        </w:rPr>
        <w:t xml:space="preserve">people who used heroin, were the youngest treatment entrants, with the earliest opioid </w:t>
      </w:r>
      <w:r>
        <w:rPr>
          <w:rFonts w:cs="Arial"/>
          <w:i/>
        </w:rPr>
        <w:t xml:space="preserve">use </w:t>
      </w:r>
      <w:r w:rsidRPr="00C34E44">
        <w:rPr>
          <w:rFonts w:cs="Arial"/>
          <w:i/>
        </w:rPr>
        <w:t>onset, and had the longest duration between opioid use onset and treatment</w:t>
      </w:r>
      <w:r w:rsidRPr="00C34E44">
        <w:rPr>
          <w:rFonts w:cs="Arial"/>
        </w:rPr>
        <w:t xml:space="preserve"> was the largest and consisted of 32.6% (n=2,586) of treatment entries.  A distinguishing feature of cluster five was that they were the youngest to start using drugs (median age 14 years, range 11–18 years), making them an early opioid use onset group.  </w:t>
      </w:r>
    </w:p>
    <w:p w:rsidR="003B0DEE" w:rsidRPr="002D78DA" w:rsidRDefault="003B0DEE" w:rsidP="000D5D90">
      <w:pPr>
        <w:pStyle w:val="Heading2"/>
      </w:pPr>
      <w:bookmarkStart w:id="86" w:name="_Toc15331701"/>
      <w:r w:rsidRPr="002D78DA">
        <w:t>Comparisons across cluster groups</w:t>
      </w:r>
      <w:bookmarkEnd w:id="86"/>
    </w:p>
    <w:p w:rsidR="003B0DEE" w:rsidRPr="001E07CA" w:rsidRDefault="003B0DEE" w:rsidP="000D5D90">
      <w:pPr>
        <w:pStyle w:val="Heading3"/>
      </w:pPr>
      <w:bookmarkStart w:id="87" w:name="_Toc15331702"/>
      <w:r w:rsidRPr="001E07CA">
        <w:t>Socio demographic characteristics</w:t>
      </w:r>
      <w:bookmarkEnd w:id="87"/>
    </w:p>
    <w:p w:rsidR="003B0DEE" w:rsidRPr="00454539" w:rsidRDefault="003B0DEE" w:rsidP="000D5D90">
      <w:pPr>
        <w:pStyle w:val="BodyText"/>
      </w:pPr>
      <w:r w:rsidRPr="00454539">
        <w:t xml:space="preserve">The five clusters differed significantly in gender (Z=329.78, p&lt;0.001), age (U=1033.81, p&lt;0.001), employment status (Z=504.021, p&lt;0.001), living accommodation (Z =335.85, p&lt;0.001) and arrangements (Z=839.287, p&lt;0.001), school leaving age (U=299.01, p&lt;0.001), level of educational attainment (Z=672.591, p&lt;0.001) and geographical location (Z=49.911, p&lt;0.001) (Table </w:t>
      </w:r>
      <w:r>
        <w:t>5-</w:t>
      </w:r>
      <w:r w:rsidRPr="00454539">
        <w:t xml:space="preserve">2).  Unlike the other clusters which were predominantly male, the majority of individuals in cluster one </w:t>
      </w:r>
      <w:proofErr w:type="gramStart"/>
      <w:r w:rsidRPr="00454539">
        <w:t>were</w:t>
      </w:r>
      <w:proofErr w:type="gramEnd"/>
      <w:r w:rsidRPr="00454539">
        <w:t xml:space="preserve"> female (55.3%).  The mean age when entering treatment for those in cluster one was 37 years, making this the oldest treatment group.  Cluster five </w:t>
      </w:r>
      <w:r>
        <w:t>had</w:t>
      </w:r>
      <w:r w:rsidRPr="00454539">
        <w:t xml:space="preserve"> the youngest treatment entrants (mean age 27 years), while cluster four were the next youngest with a mean age entering treatment of 29 years.  The majority of individuals </w:t>
      </w:r>
      <w:r>
        <w:t xml:space="preserve">in each cluster </w:t>
      </w:r>
      <w:r w:rsidRPr="00454539">
        <w:t xml:space="preserve">resided outside of the capital city (Dublin), the least likely to live in Dublin were cluster one (29.6%) and the most likely </w:t>
      </w:r>
      <w:r>
        <w:t xml:space="preserve">to live in Dublin </w:t>
      </w:r>
      <w:r w:rsidRPr="00454539">
        <w:t>were cluster three and five (</w:t>
      </w:r>
      <w:r>
        <w:t xml:space="preserve">both at </w:t>
      </w:r>
      <w:r w:rsidRPr="00454539">
        <w:t xml:space="preserve">39.2%). </w:t>
      </w:r>
    </w:p>
    <w:p w:rsidR="003B0DEE" w:rsidRPr="00454539" w:rsidRDefault="003B0DEE" w:rsidP="000D5D90">
      <w:pPr>
        <w:pStyle w:val="BodyText"/>
      </w:pPr>
      <w:r w:rsidRPr="00454539">
        <w:t>The percentage completing third level education was highest among cluster one (12.5%)</w:t>
      </w:r>
      <w:r>
        <w:t>.</w:t>
      </w:r>
      <w:r w:rsidRPr="00454539">
        <w:t xml:space="preserve"> </w:t>
      </w:r>
      <w:r>
        <w:t xml:space="preserve"> T</w:t>
      </w:r>
      <w:r w:rsidRPr="00454539">
        <w:t xml:space="preserve">his group had the lowest rate of unemployment (49.7%) and the highest rate of regular employment (25.0%).  In contrast, the youngest school leavers were in cluster three and five (median age 15 years).  Cluster two, three, four and five </w:t>
      </w:r>
      <w:r>
        <w:t xml:space="preserve">contained the highest proportions who were </w:t>
      </w:r>
      <w:r w:rsidRPr="00454539">
        <w:t xml:space="preserve">unemployed (&gt;69.0%).  </w:t>
      </w:r>
    </w:p>
    <w:p w:rsidR="003B0DEE" w:rsidRPr="00C06D94" w:rsidRDefault="003B0DEE" w:rsidP="000D5D90">
      <w:pPr>
        <w:pStyle w:val="Caption"/>
        <w:rPr>
          <w:rFonts w:eastAsia="Arial" w:cs="Arial"/>
          <w:b w:val="0"/>
          <w:bCs w:val="0"/>
          <w:szCs w:val="24"/>
          <w:lang w:val="en-US" w:eastAsia="en-US"/>
        </w:rPr>
        <w:sectPr w:rsidR="003B0DEE" w:rsidRPr="00C06D94" w:rsidSect="000D5D90">
          <w:footerReference w:type="default" r:id="rId14"/>
          <w:pgSz w:w="11907" w:h="16840" w:code="9"/>
          <w:pgMar w:top="1134" w:right="1134" w:bottom="1134" w:left="1985" w:header="709" w:footer="709" w:gutter="0"/>
          <w:cols w:space="708"/>
          <w:docGrid w:linePitch="360"/>
        </w:sectPr>
      </w:pPr>
      <w:r w:rsidRPr="00C06D94">
        <w:rPr>
          <w:rFonts w:eastAsia="Arial" w:cs="Arial"/>
          <w:b w:val="0"/>
          <w:bCs w:val="0"/>
          <w:szCs w:val="24"/>
          <w:lang w:val="en-US" w:eastAsia="en-US"/>
        </w:rPr>
        <w:lastRenderedPageBreak/>
        <w:t>The largest percentage living in stable accommodation occurred in cluster one (92.5%), while the largest percentage living in an institution (prison, residential care or halfway house) occurred in cluster five (23.7%), which includes 474 people treated while in prison (50.5% of all treatments provided in prison settings).  Living arrangements varied across clusters</w:t>
      </w:r>
      <w:r>
        <w:rPr>
          <w:rFonts w:eastAsia="Arial" w:cs="Arial"/>
          <w:b w:val="0"/>
          <w:bCs w:val="0"/>
          <w:szCs w:val="24"/>
          <w:lang w:val="en-US" w:eastAsia="en-US"/>
        </w:rPr>
        <w:t>;</w:t>
      </w:r>
      <w:r w:rsidRPr="00C06D94">
        <w:rPr>
          <w:rFonts w:eastAsia="Arial" w:cs="Arial"/>
          <w:b w:val="0"/>
          <w:bCs w:val="0"/>
          <w:szCs w:val="24"/>
          <w:lang w:val="en-US" w:eastAsia="en-US"/>
        </w:rPr>
        <w:t xml:space="preserve"> 42.2% of those in cluster one lived with children (either alone or with their partner).  Forty percent of cluster five lived with parents or family, with a similar percentage in cluster four (39.2%).  Cluster three had the largest percentage of those living alone at 17.0%.  </w:t>
      </w:r>
    </w:p>
    <w:p w:rsidR="003B0DEE" w:rsidRPr="005C08E6" w:rsidRDefault="003B0DEE" w:rsidP="000D5D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736"/>
        </w:tabs>
        <w:jc w:val="left"/>
        <w:rPr>
          <w:rFonts w:ascii="Arial" w:hAnsi="Arial" w:cs="Arial"/>
          <w:b/>
          <w:sz w:val="20"/>
        </w:rPr>
      </w:pPr>
      <w:bookmarkStart w:id="88" w:name="_Toc15331998"/>
      <w:r w:rsidRPr="005C08E6">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5</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r>
        <w:rPr>
          <w:rFonts w:ascii="Arial" w:hAnsi="Arial" w:cs="Arial"/>
          <w:b/>
          <w:sz w:val="20"/>
        </w:rPr>
        <w:t xml:space="preserve">  </w:t>
      </w:r>
      <w:r w:rsidRPr="005C08E6">
        <w:rPr>
          <w:rFonts w:ascii="Arial" w:hAnsi="Arial" w:cs="Arial"/>
          <w:sz w:val="20"/>
        </w:rPr>
        <w:t xml:space="preserve">Typologies of first-time opioid treatment entrants, </w:t>
      </w:r>
      <w:r>
        <w:rPr>
          <w:rFonts w:ascii="Arial" w:hAnsi="Arial" w:cs="Arial"/>
          <w:sz w:val="20"/>
        </w:rPr>
        <w:t>2009–2015</w:t>
      </w:r>
      <w:bookmarkEnd w:id="88"/>
    </w:p>
    <w:tbl>
      <w:tblPr>
        <w:tblW w:w="4353" w:type="pct"/>
        <w:tblBorders>
          <w:top w:val="single" w:sz="8" w:space="0" w:color="000000"/>
          <w:bottom w:val="single" w:sz="8" w:space="0" w:color="000000"/>
        </w:tblBorders>
        <w:tblLook w:val="04A0" w:firstRow="1" w:lastRow="0" w:firstColumn="1" w:lastColumn="0" w:noHBand="0" w:noVBand="1"/>
      </w:tblPr>
      <w:tblGrid>
        <w:gridCol w:w="3038"/>
        <w:gridCol w:w="1532"/>
        <w:gridCol w:w="1506"/>
        <w:gridCol w:w="1419"/>
        <w:gridCol w:w="1643"/>
        <w:gridCol w:w="1640"/>
        <w:gridCol w:w="2096"/>
      </w:tblGrid>
      <w:tr w:rsidR="003B0DEE" w:rsidRPr="005502B8" w:rsidTr="000D5D90">
        <w:trPr>
          <w:trHeight w:val="20"/>
        </w:trPr>
        <w:tc>
          <w:tcPr>
            <w:tcW w:w="1180" w:type="pct"/>
            <w:tcBorders>
              <w:top w:val="single" w:sz="8" w:space="0" w:color="000000"/>
              <w:bottom w:val="single" w:sz="8" w:space="0" w:color="000000"/>
            </w:tcBorders>
            <w:shd w:val="clear" w:color="auto" w:fill="auto"/>
          </w:tcPr>
          <w:p w:rsidR="003B0DEE" w:rsidRPr="005502B8" w:rsidRDefault="003B0DEE" w:rsidP="000D5D90">
            <w:pPr>
              <w:spacing w:line="240" w:lineRule="auto"/>
              <w:jc w:val="center"/>
              <w:rPr>
                <w:rFonts w:ascii="Arial" w:hAnsi="Arial" w:cs="Arial"/>
                <w:b/>
                <w:bCs/>
                <w:color w:val="000000"/>
                <w:sz w:val="20"/>
                <w:szCs w:val="22"/>
                <w:lang w:eastAsia="en-US"/>
              </w:rPr>
            </w:pPr>
          </w:p>
        </w:tc>
        <w:tc>
          <w:tcPr>
            <w:tcW w:w="3006" w:type="pct"/>
            <w:gridSpan w:val="5"/>
            <w:tcBorders>
              <w:top w:val="single" w:sz="8" w:space="0" w:color="000000"/>
              <w:bottom w:val="single" w:sz="8" w:space="0" w:color="000000"/>
            </w:tcBorders>
            <w:shd w:val="clear" w:color="auto" w:fill="auto"/>
          </w:tcPr>
          <w:p w:rsidR="003B0DEE" w:rsidRPr="005502B8" w:rsidRDefault="003B0DEE" w:rsidP="000D5D90">
            <w:pPr>
              <w:spacing w:line="240" w:lineRule="auto"/>
              <w:jc w:val="center"/>
              <w:rPr>
                <w:rFonts w:ascii="Arial" w:hAnsi="Arial" w:cs="Arial"/>
                <w:b/>
                <w:bCs/>
                <w:color w:val="000000"/>
                <w:sz w:val="20"/>
                <w:szCs w:val="22"/>
                <w:lang w:eastAsia="en-US"/>
              </w:rPr>
            </w:pPr>
            <w:r w:rsidRPr="005502B8">
              <w:rPr>
                <w:rFonts w:ascii="Arial" w:hAnsi="Arial" w:cs="Arial"/>
                <w:b/>
                <w:bCs/>
                <w:color w:val="000000"/>
                <w:sz w:val="20"/>
                <w:szCs w:val="22"/>
                <w:lang w:eastAsia="en-US"/>
              </w:rPr>
              <w:t>Cluster</w:t>
            </w:r>
          </w:p>
        </w:tc>
        <w:tc>
          <w:tcPr>
            <w:tcW w:w="814" w:type="pct"/>
            <w:tcBorders>
              <w:top w:val="single" w:sz="8" w:space="0" w:color="000000"/>
              <w:bottom w:val="single" w:sz="8" w:space="0" w:color="000000"/>
            </w:tcBorders>
            <w:shd w:val="clear" w:color="auto" w:fill="auto"/>
          </w:tcPr>
          <w:p w:rsidR="003B0DEE" w:rsidRPr="005502B8" w:rsidRDefault="003B0DEE" w:rsidP="000D5D90">
            <w:pPr>
              <w:spacing w:line="240" w:lineRule="auto"/>
              <w:jc w:val="center"/>
              <w:rPr>
                <w:rFonts w:ascii="Arial" w:hAnsi="Arial" w:cs="Arial"/>
                <w:b/>
                <w:bCs/>
                <w:color w:val="000000"/>
                <w:sz w:val="20"/>
                <w:szCs w:val="22"/>
                <w:lang w:eastAsia="en-US"/>
              </w:rPr>
            </w:pPr>
            <w:r w:rsidRPr="005502B8">
              <w:rPr>
                <w:rFonts w:ascii="Arial" w:hAnsi="Arial" w:cs="Arial"/>
                <w:b/>
                <w:bCs/>
                <w:color w:val="000000"/>
                <w:sz w:val="20"/>
                <w:szCs w:val="22"/>
                <w:lang w:eastAsia="en-US"/>
              </w:rPr>
              <w:t>Significance test</w:t>
            </w:r>
          </w:p>
        </w:tc>
      </w:tr>
      <w:tr w:rsidR="003B0DEE" w:rsidRPr="005502B8" w:rsidTr="000D5D90">
        <w:trPr>
          <w:trHeight w:val="20"/>
        </w:trPr>
        <w:tc>
          <w:tcPr>
            <w:tcW w:w="1180" w:type="pct"/>
            <w:tcBorders>
              <w:top w:val="single" w:sz="8" w:space="0" w:color="000000"/>
              <w:left w:val="nil"/>
              <w:right w:val="nil"/>
            </w:tcBorders>
            <w:shd w:val="clear" w:color="auto" w:fill="FFFFFF"/>
          </w:tcPr>
          <w:p w:rsidR="003B0DEE" w:rsidRPr="005502B8" w:rsidRDefault="003B0DEE" w:rsidP="000D5D90">
            <w:pPr>
              <w:spacing w:line="240" w:lineRule="auto"/>
              <w:rPr>
                <w:rFonts w:ascii="Arial" w:hAnsi="Arial" w:cs="Arial"/>
                <w:b/>
                <w:bCs/>
                <w:color w:val="000000"/>
                <w:sz w:val="20"/>
                <w:szCs w:val="22"/>
                <w:lang w:eastAsia="en-US"/>
              </w:rPr>
            </w:pPr>
          </w:p>
        </w:tc>
        <w:tc>
          <w:tcPr>
            <w:tcW w:w="595"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1 (N=864)</w:t>
            </w:r>
          </w:p>
        </w:tc>
        <w:tc>
          <w:tcPr>
            <w:tcW w:w="585"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2 (N=1594)</w:t>
            </w:r>
          </w:p>
        </w:tc>
        <w:tc>
          <w:tcPr>
            <w:tcW w:w="551"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3 (N=1123)</w:t>
            </w:r>
          </w:p>
        </w:tc>
        <w:tc>
          <w:tcPr>
            <w:tcW w:w="638"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4 (N=1766)</w:t>
            </w:r>
          </w:p>
        </w:tc>
        <w:tc>
          <w:tcPr>
            <w:tcW w:w="637"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5 (N=2586)</w:t>
            </w:r>
          </w:p>
        </w:tc>
        <w:tc>
          <w:tcPr>
            <w:tcW w:w="814"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color w:val="000000"/>
                <w:sz w:val="20"/>
                <w:szCs w:val="22"/>
                <w:lang w:eastAsia="en-US"/>
              </w:rPr>
              <w:t>U (p)</w:t>
            </w:r>
          </w:p>
        </w:tc>
      </w:tr>
      <w:tr w:rsidR="003B0DEE" w:rsidRPr="005502B8" w:rsidTr="000D5D90">
        <w:trPr>
          <w:trHeight w:val="20"/>
        </w:trPr>
        <w:tc>
          <w:tcPr>
            <w:tcW w:w="1180" w:type="pct"/>
            <w:shd w:val="clear" w:color="auto" w:fill="D9D9D9"/>
          </w:tcPr>
          <w:p w:rsidR="003B0DEE" w:rsidRPr="005502B8" w:rsidRDefault="003B0DEE" w:rsidP="000D5D90">
            <w:pPr>
              <w:spacing w:line="240" w:lineRule="auto"/>
              <w:rPr>
                <w:rFonts w:ascii="Arial" w:hAnsi="Arial" w:cs="Arial"/>
                <w:b/>
                <w:bCs/>
                <w:color w:val="000000"/>
                <w:sz w:val="20"/>
                <w:szCs w:val="22"/>
                <w:lang w:eastAsia="en-US"/>
              </w:rPr>
            </w:pPr>
            <w:r w:rsidRPr="005502B8">
              <w:rPr>
                <w:rFonts w:ascii="Arial" w:hAnsi="Arial" w:cs="Arial"/>
                <w:b/>
                <w:bCs/>
                <w:sz w:val="20"/>
                <w:szCs w:val="22"/>
                <w:lang w:eastAsia="en-US"/>
              </w:rPr>
              <w:t xml:space="preserve">Opioid </w:t>
            </w:r>
            <w:r>
              <w:rPr>
                <w:rFonts w:ascii="Arial" w:hAnsi="Arial" w:cs="Arial"/>
                <w:b/>
                <w:bCs/>
                <w:sz w:val="20"/>
                <w:szCs w:val="22"/>
                <w:lang w:eastAsia="en-US"/>
              </w:rPr>
              <w:t xml:space="preserve">use </w:t>
            </w:r>
            <w:r w:rsidRPr="005502B8">
              <w:rPr>
                <w:rFonts w:ascii="Arial" w:hAnsi="Arial" w:cs="Arial"/>
                <w:b/>
                <w:bCs/>
                <w:sz w:val="20"/>
                <w:szCs w:val="22"/>
                <w:lang w:eastAsia="en-US"/>
              </w:rPr>
              <w:t xml:space="preserve">onset </w:t>
            </w:r>
          </w:p>
        </w:tc>
        <w:tc>
          <w:tcPr>
            <w:tcW w:w="3006" w:type="pct"/>
            <w:gridSpan w:val="5"/>
            <w:shd w:val="clear" w:color="auto" w:fill="D9D9D9"/>
          </w:tcPr>
          <w:p w:rsidR="003B0DEE" w:rsidRPr="005502B8" w:rsidRDefault="003B0DEE" w:rsidP="000D5D90">
            <w:pPr>
              <w:spacing w:line="240" w:lineRule="auto"/>
              <w:jc w:val="center"/>
              <w:rPr>
                <w:rFonts w:ascii="Arial" w:hAnsi="Arial" w:cs="Arial"/>
                <w:b/>
                <w:color w:val="000000"/>
                <w:sz w:val="20"/>
                <w:szCs w:val="22"/>
                <w:lang w:eastAsia="en-US"/>
              </w:rPr>
            </w:pPr>
            <w:r w:rsidRPr="005502B8">
              <w:rPr>
                <w:rFonts w:ascii="Arial" w:hAnsi="Arial" w:cs="Arial"/>
                <w:b/>
                <w:sz w:val="20"/>
                <w:szCs w:val="22"/>
                <w:lang w:eastAsia="en-US"/>
              </w:rPr>
              <w:t>Median years (range</w:t>
            </w:r>
            <w:r>
              <w:rPr>
                <w:rFonts w:ascii="Arial" w:hAnsi="Arial" w:cs="Arial"/>
                <w:b/>
                <w:sz w:val="20"/>
                <w:szCs w:val="22"/>
                <w:lang w:eastAsia="en-US"/>
              </w:rPr>
              <w:t>*</w:t>
            </w:r>
            <w:r w:rsidRPr="005502B8">
              <w:rPr>
                <w:rFonts w:ascii="Arial" w:hAnsi="Arial" w:cs="Arial"/>
                <w:b/>
                <w:sz w:val="20"/>
                <w:szCs w:val="22"/>
                <w:lang w:eastAsia="en-US"/>
              </w:rPr>
              <w:t>)</w:t>
            </w:r>
          </w:p>
        </w:tc>
        <w:tc>
          <w:tcPr>
            <w:tcW w:w="814" w:type="pct"/>
            <w:shd w:val="clear" w:color="auto" w:fill="D9D9D9"/>
          </w:tcPr>
          <w:p w:rsidR="003B0DEE" w:rsidRPr="005502B8" w:rsidRDefault="003B0DEE" w:rsidP="000D5D90">
            <w:pPr>
              <w:spacing w:line="240" w:lineRule="auto"/>
              <w:jc w:val="center"/>
              <w:rPr>
                <w:rFonts w:ascii="Arial" w:hAnsi="Arial" w:cs="Arial"/>
                <w:b/>
                <w:color w:val="000000"/>
                <w:sz w:val="20"/>
                <w:szCs w:val="22"/>
                <w:lang w:eastAsia="en-US"/>
              </w:rPr>
            </w:pPr>
          </w:p>
        </w:tc>
      </w:tr>
      <w:tr w:rsidR="003B0DEE" w:rsidRPr="005502B8" w:rsidTr="000D5D90">
        <w:trPr>
          <w:trHeight w:val="20"/>
        </w:trPr>
        <w:tc>
          <w:tcPr>
            <w:tcW w:w="1180"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szCs w:val="22"/>
                <w:lang w:eastAsia="en-US"/>
              </w:rPr>
            </w:pPr>
            <w:r w:rsidRPr="005502B8">
              <w:rPr>
                <w:rFonts w:ascii="Arial" w:hAnsi="Arial" w:cs="Arial"/>
                <w:bCs/>
                <w:sz w:val="20"/>
                <w:szCs w:val="22"/>
                <w:lang w:eastAsia="en-US"/>
              </w:rPr>
              <w:t>Age first used opioids</w:t>
            </w:r>
          </w:p>
        </w:tc>
        <w:tc>
          <w:tcPr>
            <w:tcW w:w="595"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28 (15-49)</w:t>
            </w:r>
          </w:p>
        </w:tc>
        <w:tc>
          <w:tcPr>
            <w:tcW w:w="585"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26 (25-29)</w:t>
            </w:r>
          </w:p>
        </w:tc>
        <w:tc>
          <w:tcPr>
            <w:tcW w:w="551"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31 (12-44)</w:t>
            </w:r>
          </w:p>
        </w:tc>
        <w:tc>
          <w:tcPr>
            <w:tcW w:w="638"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22 (20-24)</w:t>
            </w:r>
          </w:p>
        </w:tc>
        <w:tc>
          <w:tcPr>
            <w:tcW w:w="637"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17 (15-19)</w:t>
            </w:r>
          </w:p>
        </w:tc>
        <w:tc>
          <w:tcPr>
            <w:tcW w:w="814"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szCs w:val="22"/>
                <w:lang w:eastAsia="en-US"/>
              </w:rPr>
            </w:pPr>
            <w:r w:rsidRPr="005502B8">
              <w:rPr>
                <w:rFonts w:ascii="Arial" w:eastAsia="Calibri" w:hAnsi="Arial" w:cs="Arial"/>
                <w:color w:val="000000"/>
                <w:sz w:val="20"/>
                <w:szCs w:val="18"/>
                <w:lang w:eastAsia="en-US"/>
              </w:rPr>
              <w:t>4149.412 (P&lt;0.001)</w:t>
            </w:r>
          </w:p>
        </w:tc>
      </w:tr>
      <w:tr w:rsidR="003B0DEE" w:rsidRPr="005502B8" w:rsidTr="000D5D90">
        <w:trPr>
          <w:trHeight w:val="154"/>
        </w:trPr>
        <w:tc>
          <w:tcPr>
            <w:tcW w:w="1180" w:type="pct"/>
            <w:shd w:val="clear" w:color="auto" w:fill="D9D9D9"/>
          </w:tcPr>
          <w:p w:rsidR="003B0DEE" w:rsidRPr="005502B8" w:rsidRDefault="003B0DEE" w:rsidP="000D5D90">
            <w:pPr>
              <w:spacing w:line="240" w:lineRule="auto"/>
              <w:rPr>
                <w:rFonts w:ascii="Arial" w:hAnsi="Arial" w:cs="Arial"/>
                <w:b/>
                <w:bCs/>
                <w:sz w:val="20"/>
                <w:szCs w:val="22"/>
                <w:lang w:eastAsia="en-US"/>
              </w:rPr>
            </w:pPr>
            <w:r w:rsidRPr="005502B8">
              <w:rPr>
                <w:rFonts w:ascii="Arial" w:hAnsi="Arial" w:cs="Arial"/>
                <w:b/>
                <w:bCs/>
                <w:sz w:val="20"/>
                <w:szCs w:val="22"/>
                <w:lang w:eastAsia="en-US"/>
              </w:rPr>
              <w:t>Main type of problem opioid</w:t>
            </w:r>
          </w:p>
        </w:tc>
        <w:tc>
          <w:tcPr>
            <w:tcW w:w="3006" w:type="pct"/>
            <w:gridSpan w:val="5"/>
            <w:shd w:val="clear" w:color="auto" w:fill="D9D9D9"/>
          </w:tcPr>
          <w:p w:rsidR="003B0DEE" w:rsidRPr="005502B8" w:rsidRDefault="003B0DEE" w:rsidP="000D5D90">
            <w:pPr>
              <w:spacing w:line="240" w:lineRule="auto"/>
              <w:jc w:val="center"/>
              <w:rPr>
                <w:rFonts w:ascii="Arial" w:hAnsi="Arial" w:cs="Arial"/>
                <w:sz w:val="20"/>
                <w:szCs w:val="22"/>
                <w:lang w:eastAsia="en-US"/>
              </w:rPr>
            </w:pPr>
            <w:r w:rsidRPr="005502B8">
              <w:rPr>
                <w:rFonts w:ascii="Arial" w:hAnsi="Arial" w:cs="Arial"/>
                <w:b/>
                <w:color w:val="000000"/>
                <w:sz w:val="20"/>
                <w:szCs w:val="22"/>
                <w:lang w:eastAsia="en-US"/>
              </w:rPr>
              <w:t>Number (%)</w:t>
            </w:r>
          </w:p>
        </w:tc>
        <w:tc>
          <w:tcPr>
            <w:tcW w:w="814" w:type="pct"/>
            <w:shd w:val="clear" w:color="auto" w:fill="D9D9D9"/>
          </w:tcPr>
          <w:p w:rsidR="003B0DEE" w:rsidRPr="005502B8" w:rsidRDefault="003B0DEE" w:rsidP="000D5D90">
            <w:pPr>
              <w:spacing w:line="240" w:lineRule="auto"/>
              <w:rPr>
                <w:rFonts w:ascii="Arial" w:hAnsi="Arial" w:cs="Arial"/>
                <w:sz w:val="20"/>
                <w:szCs w:val="22"/>
                <w:lang w:eastAsia="en-US"/>
              </w:rPr>
            </w:pPr>
          </w:p>
        </w:tc>
      </w:tr>
      <w:tr w:rsidR="003B0DEE" w:rsidRPr="005502B8" w:rsidTr="000D5D90">
        <w:trPr>
          <w:trHeight w:val="20"/>
        </w:trPr>
        <w:tc>
          <w:tcPr>
            <w:tcW w:w="1180" w:type="pct"/>
            <w:tcBorders>
              <w:left w:val="nil"/>
              <w:right w:val="nil"/>
            </w:tcBorders>
            <w:shd w:val="clear" w:color="auto" w:fill="FFFFFF"/>
          </w:tcPr>
          <w:p w:rsidR="003B0DEE" w:rsidRPr="005502B8" w:rsidRDefault="003B0DEE" w:rsidP="000D5D90">
            <w:pPr>
              <w:spacing w:line="240" w:lineRule="auto"/>
              <w:rPr>
                <w:rFonts w:ascii="Arial" w:hAnsi="Arial" w:cs="Arial"/>
                <w:bCs/>
                <w:sz w:val="20"/>
                <w:szCs w:val="22"/>
                <w:lang w:eastAsia="en-US"/>
              </w:rPr>
            </w:pPr>
            <w:r w:rsidRPr="005502B8">
              <w:rPr>
                <w:rFonts w:ascii="Arial" w:hAnsi="Arial" w:cs="Arial"/>
                <w:bCs/>
                <w:sz w:val="20"/>
                <w:szCs w:val="22"/>
                <w:lang w:eastAsia="en-US"/>
              </w:rPr>
              <w:t>Heroin</w:t>
            </w:r>
          </w:p>
        </w:tc>
        <w:tc>
          <w:tcPr>
            <w:tcW w:w="5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0 (0.0%)</w:t>
            </w:r>
          </w:p>
        </w:tc>
        <w:tc>
          <w:tcPr>
            <w:tcW w:w="585"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1594 (0.0%)</w:t>
            </w:r>
          </w:p>
        </w:tc>
        <w:tc>
          <w:tcPr>
            <w:tcW w:w="551" w:type="pct"/>
            <w:tcBorders>
              <w:left w:val="nil"/>
              <w:right w:val="nil"/>
            </w:tcBorders>
            <w:shd w:val="clear" w:color="auto" w:fill="FFFFFF"/>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1123 (0.0%)</w:t>
            </w:r>
          </w:p>
        </w:tc>
        <w:tc>
          <w:tcPr>
            <w:tcW w:w="638"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1766 (100.0%)</w:t>
            </w:r>
          </w:p>
        </w:tc>
        <w:tc>
          <w:tcPr>
            <w:tcW w:w="63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2586 (100.0%)</w:t>
            </w:r>
          </w:p>
        </w:tc>
        <w:tc>
          <w:tcPr>
            <w:tcW w:w="814"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sz w:val="20"/>
                <w:szCs w:val="22"/>
                <w:lang w:eastAsia="en-US"/>
              </w:rPr>
            </w:pPr>
          </w:p>
        </w:tc>
      </w:tr>
      <w:tr w:rsidR="003B0DEE" w:rsidRPr="005502B8" w:rsidTr="000D5D90">
        <w:trPr>
          <w:trHeight w:val="20"/>
        </w:trPr>
        <w:tc>
          <w:tcPr>
            <w:tcW w:w="1180" w:type="pct"/>
            <w:shd w:val="clear" w:color="auto" w:fill="FFFFFF"/>
          </w:tcPr>
          <w:p w:rsidR="003B0DEE" w:rsidRPr="005502B8" w:rsidRDefault="003B0DEE" w:rsidP="000D5D90">
            <w:pPr>
              <w:spacing w:line="240" w:lineRule="auto"/>
              <w:rPr>
                <w:rFonts w:ascii="Arial" w:hAnsi="Arial" w:cs="Arial"/>
                <w:bCs/>
                <w:sz w:val="20"/>
                <w:szCs w:val="22"/>
                <w:lang w:eastAsia="en-US"/>
              </w:rPr>
            </w:pPr>
            <w:r w:rsidRPr="005502B8">
              <w:rPr>
                <w:rFonts w:ascii="Arial" w:hAnsi="Arial" w:cs="Arial"/>
                <w:bCs/>
                <w:sz w:val="20"/>
                <w:szCs w:val="22"/>
                <w:lang w:eastAsia="en-US"/>
              </w:rPr>
              <w:t>Other opioids</w:t>
            </w:r>
          </w:p>
        </w:tc>
        <w:tc>
          <w:tcPr>
            <w:tcW w:w="595" w:type="pct"/>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864 (100.0%)</w:t>
            </w:r>
          </w:p>
        </w:tc>
        <w:tc>
          <w:tcPr>
            <w:tcW w:w="585" w:type="pct"/>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0 (0.0%)</w:t>
            </w:r>
          </w:p>
        </w:tc>
        <w:tc>
          <w:tcPr>
            <w:tcW w:w="551" w:type="pct"/>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0 (0.0%)</w:t>
            </w:r>
          </w:p>
        </w:tc>
        <w:tc>
          <w:tcPr>
            <w:tcW w:w="638" w:type="pct"/>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0 (0.0%)</w:t>
            </w:r>
          </w:p>
        </w:tc>
        <w:tc>
          <w:tcPr>
            <w:tcW w:w="637" w:type="pct"/>
            <w:shd w:val="clear" w:color="auto" w:fill="FFFFFF"/>
            <w:vAlign w:val="center"/>
          </w:tcPr>
          <w:p w:rsidR="003B0DEE" w:rsidRPr="005502B8" w:rsidRDefault="003B0DEE" w:rsidP="000D5D90">
            <w:pPr>
              <w:spacing w:line="240" w:lineRule="auto"/>
              <w:jc w:val="right"/>
              <w:rPr>
                <w:rFonts w:ascii="Arial" w:hAnsi="Arial" w:cs="Arial"/>
                <w:sz w:val="20"/>
                <w:szCs w:val="22"/>
                <w:lang w:eastAsia="en-US"/>
              </w:rPr>
            </w:pPr>
            <w:r w:rsidRPr="005502B8">
              <w:rPr>
                <w:rFonts w:ascii="Arial" w:hAnsi="Arial" w:cs="Arial"/>
                <w:sz w:val="20"/>
                <w:szCs w:val="22"/>
                <w:lang w:eastAsia="en-US"/>
              </w:rPr>
              <w:t>0 (0.0%)</w:t>
            </w:r>
          </w:p>
        </w:tc>
        <w:tc>
          <w:tcPr>
            <w:tcW w:w="814" w:type="pct"/>
            <w:shd w:val="clear" w:color="auto" w:fill="FFFFFF"/>
            <w:vAlign w:val="bottom"/>
          </w:tcPr>
          <w:p w:rsidR="003B0DEE" w:rsidRPr="005502B8" w:rsidRDefault="003B0DEE" w:rsidP="000D5D90">
            <w:pPr>
              <w:spacing w:line="240" w:lineRule="auto"/>
              <w:jc w:val="right"/>
              <w:rPr>
                <w:rFonts w:ascii="Arial" w:hAnsi="Arial" w:cs="Arial"/>
                <w:sz w:val="20"/>
                <w:szCs w:val="22"/>
                <w:lang w:eastAsia="en-US"/>
              </w:rPr>
            </w:pPr>
          </w:p>
        </w:tc>
      </w:tr>
    </w:tbl>
    <w:p w:rsidR="003B0DEE" w:rsidRPr="00D7481B" w:rsidRDefault="003B0DEE" w:rsidP="00F07F03">
      <w:pPr>
        <w:spacing w:after="200" w:line="276" w:lineRule="auto"/>
        <w:jc w:val="left"/>
        <w:rPr>
          <w:rFonts w:ascii="Arial" w:hAnsi="Arial" w:cs="Arial"/>
          <w:sz w:val="20"/>
        </w:rPr>
        <w:sectPr w:rsidR="003B0DEE" w:rsidRPr="00D7481B" w:rsidSect="000D5D90">
          <w:pgSz w:w="16840" w:h="11907" w:orient="landscape" w:code="9"/>
          <w:pgMar w:top="1985" w:right="1134" w:bottom="1134" w:left="1134" w:header="709" w:footer="709" w:gutter="0"/>
          <w:cols w:space="708"/>
          <w:docGrid w:linePitch="360"/>
        </w:sectPr>
      </w:pPr>
      <w:r w:rsidRPr="00D7481B">
        <w:rPr>
          <w:rFonts w:ascii="Arial" w:hAnsi="Arial" w:cs="Arial"/>
          <w:sz w:val="20"/>
        </w:rPr>
        <w:t>* Age range presented is the 5</w:t>
      </w:r>
      <w:r w:rsidRPr="00D7481B">
        <w:rPr>
          <w:rFonts w:ascii="Arial" w:hAnsi="Arial" w:cs="Arial"/>
          <w:sz w:val="20"/>
          <w:vertAlign w:val="superscript"/>
        </w:rPr>
        <w:t>th</w:t>
      </w:r>
      <w:r w:rsidRPr="00D7481B">
        <w:rPr>
          <w:rFonts w:ascii="Arial" w:hAnsi="Arial" w:cs="Arial"/>
          <w:sz w:val="20"/>
        </w:rPr>
        <w:t xml:space="preserve"> and 95</w:t>
      </w:r>
      <w:r w:rsidRPr="00D7481B">
        <w:rPr>
          <w:rFonts w:ascii="Arial" w:hAnsi="Arial" w:cs="Arial"/>
          <w:sz w:val="20"/>
          <w:vertAlign w:val="superscript"/>
        </w:rPr>
        <w:t>th</w:t>
      </w:r>
      <w:r w:rsidRPr="00D7481B">
        <w:rPr>
          <w:rFonts w:ascii="Arial" w:hAnsi="Arial" w:cs="Arial"/>
          <w:sz w:val="20"/>
        </w:rPr>
        <w:t xml:space="preserve"> percentile</w:t>
      </w:r>
      <w:r w:rsidR="00C75A7D">
        <w:rPr>
          <w:rFonts w:ascii="Arial" w:hAnsi="Arial" w:cs="Arial"/>
          <w:sz w:val="20"/>
        </w:rPr>
        <w:t>.</w:t>
      </w:r>
    </w:p>
    <w:p w:rsidR="003B0DEE" w:rsidRPr="00E63DCD" w:rsidRDefault="003B0DEE" w:rsidP="000D5D90">
      <w:pPr>
        <w:pStyle w:val="Caption"/>
        <w:spacing w:line="240" w:lineRule="auto"/>
        <w:rPr>
          <w:rFonts w:cs="Arial"/>
        </w:rPr>
      </w:pPr>
      <w:bookmarkStart w:id="89" w:name="_Toc15331999"/>
      <w:r>
        <w:lastRenderedPageBreak/>
        <w:t xml:space="preserve">Table </w:t>
      </w:r>
      <w:fldSimple w:instr=" STYLEREF 1 \s ">
        <w:r>
          <w:rPr>
            <w:noProof/>
          </w:rPr>
          <w:t>5</w:t>
        </w:r>
      </w:fldSimple>
      <w:r>
        <w:noBreakHyphen/>
      </w:r>
      <w:fldSimple w:instr=" SEQ Table \* ARABIC \s 1 ">
        <w:r>
          <w:rPr>
            <w:noProof/>
          </w:rPr>
          <w:t>2</w:t>
        </w:r>
      </w:fldSimple>
      <w:r>
        <w:rPr>
          <w:rFonts w:cs="Arial"/>
        </w:rPr>
        <w:t xml:space="preserve">  </w:t>
      </w:r>
      <w:r w:rsidRPr="005502B8">
        <w:rPr>
          <w:rFonts w:cs="Arial"/>
          <w:b w:val="0"/>
        </w:rPr>
        <w:t>Sociodemographic characteristics</w:t>
      </w:r>
      <w:r>
        <w:rPr>
          <w:rFonts w:cs="Arial"/>
        </w:rPr>
        <w:t xml:space="preserve"> </w:t>
      </w:r>
      <w:r w:rsidRPr="005502B8">
        <w:rPr>
          <w:rFonts w:cs="Arial"/>
          <w:b w:val="0"/>
        </w:rPr>
        <w:t>of first</w:t>
      </w:r>
      <w:r>
        <w:rPr>
          <w:rFonts w:cs="Arial"/>
          <w:b w:val="0"/>
        </w:rPr>
        <w:t xml:space="preserve">-time opioid </w:t>
      </w:r>
      <w:r w:rsidRPr="005502B8">
        <w:rPr>
          <w:rFonts w:cs="Arial"/>
          <w:b w:val="0"/>
        </w:rPr>
        <w:t>treatment entrants</w:t>
      </w:r>
      <w:r>
        <w:rPr>
          <w:rFonts w:cs="Arial"/>
          <w:b w:val="0"/>
        </w:rPr>
        <w:t>, 2009–2015</w:t>
      </w:r>
      <w:bookmarkEnd w:id="89"/>
    </w:p>
    <w:tbl>
      <w:tblPr>
        <w:tblW w:w="5080" w:type="pct"/>
        <w:tblBorders>
          <w:top w:val="single" w:sz="8" w:space="0" w:color="000000"/>
          <w:bottom w:val="single" w:sz="8" w:space="0" w:color="000000"/>
        </w:tblBorders>
        <w:tblLook w:val="04A0" w:firstRow="1" w:lastRow="0" w:firstColumn="1" w:lastColumn="0" w:noHBand="0" w:noVBand="1"/>
      </w:tblPr>
      <w:tblGrid>
        <w:gridCol w:w="3240"/>
        <w:gridCol w:w="1515"/>
        <w:gridCol w:w="1487"/>
        <w:gridCol w:w="1403"/>
        <w:gridCol w:w="1623"/>
        <w:gridCol w:w="1623"/>
        <w:gridCol w:w="2070"/>
        <w:gridCol w:w="2064"/>
      </w:tblGrid>
      <w:tr w:rsidR="003B0DEE" w:rsidRPr="005502B8" w:rsidTr="000D5D90">
        <w:trPr>
          <w:trHeight w:val="20"/>
          <w:tblHeader/>
        </w:trPr>
        <w:tc>
          <w:tcPr>
            <w:tcW w:w="1078" w:type="pct"/>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p>
        </w:tc>
        <w:tc>
          <w:tcPr>
            <w:tcW w:w="2546" w:type="pct"/>
            <w:gridSpan w:val="5"/>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r w:rsidRPr="005502B8">
              <w:rPr>
                <w:rFonts w:ascii="Arial" w:hAnsi="Arial" w:cs="Arial"/>
                <w:b/>
                <w:bCs/>
                <w:color w:val="000000"/>
                <w:sz w:val="20"/>
                <w:lang w:eastAsia="en-US"/>
              </w:rPr>
              <w:t>Cluster</w:t>
            </w:r>
          </w:p>
        </w:tc>
        <w:tc>
          <w:tcPr>
            <w:tcW w:w="1376" w:type="pct"/>
            <w:gridSpan w:val="2"/>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r w:rsidRPr="005502B8">
              <w:rPr>
                <w:rFonts w:ascii="Arial" w:hAnsi="Arial" w:cs="Arial"/>
                <w:b/>
                <w:bCs/>
                <w:color w:val="000000"/>
                <w:sz w:val="20"/>
                <w:lang w:eastAsia="en-US"/>
              </w:rPr>
              <w:t>Significance test</w:t>
            </w:r>
          </w:p>
        </w:tc>
      </w:tr>
      <w:tr w:rsidR="003B0DEE" w:rsidRPr="005502B8" w:rsidTr="000D5D90">
        <w:trPr>
          <w:trHeight w:val="20"/>
          <w:tblHeader/>
        </w:trPr>
        <w:tc>
          <w:tcPr>
            <w:tcW w:w="1078" w:type="pct"/>
            <w:tcBorders>
              <w:top w:val="single" w:sz="8" w:space="0" w:color="000000"/>
              <w:left w:val="nil"/>
              <w:right w:val="nil"/>
            </w:tcBorders>
            <w:shd w:val="clear" w:color="auto" w:fill="FFFFFF"/>
          </w:tcPr>
          <w:p w:rsidR="003B0DEE" w:rsidRPr="005502B8" w:rsidRDefault="003B0DEE" w:rsidP="000D5D90">
            <w:pPr>
              <w:spacing w:line="240" w:lineRule="auto"/>
              <w:rPr>
                <w:rFonts w:ascii="Arial" w:hAnsi="Arial" w:cs="Arial"/>
                <w:b/>
                <w:bCs/>
                <w:color w:val="000000"/>
                <w:sz w:val="20"/>
                <w:lang w:eastAsia="en-US"/>
              </w:rPr>
            </w:pPr>
          </w:p>
        </w:tc>
        <w:tc>
          <w:tcPr>
            <w:tcW w:w="504"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1 (N=864)</w:t>
            </w:r>
          </w:p>
        </w:tc>
        <w:tc>
          <w:tcPr>
            <w:tcW w:w="495"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2 (N=1594)</w:t>
            </w:r>
          </w:p>
        </w:tc>
        <w:tc>
          <w:tcPr>
            <w:tcW w:w="467"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3 (N=1123)</w:t>
            </w:r>
          </w:p>
        </w:tc>
        <w:tc>
          <w:tcPr>
            <w:tcW w:w="540"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4 (N=1766)</w:t>
            </w:r>
          </w:p>
        </w:tc>
        <w:tc>
          <w:tcPr>
            <w:tcW w:w="540"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5 (N=2586)</w:t>
            </w:r>
          </w:p>
        </w:tc>
        <w:tc>
          <w:tcPr>
            <w:tcW w:w="689"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F (p)</w:t>
            </w:r>
          </w:p>
        </w:tc>
        <w:tc>
          <w:tcPr>
            <w:tcW w:w="687" w:type="pct"/>
            <w:tcBorders>
              <w:top w:val="single" w:sz="8" w:space="0" w:color="000000"/>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U / Z (p)</w:t>
            </w:r>
          </w:p>
        </w:tc>
      </w:tr>
      <w:tr w:rsidR="003B0DEE" w:rsidRPr="005502B8" w:rsidTr="000D5D90">
        <w:trPr>
          <w:trHeight w:val="154"/>
        </w:trPr>
        <w:tc>
          <w:tcPr>
            <w:tcW w:w="1078" w:type="pct"/>
            <w:tcBorders>
              <w:left w:val="nil"/>
              <w:right w:val="nil"/>
            </w:tcBorders>
            <w:shd w:val="clear" w:color="auto" w:fill="D9D9D9"/>
          </w:tcPr>
          <w:p w:rsidR="003B0DEE" w:rsidRPr="005502B8" w:rsidRDefault="003B0DEE" w:rsidP="000D5D90">
            <w:pPr>
              <w:spacing w:line="240" w:lineRule="auto"/>
              <w:rPr>
                <w:rFonts w:ascii="Arial" w:hAnsi="Arial" w:cs="Arial"/>
                <w:b/>
                <w:bCs/>
                <w:sz w:val="20"/>
                <w:lang w:eastAsia="en-US"/>
              </w:rPr>
            </w:pPr>
            <w:r w:rsidRPr="005502B8">
              <w:rPr>
                <w:rFonts w:ascii="Arial" w:hAnsi="Arial" w:cs="Arial"/>
                <w:b/>
                <w:bCs/>
                <w:sz w:val="20"/>
                <w:lang w:eastAsia="en-US"/>
              </w:rPr>
              <w:t>Age</w:t>
            </w:r>
          </w:p>
        </w:tc>
        <w:tc>
          <w:tcPr>
            <w:tcW w:w="2546" w:type="pct"/>
            <w:gridSpan w:val="5"/>
            <w:tcBorders>
              <w:left w:val="nil"/>
              <w:right w:val="nil"/>
            </w:tcBorders>
            <w:shd w:val="clear" w:color="auto" w:fill="D9D9D9"/>
          </w:tcPr>
          <w:p w:rsidR="003B0DEE" w:rsidRPr="005502B8" w:rsidRDefault="003B0DEE" w:rsidP="000D5D90">
            <w:pPr>
              <w:spacing w:line="240" w:lineRule="auto"/>
              <w:jc w:val="center"/>
              <w:rPr>
                <w:rFonts w:ascii="Arial" w:hAnsi="Arial" w:cs="Arial"/>
                <w:sz w:val="20"/>
                <w:lang w:eastAsia="en-US"/>
              </w:rPr>
            </w:pPr>
            <w:r>
              <w:rPr>
                <w:rFonts w:ascii="Arial" w:hAnsi="Arial" w:cs="Arial"/>
                <w:b/>
                <w:color w:val="000000"/>
                <w:sz w:val="20"/>
                <w:lang w:eastAsia="en-US"/>
              </w:rPr>
              <w:t>Years</w:t>
            </w:r>
          </w:p>
        </w:tc>
        <w:tc>
          <w:tcPr>
            <w:tcW w:w="689" w:type="pct"/>
            <w:tcBorders>
              <w:left w:val="nil"/>
              <w:right w:val="nil"/>
            </w:tcBorders>
            <w:shd w:val="clear" w:color="auto" w:fill="D9D9D9"/>
          </w:tcPr>
          <w:p w:rsidR="003B0DEE" w:rsidRPr="005502B8" w:rsidRDefault="003B0DEE" w:rsidP="000D5D90">
            <w:pPr>
              <w:spacing w:line="240" w:lineRule="auto"/>
              <w:jc w:val="right"/>
              <w:rPr>
                <w:rFonts w:ascii="Arial" w:hAnsi="Arial" w:cs="Arial"/>
                <w:sz w:val="20"/>
                <w:lang w:eastAsia="en-US"/>
              </w:rPr>
            </w:pPr>
          </w:p>
        </w:tc>
        <w:tc>
          <w:tcPr>
            <w:tcW w:w="687" w:type="pct"/>
            <w:tcBorders>
              <w:left w:val="nil"/>
              <w:right w:val="nil"/>
            </w:tcBorders>
            <w:shd w:val="clear" w:color="auto" w:fill="D9D9D9"/>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Mean age (years)</w:t>
            </w:r>
          </w:p>
        </w:tc>
        <w:tc>
          <w:tcPr>
            <w:tcW w:w="504"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37</w:t>
            </w:r>
          </w:p>
        </w:tc>
        <w:tc>
          <w:tcPr>
            <w:tcW w:w="495"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31</w:t>
            </w:r>
          </w:p>
        </w:tc>
        <w:tc>
          <w:tcPr>
            <w:tcW w:w="467"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36</w:t>
            </w:r>
          </w:p>
        </w:tc>
        <w:tc>
          <w:tcPr>
            <w:tcW w:w="540"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29</w:t>
            </w:r>
          </w:p>
        </w:tc>
        <w:tc>
          <w:tcPr>
            <w:tcW w:w="540"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27</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446.172 (p&lt;0.001)</w:t>
            </w: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Median age (years)</w:t>
            </w:r>
          </w:p>
        </w:tc>
        <w:tc>
          <w:tcPr>
            <w:tcW w:w="504"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36</w:t>
            </w:r>
          </w:p>
        </w:tc>
        <w:tc>
          <w:tcPr>
            <w:tcW w:w="495"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30</w:t>
            </w:r>
          </w:p>
        </w:tc>
        <w:tc>
          <w:tcPr>
            <w:tcW w:w="467"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35</w:t>
            </w:r>
          </w:p>
        </w:tc>
        <w:tc>
          <w:tcPr>
            <w:tcW w:w="540"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27</w:t>
            </w:r>
          </w:p>
        </w:tc>
        <w:tc>
          <w:tcPr>
            <w:tcW w:w="540"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26</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1033.810 (p&lt;0.001)</w:t>
            </w: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Range (5</w:t>
            </w:r>
            <w:r w:rsidRPr="005502B8">
              <w:rPr>
                <w:rFonts w:ascii="Arial" w:hAnsi="Arial" w:cs="Arial"/>
                <w:bCs/>
                <w:color w:val="000000"/>
                <w:sz w:val="20"/>
                <w:vertAlign w:val="superscript"/>
                <w:lang w:eastAsia="en-US"/>
              </w:rPr>
              <w:t>th</w:t>
            </w:r>
            <w:r w:rsidRPr="005502B8">
              <w:rPr>
                <w:rFonts w:ascii="Arial" w:hAnsi="Arial" w:cs="Arial"/>
                <w:bCs/>
                <w:color w:val="000000"/>
                <w:sz w:val="20"/>
                <w:lang w:eastAsia="en-US"/>
              </w:rPr>
              <w:t>-95</w:t>
            </w:r>
            <w:r w:rsidRPr="005502B8">
              <w:rPr>
                <w:rFonts w:ascii="Arial" w:hAnsi="Arial" w:cs="Arial"/>
                <w:bCs/>
                <w:color w:val="000000"/>
                <w:sz w:val="20"/>
                <w:vertAlign w:val="superscript"/>
                <w:lang w:eastAsia="en-US"/>
              </w:rPr>
              <w:t>th</w:t>
            </w:r>
            <w:r w:rsidRPr="005502B8">
              <w:rPr>
                <w:rFonts w:ascii="Arial" w:hAnsi="Arial" w:cs="Arial"/>
                <w:bCs/>
                <w:color w:val="000000"/>
                <w:sz w:val="20"/>
                <w:lang w:eastAsia="en-US"/>
              </w:rPr>
              <w:t xml:space="preserve"> percentiles)</w:t>
            </w:r>
          </w:p>
        </w:tc>
        <w:tc>
          <w:tcPr>
            <w:tcW w:w="504"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Pr>
                <w:rFonts w:ascii="Arial" w:hAnsi="Arial" w:cs="Arial"/>
                <w:color w:val="000000"/>
                <w:sz w:val="20"/>
                <w:lang w:eastAsia="en-US"/>
              </w:rPr>
              <w:t>(23-58)</w:t>
            </w:r>
          </w:p>
        </w:tc>
        <w:tc>
          <w:tcPr>
            <w:tcW w:w="495"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(21-43)</w:t>
            </w:r>
          </w:p>
        </w:tc>
        <w:tc>
          <w:tcPr>
            <w:tcW w:w="467"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(20-51)</w:t>
            </w:r>
          </w:p>
        </w:tc>
        <w:tc>
          <w:tcPr>
            <w:tcW w:w="540"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(22-40)</w:t>
            </w:r>
          </w:p>
        </w:tc>
        <w:tc>
          <w:tcPr>
            <w:tcW w:w="540"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(19-40)</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Number where age known</w:t>
            </w:r>
          </w:p>
        </w:tc>
        <w:tc>
          <w:tcPr>
            <w:tcW w:w="504" w:type="pct"/>
            <w:tcBorders>
              <w:left w:val="nil"/>
              <w:bottom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861</w:t>
            </w:r>
          </w:p>
        </w:tc>
        <w:tc>
          <w:tcPr>
            <w:tcW w:w="495"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1557</w:t>
            </w:r>
          </w:p>
        </w:tc>
        <w:tc>
          <w:tcPr>
            <w:tcW w:w="467" w:type="pct"/>
            <w:tcBorders>
              <w:left w:val="nil"/>
              <w:bottom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1122</w:t>
            </w:r>
          </w:p>
        </w:tc>
        <w:tc>
          <w:tcPr>
            <w:tcW w:w="540"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1764</w:t>
            </w:r>
          </w:p>
        </w:tc>
        <w:tc>
          <w:tcPr>
            <w:tcW w:w="540" w:type="pct"/>
            <w:tcBorders>
              <w:left w:val="nil"/>
              <w:bottom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2579</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bottom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D9D9D9"/>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sz w:val="20"/>
                <w:lang w:eastAsia="en-US"/>
              </w:rPr>
              <w:t xml:space="preserve">Gender </w:t>
            </w:r>
          </w:p>
        </w:tc>
        <w:tc>
          <w:tcPr>
            <w:tcW w:w="2546" w:type="pct"/>
            <w:gridSpan w:val="5"/>
            <w:shd w:val="clear" w:color="auto" w:fill="D9D9D9"/>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Number (%)</w:t>
            </w:r>
          </w:p>
        </w:tc>
        <w:tc>
          <w:tcPr>
            <w:tcW w:w="689" w:type="pct"/>
            <w:shd w:val="clear" w:color="auto" w:fill="D9D9D9"/>
          </w:tcPr>
          <w:p w:rsidR="003B0DEE" w:rsidRPr="005502B8" w:rsidRDefault="003B0DEE" w:rsidP="000D5D90">
            <w:pPr>
              <w:spacing w:line="240" w:lineRule="auto"/>
              <w:jc w:val="center"/>
              <w:rPr>
                <w:rFonts w:ascii="Arial" w:hAnsi="Arial" w:cs="Arial"/>
                <w:b/>
                <w:color w:val="000000"/>
                <w:sz w:val="20"/>
                <w:lang w:eastAsia="en-US"/>
              </w:rPr>
            </w:pPr>
          </w:p>
        </w:tc>
        <w:tc>
          <w:tcPr>
            <w:tcW w:w="687" w:type="pct"/>
            <w:shd w:val="clear" w:color="auto" w:fill="D9D9D9"/>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color w:val="000000"/>
                <w:sz w:val="20"/>
                <w:lang w:eastAsia="en-US"/>
              </w:rPr>
              <w:t>329.780 (p&lt;0.001)</w:t>
            </w: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Male</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385 (44.7%)</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1134 (71.4%)</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880 (78.6%)</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1276 (72.3%)</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1914 (74.1%)</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eastAsia="Calibri" w:hAnsi="Arial" w:cs="Arial"/>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eastAsia="Calibri" w:hAnsi="Arial" w:cs="Arial"/>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Female</w:t>
            </w:r>
          </w:p>
        </w:tc>
        <w:tc>
          <w:tcPr>
            <w:tcW w:w="504"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476 (55.3%)</w:t>
            </w:r>
          </w:p>
        </w:tc>
        <w:tc>
          <w:tcPr>
            <w:tcW w:w="495"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455 (28.6%)</w:t>
            </w:r>
          </w:p>
        </w:tc>
        <w:tc>
          <w:tcPr>
            <w:tcW w:w="467"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455 (21.4%)</w:t>
            </w:r>
          </w:p>
        </w:tc>
        <w:tc>
          <w:tcPr>
            <w:tcW w:w="540"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490 (27.7%)</w:t>
            </w:r>
          </w:p>
        </w:tc>
        <w:tc>
          <w:tcPr>
            <w:tcW w:w="540"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670 (25.9%)</w:t>
            </w:r>
          </w:p>
        </w:tc>
        <w:tc>
          <w:tcPr>
            <w:tcW w:w="689"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eastAsia="Calibri" w:hAnsi="Arial" w:cs="Arial"/>
                <w:color w:val="000000"/>
                <w:sz w:val="20"/>
                <w:lang w:eastAsia="en-US"/>
              </w:rPr>
            </w:pPr>
          </w:p>
        </w:tc>
      </w:tr>
      <w:tr w:rsidR="003B0DEE" w:rsidRPr="005502B8" w:rsidTr="000D5D90">
        <w:trPr>
          <w:trHeight w:val="20"/>
        </w:trPr>
        <w:tc>
          <w:tcPr>
            <w:tcW w:w="1078" w:type="pct"/>
            <w:tcBorders>
              <w:top w:val="nil"/>
            </w:tcBorders>
            <w:shd w:val="clear" w:color="auto" w:fill="D9D9D9"/>
          </w:tcPr>
          <w:p w:rsidR="003B0DEE" w:rsidRPr="005502B8" w:rsidRDefault="003B0DEE" w:rsidP="000D5D90">
            <w:pPr>
              <w:spacing w:line="240" w:lineRule="auto"/>
              <w:rPr>
                <w:rFonts w:ascii="Arial" w:hAnsi="Arial" w:cs="Arial"/>
                <w:b/>
                <w:bCs/>
                <w:sz w:val="20"/>
                <w:lang w:eastAsia="en-US"/>
              </w:rPr>
            </w:pPr>
            <w:r w:rsidRPr="005502B8">
              <w:rPr>
                <w:rFonts w:ascii="Arial" w:hAnsi="Arial" w:cs="Arial"/>
                <w:b/>
                <w:bCs/>
                <w:sz w:val="20"/>
                <w:lang w:eastAsia="en-US"/>
              </w:rPr>
              <w:t>Employment status</w:t>
            </w:r>
          </w:p>
        </w:tc>
        <w:tc>
          <w:tcPr>
            <w:tcW w:w="504" w:type="pct"/>
            <w:tcBorders>
              <w:top w:val="nil"/>
              <w:bottom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495" w:type="pct"/>
            <w:tcBorders>
              <w:top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467" w:type="pct"/>
            <w:tcBorders>
              <w:top w:val="nil"/>
              <w:bottom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540" w:type="pct"/>
            <w:tcBorders>
              <w:top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540" w:type="pct"/>
            <w:tcBorders>
              <w:top w:val="nil"/>
              <w:bottom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689" w:type="pct"/>
            <w:tcBorders>
              <w:top w:val="nil"/>
            </w:tcBorders>
            <w:shd w:val="clear" w:color="auto" w:fill="D9D9D9"/>
          </w:tcPr>
          <w:p w:rsidR="003B0DEE" w:rsidRPr="005502B8" w:rsidRDefault="003B0DEE" w:rsidP="000D5D90">
            <w:pPr>
              <w:spacing w:line="240" w:lineRule="auto"/>
              <w:jc w:val="right"/>
              <w:rPr>
                <w:rFonts w:ascii="Arial" w:hAnsi="Arial" w:cs="Arial"/>
                <w:b/>
                <w:bCs/>
                <w:sz w:val="20"/>
                <w:lang w:eastAsia="en-US"/>
              </w:rPr>
            </w:pPr>
          </w:p>
        </w:tc>
        <w:tc>
          <w:tcPr>
            <w:tcW w:w="687" w:type="pct"/>
            <w:tcBorders>
              <w:top w:val="nil"/>
              <w:bottom w:val="nil"/>
            </w:tcBorders>
            <w:shd w:val="clear" w:color="auto" w:fill="D9D9D9"/>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bCs/>
                <w:sz w:val="20"/>
                <w:lang w:eastAsia="en-US"/>
              </w:rPr>
              <w:t>504.021 (p&lt;0.001)</w:t>
            </w:r>
          </w:p>
        </w:tc>
      </w:tr>
      <w:tr w:rsidR="003B0DEE" w:rsidRPr="005502B8" w:rsidTr="000D5D90">
        <w:trPr>
          <w:trHeight w:val="20"/>
        </w:trPr>
        <w:tc>
          <w:tcPr>
            <w:tcW w:w="1078" w:type="pct"/>
            <w:tcBorders>
              <w:top w:val="nil"/>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Regular employment</w:t>
            </w:r>
          </w:p>
        </w:tc>
        <w:tc>
          <w:tcPr>
            <w:tcW w:w="504"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216 (25.0%)</w:t>
            </w:r>
          </w:p>
        </w:tc>
        <w:tc>
          <w:tcPr>
            <w:tcW w:w="495"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110 (6.9%)</w:t>
            </w:r>
          </w:p>
        </w:tc>
        <w:tc>
          <w:tcPr>
            <w:tcW w:w="467"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79 (7.0%)</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118 (6.7%)</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101 (3.9%)</w:t>
            </w:r>
          </w:p>
        </w:tc>
        <w:tc>
          <w:tcPr>
            <w:tcW w:w="689" w:type="pct"/>
            <w:tcBorders>
              <w:top w:val="nil"/>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Student</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 (2.7%)</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 (0.7%)</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 (1.2%)</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 (0.9%)</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33 (1.3%)</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Retired/disability/at home</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164 (19.0%)</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241 (15.1%)</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197 (17.5%)</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297 (16.8%)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558 (21.6%)</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Unemployed</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429 (49.7%)</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1169 (73.3%)</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799 (71.1%)</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1279 (72.4%)</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1788 (69.1%)</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Other</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 (2.0%)</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25 (1.6%)</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 (1.7%)</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36 (2.0%)</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75 (2.9%)</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Unknown</w:t>
            </w:r>
          </w:p>
        </w:tc>
        <w:tc>
          <w:tcPr>
            <w:tcW w:w="504"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 (1.7%)</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38 (2.4%)</w:t>
            </w:r>
          </w:p>
        </w:tc>
        <w:tc>
          <w:tcPr>
            <w:tcW w:w="467"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 (1.3%)</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20 (1.1%)</w:t>
            </w:r>
          </w:p>
        </w:tc>
        <w:tc>
          <w:tcPr>
            <w:tcW w:w="540"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31 (1.2%)</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bottom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top w:val="nil"/>
              <w:left w:val="nil"/>
              <w:right w:val="nil"/>
            </w:tcBorders>
            <w:shd w:val="clear" w:color="auto" w:fill="D9D9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Living accommodation</w:t>
            </w:r>
          </w:p>
        </w:tc>
        <w:tc>
          <w:tcPr>
            <w:tcW w:w="504" w:type="pct"/>
            <w:tcBorders>
              <w:top w:val="nil"/>
              <w:left w:val="nil"/>
              <w:bottom w:val="nil"/>
              <w:right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95" w:type="pct"/>
            <w:tcBorders>
              <w:top w:val="nil"/>
              <w:left w:val="nil"/>
              <w:right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67" w:type="pct"/>
            <w:tcBorders>
              <w:top w:val="nil"/>
              <w:left w:val="nil"/>
              <w:bottom w:val="nil"/>
              <w:right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left w:val="nil"/>
              <w:right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left w:val="nil"/>
              <w:bottom w:val="nil"/>
              <w:right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689" w:type="pct"/>
            <w:tcBorders>
              <w:top w:val="nil"/>
              <w:left w:val="nil"/>
              <w:right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left w:val="nil"/>
              <w:bottom w:val="nil"/>
              <w:right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335.850 (p&lt;0.001)</w:t>
            </w:r>
          </w:p>
        </w:tc>
      </w:tr>
      <w:tr w:rsidR="003B0DEE" w:rsidRPr="005502B8" w:rsidTr="000D5D90">
        <w:trPr>
          <w:trHeight w:val="20"/>
        </w:trPr>
        <w:tc>
          <w:tcPr>
            <w:tcW w:w="1078" w:type="pct"/>
            <w:tcBorders>
              <w:top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Stable accommodation</w:t>
            </w:r>
          </w:p>
        </w:tc>
        <w:tc>
          <w:tcPr>
            <w:tcW w:w="504"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799 (92.5%)</w:t>
            </w:r>
          </w:p>
        </w:tc>
        <w:tc>
          <w:tcPr>
            <w:tcW w:w="495"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1103 (69.2%)</w:t>
            </w:r>
          </w:p>
        </w:tc>
        <w:tc>
          <w:tcPr>
            <w:tcW w:w="467"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811 (72.2%)</w:t>
            </w:r>
          </w:p>
        </w:tc>
        <w:tc>
          <w:tcPr>
            <w:tcW w:w="540"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1284 (72.7%)</w:t>
            </w:r>
          </w:p>
        </w:tc>
        <w:tc>
          <w:tcPr>
            <w:tcW w:w="540"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1707 (66.0%)</w:t>
            </w:r>
          </w:p>
        </w:tc>
        <w:tc>
          <w:tcPr>
            <w:tcW w:w="689" w:type="pct"/>
            <w:tcBorders>
              <w:top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Unstable</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25 (2.9%)</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223 (14.0%)</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94 (8.4%)</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173 (9.8%)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235 (9.1%)</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Institutions</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24 (2.8%)</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231 (14.5%)</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206 (18.3%)</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269 (16.8%)</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614 (23.7%)</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Unknown</w:t>
            </w:r>
          </w:p>
        </w:tc>
        <w:tc>
          <w:tcPr>
            <w:tcW w:w="504"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 (1.9%)</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37 (2.3%)</w:t>
            </w:r>
          </w:p>
        </w:tc>
        <w:tc>
          <w:tcPr>
            <w:tcW w:w="467"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 (1.1%)</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13 (0.7%)</w:t>
            </w:r>
          </w:p>
        </w:tc>
        <w:tc>
          <w:tcPr>
            <w:tcW w:w="540"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30 (1.2%)</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bottom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top w:val="nil"/>
            </w:tcBorders>
            <w:shd w:val="clear" w:color="auto" w:fill="D9D9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Living arrangements</w:t>
            </w:r>
          </w:p>
        </w:tc>
        <w:tc>
          <w:tcPr>
            <w:tcW w:w="504"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95"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67"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b/>
                <w:bCs/>
                <w:color w:val="000000"/>
                <w:sz w:val="20"/>
                <w:lang w:eastAsia="en-US"/>
              </w:rPr>
              <w:t> </w:t>
            </w:r>
          </w:p>
        </w:tc>
        <w:tc>
          <w:tcPr>
            <w:tcW w:w="540"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b/>
                <w:bCs/>
                <w:color w:val="000000"/>
                <w:sz w:val="20"/>
                <w:lang w:eastAsia="en-US"/>
              </w:rPr>
              <w:t> </w:t>
            </w:r>
          </w:p>
        </w:tc>
        <w:tc>
          <w:tcPr>
            <w:tcW w:w="689" w:type="pct"/>
            <w:tcBorders>
              <w:top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839.287 (p&lt;0.001)</w:t>
            </w:r>
          </w:p>
        </w:tc>
      </w:tr>
      <w:tr w:rsidR="003B0DEE" w:rsidRPr="005502B8" w:rsidTr="000D5D90">
        <w:trPr>
          <w:trHeight w:val="20"/>
        </w:trPr>
        <w:tc>
          <w:tcPr>
            <w:tcW w:w="1078" w:type="pct"/>
            <w:tcBorders>
              <w:top w:val="nil"/>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Alone</w:t>
            </w:r>
          </w:p>
        </w:tc>
        <w:tc>
          <w:tcPr>
            <w:tcW w:w="504"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124 (14.4%)</w:t>
            </w:r>
          </w:p>
        </w:tc>
        <w:tc>
          <w:tcPr>
            <w:tcW w:w="495"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195 (12.2%)</w:t>
            </w:r>
          </w:p>
        </w:tc>
        <w:tc>
          <w:tcPr>
            <w:tcW w:w="467"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191 (17.0%)</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174 (9.9%)</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213 (8.2%)</w:t>
            </w:r>
          </w:p>
        </w:tc>
        <w:tc>
          <w:tcPr>
            <w:tcW w:w="689"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Parents or family</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221 (25.6%)</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522 (32.7%)</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310 (27.6%)</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693 (39.2%)</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1035 (40.0%)</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Alone with child/partner and child</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365 (42.2%)</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242 (15.2%)</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186 (16.6%)</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202 (11.4%)</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234 (9.0%)</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hAnsi="Arial" w:cs="Arial"/>
                <w:b/>
                <w:color w:val="000000"/>
                <w:sz w:val="20"/>
                <w:lang w:eastAsia="en-US"/>
              </w:rPr>
            </w:pPr>
          </w:p>
        </w:tc>
      </w:tr>
      <w:tr w:rsidR="003B0DEE" w:rsidRPr="005502B8" w:rsidTr="000D5D90">
        <w:trPr>
          <w:trHeight w:val="20"/>
        </w:trPr>
        <w:tc>
          <w:tcPr>
            <w:tcW w:w="1078" w:type="pct"/>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With partner</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84 (9.7%)</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132 (8.3%)</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105 (9.3%)</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191 (10.8%)</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187 (7.2%)</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Friends</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 (1.6%)</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47 (2.9%)</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31 (2.8%)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59 (3.3%)</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63 (2.4%)</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Other</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46 (5.3%)</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419 (26.3%)</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288 (25.6%)</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426 (24.1%)</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820 (31.7%)</w:t>
            </w:r>
          </w:p>
        </w:tc>
        <w:tc>
          <w:tcPr>
            <w:tcW w:w="689"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2E5ABE">
              <w:rPr>
                <w:rFonts w:ascii="Arial" w:hAnsi="Arial" w:cs="Arial"/>
                <w:bCs/>
                <w:sz w:val="20"/>
                <w:lang w:eastAsia="en-US"/>
              </w:rPr>
              <w:t>Unknown</w:t>
            </w:r>
          </w:p>
        </w:tc>
        <w:tc>
          <w:tcPr>
            <w:tcW w:w="504"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 (1.2%)</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37 (2.3%)</w:t>
            </w:r>
          </w:p>
        </w:tc>
        <w:tc>
          <w:tcPr>
            <w:tcW w:w="467"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 (1.1%)</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21 (1.2%)</w:t>
            </w:r>
          </w:p>
        </w:tc>
        <w:tc>
          <w:tcPr>
            <w:tcW w:w="540"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34 (1.3%)</w:t>
            </w:r>
          </w:p>
        </w:tc>
        <w:tc>
          <w:tcPr>
            <w:tcW w:w="689" w:type="pct"/>
            <w:tcBorders>
              <w:left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bottom w:val="nil"/>
              <w:right w:val="nil"/>
            </w:tcBorders>
            <w:shd w:val="clear" w:color="auto" w:fill="FFFFFF"/>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top w:val="nil"/>
            </w:tcBorders>
            <w:shd w:val="clear" w:color="auto" w:fill="D9D9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 xml:space="preserve">Age left school </w:t>
            </w:r>
          </w:p>
        </w:tc>
        <w:tc>
          <w:tcPr>
            <w:tcW w:w="504"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95"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67"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689" w:type="pct"/>
            <w:tcBorders>
              <w:top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bottom w:val="nil"/>
            </w:tcBorders>
            <w:shd w:val="clear" w:color="auto" w:fill="D9D9D9"/>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top w:val="nil"/>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Mean age (years)</w:t>
            </w:r>
          </w:p>
        </w:tc>
        <w:tc>
          <w:tcPr>
            <w:tcW w:w="504"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w:t>
            </w:r>
          </w:p>
        </w:tc>
        <w:tc>
          <w:tcPr>
            <w:tcW w:w="495"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w:t>
            </w:r>
          </w:p>
        </w:tc>
        <w:tc>
          <w:tcPr>
            <w:tcW w:w="467"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w:t>
            </w:r>
          </w:p>
        </w:tc>
        <w:tc>
          <w:tcPr>
            <w:tcW w:w="689"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73.161 (p&lt;0.001)</w:t>
            </w:r>
          </w:p>
        </w:tc>
        <w:tc>
          <w:tcPr>
            <w:tcW w:w="687"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Median age (years)</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17</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bCs/>
                <w:color w:val="000000"/>
                <w:sz w:val="20"/>
                <w:lang w:eastAsia="en-US"/>
              </w:rPr>
              <w:t>299.010 (p&lt;0.001)</w:t>
            </w: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Range (5</w:t>
            </w:r>
            <w:r w:rsidRPr="00F07F03">
              <w:rPr>
                <w:rFonts w:ascii="Arial" w:hAnsi="Arial" w:cs="Arial"/>
                <w:bCs/>
                <w:color w:val="000000"/>
                <w:sz w:val="20"/>
                <w:vertAlign w:val="superscript"/>
                <w:lang w:eastAsia="en-US"/>
              </w:rPr>
              <w:t>th</w:t>
            </w:r>
            <w:r w:rsidRPr="005502B8">
              <w:rPr>
                <w:rFonts w:ascii="Arial" w:hAnsi="Arial" w:cs="Arial"/>
                <w:bCs/>
                <w:color w:val="000000"/>
                <w:sz w:val="20"/>
                <w:lang w:eastAsia="en-US"/>
              </w:rPr>
              <w:t>-95</w:t>
            </w:r>
            <w:r w:rsidRPr="00F07F03">
              <w:rPr>
                <w:rFonts w:ascii="Arial" w:hAnsi="Arial" w:cs="Arial"/>
                <w:bCs/>
                <w:color w:val="000000"/>
                <w:sz w:val="20"/>
                <w:vertAlign w:val="superscript"/>
                <w:lang w:eastAsia="en-US"/>
              </w:rPr>
              <w:t>th</w:t>
            </w:r>
            <w:r w:rsidRPr="005502B8">
              <w:rPr>
                <w:rFonts w:ascii="Arial" w:hAnsi="Arial" w:cs="Arial"/>
                <w:bCs/>
                <w:color w:val="000000"/>
                <w:sz w:val="20"/>
                <w:lang w:eastAsia="en-US"/>
              </w:rPr>
              <w:t xml:space="preserve"> percentiles)</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(13-18)</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(12-18)</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(11-18)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(12-18)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(12-18)</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Number where age known</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704</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1195</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999</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1587</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2343</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lastRenderedPageBreak/>
              <w:t>Left before age 16 years</w:t>
            </w:r>
          </w:p>
        </w:tc>
        <w:tc>
          <w:tcPr>
            <w:tcW w:w="504"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195 (27.7%)</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565 (47.0%)</w:t>
            </w:r>
          </w:p>
        </w:tc>
        <w:tc>
          <w:tcPr>
            <w:tcW w:w="467"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593 (58.7%)</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691 (43.6%)</w:t>
            </w:r>
          </w:p>
        </w:tc>
        <w:tc>
          <w:tcPr>
            <w:tcW w:w="540" w:type="pct"/>
            <w:tcBorders>
              <w:left w:val="nil"/>
              <w:bottom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1265 (53.7%)</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bottom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224.047 (p&lt;0.001)</w:t>
            </w:r>
          </w:p>
        </w:tc>
      </w:tr>
      <w:tr w:rsidR="003B0DEE" w:rsidRPr="005502B8" w:rsidTr="000D5D90">
        <w:trPr>
          <w:trHeight w:val="20"/>
        </w:trPr>
        <w:tc>
          <w:tcPr>
            <w:tcW w:w="1078" w:type="pct"/>
            <w:tcBorders>
              <w:top w:val="nil"/>
            </w:tcBorders>
            <w:shd w:val="clear" w:color="auto" w:fill="D9D9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 xml:space="preserve">Level of education </w:t>
            </w:r>
          </w:p>
        </w:tc>
        <w:tc>
          <w:tcPr>
            <w:tcW w:w="504"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95"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467"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bottom w:val="nil"/>
            </w:tcBorders>
            <w:shd w:val="clear" w:color="auto" w:fill="D9D9D9"/>
            <w:vAlign w:val="bottom"/>
          </w:tcPr>
          <w:p w:rsidR="003B0DEE" w:rsidRPr="005502B8" w:rsidRDefault="003B0DEE" w:rsidP="000D5D90">
            <w:pPr>
              <w:spacing w:line="240" w:lineRule="auto"/>
              <w:jc w:val="right"/>
              <w:rPr>
                <w:rFonts w:ascii="Arial" w:hAnsi="Arial" w:cs="Arial"/>
                <w:color w:val="000000"/>
                <w:sz w:val="20"/>
                <w:lang w:eastAsia="en-US"/>
              </w:rPr>
            </w:pPr>
          </w:p>
        </w:tc>
        <w:tc>
          <w:tcPr>
            <w:tcW w:w="689" w:type="pct"/>
            <w:tcBorders>
              <w:top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bottom w:val="nil"/>
            </w:tcBorders>
            <w:shd w:val="clear" w:color="auto" w:fill="D9D9D9"/>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672.591 (p&lt;0.001)</w:t>
            </w:r>
          </w:p>
        </w:tc>
      </w:tr>
      <w:tr w:rsidR="003B0DEE" w:rsidRPr="005502B8" w:rsidTr="000D5D90">
        <w:trPr>
          <w:trHeight w:val="20"/>
        </w:trPr>
        <w:tc>
          <w:tcPr>
            <w:tcW w:w="1078" w:type="pct"/>
            <w:tcBorders>
              <w:top w:val="nil"/>
              <w:left w:val="nil"/>
              <w:right w:val="nil"/>
            </w:tcBorders>
            <w:shd w:val="clear" w:color="auto" w:fill="FFFFFF"/>
          </w:tcPr>
          <w:p w:rsidR="003B0DEE" w:rsidRPr="005502B8" w:rsidRDefault="003B0DEE" w:rsidP="000D5D90">
            <w:pPr>
              <w:spacing w:line="240" w:lineRule="auto"/>
              <w:jc w:val="left"/>
              <w:rPr>
                <w:rFonts w:ascii="Arial" w:hAnsi="Arial" w:cs="Arial"/>
                <w:bCs/>
                <w:color w:val="000000"/>
                <w:sz w:val="20"/>
                <w:lang w:eastAsia="en-US"/>
              </w:rPr>
            </w:pPr>
            <w:r w:rsidRPr="005502B8">
              <w:rPr>
                <w:rFonts w:ascii="Arial" w:hAnsi="Arial" w:cs="Arial"/>
                <w:bCs/>
                <w:color w:val="000000"/>
                <w:sz w:val="20"/>
                <w:lang w:eastAsia="en-US"/>
              </w:rPr>
              <w:t>Never went to school/some primary level</w:t>
            </w:r>
          </w:p>
        </w:tc>
        <w:tc>
          <w:tcPr>
            <w:tcW w:w="504"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 (1.6%)</w:t>
            </w:r>
          </w:p>
        </w:tc>
        <w:tc>
          <w:tcPr>
            <w:tcW w:w="495"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72 (4.5%)</w:t>
            </w:r>
          </w:p>
        </w:tc>
        <w:tc>
          <w:tcPr>
            <w:tcW w:w="467"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122 (10.9%)</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82 (4.6%)</w:t>
            </w:r>
          </w:p>
        </w:tc>
        <w:tc>
          <w:tcPr>
            <w:tcW w:w="54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197 (7.6%)</w:t>
            </w:r>
          </w:p>
        </w:tc>
        <w:tc>
          <w:tcPr>
            <w:tcW w:w="689"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Completed primary level</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121 (14.0%)</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319 (20.0%)</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339 (30.2%)</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388 (22.0%)</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686 (26.5%)</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 xml:space="preserve">Completed second level </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458 (53.0%)</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754 (47.3%)</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499 (44.4%)</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1052 (59.6%)</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1424 (55.1%)</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 xml:space="preserve">Completed third level </w:t>
            </w:r>
          </w:p>
        </w:tc>
        <w:tc>
          <w:tcPr>
            <w:tcW w:w="504"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108 (12.5%)</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59 (3.7%)</w:t>
            </w:r>
          </w:p>
        </w:tc>
        <w:tc>
          <w:tcPr>
            <w:tcW w:w="467"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44 (3.9%)</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37 (2.1%)</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51 (2.0%)</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Still in education</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23 (2.7%)</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 (0.6%)</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 (1.2%)</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 (0.8%)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33 (1.3%)</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shd w:val="clear" w:color="auto" w:fill="FFFFFF"/>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Unknown</w:t>
            </w:r>
          </w:p>
        </w:tc>
        <w:tc>
          <w:tcPr>
            <w:tcW w:w="504"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140 (16.2%)</w:t>
            </w:r>
          </w:p>
        </w:tc>
        <w:tc>
          <w:tcPr>
            <w:tcW w:w="495"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380 (23.8%)</w:t>
            </w:r>
          </w:p>
        </w:tc>
        <w:tc>
          <w:tcPr>
            <w:tcW w:w="467"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105 (9.3%)</w:t>
            </w:r>
          </w:p>
        </w:tc>
        <w:tc>
          <w:tcPr>
            <w:tcW w:w="54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192 (10.9%)</w:t>
            </w:r>
          </w:p>
        </w:tc>
        <w:tc>
          <w:tcPr>
            <w:tcW w:w="540" w:type="pct"/>
            <w:tcBorders>
              <w:bottom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195 (7.5%)</w:t>
            </w:r>
          </w:p>
        </w:tc>
        <w:tc>
          <w:tcPr>
            <w:tcW w:w="689" w:type="pct"/>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bottom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top w:val="nil"/>
              <w:left w:val="nil"/>
              <w:right w:val="nil"/>
            </w:tcBorders>
            <w:shd w:val="clear" w:color="auto" w:fill="D9D9D9"/>
            <w:vAlign w:val="bottom"/>
          </w:tcPr>
          <w:p w:rsidR="003B0DEE" w:rsidRPr="005502B8" w:rsidRDefault="003B0DEE" w:rsidP="000D5D90">
            <w:pPr>
              <w:spacing w:line="240" w:lineRule="auto"/>
              <w:rPr>
                <w:rFonts w:ascii="Arial" w:hAnsi="Arial" w:cs="Arial"/>
                <w:b/>
                <w:bCs/>
                <w:color w:val="000000"/>
                <w:sz w:val="20"/>
                <w:lang w:eastAsia="en-US"/>
              </w:rPr>
            </w:pPr>
            <w:r w:rsidRPr="005502B8">
              <w:rPr>
                <w:rFonts w:ascii="Arial" w:hAnsi="Arial" w:cs="Arial"/>
                <w:b/>
                <w:bCs/>
                <w:color w:val="000000"/>
                <w:sz w:val="20"/>
                <w:lang w:eastAsia="en-US"/>
              </w:rPr>
              <w:t>Resident in</w:t>
            </w:r>
          </w:p>
        </w:tc>
        <w:tc>
          <w:tcPr>
            <w:tcW w:w="504" w:type="pct"/>
            <w:tcBorders>
              <w:top w:val="nil"/>
              <w:left w:val="nil"/>
              <w:bottom w:val="nil"/>
              <w:right w:val="nil"/>
            </w:tcBorders>
            <w:shd w:val="clear" w:color="auto" w:fill="D9D9D9"/>
            <w:vAlign w:val="center"/>
          </w:tcPr>
          <w:p w:rsidR="003B0DEE" w:rsidRPr="005502B8" w:rsidRDefault="003B0DEE" w:rsidP="000D5D90">
            <w:pPr>
              <w:spacing w:line="240" w:lineRule="auto"/>
              <w:jc w:val="right"/>
              <w:rPr>
                <w:rFonts w:ascii="Arial" w:hAnsi="Arial" w:cs="Arial"/>
                <w:color w:val="000000"/>
                <w:sz w:val="20"/>
                <w:lang w:eastAsia="en-US"/>
              </w:rPr>
            </w:pPr>
          </w:p>
        </w:tc>
        <w:tc>
          <w:tcPr>
            <w:tcW w:w="495" w:type="pct"/>
            <w:tcBorders>
              <w:top w:val="nil"/>
              <w:left w:val="nil"/>
              <w:right w:val="nil"/>
            </w:tcBorders>
            <w:shd w:val="clear" w:color="auto" w:fill="D9D9D9"/>
            <w:vAlign w:val="center"/>
          </w:tcPr>
          <w:p w:rsidR="003B0DEE" w:rsidRPr="005502B8" w:rsidRDefault="003B0DEE" w:rsidP="000D5D90">
            <w:pPr>
              <w:spacing w:line="240" w:lineRule="auto"/>
              <w:jc w:val="right"/>
              <w:rPr>
                <w:rFonts w:ascii="Arial" w:hAnsi="Arial" w:cs="Arial"/>
                <w:color w:val="000000"/>
                <w:sz w:val="20"/>
                <w:lang w:eastAsia="en-US"/>
              </w:rPr>
            </w:pPr>
          </w:p>
        </w:tc>
        <w:tc>
          <w:tcPr>
            <w:tcW w:w="467" w:type="pct"/>
            <w:tcBorders>
              <w:top w:val="nil"/>
              <w:left w:val="nil"/>
              <w:bottom w:val="nil"/>
              <w:right w:val="nil"/>
            </w:tcBorders>
            <w:shd w:val="clear" w:color="auto" w:fill="D9D9D9"/>
            <w:vAlign w:val="center"/>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left w:val="nil"/>
              <w:right w:val="nil"/>
            </w:tcBorders>
            <w:shd w:val="clear" w:color="auto" w:fill="D9D9D9"/>
            <w:vAlign w:val="center"/>
          </w:tcPr>
          <w:p w:rsidR="003B0DEE" w:rsidRPr="005502B8" w:rsidRDefault="003B0DEE" w:rsidP="000D5D90">
            <w:pPr>
              <w:spacing w:line="240" w:lineRule="auto"/>
              <w:jc w:val="right"/>
              <w:rPr>
                <w:rFonts w:ascii="Arial" w:hAnsi="Arial" w:cs="Arial"/>
                <w:color w:val="000000"/>
                <w:sz w:val="20"/>
                <w:lang w:eastAsia="en-US"/>
              </w:rPr>
            </w:pPr>
          </w:p>
        </w:tc>
        <w:tc>
          <w:tcPr>
            <w:tcW w:w="540" w:type="pct"/>
            <w:tcBorders>
              <w:top w:val="nil"/>
              <w:left w:val="nil"/>
              <w:bottom w:val="nil"/>
              <w:right w:val="nil"/>
            </w:tcBorders>
            <w:shd w:val="clear" w:color="auto" w:fill="D9D9D9"/>
            <w:vAlign w:val="center"/>
          </w:tcPr>
          <w:p w:rsidR="003B0DEE" w:rsidRPr="005502B8" w:rsidRDefault="003B0DEE" w:rsidP="000D5D90">
            <w:pPr>
              <w:spacing w:line="240" w:lineRule="auto"/>
              <w:jc w:val="right"/>
              <w:rPr>
                <w:rFonts w:ascii="Arial" w:hAnsi="Arial" w:cs="Arial"/>
                <w:color w:val="000000"/>
                <w:sz w:val="20"/>
                <w:lang w:eastAsia="en-US"/>
              </w:rPr>
            </w:pPr>
          </w:p>
        </w:tc>
        <w:tc>
          <w:tcPr>
            <w:tcW w:w="689" w:type="pct"/>
            <w:tcBorders>
              <w:top w:val="nil"/>
              <w:left w:val="nil"/>
              <w:right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left w:val="nil"/>
              <w:bottom w:val="nil"/>
              <w:right w:val="nil"/>
            </w:tcBorders>
            <w:shd w:val="clear" w:color="auto" w:fill="D9D9D9"/>
            <w:vAlign w:val="bottom"/>
          </w:tcPr>
          <w:p w:rsidR="003B0DEE" w:rsidRPr="005502B8" w:rsidRDefault="003B0DEE" w:rsidP="000D5D90">
            <w:pPr>
              <w:spacing w:line="240" w:lineRule="auto"/>
              <w:jc w:val="right"/>
              <w:rPr>
                <w:rFonts w:ascii="Arial" w:hAnsi="Arial" w:cs="Arial"/>
                <w:bCs/>
                <w:color w:val="000000"/>
                <w:sz w:val="20"/>
                <w:lang w:eastAsia="en-US"/>
              </w:rPr>
            </w:pPr>
            <w:r w:rsidRPr="005502B8">
              <w:rPr>
                <w:rFonts w:ascii="Arial" w:hAnsi="Arial" w:cs="Arial"/>
                <w:color w:val="000000"/>
                <w:sz w:val="20"/>
                <w:lang w:eastAsia="en-US"/>
              </w:rPr>
              <w:t>49.911 (p&lt;0.001)</w:t>
            </w:r>
          </w:p>
        </w:tc>
      </w:tr>
      <w:tr w:rsidR="003B0DEE" w:rsidRPr="005502B8" w:rsidTr="000D5D90">
        <w:trPr>
          <w:trHeight w:val="20"/>
        </w:trPr>
        <w:tc>
          <w:tcPr>
            <w:tcW w:w="1078" w:type="pct"/>
            <w:tcBorders>
              <w:top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Dublin</w:t>
            </w:r>
          </w:p>
        </w:tc>
        <w:tc>
          <w:tcPr>
            <w:tcW w:w="504"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608 (29.6%)</w:t>
            </w:r>
          </w:p>
        </w:tc>
        <w:tc>
          <w:tcPr>
            <w:tcW w:w="495"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1056 (33.8%)</w:t>
            </w:r>
          </w:p>
        </w:tc>
        <w:tc>
          <w:tcPr>
            <w:tcW w:w="467"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683 (39.2%)</w:t>
            </w:r>
          </w:p>
        </w:tc>
        <w:tc>
          <w:tcPr>
            <w:tcW w:w="540"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556 (31.5%)</w:t>
            </w:r>
          </w:p>
        </w:tc>
        <w:tc>
          <w:tcPr>
            <w:tcW w:w="540" w:type="pct"/>
            <w:tcBorders>
              <w:top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1014 (39.2%)</w:t>
            </w:r>
          </w:p>
        </w:tc>
        <w:tc>
          <w:tcPr>
            <w:tcW w:w="689" w:type="pct"/>
            <w:tcBorders>
              <w:top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top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r w:rsidR="003B0DEE" w:rsidRPr="005502B8" w:rsidTr="000D5D90">
        <w:trPr>
          <w:trHeight w:val="20"/>
        </w:trPr>
        <w:tc>
          <w:tcPr>
            <w:tcW w:w="1078" w:type="pct"/>
            <w:tcBorders>
              <w:left w:val="nil"/>
              <w:right w:val="nil"/>
            </w:tcBorders>
            <w:shd w:val="clear" w:color="auto" w:fill="FFFFFF"/>
            <w:vAlign w:val="bottom"/>
          </w:tcPr>
          <w:p w:rsidR="003B0DEE" w:rsidRPr="005502B8" w:rsidRDefault="003B0DEE" w:rsidP="000D5D90">
            <w:pPr>
              <w:spacing w:line="240" w:lineRule="auto"/>
              <w:rPr>
                <w:rFonts w:ascii="Arial" w:hAnsi="Arial" w:cs="Arial"/>
                <w:bCs/>
                <w:color w:val="000000"/>
                <w:sz w:val="20"/>
                <w:lang w:eastAsia="en-US"/>
              </w:rPr>
            </w:pPr>
            <w:r w:rsidRPr="005502B8">
              <w:rPr>
                <w:rFonts w:ascii="Arial" w:hAnsi="Arial" w:cs="Arial"/>
                <w:bCs/>
                <w:color w:val="000000"/>
                <w:sz w:val="20"/>
                <w:lang w:eastAsia="en-US"/>
              </w:rPr>
              <w:t>Outside Dublin</w:t>
            </w:r>
          </w:p>
        </w:tc>
        <w:tc>
          <w:tcPr>
            <w:tcW w:w="504"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256 (70.4%)</w:t>
            </w:r>
          </w:p>
        </w:tc>
        <w:tc>
          <w:tcPr>
            <w:tcW w:w="495"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538 (66.2%)</w:t>
            </w:r>
          </w:p>
        </w:tc>
        <w:tc>
          <w:tcPr>
            <w:tcW w:w="467"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440 (60.8%)</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1210 (68.5%)</w:t>
            </w:r>
          </w:p>
        </w:tc>
        <w:tc>
          <w:tcPr>
            <w:tcW w:w="54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1571 (60.8%)</w:t>
            </w:r>
          </w:p>
        </w:tc>
        <w:tc>
          <w:tcPr>
            <w:tcW w:w="68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c>
          <w:tcPr>
            <w:tcW w:w="687"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color w:val="000000"/>
                <w:sz w:val="20"/>
                <w:lang w:eastAsia="en-US"/>
              </w:rPr>
            </w:pPr>
          </w:p>
        </w:tc>
      </w:tr>
    </w:tbl>
    <w:p w:rsidR="003B0DEE" w:rsidRDefault="003B0DEE" w:rsidP="000D5D90">
      <w:pPr>
        <w:spacing w:after="200" w:line="276" w:lineRule="auto"/>
      </w:pPr>
    </w:p>
    <w:p w:rsidR="003B0DEE" w:rsidRDefault="003B0DEE" w:rsidP="000D5D90">
      <w:pPr>
        <w:spacing w:after="200" w:line="276" w:lineRule="auto"/>
        <w:sectPr w:rsidR="003B0DEE" w:rsidSect="000D5D90">
          <w:pgSz w:w="16840" w:h="11907" w:orient="landscape" w:code="9"/>
          <w:pgMar w:top="1985" w:right="1134" w:bottom="1134" w:left="1134" w:header="709" w:footer="709" w:gutter="0"/>
          <w:cols w:space="708"/>
          <w:docGrid w:linePitch="360"/>
        </w:sectPr>
      </w:pPr>
    </w:p>
    <w:p w:rsidR="003B0DEE" w:rsidRPr="001B57A9" w:rsidRDefault="003B0DEE" w:rsidP="000D5D90">
      <w:pPr>
        <w:pStyle w:val="Heading3"/>
      </w:pPr>
      <w:bookmarkStart w:id="90" w:name="_Toc15331703"/>
      <w:r>
        <w:lastRenderedPageBreak/>
        <w:t>Drug-using</w:t>
      </w:r>
      <w:r w:rsidRPr="006533CE">
        <w:t xml:space="preserve"> career and opioid-using behaviours</w:t>
      </w:r>
      <w:bookmarkEnd w:id="90"/>
    </w:p>
    <w:p w:rsidR="003B0DEE" w:rsidRPr="001E07CA" w:rsidRDefault="003B0DEE" w:rsidP="000D5D90">
      <w:pPr>
        <w:pStyle w:val="Heading4"/>
      </w:pPr>
      <w:r w:rsidRPr="001E07CA">
        <w:t xml:space="preserve">Opioid </w:t>
      </w:r>
      <w:r>
        <w:t xml:space="preserve">use </w:t>
      </w:r>
      <w:r w:rsidRPr="001E07CA">
        <w:t>onset and treatment entry</w:t>
      </w:r>
    </w:p>
    <w:p w:rsidR="003B0DEE" w:rsidRPr="00454539" w:rsidRDefault="003B0DEE" w:rsidP="000D5D90">
      <w:pPr>
        <w:pStyle w:val="BodyText"/>
      </w:pPr>
      <w:r w:rsidRPr="00454539">
        <w:t xml:space="preserve">The analysis of age initiating opioid use (years) and duration before treatment (years) indicate the existence of different subgroups within the opioid treatment population; (1) early and late treatment entries, and (2) early and late opioid use onset.  Early-onset drug use and early-onset opioid use occurred in cluster five (median age commenced drug use 14 </w:t>
      </w:r>
      <w:proofErr w:type="gramStart"/>
      <w:r w:rsidRPr="00454539">
        <w:t>years,</w:t>
      </w:r>
      <w:proofErr w:type="gramEnd"/>
      <w:r w:rsidRPr="00454539">
        <w:t xml:space="preserve"> median age commenced opioid use 17 years).  People in cluster five took the longest to seek treatment (median duration 9 years) even though they had the youngest age profile of treatment entrants (median age 26 years) (Tables </w:t>
      </w:r>
      <w:r>
        <w:t>5-</w:t>
      </w:r>
      <w:r w:rsidRPr="00454539">
        <w:t>1</w:t>
      </w:r>
      <w:r>
        <w:t xml:space="preserve"> to 5-</w:t>
      </w:r>
      <w:r w:rsidRPr="00454539">
        <w:t>3).  Late-onset</w:t>
      </w:r>
      <w:r>
        <w:t xml:space="preserve"> opioid use occurred in cluster</w:t>
      </w:r>
      <w:r w:rsidRPr="00454539">
        <w:t xml:space="preserve"> one and three (median age commencing opioid use 28 and 31 years respectively), and these groups also took long durations to seek treatment (median duration 6 years).  Individuals in cluster two were the quickest to enter treatment following opioid initiation, a distinguishing feature of this cluster (median 4 years).  The comparison between the baseline year (2009) and the most recent year (2015) revealed important temporal changes (1) a significant increase in the median age entering treatment (p&lt;0.001) within cluster three, four and five, and (2) a significant increase in </w:t>
      </w:r>
      <w:r>
        <w:t>opioid-using</w:t>
      </w:r>
      <w:r w:rsidRPr="00454539">
        <w:t xml:space="preserve"> durations prior to seeking treatme</w:t>
      </w:r>
      <w:r>
        <w:t>nt within cluster</w:t>
      </w:r>
      <w:r w:rsidRPr="00454539">
        <w:t xml:space="preserve"> four and five (p&lt;0.</w:t>
      </w:r>
      <w:r w:rsidRPr="00761B50">
        <w:t>001) (Table 5-4).</w:t>
      </w:r>
      <w:r w:rsidRPr="00454539">
        <w:t xml:space="preserve">  </w:t>
      </w:r>
      <w:r>
        <w:t xml:space="preserve">A further breakdown of this comparison by place of residence indicated that the </w:t>
      </w:r>
      <w:r w:rsidRPr="00454539">
        <w:t xml:space="preserve">significant (p&lt;0.001) increase in the median age entering treatment </w:t>
      </w:r>
      <w:r>
        <w:t>occurred both for Dublin and outside Dublin residents i</w:t>
      </w:r>
      <w:r w:rsidRPr="00454539">
        <w:t>n cluster five</w:t>
      </w:r>
      <w:r>
        <w:t>.  However, in cluster four the increase was significant for those living outside Dublin only.  Similarly, the s</w:t>
      </w:r>
      <w:r w:rsidRPr="00454539">
        <w:t>ignificant (p&lt;0.</w:t>
      </w:r>
      <w:r w:rsidRPr="00761B50">
        <w:t>001)</w:t>
      </w:r>
      <w:r>
        <w:t xml:space="preserve"> </w:t>
      </w:r>
      <w:r w:rsidRPr="00454539">
        <w:t xml:space="preserve">increase in </w:t>
      </w:r>
      <w:r>
        <w:t>opioid-using</w:t>
      </w:r>
      <w:r w:rsidRPr="00454539">
        <w:t xml:space="preserve"> durations prior to seeking treatme</w:t>
      </w:r>
      <w:r>
        <w:t>nt within cluster</w:t>
      </w:r>
      <w:r w:rsidRPr="00454539">
        <w:t xml:space="preserve"> five </w:t>
      </w:r>
      <w:r>
        <w:t>occurred both for Dublin and outside Dublin residents, and in cluster four the increase was significant for those living outside Dublin only.  Within cluster two, although the slight</w:t>
      </w:r>
      <w:r w:rsidRPr="00454539">
        <w:t xml:space="preserve"> </w:t>
      </w:r>
      <w:r>
        <w:t>overall change</w:t>
      </w:r>
      <w:r w:rsidRPr="00454539">
        <w:t xml:space="preserve"> in the median age entering treatment</w:t>
      </w:r>
      <w:r>
        <w:t xml:space="preserve"> was non-significant, the analysis by place of residence revealed that the median for Dublin residents decreased (although not significantly), but there was a significant (p&lt;0.001) increase in </w:t>
      </w:r>
      <w:r w:rsidRPr="00454539">
        <w:t>median age entering treatment</w:t>
      </w:r>
      <w:r>
        <w:t xml:space="preserve"> for those residing outside of Dublin. </w:t>
      </w:r>
    </w:p>
    <w:p w:rsidR="003B0DEE" w:rsidRPr="001E07CA" w:rsidRDefault="003B0DEE" w:rsidP="000D5D90">
      <w:pPr>
        <w:pStyle w:val="Heading4"/>
      </w:pPr>
      <w:r>
        <w:t>Opioid use in the month prior to treatment entry</w:t>
      </w:r>
    </w:p>
    <w:p w:rsidR="003B0DEE" w:rsidRPr="00454539" w:rsidRDefault="003B0DEE" w:rsidP="000D5D90">
      <w:pPr>
        <w:pStyle w:val="BodyText"/>
      </w:pPr>
      <w:r w:rsidRPr="00454539">
        <w:t>There were significant differences in the frequency of opioid use in the month prior to treatment (Z=453.104, p&lt;0.001), polysubstance use (Z=277.368, p&lt;0.001), and the types of additional problem substances used alongside opioids.  Cluster one mainly consumed opioid</w:t>
      </w:r>
      <w:r>
        <w:t>s orally (95.5%), while cluster</w:t>
      </w:r>
      <w:r w:rsidRPr="00454539">
        <w:t xml:space="preserve"> two to five primarily smoked opioids (&gt;61.0%).  Injecting was highest among cluster five, where almost one-third (32.5%) of individuals injected opioids.  Many had stopped using opioids in the month prior to commencing their treatment.  One-in-four people (28.8%) in cluster five had not used opioids in the month prior to treatment.  Daily use of opioids was highest among cluster one (73.4%).</w:t>
      </w:r>
    </w:p>
    <w:p w:rsidR="003B0DEE" w:rsidRPr="00307FA2" w:rsidRDefault="003B0DEE" w:rsidP="000D5D90">
      <w:pPr>
        <w:pStyle w:val="BodyText"/>
        <w:rPr>
          <w:b/>
          <w:bCs/>
          <w:sz w:val="24"/>
          <w:szCs w:val="26"/>
        </w:rPr>
      </w:pPr>
      <w:r w:rsidRPr="00454539">
        <w:t>The majority of people in cluster one had problem use of just one substance, opioids (60.4%).  Where additional problem substances existed in cluster one, it was most frequently alcohol (37.1%).  Problem use of two or more substa</w:t>
      </w:r>
      <w:r>
        <w:t>nces was common amongst cluster</w:t>
      </w:r>
      <w:r w:rsidRPr="00454539">
        <w:t xml:space="preserve"> two to five inclusive (&gt;51.0%).  When placed in rank order, cannabis was the most commonly reported </w:t>
      </w:r>
      <w:r w:rsidRPr="00454539">
        <w:lastRenderedPageBreak/>
        <w:t>additional substance in cluster two to five inclusive (44.3%-54.7%).  Benzodiazepines were the second most commonly reported additional substance in all clusters, ranging between 34.6</w:t>
      </w:r>
      <w:r>
        <w:t>%</w:t>
      </w:r>
      <w:r w:rsidRPr="00454539">
        <w:t xml:space="preserve"> and 45.1%.  The third most commonly reported substance in addition to opioids was cocaine in cluster two, three, four and five (28.1%-31.2%).</w:t>
      </w: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pStyle w:val="Caption"/>
        <w:spacing w:line="240" w:lineRule="auto"/>
        <w:rPr>
          <w:b w:val="0"/>
        </w:rPr>
      </w:pPr>
      <w:bookmarkStart w:id="91" w:name="_Toc15332000"/>
      <w:r>
        <w:lastRenderedPageBreak/>
        <w:t xml:space="preserve">Table </w:t>
      </w:r>
      <w:fldSimple w:instr=" STYLEREF 1 \s ">
        <w:r>
          <w:rPr>
            <w:noProof/>
          </w:rPr>
          <w:t>5</w:t>
        </w:r>
      </w:fldSimple>
      <w:r>
        <w:noBreakHyphen/>
      </w:r>
      <w:fldSimple w:instr=" SEQ Table \* ARABIC \s 1 ">
        <w:r>
          <w:rPr>
            <w:noProof/>
          </w:rPr>
          <w:t>3</w:t>
        </w:r>
      </w:fldSimple>
      <w:r>
        <w:t xml:space="preserve">  </w:t>
      </w:r>
      <w:r>
        <w:rPr>
          <w:b w:val="0"/>
        </w:rPr>
        <w:t>Drug-using</w:t>
      </w:r>
      <w:r w:rsidRPr="005C08E6">
        <w:rPr>
          <w:b w:val="0"/>
        </w:rPr>
        <w:t xml:space="preserve"> career and opioid-using behaviours of first-time opioid treatment entrants, </w:t>
      </w:r>
      <w:r>
        <w:rPr>
          <w:b w:val="0"/>
        </w:rPr>
        <w:t>2009–2015</w:t>
      </w:r>
      <w:bookmarkEnd w:id="91"/>
    </w:p>
    <w:tbl>
      <w:tblPr>
        <w:tblW w:w="4309" w:type="pct"/>
        <w:tblBorders>
          <w:top w:val="single" w:sz="8" w:space="0" w:color="000000"/>
          <w:bottom w:val="single" w:sz="8" w:space="0" w:color="000000"/>
        </w:tblBorders>
        <w:tblLook w:val="04A0" w:firstRow="1" w:lastRow="0" w:firstColumn="1" w:lastColumn="0" w:noHBand="0" w:noVBand="1"/>
      </w:tblPr>
      <w:tblGrid>
        <w:gridCol w:w="3186"/>
        <w:gridCol w:w="1491"/>
        <w:gridCol w:w="1463"/>
        <w:gridCol w:w="1379"/>
        <w:gridCol w:w="1598"/>
        <w:gridCol w:w="1598"/>
        <w:gridCol w:w="2029"/>
      </w:tblGrid>
      <w:tr w:rsidR="003B0DEE" w:rsidRPr="00066D1D" w:rsidTr="000D5D90">
        <w:trPr>
          <w:trHeight w:val="20"/>
          <w:tblHeader/>
        </w:trPr>
        <w:tc>
          <w:tcPr>
            <w:tcW w:w="1250" w:type="pct"/>
            <w:tcBorders>
              <w:top w:val="single" w:sz="8" w:space="0" w:color="000000"/>
              <w:left w:val="nil"/>
              <w:bottom w:val="single" w:sz="8" w:space="0" w:color="000000"/>
              <w:right w:val="nil"/>
            </w:tcBorders>
            <w:shd w:val="clear" w:color="auto" w:fill="auto"/>
          </w:tcPr>
          <w:p w:rsidR="003B0DEE" w:rsidRPr="00066D1D" w:rsidRDefault="003B0DEE" w:rsidP="000D5D90">
            <w:pPr>
              <w:spacing w:line="240" w:lineRule="auto"/>
              <w:jc w:val="center"/>
              <w:rPr>
                <w:rFonts w:ascii="Arial" w:hAnsi="Arial" w:cs="Arial"/>
                <w:b/>
                <w:bCs/>
                <w:color w:val="000000"/>
                <w:sz w:val="18"/>
                <w:szCs w:val="18"/>
                <w:lang w:eastAsia="en-US"/>
              </w:rPr>
            </w:pPr>
          </w:p>
        </w:tc>
        <w:tc>
          <w:tcPr>
            <w:tcW w:w="2954" w:type="pct"/>
            <w:gridSpan w:val="5"/>
            <w:tcBorders>
              <w:top w:val="single" w:sz="8" w:space="0" w:color="000000"/>
              <w:left w:val="nil"/>
              <w:bottom w:val="single" w:sz="8" w:space="0" w:color="000000"/>
              <w:right w:val="nil"/>
            </w:tcBorders>
            <w:shd w:val="clear" w:color="auto" w:fill="auto"/>
          </w:tcPr>
          <w:p w:rsidR="003B0DEE" w:rsidRPr="00066D1D" w:rsidRDefault="003B0DEE" w:rsidP="000D5D90">
            <w:pPr>
              <w:spacing w:line="240" w:lineRule="auto"/>
              <w:jc w:val="center"/>
              <w:rPr>
                <w:rFonts w:ascii="Arial" w:hAnsi="Arial" w:cs="Arial"/>
                <w:b/>
                <w:bCs/>
                <w:color w:val="000000"/>
                <w:sz w:val="18"/>
                <w:szCs w:val="18"/>
                <w:lang w:eastAsia="en-US"/>
              </w:rPr>
            </w:pPr>
            <w:r w:rsidRPr="00066D1D">
              <w:rPr>
                <w:rFonts w:ascii="Arial" w:hAnsi="Arial" w:cs="Arial"/>
                <w:b/>
                <w:bCs/>
                <w:color w:val="000000"/>
                <w:sz w:val="18"/>
                <w:szCs w:val="18"/>
                <w:lang w:eastAsia="en-US"/>
              </w:rPr>
              <w:t>Cluster</w:t>
            </w:r>
          </w:p>
        </w:tc>
        <w:tc>
          <w:tcPr>
            <w:tcW w:w="796" w:type="pct"/>
            <w:tcBorders>
              <w:top w:val="single" w:sz="8" w:space="0" w:color="000000"/>
              <w:left w:val="nil"/>
              <w:bottom w:val="single" w:sz="8" w:space="0" w:color="000000"/>
              <w:right w:val="nil"/>
            </w:tcBorders>
            <w:shd w:val="clear" w:color="auto" w:fill="auto"/>
          </w:tcPr>
          <w:p w:rsidR="003B0DEE" w:rsidRPr="00066D1D" w:rsidRDefault="003B0DEE" w:rsidP="000D5D90">
            <w:pPr>
              <w:spacing w:line="240" w:lineRule="auto"/>
              <w:jc w:val="center"/>
              <w:rPr>
                <w:rFonts w:ascii="Arial" w:hAnsi="Arial" w:cs="Arial"/>
                <w:b/>
                <w:bCs/>
                <w:color w:val="000000"/>
                <w:sz w:val="18"/>
                <w:szCs w:val="18"/>
                <w:lang w:eastAsia="en-US"/>
              </w:rPr>
            </w:pPr>
            <w:r w:rsidRPr="00066D1D">
              <w:rPr>
                <w:rFonts w:ascii="Arial" w:hAnsi="Arial" w:cs="Arial"/>
                <w:b/>
                <w:bCs/>
                <w:color w:val="000000"/>
                <w:sz w:val="18"/>
                <w:szCs w:val="18"/>
                <w:lang w:eastAsia="en-US"/>
              </w:rPr>
              <w:t>Significance test</w:t>
            </w:r>
          </w:p>
        </w:tc>
      </w:tr>
      <w:tr w:rsidR="003B0DEE" w:rsidRPr="00066D1D" w:rsidTr="000D5D90">
        <w:trPr>
          <w:trHeight w:val="20"/>
          <w:tblHeader/>
        </w:trPr>
        <w:tc>
          <w:tcPr>
            <w:tcW w:w="1250" w:type="pct"/>
            <w:tcBorders>
              <w:top w:val="single" w:sz="8" w:space="0" w:color="000000"/>
              <w:left w:val="nil"/>
              <w:right w:val="nil"/>
            </w:tcBorders>
            <w:shd w:val="clear" w:color="auto" w:fill="FFFFFF"/>
          </w:tcPr>
          <w:p w:rsidR="003B0DEE" w:rsidRPr="00066D1D" w:rsidRDefault="003B0DEE" w:rsidP="000D5D90">
            <w:pPr>
              <w:spacing w:line="240" w:lineRule="auto"/>
              <w:rPr>
                <w:rFonts w:ascii="Arial" w:hAnsi="Arial" w:cs="Arial"/>
                <w:b/>
                <w:bCs/>
                <w:color w:val="000000"/>
                <w:sz w:val="18"/>
                <w:szCs w:val="18"/>
                <w:lang w:eastAsia="en-US"/>
              </w:rPr>
            </w:pPr>
          </w:p>
        </w:tc>
        <w:tc>
          <w:tcPr>
            <w:tcW w:w="585"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1 (N=864)</w:t>
            </w:r>
          </w:p>
        </w:tc>
        <w:tc>
          <w:tcPr>
            <w:tcW w:w="574"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 (N=1594)</w:t>
            </w:r>
          </w:p>
        </w:tc>
        <w:tc>
          <w:tcPr>
            <w:tcW w:w="541"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3 (N=1123)</w:t>
            </w:r>
          </w:p>
        </w:tc>
        <w:tc>
          <w:tcPr>
            <w:tcW w:w="627"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4 (N=1766)</w:t>
            </w:r>
          </w:p>
        </w:tc>
        <w:tc>
          <w:tcPr>
            <w:tcW w:w="627"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5 (N=2586)</w:t>
            </w:r>
          </w:p>
        </w:tc>
        <w:tc>
          <w:tcPr>
            <w:tcW w:w="796" w:type="pct"/>
            <w:tcBorders>
              <w:top w:val="single" w:sz="8" w:space="0" w:color="000000"/>
              <w:left w:val="nil"/>
              <w:right w:val="nil"/>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U / Z (p)</w:t>
            </w:r>
          </w:p>
        </w:tc>
      </w:tr>
      <w:tr w:rsidR="003B0DEE" w:rsidRPr="00066D1D" w:rsidTr="000D5D90">
        <w:trPr>
          <w:trHeight w:val="20"/>
        </w:trPr>
        <w:tc>
          <w:tcPr>
            <w:tcW w:w="1250" w:type="pct"/>
            <w:shd w:val="clear" w:color="auto" w:fill="D9D9D9"/>
            <w:vAlign w:val="bottom"/>
          </w:tcPr>
          <w:p w:rsidR="003B0DEE" w:rsidRPr="00066D1D" w:rsidRDefault="003B0DEE" w:rsidP="000D5D90">
            <w:pPr>
              <w:spacing w:line="240" w:lineRule="auto"/>
              <w:rPr>
                <w:rFonts w:ascii="Arial" w:hAnsi="Arial" w:cs="Arial"/>
                <w:b/>
                <w:bCs/>
                <w:color w:val="000000"/>
                <w:sz w:val="18"/>
                <w:szCs w:val="18"/>
                <w:lang w:eastAsia="en-US"/>
              </w:rPr>
            </w:pPr>
            <w:r w:rsidRPr="00066D1D">
              <w:rPr>
                <w:rFonts w:ascii="Arial" w:hAnsi="Arial" w:cs="Arial"/>
                <w:b/>
                <w:bCs/>
                <w:color w:val="000000"/>
                <w:sz w:val="18"/>
                <w:szCs w:val="18"/>
                <w:lang w:eastAsia="en-US"/>
              </w:rPr>
              <w:t>Drug-using career</w:t>
            </w:r>
          </w:p>
        </w:tc>
        <w:tc>
          <w:tcPr>
            <w:tcW w:w="2954" w:type="pct"/>
            <w:gridSpan w:val="5"/>
            <w:shd w:val="clear" w:color="auto" w:fill="D9D9D9"/>
            <w:vAlign w:val="bottom"/>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Median years (Range</w:t>
            </w:r>
            <w:r>
              <w:rPr>
                <w:rFonts w:ascii="Arial" w:hAnsi="Arial" w:cs="Arial"/>
                <w:b/>
                <w:color w:val="000000"/>
                <w:sz w:val="18"/>
                <w:szCs w:val="18"/>
                <w:lang w:eastAsia="en-US"/>
              </w:rPr>
              <w:t>*</w:t>
            </w:r>
            <w:r w:rsidRPr="00066D1D">
              <w:rPr>
                <w:rFonts w:ascii="Arial" w:hAnsi="Arial" w:cs="Arial"/>
                <w:b/>
                <w:color w:val="000000"/>
                <w:sz w:val="18"/>
                <w:szCs w:val="18"/>
                <w:lang w:eastAsia="en-US"/>
              </w:rPr>
              <w:t>)</w:t>
            </w:r>
          </w:p>
        </w:tc>
        <w:tc>
          <w:tcPr>
            <w:tcW w:w="796" w:type="pct"/>
            <w:shd w:val="clear" w:color="auto" w:fill="D9D9D9"/>
          </w:tcPr>
          <w:p w:rsidR="003B0DEE" w:rsidRPr="00066D1D" w:rsidRDefault="003B0DEE" w:rsidP="000D5D90">
            <w:pPr>
              <w:spacing w:line="240" w:lineRule="auto"/>
              <w:jc w:val="center"/>
              <w:rPr>
                <w:rFonts w:ascii="Arial" w:hAnsi="Arial" w:cs="Arial"/>
                <w:b/>
                <w:color w:val="000000"/>
                <w:sz w:val="18"/>
                <w:szCs w:val="18"/>
                <w:lang w:eastAsia="en-US"/>
              </w:rPr>
            </w:pPr>
          </w:p>
        </w:tc>
      </w:tr>
      <w:tr w:rsidR="003B0DEE" w:rsidRPr="00066D1D" w:rsidTr="000D5D90">
        <w:trPr>
          <w:trHeight w:val="25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Age first used any drug </w:t>
            </w:r>
          </w:p>
        </w:tc>
        <w:tc>
          <w:tcPr>
            <w:tcW w:w="585"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bCs/>
                <w:color w:val="000000"/>
                <w:sz w:val="18"/>
                <w:szCs w:val="18"/>
                <w:lang w:eastAsia="en-US"/>
              </w:rPr>
              <w:t>20 (12-47)</w:t>
            </w:r>
          </w:p>
        </w:tc>
        <w:tc>
          <w:tcPr>
            <w:tcW w:w="574"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bCs/>
                <w:color w:val="000000"/>
                <w:sz w:val="18"/>
                <w:szCs w:val="18"/>
                <w:lang w:eastAsia="en-US"/>
              </w:rPr>
              <w:t>15 (11-26)</w:t>
            </w:r>
          </w:p>
        </w:tc>
        <w:tc>
          <w:tcPr>
            <w:tcW w:w="541"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bCs/>
                <w:color w:val="000000"/>
                <w:sz w:val="18"/>
                <w:szCs w:val="18"/>
                <w:lang w:eastAsia="en-US"/>
              </w:rPr>
              <w:t>14 (10-35)</w:t>
            </w:r>
          </w:p>
        </w:tc>
        <w:tc>
          <w:tcPr>
            <w:tcW w:w="627"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15 (11-22)</w:t>
            </w:r>
          </w:p>
        </w:tc>
        <w:tc>
          <w:tcPr>
            <w:tcW w:w="627"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14 (11-18)</w:t>
            </w:r>
          </w:p>
        </w:tc>
        <w:tc>
          <w:tcPr>
            <w:tcW w:w="796" w:type="pct"/>
            <w:tcBorders>
              <w:left w:val="nil"/>
              <w:right w:val="nil"/>
            </w:tcBorders>
            <w:shd w:val="clear" w:color="auto" w:fill="FFFFFF"/>
            <w:vAlign w:val="bottom"/>
          </w:tcPr>
          <w:p w:rsidR="003B0DEE" w:rsidRPr="00066D1D" w:rsidRDefault="003B0DEE" w:rsidP="000D5D90">
            <w:pPr>
              <w:spacing w:line="240" w:lineRule="auto"/>
              <w:jc w:val="right"/>
              <w:rPr>
                <w:rFonts w:ascii="Arial" w:eastAsia="Calibri" w:hAnsi="Arial" w:cs="Arial"/>
                <w:color w:val="000000"/>
                <w:sz w:val="18"/>
                <w:szCs w:val="18"/>
                <w:lang w:eastAsia="en-US"/>
              </w:rPr>
            </w:pPr>
            <w:r w:rsidRPr="00066D1D">
              <w:rPr>
                <w:rFonts w:ascii="Arial" w:eastAsia="Calibri" w:hAnsi="Arial" w:cs="Arial"/>
                <w:color w:val="000000"/>
                <w:sz w:val="18"/>
                <w:szCs w:val="18"/>
                <w:lang w:eastAsia="en-US"/>
              </w:rPr>
              <w:t>612.779 (p&lt;0.001)</w:t>
            </w:r>
          </w:p>
        </w:tc>
      </w:tr>
      <w:tr w:rsidR="003B0DEE" w:rsidRPr="00066D1D" w:rsidTr="000D5D90">
        <w:trPr>
          <w:trHeight w:val="20"/>
        </w:trPr>
        <w:tc>
          <w:tcPr>
            <w:tcW w:w="1250" w:type="pct"/>
            <w:shd w:val="clear" w:color="auto" w:fill="FFFFFF"/>
          </w:tcPr>
          <w:p w:rsidR="003B0DEE" w:rsidRPr="00066D1D" w:rsidRDefault="003B0DEE" w:rsidP="000D5D90">
            <w:pPr>
              <w:spacing w:line="240" w:lineRule="auto"/>
              <w:jc w:val="left"/>
              <w:rPr>
                <w:rFonts w:ascii="Arial" w:hAnsi="Arial" w:cs="Arial"/>
                <w:bCs/>
                <w:color w:val="000000"/>
                <w:sz w:val="18"/>
                <w:szCs w:val="18"/>
                <w:lang w:eastAsia="en-US"/>
              </w:rPr>
            </w:pPr>
            <w:r w:rsidRPr="00066D1D">
              <w:rPr>
                <w:rFonts w:ascii="Arial" w:hAnsi="Arial" w:cs="Arial"/>
                <w:bCs/>
                <w:color w:val="000000"/>
                <w:sz w:val="18"/>
                <w:szCs w:val="18"/>
                <w:lang w:eastAsia="en-US"/>
              </w:rPr>
              <w:t>Time lag between first use of opioids and seeking treatment</w:t>
            </w:r>
          </w:p>
        </w:tc>
        <w:tc>
          <w:tcPr>
            <w:tcW w:w="585" w:type="pct"/>
            <w:shd w:val="clear" w:color="auto" w:fill="FFFFFF"/>
            <w:vAlign w:val="bottom"/>
          </w:tcPr>
          <w:p w:rsidR="003B0DEE" w:rsidRPr="00066D1D" w:rsidRDefault="003B0DEE" w:rsidP="000D5D90">
            <w:pPr>
              <w:spacing w:line="240" w:lineRule="auto"/>
              <w:jc w:val="right"/>
              <w:rPr>
                <w:rFonts w:ascii="Arial" w:hAnsi="Arial" w:cs="Arial"/>
                <w:sz w:val="18"/>
                <w:szCs w:val="18"/>
                <w:lang w:eastAsia="en-US"/>
              </w:rPr>
            </w:pPr>
            <w:r w:rsidRPr="00066D1D">
              <w:rPr>
                <w:rFonts w:ascii="Arial" w:hAnsi="Arial" w:cs="Arial"/>
                <w:bCs/>
                <w:color w:val="000000"/>
                <w:sz w:val="18"/>
                <w:szCs w:val="18"/>
                <w:lang w:eastAsia="en-US"/>
              </w:rPr>
              <w:t>6 (1-22)</w:t>
            </w:r>
          </w:p>
        </w:tc>
        <w:tc>
          <w:tcPr>
            <w:tcW w:w="574" w:type="pct"/>
            <w:shd w:val="clear" w:color="auto" w:fill="FFFFFF"/>
            <w:vAlign w:val="bottom"/>
          </w:tcPr>
          <w:p w:rsidR="003B0DEE" w:rsidRPr="00066D1D" w:rsidRDefault="003B0DEE" w:rsidP="000D5D90">
            <w:pPr>
              <w:spacing w:line="240" w:lineRule="auto"/>
              <w:jc w:val="right"/>
              <w:rPr>
                <w:rFonts w:ascii="Arial" w:hAnsi="Arial" w:cs="Arial"/>
                <w:sz w:val="18"/>
                <w:szCs w:val="18"/>
                <w:lang w:eastAsia="en-US"/>
              </w:rPr>
            </w:pPr>
            <w:r w:rsidRPr="00066D1D">
              <w:rPr>
                <w:rFonts w:ascii="Arial" w:hAnsi="Arial" w:cs="Arial"/>
                <w:bCs/>
                <w:color w:val="000000"/>
                <w:sz w:val="18"/>
                <w:szCs w:val="18"/>
                <w:lang w:eastAsia="en-US"/>
              </w:rPr>
              <w:t>4 (0-15)</w:t>
            </w:r>
          </w:p>
        </w:tc>
        <w:tc>
          <w:tcPr>
            <w:tcW w:w="541" w:type="pct"/>
            <w:shd w:val="clear" w:color="auto" w:fill="FFFFFF"/>
            <w:vAlign w:val="bottom"/>
          </w:tcPr>
          <w:p w:rsidR="003B0DEE" w:rsidRPr="00066D1D" w:rsidRDefault="003B0DEE" w:rsidP="000D5D90">
            <w:pPr>
              <w:spacing w:line="240" w:lineRule="auto"/>
              <w:jc w:val="right"/>
              <w:rPr>
                <w:rFonts w:ascii="Arial" w:hAnsi="Arial" w:cs="Arial"/>
                <w:sz w:val="18"/>
                <w:szCs w:val="18"/>
                <w:lang w:eastAsia="en-US"/>
              </w:rPr>
            </w:pPr>
            <w:r w:rsidRPr="00066D1D">
              <w:rPr>
                <w:rFonts w:ascii="Arial" w:hAnsi="Arial" w:cs="Arial"/>
                <w:bCs/>
                <w:color w:val="000000"/>
                <w:sz w:val="18"/>
                <w:szCs w:val="18"/>
                <w:lang w:eastAsia="en-US"/>
              </w:rPr>
              <w:t>6 (0-22)</w:t>
            </w:r>
          </w:p>
        </w:tc>
        <w:tc>
          <w:tcPr>
            <w:tcW w:w="627" w:type="pct"/>
            <w:shd w:val="clear" w:color="auto" w:fill="FFFFFF"/>
            <w:vAlign w:val="bottom"/>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5 (1-19)</w:t>
            </w:r>
          </w:p>
        </w:tc>
        <w:tc>
          <w:tcPr>
            <w:tcW w:w="627" w:type="pct"/>
            <w:shd w:val="clear" w:color="auto" w:fill="FFFFFF"/>
            <w:vAlign w:val="bottom"/>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9 (1-23)</w:t>
            </w:r>
          </w:p>
        </w:tc>
        <w:tc>
          <w:tcPr>
            <w:tcW w:w="796" w:type="pct"/>
            <w:shd w:val="clear" w:color="auto" w:fill="FFFFFF"/>
          </w:tcPr>
          <w:p w:rsidR="003B0DEE" w:rsidRPr="00066D1D" w:rsidRDefault="003B0DEE" w:rsidP="000D5D90">
            <w:pPr>
              <w:spacing w:line="240" w:lineRule="auto"/>
              <w:jc w:val="right"/>
              <w:rPr>
                <w:rFonts w:ascii="Arial" w:eastAsia="Calibri" w:hAnsi="Arial" w:cs="Arial"/>
                <w:color w:val="000000"/>
                <w:sz w:val="18"/>
                <w:szCs w:val="18"/>
                <w:lang w:eastAsia="en-US"/>
              </w:rPr>
            </w:pPr>
          </w:p>
          <w:p w:rsidR="003B0DEE" w:rsidRPr="00066D1D" w:rsidRDefault="003B0DEE" w:rsidP="000D5D90">
            <w:pPr>
              <w:spacing w:line="240" w:lineRule="auto"/>
              <w:jc w:val="right"/>
              <w:rPr>
                <w:rFonts w:ascii="Arial" w:eastAsia="Calibri" w:hAnsi="Arial" w:cs="Arial"/>
                <w:color w:val="000000"/>
                <w:sz w:val="18"/>
                <w:szCs w:val="18"/>
                <w:lang w:eastAsia="en-US"/>
              </w:rPr>
            </w:pPr>
            <w:r w:rsidRPr="00066D1D">
              <w:rPr>
                <w:rFonts w:ascii="Arial" w:eastAsia="Calibri" w:hAnsi="Arial" w:cs="Arial"/>
                <w:color w:val="000000"/>
                <w:sz w:val="18"/>
                <w:szCs w:val="18"/>
                <w:lang w:eastAsia="en-US"/>
              </w:rPr>
              <w:t>377.951 (p&lt;0.001)</w:t>
            </w:r>
          </w:p>
        </w:tc>
      </w:tr>
      <w:tr w:rsidR="003B0DEE" w:rsidRPr="00066D1D" w:rsidTr="000D5D90">
        <w:trPr>
          <w:trHeight w:val="20"/>
        </w:trPr>
        <w:tc>
          <w:tcPr>
            <w:tcW w:w="1250" w:type="pct"/>
            <w:tcBorders>
              <w:top w:val="nil"/>
              <w:left w:val="nil"/>
              <w:right w:val="nil"/>
            </w:tcBorders>
            <w:shd w:val="clear" w:color="auto" w:fill="D9D9D9"/>
          </w:tcPr>
          <w:p w:rsidR="003B0DEE" w:rsidRPr="00066D1D" w:rsidRDefault="003B0DEE" w:rsidP="000D5D90">
            <w:pPr>
              <w:spacing w:line="240" w:lineRule="auto"/>
              <w:rPr>
                <w:rFonts w:ascii="Arial" w:hAnsi="Arial" w:cs="Arial"/>
                <w:b/>
                <w:bCs/>
                <w:sz w:val="18"/>
                <w:szCs w:val="18"/>
                <w:lang w:eastAsia="en-US"/>
              </w:rPr>
            </w:pPr>
            <w:r w:rsidRPr="00066D1D">
              <w:rPr>
                <w:rFonts w:ascii="Arial" w:hAnsi="Arial" w:cs="Arial"/>
                <w:b/>
                <w:bCs/>
                <w:color w:val="000000"/>
                <w:sz w:val="18"/>
                <w:szCs w:val="18"/>
                <w:lang w:eastAsia="en-US"/>
              </w:rPr>
              <w:t>Route of opioid administration</w:t>
            </w:r>
          </w:p>
        </w:tc>
        <w:tc>
          <w:tcPr>
            <w:tcW w:w="585" w:type="pct"/>
            <w:tcBorders>
              <w:top w:val="nil"/>
              <w:left w:val="nil"/>
              <w:bottom w:val="nil"/>
              <w:right w:val="nil"/>
            </w:tcBorders>
            <w:shd w:val="clear" w:color="auto" w:fill="D9D9D9"/>
          </w:tcPr>
          <w:p w:rsidR="003B0DEE" w:rsidRPr="00066D1D" w:rsidRDefault="003B0DEE" w:rsidP="000D5D90">
            <w:pPr>
              <w:spacing w:line="240" w:lineRule="auto"/>
              <w:jc w:val="right"/>
              <w:rPr>
                <w:rFonts w:ascii="Arial" w:hAnsi="Arial" w:cs="Arial"/>
                <w:b/>
                <w:bCs/>
                <w:sz w:val="18"/>
                <w:szCs w:val="18"/>
                <w:lang w:eastAsia="en-US"/>
              </w:rPr>
            </w:pPr>
          </w:p>
        </w:tc>
        <w:tc>
          <w:tcPr>
            <w:tcW w:w="574" w:type="pct"/>
            <w:tcBorders>
              <w:top w:val="nil"/>
              <w:left w:val="nil"/>
              <w:right w:val="nil"/>
            </w:tcBorders>
            <w:shd w:val="clear" w:color="auto" w:fill="D9D9D9"/>
          </w:tcPr>
          <w:p w:rsidR="003B0DEE" w:rsidRPr="00066D1D" w:rsidRDefault="003B0DEE" w:rsidP="000D5D90">
            <w:pPr>
              <w:spacing w:line="240" w:lineRule="auto"/>
              <w:jc w:val="right"/>
              <w:rPr>
                <w:rFonts w:ascii="Arial" w:hAnsi="Arial" w:cs="Arial"/>
                <w:b/>
                <w:bCs/>
                <w:sz w:val="18"/>
                <w:szCs w:val="18"/>
                <w:lang w:eastAsia="en-US"/>
              </w:rPr>
            </w:pPr>
          </w:p>
        </w:tc>
        <w:tc>
          <w:tcPr>
            <w:tcW w:w="541" w:type="pct"/>
            <w:tcBorders>
              <w:top w:val="nil"/>
              <w:left w:val="nil"/>
              <w:bottom w:val="nil"/>
              <w:right w:val="nil"/>
            </w:tcBorders>
            <w:shd w:val="clear" w:color="auto" w:fill="D9D9D9"/>
          </w:tcPr>
          <w:p w:rsidR="003B0DEE" w:rsidRPr="00066D1D" w:rsidRDefault="003B0DEE" w:rsidP="000D5D90">
            <w:pPr>
              <w:spacing w:line="240" w:lineRule="auto"/>
              <w:jc w:val="right"/>
              <w:rPr>
                <w:rFonts w:ascii="Arial" w:hAnsi="Arial" w:cs="Arial"/>
                <w:b/>
                <w:bCs/>
                <w:sz w:val="18"/>
                <w:szCs w:val="18"/>
                <w:lang w:eastAsia="en-US"/>
              </w:rPr>
            </w:pPr>
          </w:p>
        </w:tc>
        <w:tc>
          <w:tcPr>
            <w:tcW w:w="627" w:type="pct"/>
            <w:tcBorders>
              <w:top w:val="nil"/>
              <w:left w:val="nil"/>
              <w:right w:val="nil"/>
            </w:tcBorders>
            <w:shd w:val="clear" w:color="auto" w:fill="D9D9D9"/>
          </w:tcPr>
          <w:p w:rsidR="003B0DEE" w:rsidRPr="00066D1D" w:rsidRDefault="003B0DEE" w:rsidP="000D5D90">
            <w:pPr>
              <w:spacing w:line="240" w:lineRule="auto"/>
              <w:jc w:val="right"/>
              <w:rPr>
                <w:rFonts w:ascii="Arial" w:hAnsi="Arial" w:cs="Arial"/>
                <w:b/>
                <w:bCs/>
                <w:sz w:val="18"/>
                <w:szCs w:val="18"/>
                <w:lang w:eastAsia="en-US"/>
              </w:rPr>
            </w:pPr>
          </w:p>
        </w:tc>
        <w:tc>
          <w:tcPr>
            <w:tcW w:w="627" w:type="pct"/>
            <w:tcBorders>
              <w:top w:val="nil"/>
              <w:left w:val="nil"/>
              <w:bottom w:val="nil"/>
              <w:right w:val="nil"/>
            </w:tcBorders>
            <w:shd w:val="clear" w:color="auto" w:fill="D9D9D9"/>
          </w:tcPr>
          <w:p w:rsidR="003B0DEE" w:rsidRPr="00066D1D" w:rsidRDefault="003B0DEE" w:rsidP="000D5D90">
            <w:pPr>
              <w:spacing w:line="240" w:lineRule="auto"/>
              <w:jc w:val="right"/>
              <w:rPr>
                <w:rFonts w:ascii="Arial" w:hAnsi="Arial" w:cs="Arial"/>
                <w:b/>
                <w:bCs/>
                <w:sz w:val="18"/>
                <w:szCs w:val="18"/>
                <w:lang w:eastAsia="en-US"/>
              </w:rPr>
            </w:pPr>
          </w:p>
        </w:tc>
        <w:tc>
          <w:tcPr>
            <w:tcW w:w="796" w:type="pct"/>
            <w:tcBorders>
              <w:top w:val="nil"/>
              <w:left w:val="nil"/>
              <w:right w:val="nil"/>
            </w:tcBorders>
            <w:shd w:val="clear" w:color="auto" w:fill="D9D9D9"/>
          </w:tcPr>
          <w:p w:rsidR="003B0DEE" w:rsidRPr="00066D1D" w:rsidRDefault="003B0DEE" w:rsidP="000D5D90">
            <w:pPr>
              <w:spacing w:line="240" w:lineRule="auto"/>
              <w:jc w:val="right"/>
              <w:rPr>
                <w:rFonts w:ascii="Arial" w:hAnsi="Arial" w:cs="Arial"/>
                <w:bCs/>
                <w:sz w:val="18"/>
                <w:szCs w:val="18"/>
                <w:lang w:eastAsia="en-US"/>
              </w:rPr>
            </w:pPr>
            <w:r w:rsidRPr="00066D1D">
              <w:rPr>
                <w:rFonts w:ascii="Arial" w:hAnsi="Arial" w:cs="Arial"/>
                <w:bCs/>
                <w:sz w:val="18"/>
                <w:szCs w:val="18"/>
                <w:lang w:eastAsia="en-US"/>
              </w:rPr>
              <w:t>NS</w:t>
            </w: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Inject</w:t>
            </w:r>
          </w:p>
        </w:tc>
        <w:tc>
          <w:tcPr>
            <w:tcW w:w="585"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 (1.3%)</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517 (32.4%)</w:t>
            </w:r>
          </w:p>
        </w:tc>
        <w:tc>
          <w:tcPr>
            <w:tcW w:w="541"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326 (29.0%)</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540 (30.6%)</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840 (32.5%)</w:t>
            </w:r>
          </w:p>
        </w:tc>
        <w:tc>
          <w:tcPr>
            <w:tcW w:w="796" w:type="pct"/>
            <w:tcBorders>
              <w:top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Smoke</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10 (1.2%)</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980 (61.5%)</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775 (69.0%)</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1208 (68.4%)</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1709 (66.1%)</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Eat or drink</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825 (95.5%)</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0 (0.0%)</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 (0.3%)</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 (0.1%)</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 (0.0%)</w:t>
            </w:r>
          </w:p>
        </w:tc>
        <w:tc>
          <w:tcPr>
            <w:tcW w:w="796" w:type="pct"/>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Other</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 (0.8%)</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 (0.1%)</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 (0.1%)</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 (0.1%)</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 (0.0%)</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Not recorded</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 (1.3%)</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95 (6.0%)</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18 (1.6%)</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16 (0.9%)</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35 (1.4%)</w:t>
            </w:r>
          </w:p>
        </w:tc>
        <w:tc>
          <w:tcPr>
            <w:tcW w:w="796" w:type="pct"/>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4204" w:type="pct"/>
            <w:gridSpan w:val="6"/>
            <w:tcBorders>
              <w:top w:val="nil"/>
            </w:tcBorders>
            <w:shd w:val="clear" w:color="auto" w:fill="D9D9D9"/>
            <w:vAlign w:val="bottom"/>
          </w:tcPr>
          <w:p w:rsidR="003B0DEE" w:rsidRPr="00066D1D" w:rsidRDefault="003B0DEE" w:rsidP="000D5D90">
            <w:pPr>
              <w:spacing w:line="240" w:lineRule="auto"/>
              <w:jc w:val="left"/>
              <w:rPr>
                <w:rFonts w:ascii="Arial" w:hAnsi="Arial" w:cs="Arial"/>
                <w:b/>
                <w:bCs/>
                <w:color w:val="000000"/>
                <w:sz w:val="18"/>
                <w:szCs w:val="18"/>
                <w:lang w:eastAsia="en-US"/>
              </w:rPr>
            </w:pPr>
            <w:r w:rsidRPr="00066D1D">
              <w:rPr>
                <w:rFonts w:ascii="Arial" w:hAnsi="Arial" w:cs="Arial"/>
                <w:b/>
                <w:bCs/>
                <w:color w:val="000000"/>
                <w:sz w:val="18"/>
                <w:szCs w:val="18"/>
                <w:lang w:eastAsia="en-US"/>
              </w:rPr>
              <w:t>Frequency of opioid use in month prior to treatment</w:t>
            </w:r>
          </w:p>
        </w:tc>
        <w:tc>
          <w:tcPr>
            <w:tcW w:w="796" w:type="pct"/>
            <w:tcBorders>
              <w:top w:val="nil"/>
              <w:bottom w:val="nil"/>
            </w:tcBorders>
            <w:shd w:val="clear" w:color="auto" w:fill="D9D9D9"/>
            <w:vAlign w:val="bottom"/>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bCs/>
                <w:color w:val="000000"/>
                <w:sz w:val="18"/>
                <w:szCs w:val="18"/>
                <w:lang w:eastAsia="en-US"/>
              </w:rPr>
              <w:t>453.104 (p&lt;0.001)</w:t>
            </w: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Daily</w:t>
            </w:r>
          </w:p>
        </w:tc>
        <w:tc>
          <w:tcPr>
            <w:tcW w:w="585"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634 (73.4%)</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852 (53.5%)</w:t>
            </w:r>
          </w:p>
        </w:tc>
        <w:tc>
          <w:tcPr>
            <w:tcW w:w="541"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614 (54.7%)</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972 (55.0%)</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1269 (49.1%)</w:t>
            </w:r>
          </w:p>
        </w:tc>
        <w:tc>
          <w:tcPr>
            <w:tcW w:w="796" w:type="pct"/>
            <w:tcBorders>
              <w:top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2-6 days per week</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77 (8.9%)</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219 (13.7%)</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139 (12.4%)</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262 (14.8%)</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bCs/>
                <w:color w:val="000000"/>
                <w:sz w:val="18"/>
                <w:szCs w:val="18"/>
                <w:lang w:eastAsia="en-US"/>
              </w:rPr>
              <w:t>330 (12.8%)</w:t>
            </w:r>
          </w:p>
        </w:tc>
        <w:tc>
          <w:tcPr>
            <w:tcW w:w="796"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Once a week or less</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25 (2.9%)</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69 (4.3%)</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54 (4.8%)</w:t>
            </w:r>
          </w:p>
        </w:tc>
        <w:tc>
          <w:tcPr>
            <w:tcW w:w="627" w:type="pct"/>
            <w:shd w:val="clear" w:color="auto" w:fill="FFFFFF"/>
            <w:vAlign w:val="bottom"/>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87 (4.9%)</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bCs/>
                <w:color w:val="000000"/>
                <w:sz w:val="18"/>
                <w:szCs w:val="18"/>
                <w:lang w:eastAsia="en-US"/>
              </w:rPr>
              <w:t>149 (5.8%)</w:t>
            </w:r>
          </w:p>
        </w:tc>
        <w:tc>
          <w:tcPr>
            <w:tcW w:w="796" w:type="pct"/>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No use in the past month</w:t>
            </w:r>
          </w:p>
        </w:tc>
        <w:tc>
          <w:tcPr>
            <w:tcW w:w="585"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93 (10.8%)</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243 (15.2%)</w:t>
            </w:r>
          </w:p>
        </w:tc>
        <w:tc>
          <w:tcPr>
            <w:tcW w:w="541"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244 (21.7%)</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401 (22.7%)</w:t>
            </w:r>
          </w:p>
        </w:tc>
        <w:tc>
          <w:tcPr>
            <w:tcW w:w="627"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745 (28.8%)</w:t>
            </w:r>
          </w:p>
        </w:tc>
        <w:tc>
          <w:tcPr>
            <w:tcW w:w="796"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sz w:val="18"/>
                <w:szCs w:val="18"/>
                <w:lang w:eastAsia="en-US"/>
              </w:rPr>
              <w:t xml:space="preserve"> Unknown</w:t>
            </w:r>
          </w:p>
        </w:tc>
        <w:tc>
          <w:tcPr>
            <w:tcW w:w="585"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35 (4.1%)</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211 (13.2%)</w:t>
            </w:r>
          </w:p>
        </w:tc>
        <w:tc>
          <w:tcPr>
            <w:tcW w:w="541"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72 (6.4%)</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44 (2.5%)</w:t>
            </w:r>
          </w:p>
        </w:tc>
        <w:tc>
          <w:tcPr>
            <w:tcW w:w="627"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93 (3.6%)</w:t>
            </w:r>
          </w:p>
        </w:tc>
        <w:tc>
          <w:tcPr>
            <w:tcW w:w="796" w:type="pct"/>
            <w:tcBorders>
              <w:top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top w:val="nil"/>
              <w:left w:val="nil"/>
              <w:right w:val="nil"/>
            </w:tcBorders>
            <w:shd w:val="clear" w:color="auto" w:fill="D9D9D9"/>
            <w:vAlign w:val="bottom"/>
          </w:tcPr>
          <w:p w:rsidR="003B0DEE" w:rsidRPr="00066D1D" w:rsidRDefault="003B0DEE" w:rsidP="000D5D90">
            <w:pPr>
              <w:spacing w:line="240" w:lineRule="auto"/>
              <w:rPr>
                <w:rFonts w:ascii="Arial" w:hAnsi="Arial" w:cs="Arial"/>
                <w:b/>
                <w:bCs/>
                <w:color w:val="000000"/>
                <w:sz w:val="18"/>
                <w:szCs w:val="18"/>
                <w:lang w:eastAsia="en-US"/>
              </w:rPr>
            </w:pPr>
            <w:r w:rsidRPr="00066D1D">
              <w:rPr>
                <w:rFonts w:ascii="Arial" w:hAnsi="Arial" w:cs="Arial"/>
                <w:b/>
                <w:bCs/>
                <w:color w:val="000000"/>
                <w:sz w:val="18"/>
                <w:szCs w:val="18"/>
                <w:lang w:eastAsia="en-US"/>
              </w:rPr>
              <w:t>Polysubstance use</w:t>
            </w:r>
          </w:p>
        </w:tc>
        <w:tc>
          <w:tcPr>
            <w:tcW w:w="585" w:type="pct"/>
            <w:tcBorders>
              <w:top w:val="nil"/>
              <w:left w:val="nil"/>
              <w:bottom w:val="nil"/>
              <w:right w:val="nil"/>
            </w:tcBorders>
            <w:shd w:val="clear" w:color="auto" w:fill="D9D9D9"/>
            <w:vAlign w:val="center"/>
          </w:tcPr>
          <w:p w:rsidR="003B0DEE" w:rsidRPr="00066D1D" w:rsidRDefault="003B0DEE" w:rsidP="000D5D90">
            <w:pPr>
              <w:spacing w:line="240" w:lineRule="auto"/>
              <w:jc w:val="right"/>
              <w:rPr>
                <w:rFonts w:ascii="Arial" w:hAnsi="Arial" w:cs="Arial"/>
                <w:color w:val="000000"/>
                <w:sz w:val="18"/>
                <w:szCs w:val="18"/>
                <w:lang w:eastAsia="en-US"/>
              </w:rPr>
            </w:pPr>
          </w:p>
        </w:tc>
        <w:tc>
          <w:tcPr>
            <w:tcW w:w="574" w:type="pct"/>
            <w:tcBorders>
              <w:top w:val="nil"/>
              <w:left w:val="nil"/>
              <w:right w:val="nil"/>
            </w:tcBorders>
            <w:shd w:val="clear" w:color="auto" w:fill="D9D9D9"/>
            <w:vAlign w:val="center"/>
          </w:tcPr>
          <w:p w:rsidR="003B0DEE" w:rsidRPr="00066D1D" w:rsidRDefault="003B0DEE" w:rsidP="000D5D90">
            <w:pPr>
              <w:spacing w:line="240" w:lineRule="auto"/>
              <w:jc w:val="right"/>
              <w:rPr>
                <w:rFonts w:ascii="Arial" w:hAnsi="Arial" w:cs="Arial"/>
                <w:color w:val="000000"/>
                <w:sz w:val="18"/>
                <w:szCs w:val="18"/>
                <w:lang w:eastAsia="en-US"/>
              </w:rPr>
            </w:pPr>
          </w:p>
        </w:tc>
        <w:tc>
          <w:tcPr>
            <w:tcW w:w="541" w:type="pct"/>
            <w:tcBorders>
              <w:top w:val="nil"/>
              <w:left w:val="nil"/>
              <w:bottom w:val="nil"/>
              <w:right w:val="nil"/>
            </w:tcBorders>
            <w:shd w:val="clear" w:color="auto" w:fill="D9D9D9"/>
            <w:vAlign w:val="center"/>
          </w:tcPr>
          <w:p w:rsidR="003B0DEE" w:rsidRPr="00066D1D" w:rsidRDefault="003B0DEE" w:rsidP="000D5D90">
            <w:pPr>
              <w:spacing w:line="240" w:lineRule="auto"/>
              <w:jc w:val="right"/>
              <w:rPr>
                <w:rFonts w:ascii="Arial" w:hAnsi="Arial" w:cs="Arial"/>
                <w:color w:val="000000"/>
                <w:sz w:val="18"/>
                <w:szCs w:val="18"/>
                <w:lang w:eastAsia="en-US"/>
              </w:rPr>
            </w:pPr>
          </w:p>
        </w:tc>
        <w:tc>
          <w:tcPr>
            <w:tcW w:w="627" w:type="pct"/>
            <w:tcBorders>
              <w:top w:val="nil"/>
              <w:left w:val="nil"/>
              <w:right w:val="nil"/>
            </w:tcBorders>
            <w:shd w:val="clear" w:color="auto" w:fill="D9D9D9"/>
            <w:vAlign w:val="center"/>
          </w:tcPr>
          <w:p w:rsidR="003B0DEE" w:rsidRPr="00066D1D" w:rsidRDefault="003B0DEE" w:rsidP="000D5D90">
            <w:pPr>
              <w:spacing w:line="240" w:lineRule="auto"/>
              <w:jc w:val="right"/>
              <w:rPr>
                <w:rFonts w:ascii="Arial" w:hAnsi="Arial" w:cs="Arial"/>
                <w:color w:val="000000"/>
                <w:sz w:val="18"/>
                <w:szCs w:val="18"/>
                <w:lang w:eastAsia="en-US"/>
              </w:rPr>
            </w:pPr>
          </w:p>
        </w:tc>
        <w:tc>
          <w:tcPr>
            <w:tcW w:w="627" w:type="pct"/>
            <w:tcBorders>
              <w:top w:val="nil"/>
              <w:left w:val="nil"/>
              <w:bottom w:val="nil"/>
              <w:right w:val="nil"/>
            </w:tcBorders>
            <w:shd w:val="clear" w:color="auto" w:fill="D9D9D9"/>
            <w:vAlign w:val="center"/>
          </w:tcPr>
          <w:p w:rsidR="003B0DEE" w:rsidRPr="00066D1D" w:rsidRDefault="003B0DEE" w:rsidP="000D5D90">
            <w:pPr>
              <w:spacing w:line="240" w:lineRule="auto"/>
              <w:jc w:val="right"/>
              <w:rPr>
                <w:rFonts w:ascii="Arial" w:hAnsi="Arial" w:cs="Arial"/>
                <w:color w:val="000000"/>
                <w:sz w:val="18"/>
                <w:szCs w:val="18"/>
                <w:lang w:eastAsia="en-US"/>
              </w:rPr>
            </w:pPr>
          </w:p>
        </w:tc>
        <w:tc>
          <w:tcPr>
            <w:tcW w:w="796" w:type="pct"/>
            <w:tcBorders>
              <w:top w:val="nil"/>
              <w:left w:val="nil"/>
              <w:right w:val="nil"/>
            </w:tcBorders>
            <w:shd w:val="clear" w:color="auto" w:fill="D9D9D9"/>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bCs/>
                <w:color w:val="000000"/>
                <w:sz w:val="18"/>
                <w:szCs w:val="18"/>
                <w:lang w:eastAsia="en-US"/>
              </w:rPr>
              <w:t>277.368 (p&lt;0.001)</w:t>
            </w: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Yes</w:t>
            </w:r>
          </w:p>
        </w:tc>
        <w:tc>
          <w:tcPr>
            <w:tcW w:w="585"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342 (39.6%)</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824 (51.7%)</w:t>
            </w:r>
          </w:p>
        </w:tc>
        <w:tc>
          <w:tcPr>
            <w:tcW w:w="541"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687 (61.2%)</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1107 (62.7%)</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1770 (68.4%)</w:t>
            </w:r>
          </w:p>
        </w:tc>
        <w:tc>
          <w:tcPr>
            <w:tcW w:w="796" w:type="pct"/>
            <w:tcBorders>
              <w:top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No</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522 (60.4%)</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770 (48.3%)</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436 (38.8%)</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659 (37.3%)</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816 (31.6%)</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
                <w:color w:val="000000"/>
                <w:sz w:val="18"/>
                <w:szCs w:val="18"/>
                <w:lang w:eastAsia="en-US"/>
              </w:rPr>
            </w:pPr>
          </w:p>
        </w:tc>
      </w:tr>
      <w:tr w:rsidR="003B0DEE" w:rsidRPr="00066D1D" w:rsidTr="000D5D90">
        <w:trPr>
          <w:trHeight w:val="20"/>
        </w:trPr>
        <w:tc>
          <w:tcPr>
            <w:tcW w:w="4204" w:type="pct"/>
            <w:gridSpan w:val="6"/>
            <w:tcBorders>
              <w:top w:val="nil"/>
            </w:tcBorders>
            <w:shd w:val="clear" w:color="auto" w:fill="D9D9D9"/>
            <w:vAlign w:val="bottom"/>
          </w:tcPr>
          <w:p w:rsidR="003B0DEE" w:rsidRPr="00066D1D" w:rsidRDefault="003B0DEE" w:rsidP="000D5D90">
            <w:pPr>
              <w:spacing w:line="240" w:lineRule="auto"/>
              <w:jc w:val="left"/>
              <w:rPr>
                <w:rFonts w:ascii="Arial" w:hAnsi="Arial" w:cs="Arial"/>
                <w:b/>
                <w:bCs/>
                <w:color w:val="000000"/>
                <w:sz w:val="18"/>
                <w:szCs w:val="18"/>
                <w:lang w:eastAsia="en-US"/>
              </w:rPr>
            </w:pPr>
            <w:r w:rsidRPr="00066D1D">
              <w:rPr>
                <w:rFonts w:ascii="Arial" w:hAnsi="Arial" w:cs="Arial"/>
                <w:b/>
                <w:bCs/>
                <w:color w:val="000000"/>
                <w:sz w:val="18"/>
                <w:szCs w:val="18"/>
                <w:lang w:eastAsia="en-US"/>
              </w:rPr>
              <w:t>Number of problem substances</w:t>
            </w:r>
          </w:p>
        </w:tc>
        <w:tc>
          <w:tcPr>
            <w:tcW w:w="796" w:type="pct"/>
            <w:tcBorders>
              <w:top w:val="nil"/>
              <w:bottom w:val="nil"/>
            </w:tcBorders>
            <w:shd w:val="clear" w:color="auto" w:fill="D9D9D9"/>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bCs/>
                <w:color w:val="000000"/>
                <w:sz w:val="18"/>
                <w:szCs w:val="18"/>
                <w:lang w:eastAsia="en-US"/>
              </w:rPr>
              <w:t>336.18 (p&lt;0.001)</w:t>
            </w:r>
          </w:p>
        </w:tc>
      </w:tr>
      <w:tr w:rsidR="003B0DEE" w:rsidRPr="00066D1D" w:rsidTr="000D5D90">
        <w:trPr>
          <w:trHeight w:val="20"/>
        </w:trPr>
        <w:tc>
          <w:tcPr>
            <w:tcW w:w="1250" w:type="pct"/>
            <w:tcBorders>
              <w:top w:val="nil"/>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One substance</w:t>
            </w:r>
          </w:p>
        </w:tc>
        <w:tc>
          <w:tcPr>
            <w:tcW w:w="585"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522 (60.4%)</w:t>
            </w:r>
          </w:p>
        </w:tc>
        <w:tc>
          <w:tcPr>
            <w:tcW w:w="574"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770 (48.3%)</w:t>
            </w:r>
          </w:p>
        </w:tc>
        <w:tc>
          <w:tcPr>
            <w:tcW w:w="541"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436 (38.8%)</w:t>
            </w:r>
          </w:p>
        </w:tc>
        <w:tc>
          <w:tcPr>
            <w:tcW w:w="627"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659 (37.3%)</w:t>
            </w:r>
          </w:p>
        </w:tc>
        <w:tc>
          <w:tcPr>
            <w:tcW w:w="627"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816 (31.6%)</w:t>
            </w:r>
          </w:p>
        </w:tc>
        <w:tc>
          <w:tcPr>
            <w:tcW w:w="796" w:type="pct"/>
            <w:tcBorders>
              <w:top w:val="nil"/>
              <w:left w:val="nil"/>
              <w:right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Two substances</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193 (22.3%)</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426 (26.7%)</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326 (29.0%)</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475 (26.9%)</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698 (27.0%)</w:t>
            </w:r>
          </w:p>
        </w:tc>
        <w:tc>
          <w:tcPr>
            <w:tcW w:w="796" w:type="pct"/>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Three substances</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93 (10.8%)</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251 (15.7%)</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222 (19.8%)</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404 (22.9%)</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633 (24.5%)</w:t>
            </w:r>
          </w:p>
        </w:tc>
        <w:tc>
          <w:tcPr>
            <w:tcW w:w="796" w:type="pct"/>
            <w:tcBorders>
              <w:left w:val="nil"/>
              <w:right w:val="nil"/>
            </w:tcBorders>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Four substances</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56 (6.5%)</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147 (9.2%)</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139 (12.4%)</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228 (12.9%)</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439 (17.0%)</w:t>
            </w:r>
          </w:p>
        </w:tc>
        <w:tc>
          <w:tcPr>
            <w:tcW w:w="796" w:type="pct"/>
            <w:shd w:val="clear" w:color="auto" w:fill="FFFFFF"/>
            <w:vAlign w:val="bottom"/>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4204" w:type="pct"/>
            <w:gridSpan w:val="6"/>
            <w:tcBorders>
              <w:top w:val="nil"/>
            </w:tcBorders>
            <w:shd w:val="clear" w:color="auto" w:fill="D9D9D9"/>
            <w:vAlign w:val="bottom"/>
          </w:tcPr>
          <w:p w:rsidR="003B0DEE" w:rsidRPr="00066D1D" w:rsidRDefault="003B0DEE" w:rsidP="000D5D90">
            <w:pPr>
              <w:spacing w:line="240" w:lineRule="auto"/>
              <w:jc w:val="left"/>
              <w:rPr>
                <w:rFonts w:ascii="Arial" w:hAnsi="Arial" w:cs="Arial"/>
                <w:b/>
                <w:bCs/>
                <w:color w:val="000000"/>
                <w:sz w:val="18"/>
                <w:szCs w:val="18"/>
                <w:lang w:eastAsia="en-US"/>
              </w:rPr>
            </w:pPr>
            <w:r>
              <w:rPr>
                <w:rFonts w:ascii="Arial" w:hAnsi="Arial" w:cs="Arial"/>
                <w:b/>
                <w:bCs/>
                <w:color w:val="000000"/>
                <w:sz w:val="18"/>
                <w:szCs w:val="18"/>
                <w:lang w:eastAsia="en-US"/>
              </w:rPr>
              <w:t>Type of a</w:t>
            </w:r>
            <w:r w:rsidRPr="00066D1D">
              <w:rPr>
                <w:rFonts w:ascii="Arial" w:hAnsi="Arial" w:cs="Arial"/>
                <w:b/>
                <w:bCs/>
                <w:color w:val="000000"/>
                <w:sz w:val="18"/>
                <w:szCs w:val="18"/>
                <w:lang w:eastAsia="en-US"/>
              </w:rPr>
              <w:t>dditional problem substances used</w:t>
            </w:r>
            <w:r w:rsidRPr="00066D1D">
              <w:rPr>
                <w:rFonts w:ascii="Arial" w:hAnsi="Arial" w:cs="Arial"/>
                <w:b/>
                <w:bCs/>
                <w:color w:val="000000"/>
                <w:sz w:val="18"/>
                <w:szCs w:val="18"/>
                <w:vertAlign w:val="superscript"/>
                <w:lang w:eastAsia="en-US"/>
              </w:rPr>
              <w:t>†</w:t>
            </w:r>
          </w:p>
        </w:tc>
        <w:tc>
          <w:tcPr>
            <w:tcW w:w="796" w:type="pct"/>
            <w:tcBorders>
              <w:top w:val="nil"/>
              <w:bottom w:val="nil"/>
            </w:tcBorders>
            <w:shd w:val="clear" w:color="auto" w:fill="D9D9D9"/>
          </w:tcPr>
          <w:p w:rsidR="003B0DEE" w:rsidRPr="00066D1D" w:rsidRDefault="003B0DEE" w:rsidP="000D5D90">
            <w:pPr>
              <w:spacing w:line="240" w:lineRule="auto"/>
              <w:jc w:val="right"/>
              <w:rPr>
                <w:rFonts w:ascii="Arial" w:hAnsi="Arial" w:cs="Arial"/>
                <w:bCs/>
                <w:color w:val="000000"/>
                <w:sz w:val="18"/>
                <w:szCs w:val="18"/>
                <w:lang w:eastAsia="en-US"/>
              </w:rPr>
            </w:pP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Alcohol </w:t>
            </w:r>
          </w:p>
        </w:tc>
        <w:tc>
          <w:tcPr>
            <w:tcW w:w="585"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127 (37.1%)</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196 (23.8%)</w:t>
            </w:r>
          </w:p>
        </w:tc>
        <w:tc>
          <w:tcPr>
            <w:tcW w:w="541"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183 (26.6%)</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249 (22.5%)</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364 (20.6%)</w:t>
            </w:r>
          </w:p>
        </w:tc>
        <w:tc>
          <w:tcPr>
            <w:tcW w:w="796" w:type="pct"/>
            <w:tcBorders>
              <w:top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NS</w:t>
            </w: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Amphetamines</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 (1.8%)</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23 (2.8%)</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17 (2.5%)</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 (2.2%)</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35 (2.0%)</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NS</w:t>
            </w: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Benzodiazepines</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121 (35.4%)</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285 (34.6%)</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252 (36.7%)</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464 (41.9%)</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799 (45.1%)</w:t>
            </w:r>
          </w:p>
        </w:tc>
        <w:tc>
          <w:tcPr>
            <w:tcW w:w="796" w:type="pct"/>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148.065 (p&lt;0.001)</w:t>
            </w: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Cannabis</w:t>
            </w:r>
          </w:p>
        </w:tc>
        <w:tc>
          <w:tcPr>
            <w:tcW w:w="585"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83 (24.3%)</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404 (49.0%)</w:t>
            </w:r>
          </w:p>
        </w:tc>
        <w:tc>
          <w:tcPr>
            <w:tcW w:w="541"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304 (44.3%)</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561 (50.7%)</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969 (54.7%)</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262.897 (p&lt;0.001)</w:t>
            </w:r>
          </w:p>
        </w:tc>
      </w:tr>
      <w:tr w:rsidR="003B0DEE" w:rsidRPr="00066D1D" w:rsidTr="000D5D90">
        <w:trPr>
          <w:trHeight w:val="20"/>
        </w:trPr>
        <w:tc>
          <w:tcPr>
            <w:tcW w:w="1250" w:type="pct"/>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Cocaine</w:t>
            </w:r>
          </w:p>
        </w:tc>
        <w:tc>
          <w:tcPr>
            <w:tcW w:w="5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42 (12.3%)</w:t>
            </w:r>
          </w:p>
        </w:tc>
        <w:tc>
          <w:tcPr>
            <w:tcW w:w="574"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234 (28.4%)</w:t>
            </w:r>
          </w:p>
        </w:tc>
        <w:tc>
          <w:tcPr>
            <w:tcW w:w="541"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194 (28.2%)</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311 (28.1%)</w:t>
            </w:r>
          </w:p>
        </w:tc>
        <w:tc>
          <w:tcPr>
            <w:tcW w:w="627"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552 (31.2%)</w:t>
            </w:r>
          </w:p>
        </w:tc>
        <w:tc>
          <w:tcPr>
            <w:tcW w:w="796" w:type="pct"/>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119.574 (p&lt;0.001)</w:t>
            </w:r>
          </w:p>
        </w:tc>
      </w:tr>
      <w:tr w:rsidR="003B0DEE" w:rsidRPr="00066D1D" w:rsidTr="000D5D90">
        <w:trPr>
          <w:trHeight w:val="20"/>
        </w:trPr>
        <w:tc>
          <w:tcPr>
            <w:tcW w:w="1250" w:type="pct"/>
            <w:tcBorders>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Ecstasy</w:t>
            </w:r>
          </w:p>
        </w:tc>
        <w:tc>
          <w:tcPr>
            <w:tcW w:w="585"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12 (3.5%)</w:t>
            </w:r>
          </w:p>
        </w:tc>
        <w:tc>
          <w:tcPr>
            <w:tcW w:w="574"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48 (5.8%)</w:t>
            </w:r>
          </w:p>
        </w:tc>
        <w:tc>
          <w:tcPr>
            <w:tcW w:w="541"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51 (7.4%)</w:t>
            </w:r>
          </w:p>
        </w:tc>
        <w:tc>
          <w:tcPr>
            <w:tcW w:w="627" w:type="pct"/>
            <w:tcBorders>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84 (7.6%)</w:t>
            </w:r>
          </w:p>
        </w:tc>
        <w:tc>
          <w:tcPr>
            <w:tcW w:w="627" w:type="pct"/>
            <w:tcBorders>
              <w:left w:val="nil"/>
              <w:bottom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152 (8.6%)</w:t>
            </w:r>
          </w:p>
        </w:tc>
        <w:tc>
          <w:tcPr>
            <w:tcW w:w="796" w:type="pct"/>
            <w:tcBorders>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40.157 (p&lt;0.001)</w:t>
            </w:r>
          </w:p>
        </w:tc>
      </w:tr>
      <w:tr w:rsidR="003B0DEE" w:rsidRPr="00066D1D" w:rsidTr="000D5D90">
        <w:trPr>
          <w:trHeight w:val="20"/>
        </w:trPr>
        <w:tc>
          <w:tcPr>
            <w:tcW w:w="1250" w:type="pct"/>
            <w:tcBorders>
              <w:top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 Opioids</w:t>
            </w:r>
            <w:r w:rsidRPr="00066D1D">
              <w:rPr>
                <w:rFonts w:ascii="Arial" w:hAnsi="Arial" w:cs="Arial"/>
                <w:bCs/>
                <w:color w:val="000000"/>
                <w:sz w:val="18"/>
                <w:szCs w:val="18"/>
                <w:vertAlign w:val="superscript"/>
                <w:lang w:eastAsia="en-US"/>
              </w:rPr>
              <w:t>‡</w:t>
            </w:r>
          </w:p>
        </w:tc>
        <w:tc>
          <w:tcPr>
            <w:tcW w:w="585"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107 (31.3%)</w:t>
            </w:r>
          </w:p>
        </w:tc>
        <w:tc>
          <w:tcPr>
            <w:tcW w:w="574"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116 (14.1%)</w:t>
            </w:r>
          </w:p>
        </w:tc>
        <w:tc>
          <w:tcPr>
            <w:tcW w:w="541"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118 (17.2%)</w:t>
            </w:r>
          </w:p>
        </w:tc>
        <w:tc>
          <w:tcPr>
            <w:tcW w:w="627" w:type="pct"/>
            <w:tcBorders>
              <w:top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173 (15.6%)</w:t>
            </w:r>
          </w:p>
        </w:tc>
        <w:tc>
          <w:tcPr>
            <w:tcW w:w="627" w:type="pct"/>
            <w:tcBorders>
              <w:top w:val="nil"/>
              <w:bottom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243 (13.7%)</w:t>
            </w:r>
          </w:p>
        </w:tc>
        <w:tc>
          <w:tcPr>
            <w:tcW w:w="796" w:type="pct"/>
            <w:tcBorders>
              <w:top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15.415 (p&lt;0.001)</w:t>
            </w:r>
          </w:p>
        </w:tc>
      </w:tr>
      <w:tr w:rsidR="003B0DEE" w:rsidRPr="00066D1D" w:rsidTr="000D5D90">
        <w:trPr>
          <w:trHeight w:val="20"/>
        </w:trPr>
        <w:tc>
          <w:tcPr>
            <w:tcW w:w="1250" w:type="pct"/>
            <w:tcBorders>
              <w:top w:val="nil"/>
              <w:left w:val="nil"/>
              <w:right w:val="nil"/>
            </w:tcBorders>
            <w:shd w:val="clear" w:color="auto" w:fill="FFFFFF"/>
            <w:vAlign w:val="bottom"/>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
                <w:bCs/>
                <w:color w:val="000000"/>
                <w:sz w:val="18"/>
                <w:szCs w:val="18"/>
                <w:lang w:eastAsia="en-US"/>
              </w:rPr>
              <w:t xml:space="preserve"> </w:t>
            </w:r>
            <w:r w:rsidRPr="00066D1D">
              <w:rPr>
                <w:rFonts w:ascii="Arial" w:hAnsi="Arial" w:cs="Arial"/>
                <w:bCs/>
                <w:color w:val="000000"/>
                <w:sz w:val="18"/>
                <w:szCs w:val="18"/>
                <w:lang w:eastAsia="en-US"/>
              </w:rPr>
              <w:t>Other substances</w:t>
            </w:r>
          </w:p>
        </w:tc>
        <w:tc>
          <w:tcPr>
            <w:tcW w:w="585"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49 (14.4)</w:t>
            </w:r>
          </w:p>
        </w:tc>
        <w:tc>
          <w:tcPr>
            <w:tcW w:w="574"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63 (7.7%)</w:t>
            </w:r>
          </w:p>
        </w:tc>
        <w:tc>
          <w:tcPr>
            <w:tcW w:w="541"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68 (9.9%)</w:t>
            </w:r>
          </w:p>
        </w:tc>
        <w:tc>
          <w:tcPr>
            <w:tcW w:w="627"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101 (9.2%)</w:t>
            </w:r>
          </w:p>
        </w:tc>
        <w:tc>
          <w:tcPr>
            <w:tcW w:w="627" w:type="pct"/>
            <w:tcBorders>
              <w:top w:val="nil"/>
              <w:left w:val="nil"/>
              <w:right w:val="nil"/>
            </w:tcBorders>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167 (9.4%)</w:t>
            </w:r>
          </w:p>
        </w:tc>
        <w:tc>
          <w:tcPr>
            <w:tcW w:w="796" w:type="pct"/>
            <w:tcBorders>
              <w:top w:val="nil"/>
              <w:left w:val="nil"/>
              <w:right w:val="nil"/>
            </w:tcBorders>
            <w:shd w:val="clear" w:color="auto" w:fill="FFFFFF"/>
          </w:tcPr>
          <w:p w:rsidR="003B0DEE" w:rsidRPr="00066D1D" w:rsidRDefault="003B0DEE" w:rsidP="000D5D90">
            <w:pPr>
              <w:spacing w:line="240" w:lineRule="auto"/>
              <w:jc w:val="right"/>
              <w:rPr>
                <w:rFonts w:ascii="Arial" w:hAnsi="Arial" w:cs="Arial"/>
                <w:bCs/>
                <w:color w:val="000000"/>
                <w:sz w:val="18"/>
                <w:szCs w:val="18"/>
                <w:lang w:eastAsia="en-US"/>
              </w:rPr>
            </w:pPr>
            <w:r w:rsidRPr="00066D1D">
              <w:rPr>
                <w:rFonts w:ascii="Arial" w:hAnsi="Arial" w:cs="Arial"/>
                <w:color w:val="000000"/>
                <w:sz w:val="18"/>
                <w:szCs w:val="18"/>
                <w:lang w:eastAsia="en-US"/>
              </w:rPr>
              <w:t>NS</w:t>
            </w:r>
          </w:p>
        </w:tc>
      </w:tr>
    </w:tbl>
    <w:p w:rsidR="003B0DEE" w:rsidRPr="008051E8" w:rsidRDefault="003B0DEE" w:rsidP="000D5D90">
      <w:pPr>
        <w:spacing w:line="276" w:lineRule="auto"/>
        <w:jc w:val="left"/>
        <w:rPr>
          <w:rFonts w:ascii="Arial" w:hAnsi="Arial" w:cs="Arial"/>
          <w:color w:val="000000"/>
          <w:sz w:val="18"/>
          <w:szCs w:val="18"/>
        </w:rPr>
      </w:pPr>
      <w:r w:rsidRPr="008051E8">
        <w:rPr>
          <w:rFonts w:ascii="Arial" w:hAnsi="Arial" w:cs="Arial"/>
          <w:color w:val="000000"/>
          <w:sz w:val="18"/>
          <w:szCs w:val="18"/>
        </w:rPr>
        <w:t xml:space="preserve">* </w:t>
      </w:r>
      <w:r w:rsidRPr="008051E8">
        <w:rPr>
          <w:rFonts w:ascii="Arial" w:hAnsi="Arial" w:cs="Arial"/>
          <w:sz w:val="18"/>
          <w:szCs w:val="18"/>
        </w:rPr>
        <w:t>Age range presented is the 5</w:t>
      </w:r>
      <w:r w:rsidRPr="008051E8">
        <w:rPr>
          <w:rFonts w:ascii="Arial" w:hAnsi="Arial" w:cs="Arial"/>
          <w:sz w:val="18"/>
          <w:szCs w:val="18"/>
          <w:vertAlign w:val="superscript"/>
        </w:rPr>
        <w:t>th</w:t>
      </w:r>
      <w:r w:rsidRPr="008051E8">
        <w:rPr>
          <w:rFonts w:ascii="Arial" w:hAnsi="Arial" w:cs="Arial"/>
          <w:sz w:val="18"/>
          <w:szCs w:val="18"/>
        </w:rPr>
        <w:t xml:space="preserve"> and 95</w:t>
      </w:r>
      <w:r w:rsidRPr="008051E8">
        <w:rPr>
          <w:rFonts w:ascii="Arial" w:hAnsi="Arial" w:cs="Arial"/>
          <w:sz w:val="18"/>
          <w:szCs w:val="18"/>
          <w:vertAlign w:val="superscript"/>
        </w:rPr>
        <w:t>th</w:t>
      </w:r>
      <w:r w:rsidRPr="008051E8">
        <w:rPr>
          <w:rFonts w:ascii="Arial" w:hAnsi="Arial" w:cs="Arial"/>
          <w:sz w:val="18"/>
          <w:szCs w:val="18"/>
        </w:rPr>
        <w:t xml:space="preserve"> percentile</w:t>
      </w:r>
      <w:r w:rsidR="000D5D90" w:rsidRPr="008051E8">
        <w:rPr>
          <w:rFonts w:ascii="Arial" w:hAnsi="Arial" w:cs="Arial"/>
          <w:sz w:val="18"/>
          <w:szCs w:val="18"/>
        </w:rPr>
        <w:t>.</w:t>
      </w:r>
    </w:p>
    <w:p w:rsidR="003B0DEE" w:rsidRPr="008051E8" w:rsidRDefault="003B0DEE" w:rsidP="000D5D90">
      <w:pPr>
        <w:spacing w:line="276" w:lineRule="auto"/>
        <w:jc w:val="left"/>
        <w:rPr>
          <w:rFonts w:ascii="Arial" w:hAnsi="Arial" w:cs="Arial"/>
          <w:color w:val="000000"/>
          <w:sz w:val="18"/>
          <w:szCs w:val="22"/>
        </w:rPr>
      </w:pPr>
      <w:r w:rsidRPr="008051E8">
        <w:rPr>
          <w:rFonts w:ascii="Arial" w:hAnsi="Arial" w:cs="Arial"/>
          <w:color w:val="000000"/>
          <w:sz w:val="18"/>
          <w:szCs w:val="22"/>
        </w:rPr>
        <w:t xml:space="preserve">† By cases reporting use of one, two or three additional substances.  </w:t>
      </w:r>
    </w:p>
    <w:p w:rsidR="003B0DEE" w:rsidRPr="008051E8" w:rsidRDefault="003B0DEE" w:rsidP="000D5D90">
      <w:pPr>
        <w:spacing w:line="276" w:lineRule="auto"/>
        <w:jc w:val="left"/>
        <w:rPr>
          <w:rFonts w:ascii="Arial" w:hAnsi="Arial" w:cs="Arial"/>
          <w:color w:val="000000"/>
          <w:sz w:val="18"/>
          <w:szCs w:val="22"/>
        </w:rPr>
        <w:sectPr w:rsidR="003B0DEE" w:rsidRPr="008051E8" w:rsidSect="000D5D90">
          <w:pgSz w:w="16840" w:h="11907" w:orient="landscape" w:code="9"/>
          <w:pgMar w:top="1985" w:right="1134" w:bottom="1134" w:left="1134" w:header="709" w:footer="709" w:gutter="0"/>
          <w:cols w:space="708"/>
          <w:docGrid w:linePitch="360"/>
        </w:sectPr>
      </w:pPr>
      <w:r w:rsidRPr="008051E8">
        <w:rPr>
          <w:rFonts w:ascii="Arial" w:hAnsi="Arial" w:cs="Arial"/>
          <w:color w:val="000000"/>
          <w:sz w:val="18"/>
          <w:szCs w:val="22"/>
        </w:rPr>
        <w:t>‡ Cases may report one type of opioid as their main problem substance and another type of opioid as an additional problem substance.</w:t>
      </w:r>
    </w:p>
    <w:p w:rsidR="003B0DEE" w:rsidRPr="005C08E6" w:rsidRDefault="003B0DEE" w:rsidP="000D5D90">
      <w:pPr>
        <w:pStyle w:val="Caption"/>
        <w:spacing w:line="240" w:lineRule="auto"/>
        <w:rPr>
          <w:b w:val="0"/>
        </w:rPr>
      </w:pPr>
      <w:bookmarkStart w:id="92" w:name="_Toc15332001"/>
      <w:r>
        <w:lastRenderedPageBreak/>
        <w:t xml:space="preserve">Table </w:t>
      </w:r>
      <w:fldSimple w:instr=" STYLEREF 1 \s ">
        <w:r>
          <w:rPr>
            <w:noProof/>
          </w:rPr>
          <w:t>5</w:t>
        </w:r>
      </w:fldSimple>
      <w:r>
        <w:noBreakHyphen/>
      </w:r>
      <w:fldSimple w:instr=" SEQ Table \* ARABIC \s 1 ">
        <w:r>
          <w:rPr>
            <w:noProof/>
          </w:rPr>
          <w:t>4</w:t>
        </w:r>
      </w:fldSimple>
      <w:r>
        <w:t xml:space="preserve">  </w:t>
      </w:r>
      <w:r w:rsidRPr="005C08E6">
        <w:rPr>
          <w:b w:val="0"/>
        </w:rPr>
        <w:t xml:space="preserve">Change in opioid-using durations of first-time opioid treatment entrants, </w:t>
      </w:r>
      <w:r>
        <w:rPr>
          <w:b w:val="0"/>
        </w:rPr>
        <w:t>2009–2015</w:t>
      </w:r>
      <w:bookmarkEnd w:id="92"/>
    </w:p>
    <w:tbl>
      <w:tblPr>
        <w:tblW w:w="5000" w:type="pct"/>
        <w:tblLook w:val="04A0" w:firstRow="1" w:lastRow="0" w:firstColumn="1" w:lastColumn="0" w:noHBand="0" w:noVBand="1"/>
      </w:tblPr>
      <w:tblGrid>
        <w:gridCol w:w="2510"/>
        <w:gridCol w:w="552"/>
        <w:gridCol w:w="603"/>
        <w:gridCol w:w="1151"/>
        <w:gridCol w:w="1148"/>
        <w:gridCol w:w="1151"/>
        <w:gridCol w:w="1139"/>
        <w:gridCol w:w="1219"/>
        <w:gridCol w:w="1319"/>
        <w:gridCol w:w="1322"/>
        <w:gridCol w:w="1319"/>
        <w:gridCol w:w="1355"/>
      </w:tblGrid>
      <w:tr w:rsidR="003B0DEE" w:rsidRPr="00066D1D" w:rsidTr="000D5D90">
        <w:trPr>
          <w:trHeight w:val="20"/>
        </w:trPr>
        <w:tc>
          <w:tcPr>
            <w:tcW w:w="849" w:type="pct"/>
            <w:tcBorders>
              <w:top w:val="single" w:sz="8" w:space="0" w:color="000000"/>
              <w:bottom w:val="single" w:sz="8" w:space="0" w:color="000000"/>
            </w:tcBorders>
            <w:shd w:val="clear" w:color="auto" w:fill="auto"/>
          </w:tcPr>
          <w:p w:rsidR="003B0DEE" w:rsidRPr="00066D1D" w:rsidRDefault="003B0DEE" w:rsidP="000D5D90">
            <w:pPr>
              <w:spacing w:line="240" w:lineRule="auto"/>
              <w:jc w:val="center"/>
              <w:rPr>
                <w:rFonts w:ascii="Arial" w:hAnsi="Arial" w:cs="Arial"/>
                <w:b/>
                <w:bCs/>
                <w:color w:val="000000"/>
                <w:sz w:val="18"/>
                <w:szCs w:val="18"/>
                <w:lang w:eastAsia="en-US"/>
              </w:rPr>
            </w:pPr>
          </w:p>
        </w:tc>
        <w:tc>
          <w:tcPr>
            <w:tcW w:w="4151" w:type="pct"/>
            <w:gridSpan w:val="11"/>
            <w:tcBorders>
              <w:top w:val="single" w:sz="8" w:space="0" w:color="000000"/>
              <w:bottom w:val="single" w:sz="8" w:space="0" w:color="000000"/>
            </w:tcBorders>
            <w:shd w:val="clear" w:color="auto" w:fill="auto"/>
          </w:tcPr>
          <w:p w:rsidR="003B0DEE" w:rsidRPr="00066D1D" w:rsidRDefault="003B0DEE" w:rsidP="000D5D90">
            <w:pPr>
              <w:spacing w:line="240" w:lineRule="auto"/>
              <w:jc w:val="center"/>
              <w:rPr>
                <w:rFonts w:ascii="Arial" w:hAnsi="Arial" w:cs="Arial"/>
                <w:b/>
                <w:bCs/>
                <w:color w:val="000000"/>
                <w:sz w:val="18"/>
                <w:szCs w:val="18"/>
                <w:lang w:eastAsia="en-US"/>
              </w:rPr>
            </w:pPr>
            <w:r w:rsidRPr="00066D1D">
              <w:rPr>
                <w:rFonts w:ascii="Arial" w:hAnsi="Arial" w:cs="Arial"/>
                <w:b/>
                <w:bCs/>
                <w:color w:val="000000"/>
                <w:sz w:val="18"/>
                <w:szCs w:val="18"/>
                <w:lang w:eastAsia="en-US"/>
              </w:rPr>
              <w:t>Cluster</w:t>
            </w:r>
          </w:p>
        </w:tc>
      </w:tr>
      <w:tr w:rsidR="003B0DEE" w:rsidRPr="00066D1D" w:rsidTr="000D5D90">
        <w:trPr>
          <w:trHeight w:val="20"/>
        </w:trPr>
        <w:tc>
          <w:tcPr>
            <w:tcW w:w="849" w:type="pct"/>
            <w:tcBorders>
              <w:top w:val="single" w:sz="8" w:space="0" w:color="000000"/>
            </w:tcBorders>
            <w:shd w:val="clear" w:color="auto" w:fill="FFFFFF"/>
          </w:tcPr>
          <w:p w:rsidR="003B0DEE" w:rsidRPr="00066D1D" w:rsidRDefault="003B0DEE" w:rsidP="000D5D90">
            <w:pPr>
              <w:spacing w:line="240" w:lineRule="auto"/>
              <w:rPr>
                <w:rFonts w:ascii="Arial" w:hAnsi="Arial" w:cs="Arial"/>
                <w:b/>
                <w:bCs/>
                <w:color w:val="000000"/>
                <w:sz w:val="18"/>
                <w:szCs w:val="18"/>
                <w:lang w:eastAsia="en-US"/>
              </w:rPr>
            </w:pPr>
          </w:p>
        </w:tc>
        <w:tc>
          <w:tcPr>
            <w:tcW w:w="780" w:type="pct"/>
            <w:gridSpan w:val="3"/>
            <w:tcBorders>
              <w:top w:val="single" w:sz="8" w:space="0" w:color="000000"/>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bCs/>
                <w:color w:val="000000"/>
                <w:sz w:val="18"/>
                <w:szCs w:val="18"/>
                <w:lang w:eastAsia="en-US"/>
              </w:rPr>
              <w:t>Cluster</w:t>
            </w:r>
            <w:r w:rsidRPr="00066D1D">
              <w:rPr>
                <w:rFonts w:ascii="Arial" w:hAnsi="Arial" w:cs="Arial"/>
                <w:b/>
                <w:color w:val="000000"/>
                <w:sz w:val="18"/>
                <w:szCs w:val="18"/>
                <w:lang w:eastAsia="en-US"/>
              </w:rPr>
              <w:t xml:space="preserve"> 1</w:t>
            </w:r>
          </w:p>
        </w:tc>
        <w:tc>
          <w:tcPr>
            <w:tcW w:w="777" w:type="pct"/>
            <w:gridSpan w:val="2"/>
            <w:tcBorders>
              <w:top w:val="single" w:sz="8" w:space="0" w:color="000000"/>
            </w:tcBorders>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bCs/>
                <w:color w:val="000000"/>
                <w:sz w:val="18"/>
                <w:szCs w:val="18"/>
                <w:lang w:eastAsia="en-US"/>
              </w:rPr>
              <w:t>Cluster</w:t>
            </w:r>
            <w:r w:rsidRPr="00066D1D">
              <w:rPr>
                <w:rFonts w:ascii="Arial" w:hAnsi="Arial" w:cs="Arial"/>
                <w:b/>
                <w:color w:val="000000"/>
                <w:sz w:val="18"/>
                <w:szCs w:val="18"/>
                <w:lang w:eastAsia="en-US"/>
              </w:rPr>
              <w:t xml:space="preserve"> 2 </w:t>
            </w:r>
          </w:p>
        </w:tc>
        <w:tc>
          <w:tcPr>
            <w:tcW w:w="797" w:type="pct"/>
            <w:gridSpan w:val="2"/>
            <w:tcBorders>
              <w:top w:val="single" w:sz="8" w:space="0" w:color="000000"/>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bCs/>
                <w:color w:val="000000"/>
                <w:sz w:val="18"/>
                <w:szCs w:val="18"/>
                <w:lang w:eastAsia="en-US"/>
              </w:rPr>
              <w:t>Cluster</w:t>
            </w:r>
            <w:r w:rsidRPr="00066D1D">
              <w:rPr>
                <w:rFonts w:ascii="Arial" w:hAnsi="Arial" w:cs="Arial"/>
                <w:b/>
                <w:color w:val="000000"/>
                <w:sz w:val="18"/>
                <w:szCs w:val="18"/>
                <w:lang w:eastAsia="en-US"/>
              </w:rPr>
              <w:t xml:space="preserve"> 3</w:t>
            </w:r>
          </w:p>
        </w:tc>
        <w:tc>
          <w:tcPr>
            <w:tcW w:w="893" w:type="pct"/>
            <w:gridSpan w:val="2"/>
            <w:tcBorders>
              <w:top w:val="single" w:sz="8" w:space="0" w:color="000000"/>
            </w:tcBorders>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bCs/>
                <w:color w:val="000000"/>
                <w:sz w:val="18"/>
                <w:szCs w:val="18"/>
                <w:lang w:eastAsia="en-US"/>
              </w:rPr>
              <w:t>Cluster</w:t>
            </w:r>
            <w:r w:rsidRPr="00066D1D">
              <w:rPr>
                <w:rFonts w:ascii="Arial" w:hAnsi="Arial" w:cs="Arial"/>
                <w:b/>
                <w:color w:val="000000"/>
                <w:sz w:val="18"/>
                <w:szCs w:val="18"/>
                <w:lang w:eastAsia="en-US"/>
              </w:rPr>
              <w:t xml:space="preserve"> 4</w:t>
            </w:r>
          </w:p>
        </w:tc>
        <w:tc>
          <w:tcPr>
            <w:tcW w:w="904" w:type="pct"/>
            <w:gridSpan w:val="2"/>
            <w:tcBorders>
              <w:top w:val="single" w:sz="8" w:space="0" w:color="000000"/>
            </w:tcBorders>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bCs/>
                <w:color w:val="000000"/>
                <w:sz w:val="18"/>
                <w:szCs w:val="18"/>
                <w:lang w:eastAsia="en-US"/>
              </w:rPr>
              <w:t>Cluster</w:t>
            </w:r>
            <w:r w:rsidRPr="00066D1D">
              <w:rPr>
                <w:rFonts w:ascii="Arial" w:hAnsi="Arial" w:cs="Arial"/>
                <w:b/>
                <w:color w:val="000000"/>
                <w:sz w:val="18"/>
                <w:szCs w:val="18"/>
                <w:lang w:eastAsia="en-US"/>
              </w:rPr>
              <w:t xml:space="preserve"> 5</w:t>
            </w:r>
          </w:p>
        </w:tc>
      </w:tr>
      <w:tr w:rsidR="003B0DEE" w:rsidRPr="00066D1D" w:rsidTr="000D5D90">
        <w:trPr>
          <w:trHeight w:val="20"/>
        </w:trPr>
        <w:tc>
          <w:tcPr>
            <w:tcW w:w="849" w:type="pct"/>
            <w:shd w:val="clear" w:color="auto" w:fill="FFFFFF"/>
          </w:tcPr>
          <w:p w:rsidR="003B0DEE" w:rsidRPr="00066D1D" w:rsidRDefault="003B0DEE" w:rsidP="000D5D90">
            <w:pPr>
              <w:spacing w:line="240" w:lineRule="auto"/>
              <w:rPr>
                <w:rFonts w:ascii="Arial" w:hAnsi="Arial" w:cs="Arial"/>
                <w:b/>
                <w:bCs/>
                <w:color w:val="000000"/>
                <w:sz w:val="18"/>
                <w:szCs w:val="18"/>
                <w:lang w:eastAsia="en-US"/>
              </w:rPr>
            </w:pPr>
            <w:r w:rsidRPr="00066D1D">
              <w:rPr>
                <w:rFonts w:ascii="Arial" w:hAnsi="Arial" w:cs="Arial"/>
                <w:b/>
                <w:bCs/>
                <w:sz w:val="18"/>
                <w:szCs w:val="18"/>
                <w:lang w:eastAsia="en-US"/>
              </w:rPr>
              <w:t>Year treated</w:t>
            </w:r>
          </w:p>
        </w:tc>
        <w:tc>
          <w:tcPr>
            <w:tcW w:w="391" w:type="pct"/>
            <w:gridSpan w:val="2"/>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2009</w:t>
            </w:r>
          </w:p>
        </w:tc>
        <w:tc>
          <w:tcPr>
            <w:tcW w:w="389" w:type="pct"/>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2015</w:t>
            </w:r>
          </w:p>
        </w:tc>
        <w:tc>
          <w:tcPr>
            <w:tcW w:w="388" w:type="pct"/>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2009</w:t>
            </w:r>
          </w:p>
        </w:tc>
        <w:tc>
          <w:tcPr>
            <w:tcW w:w="389" w:type="pct"/>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2015</w:t>
            </w:r>
          </w:p>
        </w:tc>
        <w:tc>
          <w:tcPr>
            <w:tcW w:w="385" w:type="pct"/>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2009</w:t>
            </w:r>
          </w:p>
        </w:tc>
        <w:tc>
          <w:tcPr>
            <w:tcW w:w="412" w:type="pct"/>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2015</w:t>
            </w:r>
          </w:p>
        </w:tc>
        <w:tc>
          <w:tcPr>
            <w:tcW w:w="446" w:type="pct"/>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2009</w:t>
            </w:r>
          </w:p>
        </w:tc>
        <w:tc>
          <w:tcPr>
            <w:tcW w:w="447" w:type="pct"/>
            <w:shd w:val="pct5"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2015</w:t>
            </w:r>
          </w:p>
        </w:tc>
        <w:tc>
          <w:tcPr>
            <w:tcW w:w="446" w:type="pct"/>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2009</w:t>
            </w:r>
          </w:p>
        </w:tc>
        <w:tc>
          <w:tcPr>
            <w:tcW w:w="458" w:type="pct"/>
            <w:shd w:val="clear" w:color="auto" w:fill="FFFFFF"/>
          </w:tcPr>
          <w:p w:rsidR="003B0DEE" w:rsidRPr="00066D1D" w:rsidRDefault="003B0DEE" w:rsidP="000D5D90">
            <w:pPr>
              <w:spacing w:line="240" w:lineRule="auto"/>
              <w:jc w:val="center"/>
              <w:rPr>
                <w:rFonts w:ascii="Arial" w:hAnsi="Arial" w:cs="Arial"/>
                <w:b/>
                <w:color w:val="000000"/>
                <w:sz w:val="18"/>
                <w:szCs w:val="18"/>
                <w:lang w:eastAsia="en-US"/>
              </w:rPr>
            </w:pPr>
            <w:r w:rsidRPr="00066D1D">
              <w:rPr>
                <w:rFonts w:ascii="Arial" w:hAnsi="Arial" w:cs="Arial"/>
                <w:b/>
                <w:color w:val="000000"/>
                <w:sz w:val="18"/>
                <w:szCs w:val="18"/>
                <w:lang w:eastAsia="en-US"/>
              </w:rPr>
              <w:t>2015</w:t>
            </w:r>
          </w:p>
        </w:tc>
      </w:tr>
      <w:tr w:rsidR="003B0DEE" w:rsidRPr="00066D1D" w:rsidTr="000D5D90">
        <w:trPr>
          <w:trHeight w:val="20"/>
        </w:trPr>
        <w:tc>
          <w:tcPr>
            <w:tcW w:w="849" w:type="pct"/>
            <w:shd w:val="clear" w:color="auto" w:fill="FFFFFF"/>
          </w:tcPr>
          <w:p w:rsidR="003B0DEE" w:rsidRPr="00066D1D" w:rsidRDefault="003B0DEE" w:rsidP="000D5D90">
            <w:pPr>
              <w:spacing w:line="240" w:lineRule="auto"/>
              <w:jc w:val="left"/>
              <w:rPr>
                <w:rFonts w:ascii="Arial" w:hAnsi="Arial" w:cs="Arial"/>
                <w:bCs/>
                <w:color w:val="000000"/>
                <w:sz w:val="18"/>
                <w:szCs w:val="18"/>
                <w:lang w:eastAsia="en-US"/>
              </w:rPr>
            </w:pPr>
            <w:r w:rsidRPr="00066D1D">
              <w:rPr>
                <w:rFonts w:ascii="Arial" w:hAnsi="Arial" w:cs="Arial"/>
                <w:bCs/>
                <w:color w:val="000000"/>
                <w:sz w:val="18"/>
                <w:szCs w:val="18"/>
                <w:lang w:eastAsia="en-US"/>
              </w:rPr>
              <w:t>Number of first-time opioid treatment entrants</w:t>
            </w:r>
          </w:p>
        </w:tc>
        <w:tc>
          <w:tcPr>
            <w:tcW w:w="391" w:type="pct"/>
            <w:gridSpan w:val="2"/>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103</w:t>
            </w:r>
          </w:p>
        </w:tc>
        <w:tc>
          <w:tcPr>
            <w:tcW w:w="389"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156</w:t>
            </w:r>
          </w:p>
        </w:tc>
        <w:tc>
          <w:tcPr>
            <w:tcW w:w="388" w:type="pct"/>
            <w:shd w:val="pct5"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245</w:t>
            </w:r>
          </w:p>
        </w:tc>
        <w:tc>
          <w:tcPr>
            <w:tcW w:w="389" w:type="pct"/>
            <w:shd w:val="pct5"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207</w:t>
            </w:r>
          </w:p>
        </w:tc>
        <w:tc>
          <w:tcPr>
            <w:tcW w:w="385"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224</w:t>
            </w:r>
          </w:p>
        </w:tc>
        <w:tc>
          <w:tcPr>
            <w:tcW w:w="412"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145</w:t>
            </w:r>
          </w:p>
        </w:tc>
        <w:tc>
          <w:tcPr>
            <w:tcW w:w="446" w:type="pct"/>
            <w:shd w:val="pct5"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360</w:t>
            </w:r>
          </w:p>
        </w:tc>
        <w:tc>
          <w:tcPr>
            <w:tcW w:w="447" w:type="pct"/>
            <w:shd w:val="pct5"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175</w:t>
            </w:r>
          </w:p>
        </w:tc>
        <w:tc>
          <w:tcPr>
            <w:tcW w:w="446"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557</w:t>
            </w:r>
          </w:p>
        </w:tc>
        <w:tc>
          <w:tcPr>
            <w:tcW w:w="458" w:type="pct"/>
            <w:shd w:val="clear" w:color="auto" w:fill="FFFFFF"/>
            <w:vAlign w:val="center"/>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243</w:t>
            </w:r>
          </w:p>
        </w:tc>
      </w:tr>
      <w:tr w:rsidR="003B0DEE" w:rsidRPr="00066D1D" w:rsidTr="000D5D90">
        <w:trPr>
          <w:trHeight w:val="20"/>
        </w:trPr>
        <w:tc>
          <w:tcPr>
            <w:tcW w:w="1036" w:type="pct"/>
            <w:gridSpan w:val="2"/>
            <w:shd w:val="clear" w:color="auto" w:fill="D9D9D9" w:themeFill="background1" w:themeFillShade="D9"/>
          </w:tcPr>
          <w:p w:rsidR="003B0DEE" w:rsidRPr="00066D1D" w:rsidRDefault="003B0DEE" w:rsidP="000D5D90">
            <w:pPr>
              <w:spacing w:line="240" w:lineRule="auto"/>
              <w:jc w:val="left"/>
              <w:rPr>
                <w:rFonts w:ascii="Arial" w:hAnsi="Arial" w:cs="Arial"/>
                <w:b/>
                <w:bCs/>
                <w:color w:val="000000"/>
                <w:sz w:val="18"/>
                <w:szCs w:val="18"/>
                <w:lang w:eastAsia="en-US"/>
              </w:rPr>
            </w:pPr>
            <w:r w:rsidRPr="00066D1D">
              <w:rPr>
                <w:rFonts w:ascii="Arial" w:hAnsi="Arial" w:cs="Arial"/>
                <w:b/>
                <w:bCs/>
                <w:color w:val="000000"/>
                <w:sz w:val="18"/>
                <w:szCs w:val="18"/>
                <w:lang w:eastAsia="en-US"/>
              </w:rPr>
              <w:t>Age and opioid-using durations</w:t>
            </w:r>
            <w:r>
              <w:rPr>
                <w:rFonts w:ascii="Arial" w:hAnsi="Arial" w:cs="Arial"/>
                <w:b/>
                <w:bCs/>
                <w:color w:val="000000"/>
                <w:sz w:val="18"/>
                <w:szCs w:val="18"/>
                <w:lang w:eastAsia="en-US"/>
              </w:rPr>
              <w:t xml:space="preserve">  </w:t>
            </w:r>
          </w:p>
        </w:tc>
        <w:tc>
          <w:tcPr>
            <w:tcW w:w="3964" w:type="pct"/>
            <w:gridSpan w:val="10"/>
            <w:shd w:val="clear" w:color="auto" w:fill="D9D9D9" w:themeFill="background1" w:themeFillShade="D9"/>
          </w:tcPr>
          <w:p w:rsidR="003B0DEE" w:rsidRPr="00066D1D" w:rsidRDefault="003B0DEE" w:rsidP="000D5D90">
            <w:pPr>
              <w:spacing w:line="240" w:lineRule="auto"/>
              <w:jc w:val="center"/>
              <w:rPr>
                <w:rFonts w:ascii="Arial" w:eastAsia="Calibri" w:hAnsi="Arial" w:cs="Arial"/>
                <w:color w:val="000000"/>
                <w:sz w:val="18"/>
                <w:szCs w:val="18"/>
                <w:lang w:eastAsia="en-US"/>
              </w:rPr>
            </w:pPr>
            <w:r w:rsidRPr="00066D1D">
              <w:rPr>
                <w:rFonts w:ascii="Arial" w:hAnsi="Arial" w:cs="Arial"/>
                <w:b/>
                <w:color w:val="000000"/>
                <w:sz w:val="18"/>
                <w:szCs w:val="18"/>
                <w:lang w:eastAsia="en-US"/>
              </w:rPr>
              <w:t>Median years</w:t>
            </w:r>
            <w:r>
              <w:rPr>
                <w:rFonts w:ascii="Arial" w:hAnsi="Arial" w:cs="Arial"/>
                <w:b/>
                <w:color w:val="000000"/>
                <w:sz w:val="18"/>
                <w:szCs w:val="18"/>
                <w:lang w:eastAsia="en-US"/>
              </w:rPr>
              <w:t xml:space="preserve"> (Range*)</w:t>
            </w:r>
          </w:p>
        </w:tc>
      </w:tr>
      <w:tr w:rsidR="003B0DEE" w:rsidRPr="00066D1D" w:rsidTr="000D5D90">
        <w:trPr>
          <w:trHeight w:val="170"/>
        </w:trPr>
        <w:tc>
          <w:tcPr>
            <w:tcW w:w="849" w:type="pct"/>
            <w:shd w:val="clear" w:color="auto" w:fill="FFFFFF"/>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Age entering treatment</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37 (23-77)</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35 (22-61)</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30 (22-43)</w:t>
            </w:r>
          </w:p>
        </w:tc>
        <w:tc>
          <w:tcPr>
            <w:tcW w:w="389"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31 (22-45)</w:t>
            </w:r>
          </w:p>
        </w:tc>
        <w:tc>
          <w:tcPr>
            <w:tcW w:w="385"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34 (18-47)</w:t>
            </w:r>
          </w:p>
        </w:tc>
        <w:tc>
          <w:tcPr>
            <w:tcW w:w="412"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36 (23-59)</w:t>
            </w:r>
            <w:r w:rsidRPr="000806DA">
              <w:rPr>
                <w:rFonts w:ascii="Arial" w:hAnsi="Arial" w:cs="Arial"/>
                <w:bCs/>
                <w:color w:val="000000"/>
                <w:sz w:val="20"/>
                <w:vertAlign w:val="superscript"/>
                <w:lang w:eastAsia="en-US"/>
              </w:rPr>
              <w:t>+</w:t>
            </w:r>
          </w:p>
        </w:tc>
        <w:tc>
          <w:tcPr>
            <w:tcW w:w="446"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26 (22-39)</w:t>
            </w:r>
          </w:p>
        </w:tc>
        <w:tc>
          <w:tcPr>
            <w:tcW w:w="447"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29 (23-45)</w:t>
            </w:r>
            <w:r w:rsidRPr="000806DA">
              <w:rPr>
                <w:rFonts w:ascii="Arial" w:hAnsi="Arial" w:cs="Arial"/>
                <w:bCs/>
                <w:color w:val="000000"/>
                <w:sz w:val="20"/>
                <w:vertAlign w:val="superscript"/>
                <w:lang w:eastAsia="en-US"/>
              </w:rPr>
              <w:t>+</w:t>
            </w:r>
          </w:p>
        </w:tc>
        <w:tc>
          <w:tcPr>
            <w:tcW w:w="446"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26 (18-39)</w:t>
            </w:r>
          </w:p>
        </w:tc>
        <w:tc>
          <w:tcPr>
            <w:tcW w:w="458"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29 (19-42)</w:t>
            </w:r>
            <w:r w:rsidRPr="000806DA">
              <w:rPr>
                <w:rFonts w:ascii="Arial" w:hAnsi="Arial" w:cs="Arial"/>
                <w:bCs/>
                <w:color w:val="000000"/>
                <w:sz w:val="20"/>
                <w:vertAlign w:val="superscript"/>
                <w:lang w:eastAsia="en-US"/>
              </w:rPr>
              <w:t>+</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 xml:space="preserve">Age first used any drug </w:t>
            </w:r>
          </w:p>
        </w:tc>
        <w:tc>
          <w:tcPr>
            <w:tcW w:w="391" w:type="pct"/>
            <w:gridSpan w:val="2"/>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23 (13-43)</w:t>
            </w:r>
          </w:p>
        </w:tc>
        <w:tc>
          <w:tcPr>
            <w:tcW w:w="389"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18 (12-47)</w:t>
            </w:r>
          </w:p>
        </w:tc>
        <w:tc>
          <w:tcPr>
            <w:tcW w:w="388" w:type="pct"/>
            <w:shd w:val="pct5"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15 (11-28)</w:t>
            </w:r>
          </w:p>
        </w:tc>
        <w:tc>
          <w:tcPr>
            <w:tcW w:w="389" w:type="pct"/>
            <w:shd w:val="pct5"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14 (12-27)</w:t>
            </w:r>
          </w:p>
        </w:tc>
        <w:tc>
          <w:tcPr>
            <w:tcW w:w="385"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14 (10-36)</w:t>
            </w:r>
          </w:p>
        </w:tc>
        <w:tc>
          <w:tcPr>
            <w:tcW w:w="412"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15 (11-41)</w:t>
            </w:r>
          </w:p>
        </w:tc>
        <w:tc>
          <w:tcPr>
            <w:tcW w:w="446"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15 (12-21)</w:t>
            </w:r>
          </w:p>
        </w:tc>
        <w:tc>
          <w:tcPr>
            <w:tcW w:w="447"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15 (12-22)</w:t>
            </w:r>
          </w:p>
        </w:tc>
        <w:tc>
          <w:tcPr>
            <w:tcW w:w="446"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14 (10-18)</w:t>
            </w:r>
          </w:p>
        </w:tc>
        <w:tc>
          <w:tcPr>
            <w:tcW w:w="458"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14 (11-18)</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Age first used opioids</w:t>
            </w:r>
            <w:r w:rsidRPr="00066D1D">
              <w:rPr>
                <w:rFonts w:ascii="Arial" w:eastAsia="Calibri" w:hAnsi="Arial" w:cs="Arial"/>
                <w:bCs/>
                <w:color w:val="000000"/>
                <w:sz w:val="18"/>
                <w:szCs w:val="18"/>
                <w:lang w:eastAsia="en-US"/>
              </w:rPr>
              <w:t xml:space="preserve"> </w:t>
            </w:r>
          </w:p>
        </w:tc>
        <w:tc>
          <w:tcPr>
            <w:tcW w:w="391" w:type="pct"/>
            <w:gridSpan w:val="2"/>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28 (16-44)</w:t>
            </w:r>
          </w:p>
        </w:tc>
        <w:tc>
          <w:tcPr>
            <w:tcW w:w="389"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29 (14-55)</w:t>
            </w:r>
          </w:p>
        </w:tc>
        <w:tc>
          <w:tcPr>
            <w:tcW w:w="388" w:type="pct"/>
            <w:shd w:val="pct5"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27 (25-29)</w:t>
            </w:r>
          </w:p>
        </w:tc>
        <w:tc>
          <w:tcPr>
            <w:tcW w:w="389" w:type="pct"/>
            <w:shd w:val="pct5"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26 (25-29)</w:t>
            </w:r>
          </w:p>
        </w:tc>
        <w:tc>
          <w:tcPr>
            <w:tcW w:w="385"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30 (12-43)</w:t>
            </w:r>
          </w:p>
        </w:tc>
        <w:tc>
          <w:tcPr>
            <w:tcW w:w="412"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31 (21-49)</w:t>
            </w:r>
          </w:p>
        </w:tc>
        <w:tc>
          <w:tcPr>
            <w:tcW w:w="446"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21 (20-24)</w:t>
            </w:r>
          </w:p>
        </w:tc>
        <w:tc>
          <w:tcPr>
            <w:tcW w:w="447"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22 (20-24)</w:t>
            </w:r>
          </w:p>
        </w:tc>
        <w:tc>
          <w:tcPr>
            <w:tcW w:w="446"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eastAsia="Calibri" w:hAnsi="Arial" w:cs="Arial"/>
                <w:color w:val="000000"/>
                <w:sz w:val="18"/>
                <w:szCs w:val="18"/>
                <w:lang w:eastAsia="en-US"/>
              </w:rPr>
              <w:t>17 (15-19)</w:t>
            </w:r>
          </w:p>
        </w:tc>
        <w:tc>
          <w:tcPr>
            <w:tcW w:w="458" w:type="pct"/>
            <w:shd w:val="clear" w:color="auto" w:fill="FFFFFF"/>
          </w:tcPr>
          <w:p w:rsidR="003B0DEE" w:rsidRPr="00066D1D" w:rsidRDefault="003B0DEE" w:rsidP="000D5D90">
            <w:pPr>
              <w:spacing w:line="240" w:lineRule="auto"/>
              <w:jc w:val="right"/>
              <w:rPr>
                <w:rFonts w:ascii="Arial" w:hAnsi="Arial" w:cs="Arial"/>
                <w:sz w:val="18"/>
                <w:szCs w:val="18"/>
                <w:lang w:eastAsia="en-US"/>
              </w:rPr>
            </w:pPr>
            <w:r w:rsidRPr="00066D1D">
              <w:rPr>
                <w:rFonts w:ascii="Arial" w:eastAsia="Calibri" w:hAnsi="Arial" w:cs="Arial"/>
                <w:color w:val="000000"/>
                <w:sz w:val="18"/>
                <w:szCs w:val="18"/>
                <w:lang w:eastAsia="en-US"/>
              </w:rPr>
              <w:t>17 (15-19)</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jc w:val="left"/>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Time lag between first use of opioids and seeking treatment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 (1-20)</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5 (0-25)</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 (1-18)</w:t>
            </w:r>
          </w:p>
        </w:tc>
        <w:tc>
          <w:tcPr>
            <w:tcW w:w="389"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 (0-16)</w:t>
            </w:r>
          </w:p>
        </w:tc>
        <w:tc>
          <w:tcPr>
            <w:tcW w:w="385"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 (1-19)</w:t>
            </w:r>
          </w:p>
        </w:tc>
        <w:tc>
          <w:tcPr>
            <w:tcW w:w="412"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6 (0-25)</w:t>
            </w:r>
          </w:p>
        </w:tc>
        <w:tc>
          <w:tcPr>
            <w:tcW w:w="446"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4</w:t>
            </w:r>
            <w:r>
              <w:rPr>
                <w:rFonts w:ascii="Arial" w:hAnsi="Arial" w:cs="Arial"/>
                <w:color w:val="000000"/>
                <w:sz w:val="18"/>
                <w:szCs w:val="18"/>
                <w:lang w:eastAsia="en-US"/>
              </w:rPr>
              <w:t xml:space="preserve"> </w:t>
            </w:r>
            <w:r w:rsidRPr="00066D1D">
              <w:rPr>
                <w:rFonts w:ascii="Arial" w:hAnsi="Arial" w:cs="Arial"/>
                <w:color w:val="000000"/>
                <w:sz w:val="18"/>
                <w:szCs w:val="18"/>
                <w:lang w:eastAsia="en-US"/>
              </w:rPr>
              <w:t>(0-18)</w:t>
            </w:r>
          </w:p>
        </w:tc>
        <w:tc>
          <w:tcPr>
            <w:tcW w:w="447"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7</w:t>
            </w:r>
            <w:r>
              <w:rPr>
                <w:rFonts w:ascii="Arial" w:hAnsi="Arial" w:cs="Arial"/>
                <w:color w:val="000000"/>
                <w:sz w:val="18"/>
                <w:szCs w:val="18"/>
                <w:lang w:eastAsia="en-US"/>
              </w:rPr>
              <w:t xml:space="preserve"> </w:t>
            </w:r>
            <w:r w:rsidRPr="00066D1D">
              <w:rPr>
                <w:rFonts w:ascii="Arial" w:hAnsi="Arial" w:cs="Arial"/>
                <w:color w:val="000000"/>
                <w:sz w:val="18"/>
                <w:szCs w:val="18"/>
                <w:lang w:eastAsia="en-US"/>
              </w:rPr>
              <w:t>(0-24)</w:t>
            </w:r>
            <w:r w:rsidRPr="000806DA">
              <w:rPr>
                <w:rFonts w:ascii="Arial" w:hAnsi="Arial" w:cs="Arial"/>
                <w:bCs/>
                <w:color w:val="000000"/>
                <w:sz w:val="20"/>
                <w:vertAlign w:val="superscript"/>
                <w:lang w:eastAsia="en-US"/>
              </w:rPr>
              <w:t>+</w:t>
            </w:r>
          </w:p>
        </w:tc>
        <w:tc>
          <w:tcPr>
            <w:tcW w:w="446"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8</w:t>
            </w:r>
            <w:r>
              <w:rPr>
                <w:rFonts w:ascii="Arial" w:hAnsi="Arial" w:cs="Arial"/>
                <w:color w:val="000000"/>
                <w:sz w:val="18"/>
                <w:szCs w:val="18"/>
                <w:lang w:eastAsia="en-US"/>
              </w:rPr>
              <w:t xml:space="preserve"> </w:t>
            </w:r>
            <w:r w:rsidRPr="00066D1D">
              <w:rPr>
                <w:rFonts w:ascii="Arial" w:hAnsi="Arial" w:cs="Arial"/>
                <w:color w:val="000000"/>
                <w:sz w:val="18"/>
                <w:szCs w:val="18"/>
                <w:lang w:eastAsia="en-US"/>
              </w:rPr>
              <w:t>(1-22)</w:t>
            </w:r>
          </w:p>
        </w:tc>
        <w:tc>
          <w:tcPr>
            <w:tcW w:w="458"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sidRPr="00066D1D">
              <w:rPr>
                <w:rFonts w:ascii="Arial" w:hAnsi="Arial" w:cs="Arial"/>
                <w:color w:val="000000"/>
                <w:sz w:val="18"/>
                <w:szCs w:val="18"/>
                <w:lang w:eastAsia="en-US"/>
              </w:rPr>
              <w:t>11</w:t>
            </w:r>
            <w:r>
              <w:rPr>
                <w:rFonts w:ascii="Arial" w:hAnsi="Arial" w:cs="Arial"/>
                <w:color w:val="000000"/>
                <w:sz w:val="18"/>
                <w:szCs w:val="18"/>
                <w:lang w:eastAsia="en-US"/>
              </w:rPr>
              <w:t xml:space="preserve"> </w:t>
            </w:r>
            <w:r w:rsidRPr="00066D1D">
              <w:rPr>
                <w:rFonts w:ascii="Arial" w:hAnsi="Arial" w:cs="Arial"/>
                <w:color w:val="000000"/>
                <w:sz w:val="18"/>
                <w:szCs w:val="18"/>
                <w:lang w:eastAsia="en-US"/>
              </w:rPr>
              <w:t>(2-25)</w:t>
            </w:r>
            <w:r w:rsidRPr="000806DA">
              <w:rPr>
                <w:rFonts w:ascii="Arial" w:hAnsi="Arial" w:cs="Arial"/>
                <w:bCs/>
                <w:color w:val="000000"/>
                <w:sz w:val="20"/>
                <w:vertAlign w:val="superscript"/>
                <w:lang w:eastAsia="en-US"/>
              </w:rPr>
              <w:t>+</w:t>
            </w:r>
          </w:p>
        </w:tc>
      </w:tr>
      <w:tr w:rsidR="003B0DEE" w:rsidRPr="00880A06" w:rsidTr="000D5D90">
        <w:trPr>
          <w:trHeight w:val="20"/>
        </w:trPr>
        <w:tc>
          <w:tcPr>
            <w:tcW w:w="849" w:type="pct"/>
            <w:shd w:val="clear" w:color="auto" w:fill="D9D9D9" w:themeFill="background1" w:themeFillShade="D9"/>
            <w:vAlign w:val="bottom"/>
          </w:tcPr>
          <w:p w:rsidR="003B0DEE" w:rsidRPr="00880A06" w:rsidRDefault="003B0DEE" w:rsidP="000D5D90">
            <w:pPr>
              <w:spacing w:line="240" w:lineRule="auto"/>
              <w:jc w:val="left"/>
              <w:rPr>
                <w:rFonts w:ascii="Arial" w:hAnsi="Arial" w:cs="Arial"/>
                <w:b/>
                <w:bCs/>
                <w:color w:val="000000"/>
                <w:sz w:val="18"/>
                <w:szCs w:val="18"/>
                <w:lang w:eastAsia="en-US"/>
              </w:rPr>
            </w:pPr>
            <w:r w:rsidRPr="00880A06">
              <w:rPr>
                <w:rFonts w:ascii="Arial" w:hAnsi="Arial" w:cs="Arial"/>
                <w:b/>
                <w:bCs/>
                <w:color w:val="000000"/>
                <w:sz w:val="18"/>
                <w:szCs w:val="18"/>
                <w:lang w:eastAsia="en-US"/>
              </w:rPr>
              <w:t>Resident in Dublin</w:t>
            </w:r>
          </w:p>
        </w:tc>
        <w:tc>
          <w:tcPr>
            <w:tcW w:w="391" w:type="pct"/>
            <w:gridSpan w:val="2"/>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9"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8"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9"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5"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412"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446"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447"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446"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458"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r>
      <w:tr w:rsidR="003B0DEE" w:rsidRPr="00066D1D" w:rsidTr="000D5D90">
        <w:trPr>
          <w:trHeight w:val="20"/>
        </w:trPr>
        <w:tc>
          <w:tcPr>
            <w:tcW w:w="849" w:type="pct"/>
            <w:shd w:val="clear" w:color="auto" w:fill="FFFFFF"/>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Age entering treatment</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35 (24-49)</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34 (21-56)</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32 (22-47)</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29 (21-43)</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33 (18-49)</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35 (27-57)</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27 (22-42)</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29 (22-45)</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29 (19-42)</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33 (19-45)</w:t>
            </w:r>
            <w:r w:rsidRPr="000806DA">
              <w:rPr>
                <w:rFonts w:ascii="Arial" w:hAnsi="Arial" w:cs="Arial"/>
                <w:bCs/>
                <w:color w:val="000000"/>
                <w:sz w:val="20"/>
                <w:vertAlign w:val="superscript"/>
                <w:lang w:eastAsia="en-US"/>
              </w:rPr>
              <w:t>+</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 xml:space="preserve">Age first used any drug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16 (12-41)</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15 (10-38)</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15 (11-28)</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(11-25)</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13 (10-40)</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(10-44)</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(12-21)</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(11-21)</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(10-18)</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(11-17)</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Age first used opioids</w:t>
            </w:r>
            <w:r w:rsidRPr="00066D1D">
              <w:rPr>
                <w:rFonts w:ascii="Arial" w:eastAsia="Calibri" w:hAnsi="Arial" w:cs="Arial"/>
                <w:bCs/>
                <w:color w:val="000000"/>
                <w:sz w:val="18"/>
                <w:szCs w:val="18"/>
                <w:lang w:eastAsia="en-US"/>
              </w:rPr>
              <w:t xml:space="preserve">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27 (15-41)</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27 (15-55)</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27 (25-29)</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27 (25-29)</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(12-44)</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31 (12-52)</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21 (20-24)</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22 (20-24)</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17 (15-19)</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17 (15-19)</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jc w:val="left"/>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Time lag between first use of opioids and seeking treatment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5 (0-25)</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5 (0-25)</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5 (1-19)</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 (0-16)</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10 (1-24)</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4 (0-26)</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6 (1-21)</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7 (0-24)</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13 (2-25)</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16 (3-27)</w:t>
            </w:r>
            <w:r w:rsidRPr="000806DA">
              <w:rPr>
                <w:rFonts w:ascii="Arial" w:hAnsi="Arial" w:cs="Arial"/>
                <w:bCs/>
                <w:color w:val="000000"/>
                <w:sz w:val="20"/>
                <w:vertAlign w:val="superscript"/>
                <w:lang w:eastAsia="en-US"/>
              </w:rPr>
              <w:t>+</w:t>
            </w:r>
          </w:p>
        </w:tc>
      </w:tr>
      <w:tr w:rsidR="003B0DEE" w:rsidRPr="00066D1D" w:rsidTr="000D5D90">
        <w:trPr>
          <w:trHeight w:val="20"/>
        </w:trPr>
        <w:tc>
          <w:tcPr>
            <w:tcW w:w="849" w:type="pct"/>
            <w:shd w:val="clear" w:color="auto" w:fill="D9D9D9" w:themeFill="background1" w:themeFillShade="D9"/>
            <w:vAlign w:val="bottom"/>
          </w:tcPr>
          <w:p w:rsidR="003B0DEE" w:rsidRPr="00880A06" w:rsidRDefault="003B0DEE" w:rsidP="000D5D90">
            <w:pPr>
              <w:spacing w:line="240" w:lineRule="auto"/>
              <w:jc w:val="left"/>
              <w:rPr>
                <w:rFonts w:ascii="Arial" w:hAnsi="Arial" w:cs="Arial"/>
                <w:b/>
                <w:bCs/>
                <w:color w:val="000000"/>
                <w:sz w:val="18"/>
                <w:szCs w:val="18"/>
                <w:lang w:eastAsia="en-US"/>
              </w:rPr>
            </w:pPr>
            <w:r w:rsidRPr="00880A06">
              <w:rPr>
                <w:rFonts w:ascii="Arial" w:hAnsi="Arial" w:cs="Arial"/>
                <w:b/>
                <w:bCs/>
                <w:color w:val="000000"/>
                <w:sz w:val="18"/>
                <w:szCs w:val="18"/>
                <w:lang w:eastAsia="en-US"/>
              </w:rPr>
              <w:t xml:space="preserve">Resident </w:t>
            </w:r>
            <w:r>
              <w:rPr>
                <w:rFonts w:ascii="Arial" w:hAnsi="Arial" w:cs="Arial"/>
                <w:b/>
                <w:bCs/>
                <w:color w:val="000000"/>
                <w:sz w:val="18"/>
                <w:szCs w:val="18"/>
                <w:lang w:eastAsia="en-US"/>
              </w:rPr>
              <w:t>outside</w:t>
            </w:r>
            <w:r w:rsidRPr="00880A06">
              <w:rPr>
                <w:rFonts w:ascii="Arial" w:hAnsi="Arial" w:cs="Arial"/>
                <w:b/>
                <w:bCs/>
                <w:color w:val="000000"/>
                <w:sz w:val="18"/>
                <w:szCs w:val="18"/>
                <w:lang w:eastAsia="en-US"/>
              </w:rPr>
              <w:t xml:space="preserve"> Dublin</w:t>
            </w:r>
          </w:p>
        </w:tc>
        <w:tc>
          <w:tcPr>
            <w:tcW w:w="391" w:type="pct"/>
            <w:gridSpan w:val="2"/>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9"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8" w:type="pct"/>
            <w:shd w:val="clear" w:color="auto" w:fill="D9D9D9" w:themeFill="background1" w:themeFillShade="D9"/>
          </w:tcPr>
          <w:p w:rsidR="003B0DEE" w:rsidRPr="00880A06" w:rsidRDefault="003B0DEE" w:rsidP="000D5D90">
            <w:pPr>
              <w:spacing w:line="240" w:lineRule="auto"/>
              <w:jc w:val="right"/>
              <w:rPr>
                <w:rFonts w:ascii="Arial" w:hAnsi="Arial" w:cs="Arial"/>
                <w:b/>
                <w:color w:val="000000"/>
                <w:sz w:val="18"/>
                <w:szCs w:val="18"/>
                <w:lang w:eastAsia="en-US"/>
              </w:rPr>
            </w:pPr>
          </w:p>
        </w:tc>
        <w:tc>
          <w:tcPr>
            <w:tcW w:w="389"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385"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412"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446"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447"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446"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c>
          <w:tcPr>
            <w:tcW w:w="458" w:type="pct"/>
            <w:shd w:val="clear" w:color="auto" w:fill="D9D9D9" w:themeFill="background1" w:themeFillShade="D9"/>
          </w:tcPr>
          <w:p w:rsidR="003B0DEE" w:rsidRPr="00E805C5" w:rsidRDefault="003B0DEE" w:rsidP="000D5D90">
            <w:pPr>
              <w:spacing w:line="240" w:lineRule="auto"/>
              <w:jc w:val="right"/>
              <w:rPr>
                <w:rFonts w:ascii="Arial" w:hAnsi="Arial" w:cs="Arial"/>
                <w:b/>
                <w:color w:val="000000"/>
                <w:sz w:val="18"/>
                <w:szCs w:val="18"/>
                <w:lang w:eastAsia="en-US"/>
              </w:rPr>
            </w:pPr>
          </w:p>
        </w:tc>
      </w:tr>
      <w:tr w:rsidR="003B0DEE" w:rsidRPr="00066D1D" w:rsidTr="000D5D90">
        <w:trPr>
          <w:trHeight w:val="20"/>
        </w:trPr>
        <w:tc>
          <w:tcPr>
            <w:tcW w:w="849" w:type="pct"/>
            <w:shd w:val="clear" w:color="auto" w:fill="FFFFFF"/>
          </w:tcPr>
          <w:p w:rsidR="003B0DEE" w:rsidRPr="00066D1D" w:rsidRDefault="003B0DEE" w:rsidP="000D5D90">
            <w:pPr>
              <w:spacing w:line="240" w:lineRule="auto"/>
              <w:rPr>
                <w:rFonts w:ascii="Arial" w:hAnsi="Arial" w:cs="Arial"/>
                <w:bCs/>
                <w:color w:val="000000"/>
                <w:sz w:val="18"/>
                <w:szCs w:val="18"/>
                <w:lang w:eastAsia="en-US"/>
              </w:rPr>
            </w:pPr>
            <w:r w:rsidRPr="00066D1D">
              <w:rPr>
                <w:rFonts w:ascii="Arial" w:hAnsi="Arial" w:cs="Arial"/>
                <w:bCs/>
                <w:color w:val="000000"/>
                <w:sz w:val="18"/>
                <w:szCs w:val="18"/>
                <w:lang w:eastAsia="en-US"/>
              </w:rPr>
              <w:t>Age entering treatment</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rPr>
              <w:t>37 (23-61)</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35 (23-61)</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29 (21-38)</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31 (23-45)</w:t>
            </w:r>
            <w:r w:rsidRPr="000806DA">
              <w:rPr>
                <w:rFonts w:ascii="Arial" w:hAnsi="Arial" w:cs="Arial"/>
                <w:bCs/>
                <w:color w:val="000000"/>
                <w:sz w:val="20"/>
                <w:vertAlign w:val="superscript"/>
                <w:lang w:eastAsia="en-US"/>
              </w:rPr>
              <w:t>+</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36 (19-46)</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37 (23-61)</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25 (21-38)</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29 (23-45)</w:t>
            </w:r>
            <w:r w:rsidRPr="000806DA">
              <w:rPr>
                <w:rFonts w:ascii="Arial" w:hAnsi="Arial" w:cs="Arial"/>
                <w:bCs/>
                <w:color w:val="000000"/>
                <w:sz w:val="20"/>
                <w:vertAlign w:val="superscript"/>
                <w:lang w:eastAsia="en-US"/>
              </w:rPr>
              <w:t>+</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22 (18-36)</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27 (19-38)</w:t>
            </w:r>
            <w:r w:rsidRPr="000806DA">
              <w:rPr>
                <w:rFonts w:ascii="Arial" w:hAnsi="Arial" w:cs="Arial"/>
                <w:bCs/>
                <w:color w:val="000000"/>
                <w:sz w:val="20"/>
                <w:vertAlign w:val="superscript"/>
                <w:lang w:eastAsia="en-US"/>
              </w:rPr>
              <w:t>+</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 xml:space="preserve">Age first used any drug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28 (15-47)</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22 (12-55)</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15 (10-27)</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(12-28)</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(11-34)</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16 (11-41)</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(12-21)</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15 (12-22)</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(11-17)</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14 (11-18)</w:t>
            </w:r>
          </w:p>
        </w:tc>
      </w:tr>
      <w:tr w:rsidR="003B0DEE" w:rsidRPr="00066D1D" w:rsidTr="000D5D90">
        <w:trPr>
          <w:trHeight w:val="20"/>
        </w:trPr>
        <w:tc>
          <w:tcPr>
            <w:tcW w:w="849" w:type="pct"/>
            <w:shd w:val="clear" w:color="auto" w:fill="FFFFFF"/>
            <w:vAlign w:val="bottom"/>
          </w:tcPr>
          <w:p w:rsidR="003B0DEE" w:rsidRPr="00066D1D" w:rsidRDefault="003B0DEE" w:rsidP="000D5D90">
            <w:pPr>
              <w:spacing w:line="240" w:lineRule="auto"/>
              <w:rPr>
                <w:rFonts w:ascii="Arial" w:hAnsi="Arial" w:cs="Arial"/>
                <w:bCs/>
                <w:sz w:val="18"/>
                <w:szCs w:val="18"/>
                <w:lang w:eastAsia="en-US"/>
              </w:rPr>
            </w:pPr>
            <w:r w:rsidRPr="00066D1D">
              <w:rPr>
                <w:rFonts w:ascii="Arial" w:hAnsi="Arial" w:cs="Arial"/>
                <w:bCs/>
                <w:color w:val="000000"/>
                <w:sz w:val="18"/>
                <w:szCs w:val="18"/>
                <w:lang w:eastAsia="en-US"/>
              </w:rPr>
              <w:t>Age first used opioids</w:t>
            </w:r>
            <w:r w:rsidRPr="00066D1D">
              <w:rPr>
                <w:rFonts w:ascii="Arial" w:eastAsia="Calibri" w:hAnsi="Arial" w:cs="Arial"/>
                <w:bCs/>
                <w:color w:val="000000"/>
                <w:sz w:val="18"/>
                <w:szCs w:val="18"/>
                <w:lang w:eastAsia="en-US"/>
              </w:rPr>
              <w:t xml:space="preserve"> </w:t>
            </w:r>
          </w:p>
        </w:tc>
        <w:tc>
          <w:tcPr>
            <w:tcW w:w="391" w:type="pct"/>
            <w:gridSpan w:val="2"/>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29 (17-47)</w:t>
            </w:r>
          </w:p>
        </w:tc>
        <w:tc>
          <w:tcPr>
            <w:tcW w:w="389" w:type="pct"/>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30 (14-55)</w:t>
            </w:r>
          </w:p>
        </w:tc>
        <w:tc>
          <w:tcPr>
            <w:tcW w:w="388" w:type="pct"/>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26 (25-29)</w:t>
            </w:r>
          </w:p>
        </w:tc>
        <w:tc>
          <w:tcPr>
            <w:tcW w:w="389"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26 (25-29)</w:t>
            </w:r>
          </w:p>
        </w:tc>
        <w:tc>
          <w:tcPr>
            <w:tcW w:w="385"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31 (13-41)</w:t>
            </w:r>
          </w:p>
        </w:tc>
        <w:tc>
          <w:tcPr>
            <w:tcW w:w="412"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32 (12-49)</w:t>
            </w:r>
          </w:p>
        </w:tc>
        <w:tc>
          <w:tcPr>
            <w:tcW w:w="446"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21 (20-24)</w:t>
            </w:r>
          </w:p>
        </w:tc>
        <w:tc>
          <w:tcPr>
            <w:tcW w:w="447" w:type="pct"/>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22 (20-24)</w:t>
            </w:r>
          </w:p>
        </w:tc>
        <w:tc>
          <w:tcPr>
            <w:tcW w:w="446"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17 (15-19)</w:t>
            </w:r>
          </w:p>
        </w:tc>
        <w:tc>
          <w:tcPr>
            <w:tcW w:w="458" w:type="pct"/>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17 (15-19)</w:t>
            </w:r>
          </w:p>
        </w:tc>
      </w:tr>
      <w:tr w:rsidR="003B0DEE" w:rsidRPr="00066D1D" w:rsidTr="000D5D90">
        <w:trPr>
          <w:trHeight w:val="20"/>
        </w:trPr>
        <w:tc>
          <w:tcPr>
            <w:tcW w:w="849" w:type="pct"/>
            <w:tcBorders>
              <w:bottom w:val="single" w:sz="8" w:space="0" w:color="000000"/>
            </w:tcBorders>
            <w:shd w:val="clear" w:color="auto" w:fill="FFFFFF"/>
            <w:vAlign w:val="bottom"/>
          </w:tcPr>
          <w:p w:rsidR="003B0DEE" w:rsidRPr="00066D1D" w:rsidRDefault="003B0DEE" w:rsidP="000D5D90">
            <w:pPr>
              <w:spacing w:line="240" w:lineRule="auto"/>
              <w:jc w:val="left"/>
              <w:rPr>
                <w:rFonts w:ascii="Arial" w:hAnsi="Arial" w:cs="Arial"/>
                <w:bCs/>
                <w:color w:val="000000"/>
                <w:sz w:val="18"/>
                <w:szCs w:val="18"/>
                <w:lang w:eastAsia="en-US"/>
              </w:rPr>
            </w:pPr>
            <w:r w:rsidRPr="00066D1D">
              <w:rPr>
                <w:rFonts w:ascii="Arial" w:hAnsi="Arial" w:cs="Arial"/>
                <w:bCs/>
                <w:color w:val="000000"/>
                <w:sz w:val="18"/>
                <w:szCs w:val="18"/>
                <w:lang w:eastAsia="en-US"/>
              </w:rPr>
              <w:t xml:space="preserve">Time lag between first use of opioids and seeking treatment </w:t>
            </w:r>
          </w:p>
        </w:tc>
        <w:tc>
          <w:tcPr>
            <w:tcW w:w="391" w:type="pct"/>
            <w:gridSpan w:val="2"/>
            <w:tcBorders>
              <w:bottom w:val="single" w:sz="8" w:space="0" w:color="000000"/>
            </w:tcBorders>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6 (1-20)</w:t>
            </w:r>
          </w:p>
        </w:tc>
        <w:tc>
          <w:tcPr>
            <w:tcW w:w="389" w:type="pct"/>
            <w:tcBorders>
              <w:bottom w:val="single" w:sz="8" w:space="0" w:color="000000"/>
            </w:tcBorders>
            <w:shd w:val="clear"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5 (1-22)</w:t>
            </w:r>
          </w:p>
        </w:tc>
        <w:tc>
          <w:tcPr>
            <w:tcW w:w="388" w:type="pct"/>
            <w:tcBorders>
              <w:bottom w:val="single" w:sz="8" w:space="0" w:color="000000"/>
            </w:tcBorders>
            <w:shd w:val="pct5" w:color="auto" w:fill="FFFFFF"/>
          </w:tcPr>
          <w:p w:rsidR="003B0DEE" w:rsidRPr="00066D1D" w:rsidRDefault="003B0DEE" w:rsidP="000D5D90">
            <w:pPr>
              <w:spacing w:line="240" w:lineRule="auto"/>
              <w:jc w:val="right"/>
              <w:rPr>
                <w:rFonts w:ascii="Arial" w:hAnsi="Arial" w:cs="Arial"/>
                <w:color w:val="000000"/>
                <w:sz w:val="18"/>
                <w:szCs w:val="18"/>
                <w:lang w:eastAsia="en-US"/>
              </w:rPr>
            </w:pPr>
            <w:r>
              <w:rPr>
                <w:rFonts w:ascii="Arial" w:hAnsi="Arial" w:cs="Arial"/>
                <w:color w:val="000000"/>
                <w:sz w:val="18"/>
                <w:szCs w:val="18"/>
                <w:lang w:eastAsia="en-US"/>
              </w:rPr>
              <w:t>3 (1-10)</w:t>
            </w:r>
          </w:p>
        </w:tc>
        <w:tc>
          <w:tcPr>
            <w:tcW w:w="389" w:type="pct"/>
            <w:tcBorders>
              <w:bottom w:val="single" w:sz="8" w:space="0" w:color="000000"/>
            </w:tcBorders>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4 (0-15)</w:t>
            </w:r>
          </w:p>
        </w:tc>
        <w:tc>
          <w:tcPr>
            <w:tcW w:w="385" w:type="pct"/>
            <w:tcBorders>
              <w:bottom w:val="single" w:sz="8" w:space="0" w:color="000000"/>
            </w:tcBorders>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4 (0-13)</w:t>
            </w:r>
          </w:p>
        </w:tc>
        <w:tc>
          <w:tcPr>
            <w:tcW w:w="412" w:type="pct"/>
            <w:tcBorders>
              <w:bottom w:val="single" w:sz="8" w:space="0" w:color="000000"/>
            </w:tcBorders>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6 (0-24)</w:t>
            </w:r>
          </w:p>
        </w:tc>
        <w:tc>
          <w:tcPr>
            <w:tcW w:w="446" w:type="pct"/>
            <w:tcBorders>
              <w:bottom w:val="single" w:sz="8" w:space="0" w:color="000000"/>
            </w:tcBorders>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3 (0-16)</w:t>
            </w:r>
          </w:p>
        </w:tc>
        <w:tc>
          <w:tcPr>
            <w:tcW w:w="447" w:type="pct"/>
            <w:tcBorders>
              <w:bottom w:val="single" w:sz="8" w:space="0" w:color="000000"/>
            </w:tcBorders>
            <w:shd w:val="pct5"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7 (0-23)</w:t>
            </w:r>
            <w:r w:rsidRPr="000806DA">
              <w:rPr>
                <w:rFonts w:ascii="Arial" w:hAnsi="Arial" w:cs="Arial"/>
                <w:bCs/>
                <w:color w:val="000000"/>
                <w:sz w:val="20"/>
                <w:vertAlign w:val="superscript"/>
                <w:lang w:eastAsia="en-US"/>
              </w:rPr>
              <w:t>+</w:t>
            </w:r>
          </w:p>
        </w:tc>
        <w:tc>
          <w:tcPr>
            <w:tcW w:w="446" w:type="pct"/>
            <w:tcBorders>
              <w:bottom w:val="single" w:sz="8" w:space="0" w:color="000000"/>
            </w:tcBorders>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5 (1-19)</w:t>
            </w:r>
          </w:p>
        </w:tc>
        <w:tc>
          <w:tcPr>
            <w:tcW w:w="458" w:type="pct"/>
            <w:tcBorders>
              <w:bottom w:val="single" w:sz="8" w:space="0" w:color="000000"/>
            </w:tcBorders>
            <w:shd w:val="clear" w:color="auto" w:fill="FFFFFF"/>
          </w:tcPr>
          <w:p w:rsidR="003B0DEE" w:rsidRPr="00E805C5" w:rsidRDefault="003B0DEE" w:rsidP="000D5D90">
            <w:pPr>
              <w:spacing w:line="240" w:lineRule="auto"/>
              <w:jc w:val="right"/>
              <w:rPr>
                <w:rFonts w:ascii="Arial" w:hAnsi="Arial" w:cs="Arial"/>
                <w:color w:val="000000"/>
                <w:sz w:val="18"/>
                <w:szCs w:val="18"/>
                <w:lang w:eastAsia="en-US"/>
              </w:rPr>
            </w:pPr>
            <w:r w:rsidRPr="00E805C5">
              <w:rPr>
                <w:rFonts w:ascii="Arial" w:hAnsi="Arial" w:cs="Arial"/>
                <w:color w:val="000000"/>
                <w:sz w:val="18"/>
                <w:szCs w:val="18"/>
                <w:lang w:eastAsia="en-US"/>
              </w:rPr>
              <w:t>10 (2-21)</w:t>
            </w:r>
            <w:r w:rsidRPr="000806DA">
              <w:rPr>
                <w:rFonts w:ascii="Arial" w:hAnsi="Arial" w:cs="Arial"/>
                <w:bCs/>
                <w:color w:val="000000"/>
                <w:sz w:val="20"/>
                <w:vertAlign w:val="superscript"/>
                <w:lang w:eastAsia="en-US"/>
              </w:rPr>
              <w:t>+</w:t>
            </w:r>
          </w:p>
        </w:tc>
      </w:tr>
    </w:tbl>
    <w:p w:rsidR="003B0DEE" w:rsidRPr="000D5D90" w:rsidRDefault="003B0DEE" w:rsidP="000D5D90">
      <w:pPr>
        <w:jc w:val="left"/>
        <w:rPr>
          <w:rFonts w:ascii="Arial" w:hAnsi="Arial" w:cs="Arial"/>
          <w:color w:val="000000"/>
          <w:sz w:val="18"/>
          <w:szCs w:val="18"/>
        </w:rPr>
      </w:pPr>
      <w:r w:rsidRPr="000D5D90">
        <w:rPr>
          <w:rFonts w:ascii="Arial" w:hAnsi="Arial" w:cs="Arial"/>
          <w:color w:val="000000"/>
          <w:sz w:val="18"/>
          <w:szCs w:val="18"/>
        </w:rPr>
        <w:t>* Age range presented is the 5</w:t>
      </w:r>
      <w:r w:rsidRPr="000D5D90">
        <w:rPr>
          <w:rFonts w:ascii="Arial" w:hAnsi="Arial" w:cs="Arial"/>
          <w:color w:val="000000"/>
          <w:sz w:val="18"/>
          <w:szCs w:val="18"/>
          <w:vertAlign w:val="superscript"/>
        </w:rPr>
        <w:t>th</w:t>
      </w:r>
      <w:r w:rsidRPr="000D5D90">
        <w:rPr>
          <w:rFonts w:ascii="Arial" w:hAnsi="Arial" w:cs="Arial"/>
          <w:color w:val="000000"/>
          <w:sz w:val="18"/>
          <w:szCs w:val="18"/>
        </w:rPr>
        <w:t xml:space="preserve"> and 95</w:t>
      </w:r>
      <w:r w:rsidRPr="000D5D90">
        <w:rPr>
          <w:rFonts w:ascii="Arial" w:hAnsi="Arial" w:cs="Arial"/>
          <w:color w:val="000000"/>
          <w:sz w:val="18"/>
          <w:szCs w:val="18"/>
          <w:vertAlign w:val="superscript"/>
        </w:rPr>
        <w:t>th</w:t>
      </w:r>
      <w:r w:rsidRPr="000D5D90">
        <w:rPr>
          <w:rFonts w:ascii="Arial" w:hAnsi="Arial" w:cs="Arial"/>
          <w:color w:val="000000"/>
          <w:sz w:val="18"/>
          <w:szCs w:val="18"/>
        </w:rPr>
        <w:t xml:space="preserve"> percentile</w:t>
      </w:r>
      <w:r w:rsidR="000D5D90">
        <w:rPr>
          <w:rFonts w:ascii="Arial" w:hAnsi="Arial" w:cs="Arial"/>
          <w:color w:val="000000"/>
          <w:sz w:val="18"/>
          <w:szCs w:val="18"/>
        </w:rPr>
        <w:t>.</w:t>
      </w:r>
    </w:p>
    <w:p w:rsidR="003B0DEE" w:rsidRPr="00066D1D" w:rsidRDefault="003B0DEE" w:rsidP="000D5D90">
      <w:pPr>
        <w:jc w:val="left"/>
        <w:rPr>
          <w:rFonts w:ascii="Arial" w:hAnsi="Arial" w:cs="Arial"/>
          <w:color w:val="000000"/>
          <w:sz w:val="18"/>
          <w:szCs w:val="22"/>
        </w:rPr>
      </w:pPr>
      <w:r w:rsidRPr="000D5D90">
        <w:rPr>
          <w:rFonts w:ascii="Arial" w:hAnsi="Arial" w:cs="Arial"/>
          <w:bCs/>
          <w:color w:val="000000"/>
          <w:sz w:val="18"/>
          <w:szCs w:val="18"/>
          <w:vertAlign w:val="superscript"/>
          <w:lang w:eastAsia="en-US"/>
        </w:rPr>
        <w:t>+</w:t>
      </w:r>
      <w:r w:rsidRPr="00066D1D">
        <w:rPr>
          <w:rFonts w:ascii="Arial" w:hAnsi="Arial" w:cs="Arial"/>
          <w:color w:val="000000"/>
          <w:sz w:val="18"/>
          <w:szCs w:val="22"/>
        </w:rPr>
        <w:t xml:space="preserve"> </w:t>
      </w:r>
      <w:proofErr w:type="gramStart"/>
      <w:r w:rsidRPr="00066D1D">
        <w:rPr>
          <w:rFonts w:ascii="Arial" w:hAnsi="Arial" w:cs="Arial"/>
          <w:color w:val="000000"/>
          <w:sz w:val="18"/>
          <w:szCs w:val="22"/>
        </w:rPr>
        <w:t>the</w:t>
      </w:r>
      <w:proofErr w:type="gramEnd"/>
      <w:r w:rsidRPr="00066D1D">
        <w:rPr>
          <w:rFonts w:ascii="Arial" w:hAnsi="Arial" w:cs="Arial"/>
          <w:color w:val="000000"/>
          <w:sz w:val="18"/>
          <w:szCs w:val="22"/>
        </w:rPr>
        <w:t xml:space="preserve"> change between 2009 and 2015 is significant at &lt;0.001 level</w:t>
      </w:r>
      <w:r w:rsidR="000D5D90">
        <w:rPr>
          <w:rFonts w:ascii="Arial" w:hAnsi="Arial" w:cs="Arial"/>
          <w:color w:val="000000"/>
          <w:sz w:val="18"/>
          <w:szCs w:val="22"/>
        </w:rPr>
        <w:t>.</w:t>
      </w:r>
    </w:p>
    <w:p w:rsidR="003B0DEE" w:rsidRPr="00AF394E" w:rsidRDefault="003B0DEE" w:rsidP="000D5D90">
      <w:pPr>
        <w:autoSpaceDE w:val="0"/>
        <w:autoSpaceDN w:val="0"/>
        <w:adjustRightInd w:val="0"/>
        <w:spacing w:line="240" w:lineRule="auto"/>
        <w:jc w:val="left"/>
        <w:rPr>
          <w:rFonts w:ascii="Times New Roman" w:hAnsi="Times New Roman"/>
          <w:sz w:val="24"/>
          <w:szCs w:val="24"/>
        </w:rPr>
      </w:pPr>
    </w:p>
    <w:p w:rsidR="003B0DEE" w:rsidRPr="00307FA2" w:rsidRDefault="003B0DEE" w:rsidP="000D5D90">
      <w:pPr>
        <w:spacing w:after="200" w:line="276" w:lineRule="auto"/>
        <w:rPr>
          <w:b/>
          <w:bCs/>
          <w:sz w:val="24"/>
          <w:szCs w:val="26"/>
        </w:rPr>
        <w:sectPr w:rsidR="003B0DEE" w:rsidRPr="00307FA2" w:rsidSect="000D5D90">
          <w:pgSz w:w="16840" w:h="11907" w:orient="landscape" w:code="9"/>
          <w:pgMar w:top="1985" w:right="1134" w:bottom="1134" w:left="1134" w:header="709" w:footer="709" w:gutter="0"/>
          <w:cols w:space="708"/>
          <w:docGrid w:linePitch="360"/>
        </w:sectPr>
      </w:pPr>
    </w:p>
    <w:p w:rsidR="003B0DEE" w:rsidRDefault="003B0DEE" w:rsidP="000D5D90">
      <w:pPr>
        <w:pStyle w:val="Heading4"/>
      </w:pPr>
      <w:r>
        <w:lastRenderedPageBreak/>
        <w:t>Injecting risk behaviours</w:t>
      </w:r>
    </w:p>
    <w:p w:rsidR="003B0DEE" w:rsidRPr="00454539" w:rsidRDefault="003B0DEE" w:rsidP="000D5D90">
      <w:pPr>
        <w:pStyle w:val="BodyText"/>
        <w:rPr>
          <w:b/>
          <w:bCs/>
          <w:kern w:val="32"/>
        </w:rPr>
      </w:pPr>
      <w:r w:rsidRPr="00454539">
        <w:t xml:space="preserve">Injecting behaviour was a distinguishing feature of cluster five with more than half of people having injected (52.2%).  This group </w:t>
      </w:r>
      <w:r>
        <w:t>was</w:t>
      </w:r>
      <w:r w:rsidRPr="00454539">
        <w:t xml:space="preserve"> also the youngest to commence injecting (median age 19 years) (Table </w:t>
      </w:r>
      <w:r>
        <w:t>5-5</w:t>
      </w:r>
      <w:r w:rsidRPr="00454539">
        <w:t xml:space="preserve">).  Half of </w:t>
      </w:r>
      <w:r>
        <w:t>those in cluster one to four inclusive</w:t>
      </w:r>
      <w:r w:rsidRPr="00454539">
        <w:t xml:space="preserve"> started to inject within the first 12 months of opioid use</w:t>
      </w:r>
      <w:r>
        <w:t>.</w:t>
      </w:r>
      <w:r w:rsidRPr="00454539">
        <w:t xml:space="preserve"> </w:t>
      </w:r>
      <w:r>
        <w:t xml:space="preserve"> H</w:t>
      </w:r>
      <w:r w:rsidRPr="00454539">
        <w:t>owever</w:t>
      </w:r>
      <w:r>
        <w:t>,</w:t>
      </w:r>
      <w:r w:rsidRPr="00454539">
        <w:t xml:space="preserve"> </w:t>
      </w:r>
      <w:r>
        <w:t xml:space="preserve">those in </w:t>
      </w:r>
      <w:r w:rsidRPr="00454539">
        <w:t>cluster five were different with half commencing injecting within 24 months of first opioid use.  The median time interval between first injecting and commencing treatment was seven years for cluster five com</w:t>
      </w:r>
      <w:r>
        <w:t>pared to three years in cluster</w:t>
      </w:r>
      <w:r w:rsidRPr="00454539">
        <w:t xml:space="preserve"> two and four.  The percentage who were injecting at the time of treatment entry was highest in cluster two at 56.7% (Z=151.75, p=0.001).  The percentage of injectors who had shared injecting equipment ranged between 35.8% (cluster two) and 54.8% (cluster one) (Z=43.185, p&lt;0.001).</w:t>
      </w: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5C08E6" w:rsidRDefault="003B0DEE" w:rsidP="000D5D90">
      <w:pPr>
        <w:pStyle w:val="Caption"/>
        <w:spacing w:line="240" w:lineRule="auto"/>
      </w:pPr>
      <w:bookmarkStart w:id="93" w:name="_Toc15332002"/>
      <w:r>
        <w:lastRenderedPageBreak/>
        <w:t xml:space="preserve">Table </w:t>
      </w:r>
      <w:fldSimple w:instr=" STYLEREF 1 \s ">
        <w:r>
          <w:rPr>
            <w:noProof/>
          </w:rPr>
          <w:t>5</w:t>
        </w:r>
      </w:fldSimple>
      <w:r>
        <w:noBreakHyphen/>
      </w:r>
      <w:fldSimple w:instr=" SEQ Table \* ARABIC \s 1 ">
        <w:r>
          <w:rPr>
            <w:noProof/>
          </w:rPr>
          <w:t>5</w:t>
        </w:r>
      </w:fldSimple>
      <w:r>
        <w:t xml:space="preserve">  </w:t>
      </w:r>
      <w:r w:rsidRPr="005C08E6">
        <w:rPr>
          <w:b w:val="0"/>
        </w:rPr>
        <w:t xml:space="preserve">Injecting risk behaviours of first-time opioid treatment entrants, </w:t>
      </w:r>
      <w:r>
        <w:rPr>
          <w:b w:val="0"/>
        </w:rPr>
        <w:t>2009–2015</w:t>
      </w:r>
      <w:bookmarkEnd w:id="93"/>
    </w:p>
    <w:tbl>
      <w:tblPr>
        <w:tblW w:w="4537" w:type="pct"/>
        <w:tblBorders>
          <w:top w:val="single" w:sz="8" w:space="0" w:color="000000"/>
          <w:bottom w:val="single" w:sz="8" w:space="0" w:color="000000"/>
        </w:tblBorders>
        <w:tblLook w:val="04A0" w:firstRow="1" w:lastRow="0" w:firstColumn="1" w:lastColumn="0" w:noHBand="0" w:noVBand="1"/>
      </w:tblPr>
      <w:tblGrid>
        <w:gridCol w:w="4214"/>
        <w:gridCol w:w="1420"/>
        <w:gridCol w:w="1412"/>
        <w:gridCol w:w="1422"/>
        <w:gridCol w:w="1417"/>
        <w:gridCol w:w="1618"/>
        <w:gridCol w:w="24"/>
        <w:gridCol w:w="1868"/>
        <w:gridCol w:w="24"/>
      </w:tblGrid>
      <w:tr w:rsidR="003B0DEE" w:rsidRPr="005502B8" w:rsidTr="000D5D90">
        <w:trPr>
          <w:gridAfter w:val="1"/>
          <w:wAfter w:w="9" w:type="pct"/>
          <w:trHeight w:val="20"/>
        </w:trPr>
        <w:tc>
          <w:tcPr>
            <w:tcW w:w="1570" w:type="pct"/>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left"/>
              <w:rPr>
                <w:rFonts w:ascii="Arial" w:hAnsi="Arial" w:cs="Arial"/>
                <w:b/>
                <w:bCs/>
                <w:color w:val="000000"/>
                <w:sz w:val="20"/>
                <w:lang w:eastAsia="en-US"/>
              </w:rPr>
            </w:pPr>
          </w:p>
        </w:tc>
        <w:tc>
          <w:tcPr>
            <w:tcW w:w="2113" w:type="pct"/>
            <w:gridSpan w:val="4"/>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r w:rsidRPr="005502B8">
              <w:rPr>
                <w:rFonts w:ascii="Arial" w:hAnsi="Arial" w:cs="Arial"/>
                <w:b/>
                <w:bCs/>
                <w:color w:val="000000"/>
                <w:sz w:val="20"/>
                <w:lang w:eastAsia="en-US"/>
              </w:rPr>
              <w:t>Cluster</w:t>
            </w:r>
          </w:p>
        </w:tc>
        <w:tc>
          <w:tcPr>
            <w:tcW w:w="603" w:type="pct"/>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p>
        </w:tc>
        <w:tc>
          <w:tcPr>
            <w:tcW w:w="705" w:type="pct"/>
            <w:gridSpan w:val="2"/>
            <w:tcBorders>
              <w:top w:val="single" w:sz="8" w:space="0" w:color="000000"/>
              <w:left w:val="nil"/>
              <w:bottom w:val="single" w:sz="8" w:space="0" w:color="000000"/>
              <w:right w:val="nil"/>
            </w:tcBorders>
            <w:shd w:val="clear" w:color="auto" w:fill="auto"/>
          </w:tcPr>
          <w:p w:rsidR="003B0DEE" w:rsidRPr="005502B8" w:rsidRDefault="003B0DEE" w:rsidP="000D5D90">
            <w:pPr>
              <w:spacing w:line="240" w:lineRule="auto"/>
              <w:jc w:val="center"/>
              <w:rPr>
                <w:rFonts w:ascii="Arial" w:hAnsi="Arial" w:cs="Arial"/>
                <w:b/>
                <w:bCs/>
                <w:color w:val="000000"/>
                <w:sz w:val="20"/>
                <w:lang w:eastAsia="en-US"/>
              </w:rPr>
            </w:pPr>
            <w:r w:rsidRPr="005502B8">
              <w:rPr>
                <w:rFonts w:ascii="Arial" w:hAnsi="Arial" w:cs="Arial"/>
                <w:b/>
                <w:bCs/>
                <w:color w:val="000000"/>
                <w:sz w:val="20"/>
                <w:lang w:eastAsia="en-US"/>
              </w:rPr>
              <w:t>Significance test</w:t>
            </w:r>
          </w:p>
        </w:tc>
      </w:tr>
      <w:tr w:rsidR="003B0DEE" w:rsidRPr="005502B8" w:rsidTr="000D5D90">
        <w:trPr>
          <w:trHeight w:val="20"/>
        </w:trPr>
        <w:tc>
          <w:tcPr>
            <w:tcW w:w="1570" w:type="pct"/>
            <w:tcBorders>
              <w:left w:val="nil"/>
              <w:right w:val="nil"/>
            </w:tcBorders>
            <w:shd w:val="clear" w:color="auto" w:fill="FFFFFF"/>
          </w:tcPr>
          <w:p w:rsidR="003B0DEE" w:rsidRPr="005502B8" w:rsidRDefault="003B0DEE" w:rsidP="000D5D90">
            <w:pPr>
              <w:spacing w:line="240" w:lineRule="auto"/>
              <w:jc w:val="left"/>
              <w:rPr>
                <w:rFonts w:ascii="Arial" w:hAnsi="Arial" w:cs="Arial"/>
                <w:b/>
                <w:bCs/>
                <w:color w:val="000000"/>
                <w:sz w:val="20"/>
                <w:lang w:eastAsia="en-US"/>
              </w:rPr>
            </w:pPr>
          </w:p>
        </w:tc>
        <w:tc>
          <w:tcPr>
            <w:tcW w:w="529" w:type="pct"/>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1 (N=864)</w:t>
            </w:r>
          </w:p>
        </w:tc>
        <w:tc>
          <w:tcPr>
            <w:tcW w:w="526" w:type="pct"/>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2 (N=1594)</w:t>
            </w:r>
          </w:p>
        </w:tc>
        <w:tc>
          <w:tcPr>
            <w:tcW w:w="530" w:type="pct"/>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3 (N=1123)</w:t>
            </w:r>
          </w:p>
        </w:tc>
        <w:tc>
          <w:tcPr>
            <w:tcW w:w="528" w:type="pct"/>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4 (N=1766)</w:t>
            </w:r>
          </w:p>
        </w:tc>
        <w:tc>
          <w:tcPr>
            <w:tcW w:w="612" w:type="pct"/>
            <w:gridSpan w:val="2"/>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5 (N=2586)</w:t>
            </w:r>
          </w:p>
        </w:tc>
        <w:tc>
          <w:tcPr>
            <w:tcW w:w="705" w:type="pct"/>
            <w:gridSpan w:val="2"/>
            <w:tcBorders>
              <w:left w:val="nil"/>
              <w:right w:val="nil"/>
            </w:tcBorders>
            <w:shd w:val="clear" w:color="auto" w:fill="FFFFFF"/>
          </w:tcPr>
          <w:p w:rsidR="003B0DEE" w:rsidRPr="005502B8" w:rsidRDefault="003B0DEE" w:rsidP="000D5D90">
            <w:pPr>
              <w:spacing w:line="240" w:lineRule="auto"/>
              <w:jc w:val="center"/>
              <w:rPr>
                <w:rFonts w:ascii="Arial" w:hAnsi="Arial" w:cs="Arial"/>
                <w:b/>
                <w:color w:val="000000"/>
                <w:sz w:val="20"/>
                <w:lang w:eastAsia="en-US"/>
              </w:rPr>
            </w:pPr>
            <w:r w:rsidRPr="005502B8">
              <w:rPr>
                <w:rFonts w:ascii="Arial" w:hAnsi="Arial" w:cs="Arial"/>
                <w:b/>
                <w:color w:val="000000"/>
                <w:sz w:val="20"/>
                <w:lang w:eastAsia="en-US"/>
              </w:rPr>
              <w:t>U / Z (p)</w:t>
            </w:r>
          </w:p>
        </w:tc>
      </w:tr>
      <w:tr w:rsidR="003B0DEE" w:rsidRPr="005502B8" w:rsidTr="000D5D90">
        <w:trPr>
          <w:trHeight w:val="20"/>
        </w:trPr>
        <w:tc>
          <w:tcPr>
            <w:tcW w:w="1570" w:type="pct"/>
            <w:tcBorders>
              <w:top w:val="nil"/>
            </w:tcBorders>
            <w:shd w:val="clear" w:color="auto" w:fill="D9D9D9"/>
            <w:vAlign w:val="bottom"/>
          </w:tcPr>
          <w:p w:rsidR="003B0DEE" w:rsidRPr="005502B8" w:rsidRDefault="003B0DEE" w:rsidP="000D5D90">
            <w:pPr>
              <w:spacing w:line="240" w:lineRule="auto"/>
              <w:jc w:val="left"/>
              <w:rPr>
                <w:rFonts w:ascii="Arial" w:hAnsi="Arial" w:cs="Arial"/>
                <w:b/>
                <w:bCs/>
                <w:color w:val="000000"/>
                <w:sz w:val="20"/>
                <w:lang w:eastAsia="en-US"/>
              </w:rPr>
            </w:pPr>
            <w:r w:rsidRPr="005502B8">
              <w:rPr>
                <w:rFonts w:ascii="Arial" w:hAnsi="Arial" w:cs="Arial"/>
                <w:b/>
                <w:bCs/>
                <w:sz w:val="20"/>
                <w:lang w:eastAsia="en-US"/>
              </w:rPr>
              <w:t>Injecting</w:t>
            </w:r>
          </w:p>
        </w:tc>
        <w:tc>
          <w:tcPr>
            <w:tcW w:w="529" w:type="pct"/>
            <w:tcBorders>
              <w:top w:val="nil"/>
              <w:bottom w:val="nil"/>
            </w:tcBorders>
            <w:shd w:val="clear" w:color="auto" w:fill="D9D9D9"/>
            <w:vAlign w:val="center"/>
          </w:tcPr>
          <w:p w:rsidR="003B0DEE" w:rsidRPr="005502B8" w:rsidRDefault="003B0DEE" w:rsidP="000D5D90">
            <w:pPr>
              <w:spacing w:line="240" w:lineRule="auto"/>
              <w:rPr>
                <w:rFonts w:ascii="Arial" w:hAnsi="Arial" w:cs="Arial"/>
                <w:color w:val="000000"/>
                <w:sz w:val="20"/>
                <w:lang w:eastAsia="en-US"/>
              </w:rPr>
            </w:pPr>
          </w:p>
        </w:tc>
        <w:tc>
          <w:tcPr>
            <w:tcW w:w="526" w:type="pct"/>
            <w:tcBorders>
              <w:top w:val="nil"/>
            </w:tcBorders>
            <w:shd w:val="clear" w:color="auto" w:fill="D9D9D9"/>
            <w:vAlign w:val="center"/>
          </w:tcPr>
          <w:p w:rsidR="003B0DEE" w:rsidRPr="005502B8" w:rsidRDefault="003B0DEE" w:rsidP="000D5D90">
            <w:pPr>
              <w:spacing w:line="240" w:lineRule="auto"/>
              <w:rPr>
                <w:rFonts w:ascii="Arial" w:hAnsi="Arial" w:cs="Arial"/>
                <w:color w:val="000000"/>
                <w:sz w:val="20"/>
                <w:lang w:eastAsia="en-US"/>
              </w:rPr>
            </w:pPr>
          </w:p>
        </w:tc>
        <w:tc>
          <w:tcPr>
            <w:tcW w:w="530" w:type="pct"/>
            <w:tcBorders>
              <w:top w:val="nil"/>
              <w:bottom w:val="nil"/>
            </w:tcBorders>
            <w:shd w:val="clear" w:color="auto" w:fill="D9D9D9"/>
            <w:vAlign w:val="center"/>
          </w:tcPr>
          <w:p w:rsidR="003B0DEE" w:rsidRPr="005502B8" w:rsidRDefault="003B0DEE" w:rsidP="000D5D90">
            <w:pPr>
              <w:spacing w:line="240" w:lineRule="auto"/>
              <w:rPr>
                <w:rFonts w:ascii="Arial" w:hAnsi="Arial" w:cs="Arial"/>
                <w:color w:val="000000"/>
                <w:sz w:val="20"/>
                <w:lang w:eastAsia="en-US"/>
              </w:rPr>
            </w:pPr>
          </w:p>
        </w:tc>
        <w:tc>
          <w:tcPr>
            <w:tcW w:w="528" w:type="pct"/>
            <w:tcBorders>
              <w:top w:val="nil"/>
            </w:tcBorders>
            <w:shd w:val="clear" w:color="auto" w:fill="D9D9D9"/>
            <w:vAlign w:val="center"/>
          </w:tcPr>
          <w:p w:rsidR="003B0DEE" w:rsidRPr="005502B8" w:rsidRDefault="003B0DEE" w:rsidP="000D5D90">
            <w:pPr>
              <w:spacing w:line="240" w:lineRule="auto"/>
              <w:rPr>
                <w:rFonts w:ascii="Arial" w:hAnsi="Arial" w:cs="Arial"/>
                <w:color w:val="000000"/>
                <w:sz w:val="20"/>
                <w:lang w:eastAsia="en-US"/>
              </w:rPr>
            </w:pPr>
          </w:p>
        </w:tc>
        <w:tc>
          <w:tcPr>
            <w:tcW w:w="612" w:type="pct"/>
            <w:gridSpan w:val="2"/>
            <w:tcBorders>
              <w:top w:val="nil"/>
              <w:bottom w:val="nil"/>
            </w:tcBorders>
            <w:shd w:val="clear" w:color="auto" w:fill="D9D9D9"/>
            <w:vAlign w:val="center"/>
          </w:tcPr>
          <w:p w:rsidR="003B0DEE" w:rsidRPr="005502B8" w:rsidRDefault="003B0DEE" w:rsidP="000D5D90">
            <w:pPr>
              <w:spacing w:line="240" w:lineRule="auto"/>
              <w:rPr>
                <w:rFonts w:ascii="Arial" w:hAnsi="Arial" w:cs="Arial"/>
                <w:color w:val="000000"/>
                <w:sz w:val="20"/>
                <w:lang w:eastAsia="en-US"/>
              </w:rPr>
            </w:pPr>
          </w:p>
        </w:tc>
        <w:tc>
          <w:tcPr>
            <w:tcW w:w="705" w:type="pct"/>
            <w:gridSpan w:val="2"/>
            <w:tcBorders>
              <w:top w:val="nil"/>
            </w:tcBorders>
            <w:shd w:val="clear" w:color="auto" w:fill="D9D9D9"/>
          </w:tcPr>
          <w:p w:rsidR="003B0DEE" w:rsidRPr="005502B8" w:rsidRDefault="003B0DEE" w:rsidP="000D5D90">
            <w:pPr>
              <w:spacing w:line="240" w:lineRule="auto"/>
              <w:rPr>
                <w:rFonts w:ascii="Arial" w:hAnsi="Arial" w:cs="Arial"/>
                <w:color w:val="000000"/>
                <w:sz w:val="20"/>
                <w:lang w:eastAsia="en-US"/>
              </w:rPr>
            </w:pPr>
          </w:p>
        </w:tc>
      </w:tr>
      <w:tr w:rsidR="003B0DEE" w:rsidRPr="005502B8" w:rsidTr="000D5D90">
        <w:trPr>
          <w:trHeight w:val="20"/>
        </w:trPr>
        <w:tc>
          <w:tcPr>
            <w:tcW w:w="1570" w:type="pct"/>
            <w:tcBorders>
              <w:top w:val="nil"/>
              <w:left w:val="nil"/>
              <w:right w:val="nil"/>
            </w:tcBorders>
            <w:shd w:val="clear" w:color="auto" w:fill="FFFFFF"/>
            <w:vAlign w:val="bottom"/>
          </w:tcPr>
          <w:p w:rsidR="003B0DEE" w:rsidRPr="005502B8" w:rsidRDefault="003B0DEE" w:rsidP="000D5D90">
            <w:pPr>
              <w:spacing w:line="240" w:lineRule="auto"/>
              <w:jc w:val="left"/>
              <w:rPr>
                <w:rFonts w:ascii="Arial" w:hAnsi="Arial" w:cs="Arial"/>
                <w:b/>
                <w:bCs/>
                <w:sz w:val="20"/>
                <w:lang w:eastAsia="en-US"/>
              </w:rPr>
            </w:pPr>
            <w:r w:rsidRPr="005502B8">
              <w:rPr>
                <w:rFonts w:ascii="Arial" w:hAnsi="Arial" w:cs="Arial"/>
                <w:b/>
                <w:bCs/>
                <w:color w:val="000000"/>
                <w:sz w:val="20"/>
                <w:lang w:eastAsia="en-US"/>
              </w:rPr>
              <w:t>Ever injected</w:t>
            </w:r>
          </w:p>
        </w:tc>
        <w:tc>
          <w:tcPr>
            <w:tcW w:w="529"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104 (12.0%)</w:t>
            </w:r>
          </w:p>
        </w:tc>
        <w:tc>
          <w:tcPr>
            <w:tcW w:w="526"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726 (45.5%)</w:t>
            </w:r>
          </w:p>
        </w:tc>
        <w:tc>
          <w:tcPr>
            <w:tcW w:w="530"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520 (46.3%)</w:t>
            </w:r>
          </w:p>
        </w:tc>
        <w:tc>
          <w:tcPr>
            <w:tcW w:w="528" w:type="pct"/>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822 (46.5%)</w:t>
            </w:r>
          </w:p>
        </w:tc>
        <w:tc>
          <w:tcPr>
            <w:tcW w:w="612" w:type="pct"/>
            <w:gridSpan w:val="2"/>
            <w:tcBorders>
              <w:top w:val="nil"/>
              <w:left w:val="nil"/>
              <w:right w:val="nil"/>
            </w:tcBorders>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1350 (52.2%)</w:t>
            </w:r>
          </w:p>
        </w:tc>
        <w:tc>
          <w:tcPr>
            <w:tcW w:w="705" w:type="pct"/>
            <w:gridSpan w:val="2"/>
            <w:tcBorders>
              <w:top w:val="nil"/>
              <w:left w:val="nil"/>
              <w:right w:val="nil"/>
            </w:tcBorders>
            <w:shd w:val="clear" w:color="auto" w:fill="FFFFFF"/>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518.317 (p&lt;0.001)</w:t>
            </w: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sz w:val="20"/>
                <w:lang w:eastAsia="en-US"/>
              </w:rPr>
            </w:pPr>
            <w:r w:rsidRPr="000806DA">
              <w:rPr>
                <w:rFonts w:ascii="Arial" w:hAnsi="Arial" w:cs="Arial"/>
                <w:bCs/>
                <w:color w:val="000000"/>
                <w:sz w:val="20"/>
                <w:lang w:eastAsia="en-US"/>
              </w:rPr>
              <w:t>Median (Range) age first injected (years)</w:t>
            </w:r>
            <w:r w:rsidRPr="000806DA">
              <w:rPr>
                <w:rFonts w:ascii="Arial" w:hAnsi="Arial" w:cs="Arial"/>
                <w:color w:val="000000"/>
                <w:sz w:val="20"/>
                <w:szCs w:val="22"/>
              </w:rPr>
              <w:t xml:space="preserve"> </w:t>
            </w:r>
            <w:r w:rsidRPr="00390AB6">
              <w:rPr>
                <w:rFonts w:ascii="Arial" w:hAnsi="Arial" w:cs="Arial"/>
                <w:color w:val="000000"/>
                <w:sz w:val="20"/>
                <w:szCs w:val="22"/>
                <w:vertAlign w:val="superscript"/>
              </w:rPr>
              <w:t>†</w:t>
            </w:r>
            <w:r w:rsidRPr="000806DA">
              <w:rPr>
                <w:rFonts w:ascii="Arial" w:hAnsi="Arial" w:cs="Arial"/>
                <w:color w:val="000000"/>
                <w:sz w:val="20"/>
                <w:szCs w:val="22"/>
              </w:rPr>
              <w:t xml:space="preserve"> </w:t>
            </w:r>
            <w:r w:rsidRPr="000806DA">
              <w:rPr>
                <w:rFonts w:ascii="Arial" w:hAnsi="Arial" w:cs="Arial"/>
                <w:bCs/>
                <w:color w:val="000000"/>
                <w:sz w:val="20"/>
                <w:lang w:eastAsia="en-US"/>
              </w:rPr>
              <w:t>*</w:t>
            </w:r>
          </w:p>
        </w:tc>
        <w:tc>
          <w:tcPr>
            <w:tcW w:w="529"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22 (15-38)</w:t>
            </w:r>
          </w:p>
        </w:tc>
        <w:tc>
          <w:tcPr>
            <w:tcW w:w="526"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27 (19-35)</w:t>
            </w:r>
          </w:p>
        </w:tc>
        <w:tc>
          <w:tcPr>
            <w:tcW w:w="530"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29 (13-42)</w:t>
            </w:r>
          </w:p>
        </w:tc>
        <w:tc>
          <w:tcPr>
            <w:tcW w:w="528" w:type="pct"/>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23 (20-30)</w:t>
            </w:r>
          </w:p>
        </w:tc>
        <w:tc>
          <w:tcPr>
            <w:tcW w:w="612" w:type="pct"/>
            <w:gridSpan w:val="2"/>
            <w:shd w:val="clear" w:color="auto" w:fill="FFFFFF"/>
            <w:vAlign w:val="center"/>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19 (16-27)</w:t>
            </w:r>
          </w:p>
        </w:tc>
        <w:tc>
          <w:tcPr>
            <w:tcW w:w="705" w:type="pct"/>
            <w:gridSpan w:val="2"/>
            <w:shd w:val="clear" w:color="auto" w:fill="FFFFFF"/>
          </w:tcPr>
          <w:p w:rsidR="003B0DEE" w:rsidRPr="005502B8" w:rsidRDefault="003B0DEE" w:rsidP="000D5D90">
            <w:pPr>
              <w:spacing w:line="240" w:lineRule="auto"/>
              <w:jc w:val="right"/>
              <w:rPr>
                <w:rFonts w:ascii="Arial" w:hAnsi="Arial" w:cs="Arial"/>
                <w:sz w:val="20"/>
                <w:lang w:eastAsia="en-US"/>
              </w:rPr>
            </w:pPr>
            <w:r w:rsidRPr="005502B8">
              <w:rPr>
                <w:rFonts w:ascii="Arial" w:hAnsi="Arial" w:cs="Arial"/>
                <w:color w:val="000000"/>
                <w:sz w:val="20"/>
                <w:lang w:eastAsia="en-US"/>
              </w:rPr>
              <w:t>741.441 (p&lt;0.001)</w:t>
            </w: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p>
        </w:tc>
        <w:tc>
          <w:tcPr>
            <w:tcW w:w="52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Median (Range) time lag between first used</w:t>
            </w:r>
          </w:p>
        </w:tc>
        <w:tc>
          <w:tcPr>
            <w:tcW w:w="529"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 (0-13)</w:t>
            </w:r>
          </w:p>
        </w:tc>
        <w:tc>
          <w:tcPr>
            <w:tcW w:w="526"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 (0-7)</w:t>
            </w:r>
          </w:p>
        </w:tc>
        <w:tc>
          <w:tcPr>
            <w:tcW w:w="530"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 (0-12)</w:t>
            </w:r>
          </w:p>
        </w:tc>
        <w:tc>
          <w:tcPr>
            <w:tcW w:w="528" w:type="pct"/>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1.00 (0-8)</w:t>
            </w:r>
          </w:p>
        </w:tc>
        <w:tc>
          <w:tcPr>
            <w:tcW w:w="612" w:type="pct"/>
            <w:gridSpan w:val="2"/>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2.00 (0-11)</w:t>
            </w:r>
          </w:p>
        </w:tc>
        <w:tc>
          <w:tcPr>
            <w:tcW w:w="705" w:type="pct"/>
            <w:gridSpan w:val="2"/>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16.649 (p=0.002)</w:t>
            </w: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Pr>
                <w:rFonts w:ascii="Arial" w:hAnsi="Arial" w:cs="Arial"/>
                <w:bCs/>
                <w:color w:val="000000"/>
                <w:sz w:val="20"/>
                <w:lang w:eastAsia="en-US"/>
              </w:rPr>
              <w:t>opioid</w:t>
            </w:r>
            <w:r w:rsidRPr="000806DA">
              <w:rPr>
                <w:rFonts w:ascii="Arial" w:hAnsi="Arial" w:cs="Arial"/>
                <w:bCs/>
                <w:color w:val="000000"/>
                <w:sz w:val="20"/>
                <w:lang w:eastAsia="en-US"/>
              </w:rPr>
              <w:t>s and commencing  injecting (years)</w:t>
            </w:r>
            <w:r w:rsidRPr="000806DA">
              <w:rPr>
                <w:rFonts w:ascii="Arial" w:hAnsi="Arial" w:cs="Arial"/>
                <w:bCs/>
                <w:color w:val="000000"/>
                <w:sz w:val="20"/>
                <w:vertAlign w:val="superscript"/>
                <w:lang w:eastAsia="en-US"/>
              </w:rPr>
              <w:t>+*Ψ</w:t>
            </w:r>
          </w:p>
        </w:tc>
        <w:tc>
          <w:tcPr>
            <w:tcW w:w="52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p>
        </w:tc>
        <w:tc>
          <w:tcPr>
            <w:tcW w:w="529"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Median (Range) time lag between</w:t>
            </w:r>
          </w:p>
        </w:tc>
        <w:tc>
          <w:tcPr>
            <w:tcW w:w="529"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 (0-28)</w:t>
            </w:r>
          </w:p>
        </w:tc>
        <w:tc>
          <w:tcPr>
            <w:tcW w:w="526"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 (0-16)</w:t>
            </w:r>
          </w:p>
        </w:tc>
        <w:tc>
          <w:tcPr>
            <w:tcW w:w="530"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 (0-22)</w:t>
            </w:r>
          </w:p>
        </w:tc>
        <w:tc>
          <w:tcPr>
            <w:tcW w:w="528" w:type="pct"/>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 (0-18)</w:t>
            </w:r>
          </w:p>
        </w:tc>
        <w:tc>
          <w:tcPr>
            <w:tcW w:w="612" w:type="pct"/>
            <w:gridSpan w:val="2"/>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 (0-22)</w:t>
            </w:r>
          </w:p>
        </w:tc>
        <w:tc>
          <w:tcPr>
            <w:tcW w:w="705" w:type="pct"/>
            <w:gridSpan w:val="2"/>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116.249 (p&lt;0.001)</w:t>
            </w: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commencing injecting and seeking treatment</w:t>
            </w:r>
          </w:p>
        </w:tc>
        <w:tc>
          <w:tcPr>
            <w:tcW w:w="529"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(years)</w:t>
            </w:r>
            <w:r w:rsidRPr="000806DA">
              <w:rPr>
                <w:rFonts w:ascii="Arial" w:hAnsi="Arial" w:cs="Arial"/>
                <w:bCs/>
                <w:color w:val="000000"/>
                <w:sz w:val="20"/>
                <w:vertAlign w:val="superscript"/>
                <w:lang w:eastAsia="en-US"/>
              </w:rPr>
              <w:t>+*Ψ</w:t>
            </w:r>
          </w:p>
        </w:tc>
        <w:tc>
          <w:tcPr>
            <w:tcW w:w="52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shd w:val="clear" w:color="auto" w:fill="FFFFFF"/>
            <w:vAlign w:val="bottom"/>
          </w:tcPr>
          <w:p w:rsidR="003B0DEE" w:rsidRDefault="003B0DEE" w:rsidP="000D5D90">
            <w:pPr>
              <w:spacing w:line="240" w:lineRule="auto"/>
              <w:jc w:val="left"/>
              <w:rPr>
                <w:rFonts w:ascii="Arial" w:hAnsi="Arial" w:cs="Arial"/>
                <w:bCs/>
                <w:color w:val="000000"/>
                <w:sz w:val="20"/>
                <w:lang w:eastAsia="en-US"/>
              </w:rPr>
            </w:pPr>
          </w:p>
        </w:tc>
        <w:tc>
          <w:tcPr>
            <w:tcW w:w="529"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tcBorders>
              <w:left w:val="nil"/>
              <w:right w:val="nil"/>
            </w:tcBorders>
            <w:shd w:val="clear" w:color="auto" w:fill="FFFFFF"/>
            <w:vAlign w:val="bottom"/>
          </w:tcPr>
          <w:p w:rsidR="003B0DEE" w:rsidRPr="005502B8" w:rsidRDefault="003B0DEE" w:rsidP="000D5D90">
            <w:pPr>
              <w:spacing w:line="240" w:lineRule="auto"/>
              <w:jc w:val="left"/>
              <w:rPr>
                <w:rFonts w:ascii="Arial" w:hAnsi="Arial" w:cs="Arial"/>
                <w:b/>
                <w:bCs/>
                <w:color w:val="000000"/>
                <w:sz w:val="20"/>
                <w:lang w:eastAsia="en-US"/>
              </w:rPr>
            </w:pPr>
            <w:r w:rsidRPr="005502B8">
              <w:rPr>
                <w:rFonts w:ascii="Arial" w:hAnsi="Arial" w:cs="Arial"/>
                <w:b/>
                <w:bCs/>
                <w:color w:val="000000"/>
                <w:sz w:val="20"/>
                <w:lang w:eastAsia="en-US"/>
              </w:rPr>
              <w:t>Currently injecting</w:t>
            </w:r>
            <w:r w:rsidRPr="005502B8">
              <w:rPr>
                <w:rFonts w:ascii="Arial" w:hAnsi="Arial" w:cs="Arial"/>
                <w:b/>
                <w:bCs/>
                <w:color w:val="000000"/>
                <w:sz w:val="20"/>
                <w:vertAlign w:val="superscript"/>
                <w:lang w:eastAsia="en-US"/>
              </w:rPr>
              <w:t>+</w:t>
            </w:r>
          </w:p>
        </w:tc>
        <w:tc>
          <w:tcPr>
            <w:tcW w:w="529"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 (10.6%)</w:t>
            </w:r>
          </w:p>
        </w:tc>
        <w:tc>
          <w:tcPr>
            <w:tcW w:w="526"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412 (56.7%)</w:t>
            </w:r>
          </w:p>
        </w:tc>
        <w:tc>
          <w:tcPr>
            <w:tcW w:w="53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221 (42.5%)</w:t>
            </w:r>
          </w:p>
        </w:tc>
        <w:tc>
          <w:tcPr>
            <w:tcW w:w="528"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412(50.1%)</w:t>
            </w:r>
          </w:p>
        </w:tc>
        <w:tc>
          <w:tcPr>
            <w:tcW w:w="612" w:type="pct"/>
            <w:gridSpan w:val="2"/>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577(42.7%)</w:t>
            </w:r>
          </w:p>
        </w:tc>
        <w:tc>
          <w:tcPr>
            <w:tcW w:w="705" w:type="pct"/>
            <w:gridSpan w:val="2"/>
            <w:tcBorders>
              <w:left w:val="nil"/>
              <w:right w:val="nil"/>
            </w:tcBorders>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151.750 (p&lt;0.001)</w:t>
            </w: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For current injectors: median (Range) time</w:t>
            </w:r>
          </w:p>
        </w:tc>
        <w:tc>
          <w:tcPr>
            <w:tcW w:w="529"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12 (0-28)</w:t>
            </w:r>
          </w:p>
        </w:tc>
        <w:tc>
          <w:tcPr>
            <w:tcW w:w="526"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 (0-16)</w:t>
            </w:r>
          </w:p>
        </w:tc>
        <w:tc>
          <w:tcPr>
            <w:tcW w:w="530"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6 (0-22)</w:t>
            </w:r>
          </w:p>
        </w:tc>
        <w:tc>
          <w:tcPr>
            <w:tcW w:w="528" w:type="pct"/>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3 (0-18)</w:t>
            </w:r>
          </w:p>
        </w:tc>
        <w:tc>
          <w:tcPr>
            <w:tcW w:w="612" w:type="pct"/>
            <w:gridSpan w:val="2"/>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7 (0-22)</w:t>
            </w:r>
          </w:p>
        </w:tc>
        <w:tc>
          <w:tcPr>
            <w:tcW w:w="705" w:type="pct"/>
            <w:gridSpan w:val="2"/>
            <w:shd w:val="clear" w:color="auto" w:fill="FFFFFF"/>
          </w:tcPr>
          <w:p w:rsidR="003B0DEE" w:rsidRPr="005502B8" w:rsidRDefault="003B0DEE" w:rsidP="000D5D90">
            <w:pPr>
              <w:spacing w:line="240" w:lineRule="auto"/>
              <w:jc w:val="right"/>
              <w:rPr>
                <w:rFonts w:ascii="Arial" w:hAnsi="Arial" w:cs="Arial"/>
                <w:color w:val="000000"/>
                <w:sz w:val="20"/>
                <w:lang w:eastAsia="en-US"/>
              </w:rPr>
            </w:pPr>
            <w:r w:rsidRPr="005502B8">
              <w:rPr>
                <w:rFonts w:ascii="Arial" w:hAnsi="Arial" w:cs="Arial"/>
                <w:color w:val="000000"/>
                <w:sz w:val="20"/>
                <w:lang w:eastAsia="en-US"/>
              </w:rPr>
              <w:t>116.249 (p&lt;0.001)</w:t>
            </w: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 xml:space="preserve">lag between commencing injecting and </w:t>
            </w:r>
          </w:p>
        </w:tc>
        <w:tc>
          <w:tcPr>
            <w:tcW w:w="52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r w:rsidRPr="000806DA">
              <w:rPr>
                <w:rFonts w:ascii="Arial" w:hAnsi="Arial" w:cs="Arial"/>
                <w:bCs/>
                <w:color w:val="000000"/>
                <w:sz w:val="20"/>
                <w:lang w:eastAsia="en-US"/>
              </w:rPr>
              <w:t>seeking treatment (years)</w:t>
            </w:r>
            <w:r w:rsidRPr="000806DA">
              <w:rPr>
                <w:rFonts w:ascii="Arial" w:hAnsi="Arial" w:cs="Arial"/>
                <w:bCs/>
                <w:color w:val="000000"/>
                <w:sz w:val="20"/>
                <w:vertAlign w:val="superscript"/>
                <w:lang w:eastAsia="en-US"/>
              </w:rPr>
              <w:t>+*Ψ</w:t>
            </w:r>
          </w:p>
        </w:tc>
        <w:tc>
          <w:tcPr>
            <w:tcW w:w="529"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color w:val="000000"/>
                <w:sz w:val="20"/>
                <w:lang w:eastAsia="en-US"/>
              </w:rPr>
            </w:pPr>
          </w:p>
        </w:tc>
        <w:tc>
          <w:tcPr>
            <w:tcW w:w="529"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6"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30"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528" w:type="pct"/>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612"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color w:val="000000"/>
                <w:sz w:val="20"/>
                <w:lang w:eastAsia="en-US"/>
              </w:rPr>
            </w:pPr>
          </w:p>
        </w:tc>
      </w:tr>
      <w:tr w:rsidR="003B0DEE" w:rsidRPr="005502B8" w:rsidTr="000D5D90">
        <w:trPr>
          <w:trHeight w:val="20"/>
        </w:trPr>
        <w:tc>
          <w:tcPr>
            <w:tcW w:w="1570" w:type="pct"/>
            <w:shd w:val="clear" w:color="auto" w:fill="D9D9D9"/>
            <w:vAlign w:val="bottom"/>
          </w:tcPr>
          <w:p w:rsidR="003B0DEE" w:rsidRPr="005502B8" w:rsidRDefault="003B0DEE" w:rsidP="000D5D90">
            <w:pPr>
              <w:spacing w:line="240" w:lineRule="auto"/>
              <w:jc w:val="left"/>
              <w:rPr>
                <w:rFonts w:ascii="Arial" w:hAnsi="Arial" w:cs="Arial"/>
                <w:b/>
                <w:bCs/>
                <w:sz w:val="20"/>
                <w:lang w:eastAsia="en-US"/>
              </w:rPr>
            </w:pPr>
            <w:r w:rsidRPr="005502B8">
              <w:rPr>
                <w:rFonts w:ascii="Arial" w:hAnsi="Arial" w:cs="Arial"/>
                <w:b/>
                <w:bCs/>
                <w:color w:val="000000"/>
                <w:sz w:val="20"/>
                <w:lang w:eastAsia="en-US"/>
              </w:rPr>
              <w:t>Sharing injecting equipment</w:t>
            </w:r>
          </w:p>
        </w:tc>
        <w:tc>
          <w:tcPr>
            <w:tcW w:w="529" w:type="pct"/>
            <w:shd w:val="clear" w:color="auto" w:fill="D9D9D9"/>
            <w:vAlign w:val="bottom"/>
          </w:tcPr>
          <w:p w:rsidR="003B0DEE" w:rsidRPr="005502B8" w:rsidRDefault="003B0DEE" w:rsidP="000D5D90">
            <w:pPr>
              <w:spacing w:line="240" w:lineRule="auto"/>
              <w:jc w:val="right"/>
              <w:rPr>
                <w:rFonts w:ascii="Arial" w:hAnsi="Arial" w:cs="Arial"/>
                <w:b/>
                <w:sz w:val="20"/>
                <w:lang w:eastAsia="en-US"/>
              </w:rPr>
            </w:pPr>
            <w:r w:rsidRPr="005502B8">
              <w:rPr>
                <w:rFonts w:ascii="Arial" w:hAnsi="Arial" w:cs="Arial"/>
                <w:b/>
                <w:bCs/>
                <w:color w:val="000000"/>
                <w:sz w:val="20"/>
                <w:lang w:eastAsia="en-US"/>
              </w:rPr>
              <w:t> </w:t>
            </w:r>
          </w:p>
        </w:tc>
        <w:tc>
          <w:tcPr>
            <w:tcW w:w="526" w:type="pct"/>
            <w:shd w:val="clear" w:color="auto" w:fill="D9D9D9"/>
            <w:vAlign w:val="bottom"/>
          </w:tcPr>
          <w:p w:rsidR="003B0DEE" w:rsidRPr="005502B8" w:rsidRDefault="003B0DEE" w:rsidP="000D5D90">
            <w:pPr>
              <w:spacing w:line="240" w:lineRule="auto"/>
              <w:jc w:val="right"/>
              <w:rPr>
                <w:rFonts w:ascii="Arial" w:hAnsi="Arial" w:cs="Arial"/>
                <w:b/>
                <w:sz w:val="20"/>
                <w:lang w:eastAsia="en-US"/>
              </w:rPr>
            </w:pPr>
            <w:r w:rsidRPr="005502B8">
              <w:rPr>
                <w:rFonts w:ascii="Arial" w:hAnsi="Arial" w:cs="Arial"/>
                <w:b/>
                <w:bCs/>
                <w:color w:val="000000"/>
                <w:sz w:val="20"/>
                <w:lang w:eastAsia="en-US"/>
              </w:rPr>
              <w:t> </w:t>
            </w:r>
          </w:p>
        </w:tc>
        <w:tc>
          <w:tcPr>
            <w:tcW w:w="530" w:type="pct"/>
            <w:shd w:val="clear" w:color="auto" w:fill="D9D9D9"/>
            <w:vAlign w:val="bottom"/>
          </w:tcPr>
          <w:p w:rsidR="003B0DEE" w:rsidRPr="005502B8" w:rsidRDefault="003B0DEE" w:rsidP="000D5D90">
            <w:pPr>
              <w:spacing w:line="240" w:lineRule="auto"/>
              <w:jc w:val="right"/>
              <w:rPr>
                <w:rFonts w:ascii="Arial" w:hAnsi="Arial" w:cs="Arial"/>
                <w:b/>
                <w:sz w:val="20"/>
                <w:lang w:eastAsia="en-US"/>
              </w:rPr>
            </w:pPr>
            <w:r w:rsidRPr="005502B8">
              <w:rPr>
                <w:rFonts w:ascii="Arial" w:hAnsi="Arial" w:cs="Arial"/>
                <w:b/>
                <w:bCs/>
                <w:color w:val="000000"/>
                <w:sz w:val="20"/>
                <w:lang w:eastAsia="en-US"/>
              </w:rPr>
              <w:t> </w:t>
            </w:r>
          </w:p>
        </w:tc>
        <w:tc>
          <w:tcPr>
            <w:tcW w:w="528" w:type="pct"/>
            <w:shd w:val="clear" w:color="auto" w:fill="D9D9D9"/>
            <w:vAlign w:val="bottom"/>
          </w:tcPr>
          <w:p w:rsidR="003B0DEE" w:rsidRPr="005502B8" w:rsidRDefault="003B0DEE" w:rsidP="000D5D90">
            <w:pPr>
              <w:spacing w:line="240" w:lineRule="auto"/>
              <w:jc w:val="right"/>
              <w:rPr>
                <w:rFonts w:ascii="Arial" w:hAnsi="Arial" w:cs="Arial"/>
                <w:b/>
                <w:sz w:val="20"/>
                <w:lang w:eastAsia="en-US"/>
              </w:rPr>
            </w:pPr>
            <w:r w:rsidRPr="005502B8">
              <w:rPr>
                <w:rFonts w:ascii="Arial" w:hAnsi="Arial" w:cs="Arial"/>
                <w:b/>
                <w:bCs/>
                <w:color w:val="000000"/>
                <w:sz w:val="20"/>
                <w:lang w:eastAsia="en-US"/>
              </w:rPr>
              <w:t> </w:t>
            </w:r>
          </w:p>
        </w:tc>
        <w:tc>
          <w:tcPr>
            <w:tcW w:w="612" w:type="pct"/>
            <w:gridSpan w:val="2"/>
            <w:shd w:val="clear" w:color="auto" w:fill="D9D9D9"/>
            <w:vAlign w:val="bottom"/>
          </w:tcPr>
          <w:p w:rsidR="003B0DEE" w:rsidRPr="005502B8" w:rsidRDefault="003B0DEE" w:rsidP="000D5D90">
            <w:pPr>
              <w:spacing w:line="240" w:lineRule="auto"/>
              <w:jc w:val="right"/>
              <w:rPr>
                <w:rFonts w:ascii="Arial" w:hAnsi="Arial" w:cs="Arial"/>
                <w:b/>
                <w:sz w:val="20"/>
                <w:lang w:eastAsia="en-US"/>
              </w:rPr>
            </w:pPr>
            <w:r w:rsidRPr="005502B8">
              <w:rPr>
                <w:rFonts w:ascii="Arial" w:hAnsi="Arial" w:cs="Arial"/>
                <w:b/>
                <w:bCs/>
                <w:color w:val="000000"/>
                <w:sz w:val="20"/>
                <w:lang w:eastAsia="en-US"/>
              </w:rPr>
              <w:t> </w:t>
            </w:r>
          </w:p>
        </w:tc>
        <w:tc>
          <w:tcPr>
            <w:tcW w:w="705" w:type="pct"/>
            <w:gridSpan w:val="2"/>
            <w:shd w:val="clear" w:color="auto" w:fill="D9D9D9"/>
          </w:tcPr>
          <w:p w:rsidR="003B0DEE" w:rsidRPr="005502B8" w:rsidRDefault="003B0DEE" w:rsidP="000D5D90">
            <w:pPr>
              <w:spacing w:line="240" w:lineRule="auto"/>
              <w:jc w:val="right"/>
              <w:rPr>
                <w:rFonts w:ascii="Arial" w:hAnsi="Arial" w:cs="Arial"/>
                <w:b/>
                <w:sz w:val="20"/>
                <w:lang w:eastAsia="en-US"/>
              </w:rPr>
            </w:pPr>
          </w:p>
        </w:tc>
      </w:tr>
      <w:tr w:rsidR="003B0DEE" w:rsidRPr="005502B8" w:rsidTr="000D5D90">
        <w:trPr>
          <w:trHeight w:val="20"/>
        </w:trPr>
        <w:tc>
          <w:tcPr>
            <w:tcW w:w="1570" w:type="pct"/>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Cs/>
                <w:sz w:val="20"/>
                <w:lang w:eastAsia="en-US"/>
              </w:rPr>
            </w:pPr>
            <w:r w:rsidRPr="000806DA">
              <w:rPr>
                <w:rFonts w:ascii="Arial" w:hAnsi="Arial" w:cs="Arial"/>
                <w:bCs/>
                <w:color w:val="000000"/>
                <w:sz w:val="20"/>
                <w:lang w:eastAsia="en-US"/>
              </w:rPr>
              <w:t>Ever shared injecting equipment</w:t>
            </w:r>
            <w:r w:rsidRPr="000806DA">
              <w:rPr>
                <w:rFonts w:ascii="Arial" w:hAnsi="Arial" w:cs="Arial"/>
                <w:bCs/>
                <w:color w:val="000000"/>
                <w:sz w:val="20"/>
                <w:vertAlign w:val="superscript"/>
                <w:lang w:eastAsia="en-US"/>
              </w:rPr>
              <w:t>+</w:t>
            </w:r>
          </w:p>
        </w:tc>
        <w:tc>
          <w:tcPr>
            <w:tcW w:w="529"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46 (54.8%)</w:t>
            </w:r>
          </w:p>
        </w:tc>
        <w:tc>
          <w:tcPr>
            <w:tcW w:w="526"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200 (35.8%)</w:t>
            </w:r>
          </w:p>
        </w:tc>
        <w:tc>
          <w:tcPr>
            <w:tcW w:w="530"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227 (48.3%)</w:t>
            </w:r>
          </w:p>
        </w:tc>
        <w:tc>
          <w:tcPr>
            <w:tcW w:w="528" w:type="pct"/>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301(40.8%)</w:t>
            </w:r>
          </w:p>
        </w:tc>
        <w:tc>
          <w:tcPr>
            <w:tcW w:w="612" w:type="pct"/>
            <w:gridSpan w:val="2"/>
            <w:tcBorders>
              <w:left w:val="nil"/>
              <w:right w:val="nil"/>
            </w:tcBorders>
            <w:shd w:val="clear" w:color="auto" w:fill="FFFFFF"/>
            <w:vAlign w:val="center"/>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603(49.5%)</w:t>
            </w:r>
          </w:p>
        </w:tc>
        <w:tc>
          <w:tcPr>
            <w:tcW w:w="705" w:type="pct"/>
            <w:gridSpan w:val="2"/>
            <w:tcBorders>
              <w:left w:val="nil"/>
              <w:right w:val="nil"/>
            </w:tcBorders>
            <w:shd w:val="clear" w:color="auto" w:fill="FFFFFF"/>
            <w:vAlign w:val="bottom"/>
          </w:tcPr>
          <w:p w:rsidR="003B0DEE" w:rsidRPr="005502B8" w:rsidRDefault="003B0DEE" w:rsidP="000D5D90">
            <w:pPr>
              <w:spacing w:line="240" w:lineRule="auto"/>
              <w:jc w:val="right"/>
              <w:rPr>
                <w:rFonts w:ascii="Arial" w:hAnsi="Arial" w:cs="Arial"/>
                <w:bCs/>
                <w:sz w:val="20"/>
                <w:lang w:eastAsia="en-US"/>
              </w:rPr>
            </w:pPr>
            <w:r w:rsidRPr="005502B8">
              <w:rPr>
                <w:rFonts w:ascii="Arial" w:hAnsi="Arial" w:cs="Arial"/>
                <w:color w:val="000000"/>
                <w:sz w:val="20"/>
                <w:lang w:eastAsia="en-US"/>
              </w:rPr>
              <w:t>39.502 (p&lt;0.001)</w:t>
            </w:r>
          </w:p>
        </w:tc>
      </w:tr>
    </w:tbl>
    <w:p w:rsidR="003B0DEE" w:rsidRPr="000806DA" w:rsidRDefault="003B0DEE" w:rsidP="000D5D90">
      <w:pPr>
        <w:spacing w:line="276" w:lineRule="auto"/>
        <w:jc w:val="left"/>
        <w:rPr>
          <w:rFonts w:ascii="Arial" w:hAnsi="Arial" w:cs="Arial"/>
          <w:color w:val="000000"/>
          <w:sz w:val="20"/>
          <w:szCs w:val="22"/>
        </w:rPr>
      </w:pPr>
      <w:r w:rsidRPr="000806DA">
        <w:rPr>
          <w:rFonts w:ascii="Arial" w:hAnsi="Arial" w:cs="Arial"/>
          <w:color w:val="000000"/>
          <w:sz w:val="20"/>
          <w:szCs w:val="22"/>
        </w:rPr>
        <w:t xml:space="preserve">† </w:t>
      </w:r>
      <w:r w:rsidR="009D2A34">
        <w:rPr>
          <w:rFonts w:ascii="Arial" w:hAnsi="Arial" w:cs="Arial"/>
          <w:color w:val="000000"/>
          <w:sz w:val="20"/>
          <w:szCs w:val="22"/>
        </w:rPr>
        <w:t>I</w:t>
      </w:r>
      <w:r w:rsidRPr="000806DA">
        <w:rPr>
          <w:rFonts w:ascii="Arial" w:hAnsi="Arial" w:cs="Arial"/>
          <w:color w:val="000000"/>
          <w:sz w:val="20"/>
          <w:szCs w:val="22"/>
        </w:rPr>
        <w:t>njectors only</w:t>
      </w:r>
      <w:r w:rsidR="00C75A7D">
        <w:rPr>
          <w:rFonts w:ascii="Arial" w:hAnsi="Arial" w:cs="Arial"/>
          <w:color w:val="000000"/>
          <w:sz w:val="20"/>
          <w:szCs w:val="22"/>
        </w:rPr>
        <w:t>.</w:t>
      </w:r>
    </w:p>
    <w:p w:rsidR="003B0DEE" w:rsidRPr="000806DA" w:rsidRDefault="003B0DEE" w:rsidP="000D5D90">
      <w:pPr>
        <w:spacing w:line="276" w:lineRule="auto"/>
        <w:jc w:val="left"/>
        <w:rPr>
          <w:rFonts w:ascii="Arial" w:hAnsi="Arial" w:cs="Arial"/>
          <w:color w:val="000000"/>
          <w:sz w:val="20"/>
          <w:szCs w:val="22"/>
        </w:rPr>
      </w:pPr>
      <w:r w:rsidRPr="000806DA">
        <w:rPr>
          <w:rFonts w:ascii="Arial" w:hAnsi="Arial" w:cs="Arial"/>
          <w:color w:val="000000"/>
          <w:sz w:val="20"/>
          <w:szCs w:val="22"/>
        </w:rPr>
        <w:t>* Age range presented is the 5</w:t>
      </w:r>
      <w:r w:rsidRPr="00F07F03">
        <w:rPr>
          <w:rFonts w:ascii="Arial" w:hAnsi="Arial" w:cs="Arial"/>
          <w:color w:val="000000"/>
          <w:sz w:val="20"/>
          <w:szCs w:val="22"/>
          <w:vertAlign w:val="superscript"/>
        </w:rPr>
        <w:t>th</w:t>
      </w:r>
      <w:r w:rsidRPr="000806DA">
        <w:rPr>
          <w:rFonts w:ascii="Arial" w:hAnsi="Arial" w:cs="Arial"/>
          <w:color w:val="000000"/>
          <w:sz w:val="20"/>
          <w:szCs w:val="22"/>
        </w:rPr>
        <w:t xml:space="preserve"> percentile to 95</w:t>
      </w:r>
      <w:r w:rsidRPr="00F07F03">
        <w:rPr>
          <w:rFonts w:ascii="Arial" w:hAnsi="Arial" w:cs="Arial"/>
          <w:color w:val="000000"/>
          <w:sz w:val="20"/>
          <w:szCs w:val="22"/>
          <w:vertAlign w:val="superscript"/>
        </w:rPr>
        <w:t>th</w:t>
      </w:r>
      <w:r w:rsidRPr="000806DA">
        <w:rPr>
          <w:rFonts w:ascii="Arial" w:hAnsi="Arial" w:cs="Arial"/>
          <w:color w:val="000000"/>
          <w:sz w:val="20"/>
          <w:szCs w:val="22"/>
        </w:rPr>
        <w:t xml:space="preserve"> percentile.</w:t>
      </w:r>
    </w:p>
    <w:p w:rsidR="003B0DEE" w:rsidRPr="000806DA" w:rsidRDefault="003B0DEE" w:rsidP="000D5D90">
      <w:pPr>
        <w:spacing w:after="200" w:line="276" w:lineRule="auto"/>
        <w:jc w:val="left"/>
        <w:rPr>
          <w:rFonts w:ascii="Arial" w:hAnsi="Arial" w:cs="Arial"/>
          <w:sz w:val="20"/>
        </w:rPr>
      </w:pPr>
      <w:r w:rsidRPr="000806DA">
        <w:rPr>
          <w:rFonts w:ascii="Arial" w:hAnsi="Arial" w:cs="Arial"/>
          <w:color w:val="000000"/>
          <w:sz w:val="20"/>
          <w:szCs w:val="22"/>
        </w:rPr>
        <w:t xml:space="preserve">Ψ Cases who were already injecting prior to commencing </w:t>
      </w:r>
      <w:r>
        <w:rPr>
          <w:rFonts w:ascii="Arial" w:hAnsi="Arial" w:cs="Arial"/>
          <w:color w:val="000000"/>
          <w:sz w:val="20"/>
          <w:szCs w:val="22"/>
        </w:rPr>
        <w:t>opioid</w:t>
      </w:r>
      <w:r w:rsidRPr="000806DA">
        <w:rPr>
          <w:rFonts w:ascii="Arial" w:hAnsi="Arial" w:cs="Arial"/>
          <w:color w:val="000000"/>
          <w:sz w:val="20"/>
          <w:szCs w:val="22"/>
        </w:rPr>
        <w:t xml:space="preserve"> use have been excluded from calculations</w:t>
      </w:r>
      <w:r w:rsidR="00C75A7D">
        <w:rPr>
          <w:rFonts w:ascii="Arial" w:hAnsi="Arial" w:cs="Arial"/>
          <w:color w:val="000000"/>
          <w:sz w:val="20"/>
          <w:szCs w:val="22"/>
        </w:rPr>
        <w:t>.</w:t>
      </w:r>
      <w:r w:rsidRPr="000806DA">
        <w:rPr>
          <w:rFonts w:ascii="Arial" w:hAnsi="Arial" w:cs="Arial"/>
          <w:sz w:val="20"/>
          <w:highlight w:val="yellow"/>
        </w:rPr>
        <w:t xml:space="preserve"> </w:t>
      </w:r>
    </w:p>
    <w:p w:rsidR="003B0DEE" w:rsidRPr="00AF29BF" w:rsidRDefault="003B0DEE" w:rsidP="000D5D90">
      <w:pPr>
        <w:autoSpaceDE w:val="0"/>
        <w:autoSpaceDN w:val="0"/>
        <w:adjustRightInd w:val="0"/>
        <w:spacing w:line="240" w:lineRule="auto"/>
        <w:jc w:val="left"/>
        <w:rPr>
          <w:rFonts w:ascii="Times New Roman" w:hAnsi="Times New Roman"/>
          <w:sz w:val="24"/>
          <w:szCs w:val="24"/>
        </w:rPr>
      </w:pPr>
    </w:p>
    <w:p w:rsidR="003B0DEE" w:rsidRPr="00AF29BF" w:rsidRDefault="003B0DEE" w:rsidP="000D5D90">
      <w:pPr>
        <w:autoSpaceDE w:val="0"/>
        <w:autoSpaceDN w:val="0"/>
        <w:adjustRightInd w:val="0"/>
        <w:spacing w:line="400" w:lineRule="atLeast"/>
        <w:jc w:val="left"/>
        <w:rPr>
          <w:rFonts w:ascii="Times New Roman" w:hAnsi="Times New Roman"/>
          <w:sz w:val="24"/>
          <w:szCs w:val="24"/>
        </w:rPr>
      </w:pPr>
    </w:p>
    <w:p w:rsidR="003B0DEE" w:rsidRDefault="003B0DEE" w:rsidP="000D5D90">
      <w:pPr>
        <w:spacing w:after="200" w:line="276" w:lineRule="auto"/>
        <w:jc w:val="left"/>
        <w:rPr>
          <w:rFonts w:cs="Arial"/>
          <w:b/>
          <w:bCs/>
          <w:kern w:val="32"/>
          <w:sz w:val="24"/>
          <w:szCs w:val="26"/>
        </w:rPr>
      </w:pPr>
    </w:p>
    <w:p w:rsidR="003B0DEE" w:rsidRPr="00AF29BF" w:rsidRDefault="003B0DEE" w:rsidP="000D5D90">
      <w:pPr>
        <w:autoSpaceDE w:val="0"/>
        <w:autoSpaceDN w:val="0"/>
        <w:adjustRightInd w:val="0"/>
        <w:spacing w:line="240" w:lineRule="auto"/>
        <w:jc w:val="left"/>
        <w:rPr>
          <w:rFonts w:ascii="Times New Roman" w:hAnsi="Times New Roman"/>
          <w:sz w:val="24"/>
          <w:szCs w:val="24"/>
        </w:rPr>
      </w:pPr>
    </w:p>
    <w:p w:rsidR="003B0DEE" w:rsidRPr="00AF29BF" w:rsidRDefault="003B0DEE" w:rsidP="000D5D90">
      <w:pPr>
        <w:autoSpaceDE w:val="0"/>
        <w:autoSpaceDN w:val="0"/>
        <w:adjustRightInd w:val="0"/>
        <w:spacing w:line="400" w:lineRule="atLeast"/>
        <w:jc w:val="left"/>
        <w:rPr>
          <w:rFonts w:ascii="Times New Roman" w:hAnsi="Times New Roman"/>
          <w:sz w:val="24"/>
          <w:szCs w:val="24"/>
        </w:rPr>
      </w:pPr>
    </w:p>
    <w:p w:rsidR="003B0DEE" w:rsidRDefault="003B0DEE" w:rsidP="000D5D90">
      <w:pPr>
        <w:pStyle w:val="Heading2"/>
        <w:numPr>
          <w:ilvl w:val="0"/>
          <w:numId w:val="0"/>
        </w:numPr>
        <w:ind w:left="432" w:hanging="432"/>
        <w:rPr>
          <w:rFonts w:cs="Arial"/>
          <w:sz w:val="24"/>
        </w:rPr>
        <w:sectPr w:rsidR="003B0DEE" w:rsidSect="000D5D90">
          <w:pgSz w:w="16840" w:h="11907" w:orient="landscape" w:code="9"/>
          <w:pgMar w:top="1985" w:right="1134" w:bottom="1134" w:left="1134" w:header="709" w:footer="709" w:gutter="0"/>
          <w:cols w:space="708"/>
          <w:docGrid w:linePitch="360"/>
        </w:sectPr>
      </w:pPr>
    </w:p>
    <w:p w:rsidR="003B0DEE" w:rsidRDefault="003B0DEE" w:rsidP="000D5D90">
      <w:pPr>
        <w:pStyle w:val="Heading3"/>
      </w:pPr>
      <w:bookmarkStart w:id="94" w:name="_Toc15331704"/>
      <w:r>
        <w:lastRenderedPageBreak/>
        <w:t>Defining ‘older’ opioid users</w:t>
      </w:r>
      <w:bookmarkEnd w:id="94"/>
    </w:p>
    <w:p w:rsidR="003B0DEE" w:rsidRDefault="003B0DEE" w:rsidP="000D5D90">
      <w:pPr>
        <w:pStyle w:val="BodyText"/>
      </w:pPr>
      <w:r w:rsidRPr="00674FA0">
        <w:t xml:space="preserve">It is proposed that ‘older’ is defined as 35 years of age or older when entering treatment, or, if younger than 35 years, where there has been prolonged opioid use for 10 or more years.  </w:t>
      </w:r>
      <w:r w:rsidRPr="004A781F">
        <w:rPr>
          <w:szCs w:val="20"/>
        </w:rPr>
        <w:t>The definition was derived utilising data for the years 2009 to 2015 inclusive as the results of the Joinpoint analysis indicated that the most recent age-related trend in treatment admissions commenced in 2009.  The 75</w:t>
      </w:r>
      <w:r w:rsidRPr="004A781F">
        <w:rPr>
          <w:szCs w:val="20"/>
          <w:vertAlign w:val="superscript"/>
        </w:rPr>
        <w:t>th</w:t>
      </w:r>
      <w:r w:rsidRPr="004A781F">
        <w:rPr>
          <w:szCs w:val="20"/>
        </w:rPr>
        <w:t xml:space="preserve"> percentile was used to reflect the characteristics of the top 25% of observations for both chronological age and duration since commenced opioid use in years.  Table </w:t>
      </w:r>
      <w:r>
        <w:rPr>
          <w:szCs w:val="20"/>
        </w:rPr>
        <w:t xml:space="preserve">5-6 </w:t>
      </w:r>
      <w:r w:rsidRPr="004A781F">
        <w:rPr>
          <w:szCs w:val="20"/>
        </w:rPr>
        <w:t xml:space="preserve">summarises the criteria. </w:t>
      </w:r>
      <w:r>
        <w:rPr>
          <w:szCs w:val="20"/>
        </w:rPr>
        <w:t xml:space="preserve"> </w:t>
      </w:r>
      <w:r w:rsidRPr="004A781F">
        <w:rPr>
          <w:szCs w:val="20"/>
        </w:rPr>
        <w:t xml:space="preserve">Although separate definitions were considered for heroin and non-heroin users (codeine, prescription opioids etc.) these did not yield practical results for clinical or reporting purposes, and therefore </w:t>
      </w:r>
      <w:r>
        <w:rPr>
          <w:szCs w:val="20"/>
        </w:rPr>
        <w:t>an overall definition was preferable.</w:t>
      </w:r>
    </w:p>
    <w:p w:rsidR="003B0DEE" w:rsidRPr="005C08E6" w:rsidRDefault="003B0DEE" w:rsidP="000D5D90">
      <w:pPr>
        <w:pStyle w:val="Caption"/>
        <w:spacing w:line="240" w:lineRule="auto"/>
      </w:pPr>
      <w:bookmarkStart w:id="95" w:name="_Toc15332003"/>
      <w:r>
        <w:t xml:space="preserve">Table </w:t>
      </w:r>
      <w:fldSimple w:instr=" STYLEREF 1 \s ">
        <w:r>
          <w:rPr>
            <w:noProof/>
          </w:rPr>
          <w:t>5</w:t>
        </w:r>
      </w:fldSimple>
      <w:r>
        <w:noBreakHyphen/>
      </w:r>
      <w:fldSimple w:instr=" SEQ Table \* ARABIC \s 1 ">
        <w:r>
          <w:rPr>
            <w:noProof/>
          </w:rPr>
          <w:t>6</w:t>
        </w:r>
      </w:fldSimple>
      <w:r>
        <w:t xml:space="preserve">  </w:t>
      </w:r>
      <w:r w:rsidRPr="00674FA0">
        <w:rPr>
          <w:b w:val="0"/>
          <w:bCs w:val="0"/>
        </w:rPr>
        <w:t>Criteria used to develop a definition of ‘older’ opioid user</w:t>
      </w:r>
      <w:bookmarkEnd w:id="95"/>
    </w:p>
    <w:tbl>
      <w:tblPr>
        <w:tblW w:w="5128" w:type="pct"/>
        <w:tblLayout w:type="fixed"/>
        <w:tblLook w:val="04A0" w:firstRow="1" w:lastRow="0" w:firstColumn="1" w:lastColumn="0" w:noHBand="0" w:noVBand="1"/>
      </w:tblPr>
      <w:tblGrid>
        <w:gridCol w:w="2591"/>
        <w:gridCol w:w="1188"/>
        <w:gridCol w:w="2324"/>
        <w:gridCol w:w="2022"/>
        <w:gridCol w:w="1110"/>
      </w:tblGrid>
      <w:tr w:rsidR="003B0DEE" w:rsidRPr="00674FA0" w:rsidTr="000D5D90">
        <w:trPr>
          <w:trHeight w:val="288"/>
        </w:trPr>
        <w:tc>
          <w:tcPr>
            <w:tcW w:w="3304" w:type="pct"/>
            <w:gridSpan w:val="3"/>
            <w:tcBorders>
              <w:top w:val="single" w:sz="8" w:space="0" w:color="000000"/>
              <w:left w:val="nil"/>
              <w:bottom w:val="nil"/>
              <w:right w:val="nil"/>
            </w:tcBorders>
            <w:shd w:val="clear" w:color="auto" w:fill="D9D9D9" w:themeFill="background1" w:themeFillShade="D9"/>
            <w:noWrap/>
            <w:vAlign w:val="bottom"/>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b/>
                <w:bCs/>
                <w:color w:val="000000"/>
                <w:sz w:val="20"/>
              </w:rPr>
              <w:t>Criteria 1: Chronological age (years) &gt; 75th percentile</w:t>
            </w:r>
          </w:p>
        </w:tc>
        <w:tc>
          <w:tcPr>
            <w:tcW w:w="1095" w:type="pct"/>
            <w:tcBorders>
              <w:top w:val="single" w:sz="8" w:space="0" w:color="000000"/>
              <w:left w:val="nil"/>
              <w:bottom w:val="nil"/>
              <w:right w:val="nil"/>
            </w:tcBorders>
            <w:shd w:val="clear" w:color="auto" w:fill="D9D9D9" w:themeFill="background1" w:themeFillShade="D9"/>
            <w:noWrap/>
            <w:vAlign w:val="bottom"/>
          </w:tcPr>
          <w:p w:rsidR="003B0DEE" w:rsidRPr="00674FA0" w:rsidRDefault="003B0DEE" w:rsidP="000D5D90">
            <w:pPr>
              <w:spacing w:line="240" w:lineRule="auto"/>
              <w:jc w:val="left"/>
              <w:rPr>
                <w:rFonts w:ascii="Arial" w:hAnsi="Arial" w:cs="Arial"/>
                <w:color w:val="000000"/>
                <w:sz w:val="20"/>
              </w:rPr>
            </w:pPr>
          </w:p>
        </w:tc>
        <w:tc>
          <w:tcPr>
            <w:tcW w:w="601" w:type="pct"/>
            <w:tcBorders>
              <w:top w:val="single" w:sz="8" w:space="0" w:color="000000"/>
              <w:left w:val="nil"/>
              <w:bottom w:val="nil"/>
              <w:right w:val="nil"/>
            </w:tcBorders>
            <w:shd w:val="clear" w:color="auto" w:fill="D9D9D9" w:themeFill="background1" w:themeFillShade="D9"/>
            <w:noWrap/>
            <w:vAlign w:val="bottom"/>
          </w:tcPr>
          <w:p w:rsidR="003B0DEE" w:rsidRPr="00674FA0" w:rsidRDefault="003B0DEE" w:rsidP="000D5D90">
            <w:pPr>
              <w:spacing w:line="240" w:lineRule="auto"/>
              <w:jc w:val="left"/>
              <w:rPr>
                <w:rFonts w:ascii="Arial" w:hAnsi="Arial" w:cs="Arial"/>
                <w:color w:val="000000"/>
                <w:sz w:val="20"/>
              </w:rPr>
            </w:pP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rPr>
                <w:rFonts w:ascii="Arial" w:hAnsi="Arial" w:cs="Arial"/>
                <w:b/>
                <w:bCs/>
                <w:color w:val="000000"/>
                <w:sz w:val="20"/>
              </w:rPr>
            </w:pP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75th percentile</w:t>
            </w:r>
          </w:p>
        </w:tc>
        <w:tc>
          <w:tcPr>
            <w:tcW w:w="1258"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Number of people entering treatment with this criterio</w:t>
            </w:r>
            <w:r>
              <w:rPr>
                <w:rFonts w:ascii="Arial" w:hAnsi="Arial" w:cs="Arial"/>
                <w:color w:val="000000"/>
                <w:sz w:val="20"/>
              </w:rPr>
              <w:t>n</w:t>
            </w:r>
            <w:r w:rsidRPr="00674FA0">
              <w:rPr>
                <w:rFonts w:ascii="Arial" w:hAnsi="Arial" w:cs="Arial"/>
                <w:color w:val="000000"/>
                <w:sz w:val="20"/>
              </w:rPr>
              <w:t xml:space="preserve"> in 2015</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Total number of people treated for opioid use in 2015</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 classified as older</w:t>
            </w: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b/>
                <w:bCs/>
                <w:sz w:val="20"/>
              </w:rPr>
            </w:pPr>
            <w:r w:rsidRPr="00674FA0">
              <w:rPr>
                <w:rFonts w:ascii="Arial" w:hAnsi="Arial" w:cs="Arial"/>
                <w:b/>
                <w:bCs/>
                <w:sz w:val="20"/>
              </w:rPr>
              <w:t>All opioid users</w:t>
            </w: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294D79">
              <w:rPr>
                <w:rFonts w:ascii="Arial" w:hAnsi="Arial" w:cs="Arial"/>
                <w:b/>
                <w:bCs/>
                <w:sz w:val="20"/>
              </w:rPr>
              <w:t>35 years</w:t>
            </w:r>
          </w:p>
        </w:tc>
        <w:tc>
          <w:tcPr>
            <w:tcW w:w="1258"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311</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926</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33.6%</w:t>
            </w:r>
          </w:p>
        </w:tc>
      </w:tr>
      <w:tr w:rsidR="003B0DEE" w:rsidRPr="00674FA0" w:rsidTr="000D5D90">
        <w:trPr>
          <w:trHeight w:val="288"/>
        </w:trPr>
        <w:tc>
          <w:tcPr>
            <w:tcW w:w="3304" w:type="pct"/>
            <w:gridSpan w:val="3"/>
            <w:tcBorders>
              <w:top w:val="nil"/>
              <w:left w:val="nil"/>
              <w:bottom w:val="nil"/>
              <w:right w:val="nil"/>
            </w:tcBorders>
            <w:shd w:val="clear" w:color="auto" w:fill="auto"/>
            <w:noWrap/>
            <w:vAlign w:val="bottom"/>
          </w:tcPr>
          <w:p w:rsidR="003B0DEE" w:rsidRPr="00674FA0" w:rsidRDefault="003B0DEE" w:rsidP="000D5D90">
            <w:pPr>
              <w:spacing w:line="240" w:lineRule="auto"/>
              <w:jc w:val="left"/>
              <w:rPr>
                <w:rFonts w:ascii="Arial" w:hAnsi="Arial" w:cs="Arial"/>
                <w:b/>
                <w:color w:val="000000"/>
                <w:sz w:val="20"/>
              </w:rPr>
            </w:pPr>
            <w:r w:rsidRPr="00674FA0">
              <w:rPr>
                <w:rFonts w:ascii="Arial" w:hAnsi="Arial" w:cs="Arial"/>
                <w:b/>
                <w:bCs/>
                <w:color w:val="000000"/>
                <w:sz w:val="20"/>
              </w:rPr>
              <w:t>Main type of  problem opioid</w:t>
            </w:r>
          </w:p>
        </w:tc>
        <w:tc>
          <w:tcPr>
            <w:tcW w:w="1095" w:type="pct"/>
            <w:tcBorders>
              <w:top w:val="nil"/>
              <w:left w:val="nil"/>
              <w:bottom w:val="nil"/>
              <w:right w:val="nil"/>
            </w:tcBorders>
            <w:shd w:val="clear" w:color="auto" w:fill="auto"/>
            <w:noWrap/>
            <w:vAlign w:val="bottom"/>
          </w:tcPr>
          <w:p w:rsidR="003B0DEE" w:rsidRPr="00674FA0" w:rsidRDefault="003B0DEE" w:rsidP="000D5D90">
            <w:pPr>
              <w:spacing w:line="240" w:lineRule="auto"/>
              <w:jc w:val="right"/>
              <w:rPr>
                <w:rFonts w:ascii="Arial" w:hAnsi="Arial" w:cs="Arial"/>
                <w:color w:val="000000"/>
                <w:sz w:val="20"/>
              </w:rPr>
            </w:pPr>
          </w:p>
        </w:tc>
        <w:tc>
          <w:tcPr>
            <w:tcW w:w="601" w:type="pct"/>
            <w:tcBorders>
              <w:top w:val="nil"/>
              <w:left w:val="nil"/>
              <w:bottom w:val="nil"/>
              <w:right w:val="nil"/>
            </w:tcBorders>
            <w:shd w:val="clear" w:color="auto" w:fill="auto"/>
            <w:noWrap/>
            <w:vAlign w:val="bottom"/>
          </w:tcPr>
          <w:p w:rsidR="003B0DEE" w:rsidRPr="00674FA0" w:rsidRDefault="003B0DEE" w:rsidP="000D5D90">
            <w:pPr>
              <w:spacing w:line="240" w:lineRule="auto"/>
              <w:jc w:val="right"/>
              <w:rPr>
                <w:rFonts w:ascii="Arial" w:hAnsi="Arial" w:cs="Arial"/>
                <w:sz w:val="20"/>
              </w:rPr>
            </w:pP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color w:val="000000"/>
                <w:sz w:val="20"/>
              </w:rPr>
              <w:t>Heroin only</w:t>
            </w: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34</w:t>
            </w:r>
            <w:r>
              <w:rPr>
                <w:rFonts w:ascii="Arial" w:hAnsi="Arial" w:cs="Arial"/>
                <w:color w:val="000000"/>
                <w:sz w:val="20"/>
              </w:rPr>
              <w:t xml:space="preserve"> years</w:t>
            </w:r>
          </w:p>
        </w:tc>
        <w:tc>
          <w:tcPr>
            <w:tcW w:w="1258"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263</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770</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sz w:val="20"/>
              </w:rPr>
            </w:pPr>
            <w:r w:rsidRPr="00674FA0">
              <w:rPr>
                <w:rFonts w:ascii="Arial" w:hAnsi="Arial" w:cs="Arial"/>
                <w:sz w:val="20"/>
              </w:rPr>
              <w:t>34.2%</w:t>
            </w: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color w:val="000000"/>
                <w:sz w:val="20"/>
              </w:rPr>
              <w:t>Non-heroin</w:t>
            </w: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43</w:t>
            </w:r>
            <w:r>
              <w:rPr>
                <w:rFonts w:ascii="Arial" w:hAnsi="Arial" w:cs="Arial"/>
                <w:color w:val="000000"/>
                <w:sz w:val="20"/>
              </w:rPr>
              <w:t xml:space="preserve"> years</w:t>
            </w:r>
          </w:p>
        </w:tc>
        <w:tc>
          <w:tcPr>
            <w:tcW w:w="1258"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38</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156</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sz w:val="20"/>
              </w:rPr>
            </w:pPr>
            <w:r w:rsidRPr="00674FA0">
              <w:rPr>
                <w:rFonts w:ascii="Arial" w:hAnsi="Arial" w:cs="Arial"/>
                <w:sz w:val="20"/>
              </w:rPr>
              <w:t>24.4%</w:t>
            </w:r>
          </w:p>
        </w:tc>
      </w:tr>
      <w:tr w:rsidR="003B0DEE" w:rsidRPr="00674FA0" w:rsidTr="000D5D90">
        <w:trPr>
          <w:trHeight w:val="288"/>
        </w:trPr>
        <w:tc>
          <w:tcPr>
            <w:tcW w:w="5000" w:type="pct"/>
            <w:gridSpan w:val="5"/>
            <w:tcBorders>
              <w:top w:val="nil"/>
              <w:left w:val="nil"/>
              <w:bottom w:val="nil"/>
              <w:right w:val="nil"/>
            </w:tcBorders>
            <w:shd w:val="clear" w:color="auto" w:fill="D9D9D9" w:themeFill="background1" w:themeFillShade="D9"/>
            <w:noWrap/>
            <w:vAlign w:val="bottom"/>
            <w:hideMark/>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b/>
                <w:bCs/>
                <w:color w:val="000000"/>
                <w:sz w:val="20"/>
              </w:rPr>
              <w:t>Criteria 2: Duration of opioid use (years) &gt; 75 percentile, for those excluded using Criteria 1</w:t>
            </w: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b/>
                <w:bCs/>
                <w:color w:val="000000"/>
                <w:sz w:val="20"/>
              </w:rPr>
            </w:pP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75th percentile</w:t>
            </w:r>
          </w:p>
        </w:tc>
        <w:tc>
          <w:tcPr>
            <w:tcW w:w="1258" w:type="pct"/>
            <w:tcBorders>
              <w:top w:val="nil"/>
              <w:left w:val="nil"/>
              <w:bottom w:val="nil"/>
              <w:right w:val="nil"/>
            </w:tcBorders>
            <w:shd w:val="clear" w:color="auto" w:fill="auto"/>
            <w:noWrap/>
            <w:vAlign w:val="bottom"/>
            <w:hideMark/>
          </w:tcPr>
          <w:p w:rsidR="003B0DEE" w:rsidRPr="00674FA0" w:rsidRDefault="003B0DEE">
            <w:pPr>
              <w:spacing w:line="240" w:lineRule="auto"/>
              <w:jc w:val="center"/>
              <w:rPr>
                <w:rFonts w:ascii="Arial" w:hAnsi="Arial" w:cs="Arial"/>
                <w:color w:val="000000"/>
                <w:sz w:val="20"/>
              </w:rPr>
            </w:pPr>
            <w:r w:rsidRPr="00674FA0">
              <w:rPr>
                <w:rFonts w:ascii="Arial" w:hAnsi="Arial" w:cs="Arial"/>
                <w:color w:val="000000"/>
                <w:sz w:val="20"/>
              </w:rPr>
              <w:t>Number of people entering treatment with this criteri</w:t>
            </w:r>
            <w:r>
              <w:rPr>
                <w:rFonts w:ascii="Arial" w:hAnsi="Arial" w:cs="Arial"/>
                <w:color w:val="000000"/>
                <w:sz w:val="20"/>
              </w:rPr>
              <w:t>on</w:t>
            </w:r>
            <w:r w:rsidRPr="00674FA0">
              <w:rPr>
                <w:rFonts w:ascii="Arial" w:hAnsi="Arial" w:cs="Arial"/>
                <w:color w:val="000000"/>
                <w:sz w:val="20"/>
              </w:rPr>
              <w:t xml:space="preserve"> in 2015</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Total number of people treated for opioid use in 2015</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 classified as older</w:t>
            </w:r>
          </w:p>
        </w:tc>
      </w:tr>
      <w:tr w:rsidR="003B0DEE" w:rsidRPr="00674FA0" w:rsidTr="000D5D90">
        <w:trPr>
          <w:trHeight w:val="288"/>
        </w:trPr>
        <w:tc>
          <w:tcPr>
            <w:tcW w:w="140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b/>
                <w:bCs/>
                <w:sz w:val="20"/>
              </w:rPr>
            </w:pPr>
            <w:r w:rsidRPr="00674FA0">
              <w:rPr>
                <w:rFonts w:ascii="Arial" w:hAnsi="Arial" w:cs="Arial"/>
                <w:b/>
                <w:bCs/>
                <w:sz w:val="20"/>
              </w:rPr>
              <w:t>All opioid users</w:t>
            </w:r>
          </w:p>
        </w:tc>
        <w:tc>
          <w:tcPr>
            <w:tcW w:w="643"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294D79">
              <w:rPr>
                <w:rFonts w:ascii="Arial" w:hAnsi="Arial" w:cs="Arial"/>
                <w:b/>
                <w:bCs/>
                <w:sz w:val="20"/>
              </w:rPr>
              <w:t>10 years</w:t>
            </w:r>
          </w:p>
        </w:tc>
        <w:tc>
          <w:tcPr>
            <w:tcW w:w="1258"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146</w:t>
            </w:r>
          </w:p>
        </w:tc>
        <w:tc>
          <w:tcPr>
            <w:tcW w:w="1095"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926</w:t>
            </w:r>
          </w:p>
        </w:tc>
        <w:tc>
          <w:tcPr>
            <w:tcW w:w="601" w:type="pct"/>
            <w:tcBorders>
              <w:top w:val="nil"/>
              <w:left w:val="nil"/>
              <w:bottom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b/>
                <w:bCs/>
                <w:sz w:val="20"/>
              </w:rPr>
            </w:pPr>
            <w:r w:rsidRPr="00674FA0">
              <w:rPr>
                <w:rFonts w:ascii="Arial" w:hAnsi="Arial" w:cs="Arial"/>
                <w:b/>
                <w:bCs/>
                <w:sz w:val="20"/>
              </w:rPr>
              <w:t>15.8%</w:t>
            </w:r>
          </w:p>
        </w:tc>
      </w:tr>
      <w:tr w:rsidR="003B0DEE" w:rsidRPr="00674FA0" w:rsidTr="000D5D90">
        <w:trPr>
          <w:trHeight w:val="288"/>
        </w:trPr>
        <w:tc>
          <w:tcPr>
            <w:tcW w:w="3304" w:type="pct"/>
            <w:gridSpan w:val="3"/>
            <w:tcBorders>
              <w:top w:val="nil"/>
              <w:left w:val="nil"/>
              <w:bottom w:val="nil"/>
              <w:right w:val="nil"/>
            </w:tcBorders>
            <w:shd w:val="clear" w:color="auto" w:fill="auto"/>
            <w:noWrap/>
            <w:vAlign w:val="bottom"/>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b/>
                <w:bCs/>
                <w:color w:val="000000"/>
                <w:sz w:val="20"/>
              </w:rPr>
              <w:t>Main type of  problem opioid</w:t>
            </w:r>
          </w:p>
        </w:tc>
        <w:tc>
          <w:tcPr>
            <w:tcW w:w="1095" w:type="pct"/>
            <w:tcBorders>
              <w:top w:val="nil"/>
              <w:left w:val="nil"/>
              <w:bottom w:val="nil"/>
              <w:right w:val="nil"/>
            </w:tcBorders>
            <w:shd w:val="clear" w:color="auto" w:fill="auto"/>
            <w:noWrap/>
            <w:vAlign w:val="bottom"/>
          </w:tcPr>
          <w:p w:rsidR="003B0DEE" w:rsidRPr="00674FA0" w:rsidRDefault="003B0DEE" w:rsidP="000D5D90">
            <w:pPr>
              <w:spacing w:line="240" w:lineRule="auto"/>
              <w:jc w:val="right"/>
              <w:rPr>
                <w:rFonts w:ascii="Arial" w:hAnsi="Arial" w:cs="Arial"/>
                <w:color w:val="000000"/>
                <w:sz w:val="20"/>
              </w:rPr>
            </w:pPr>
          </w:p>
        </w:tc>
        <w:tc>
          <w:tcPr>
            <w:tcW w:w="601" w:type="pct"/>
            <w:tcBorders>
              <w:top w:val="nil"/>
              <w:left w:val="nil"/>
              <w:bottom w:val="nil"/>
              <w:right w:val="nil"/>
            </w:tcBorders>
            <w:shd w:val="clear" w:color="auto" w:fill="auto"/>
            <w:noWrap/>
            <w:vAlign w:val="bottom"/>
          </w:tcPr>
          <w:p w:rsidR="003B0DEE" w:rsidRPr="00674FA0" w:rsidRDefault="003B0DEE" w:rsidP="000D5D90">
            <w:pPr>
              <w:spacing w:line="240" w:lineRule="auto"/>
              <w:jc w:val="right"/>
              <w:rPr>
                <w:rFonts w:ascii="Arial" w:hAnsi="Arial" w:cs="Arial"/>
                <w:sz w:val="20"/>
              </w:rPr>
            </w:pPr>
          </w:p>
        </w:tc>
      </w:tr>
      <w:tr w:rsidR="003B0DEE" w:rsidRPr="00674FA0" w:rsidTr="000D5D90">
        <w:trPr>
          <w:trHeight w:val="288"/>
        </w:trPr>
        <w:tc>
          <w:tcPr>
            <w:tcW w:w="1403" w:type="pct"/>
            <w:tcBorders>
              <w:top w:val="nil"/>
              <w:left w:val="nil"/>
              <w:right w:val="nil"/>
            </w:tcBorders>
            <w:shd w:val="clear" w:color="auto" w:fill="auto"/>
            <w:noWrap/>
            <w:vAlign w:val="bottom"/>
            <w:hideMark/>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color w:val="000000"/>
                <w:sz w:val="20"/>
              </w:rPr>
              <w:t>Heroin only</w:t>
            </w:r>
          </w:p>
        </w:tc>
        <w:tc>
          <w:tcPr>
            <w:tcW w:w="643" w:type="pct"/>
            <w:tcBorders>
              <w:top w:val="nil"/>
              <w:left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9</w:t>
            </w:r>
            <w:r>
              <w:rPr>
                <w:rFonts w:ascii="Arial" w:hAnsi="Arial" w:cs="Arial"/>
                <w:color w:val="000000"/>
                <w:sz w:val="20"/>
              </w:rPr>
              <w:t xml:space="preserve"> years</w:t>
            </w:r>
          </w:p>
        </w:tc>
        <w:tc>
          <w:tcPr>
            <w:tcW w:w="1258" w:type="pct"/>
            <w:tcBorders>
              <w:top w:val="nil"/>
              <w:left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146</w:t>
            </w:r>
          </w:p>
        </w:tc>
        <w:tc>
          <w:tcPr>
            <w:tcW w:w="1095" w:type="pct"/>
            <w:tcBorders>
              <w:top w:val="nil"/>
              <w:left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770</w:t>
            </w:r>
          </w:p>
        </w:tc>
        <w:tc>
          <w:tcPr>
            <w:tcW w:w="601" w:type="pct"/>
            <w:tcBorders>
              <w:top w:val="nil"/>
              <w:left w:val="nil"/>
              <w:right w:val="nil"/>
            </w:tcBorders>
            <w:shd w:val="clear" w:color="auto" w:fill="auto"/>
            <w:noWrap/>
            <w:vAlign w:val="bottom"/>
            <w:hideMark/>
          </w:tcPr>
          <w:p w:rsidR="003B0DEE" w:rsidRPr="00674FA0" w:rsidRDefault="003B0DEE" w:rsidP="000D5D90">
            <w:pPr>
              <w:spacing w:line="240" w:lineRule="auto"/>
              <w:jc w:val="center"/>
              <w:rPr>
                <w:rFonts w:ascii="Arial" w:hAnsi="Arial" w:cs="Arial"/>
                <w:sz w:val="20"/>
              </w:rPr>
            </w:pPr>
            <w:r w:rsidRPr="00674FA0">
              <w:rPr>
                <w:rFonts w:ascii="Arial" w:hAnsi="Arial" w:cs="Arial"/>
                <w:sz w:val="20"/>
              </w:rPr>
              <w:t>19.0%</w:t>
            </w:r>
          </w:p>
        </w:tc>
      </w:tr>
      <w:tr w:rsidR="003B0DEE" w:rsidRPr="00674FA0" w:rsidTr="000D5D90">
        <w:trPr>
          <w:trHeight w:val="288"/>
        </w:trPr>
        <w:tc>
          <w:tcPr>
            <w:tcW w:w="1403" w:type="pct"/>
            <w:tcBorders>
              <w:top w:val="nil"/>
              <w:left w:val="nil"/>
              <w:bottom w:val="single" w:sz="8" w:space="0" w:color="000000"/>
              <w:right w:val="nil"/>
            </w:tcBorders>
            <w:shd w:val="clear" w:color="auto" w:fill="auto"/>
            <w:noWrap/>
            <w:vAlign w:val="bottom"/>
            <w:hideMark/>
          </w:tcPr>
          <w:p w:rsidR="003B0DEE" w:rsidRPr="00674FA0" w:rsidRDefault="003B0DEE" w:rsidP="000D5D90">
            <w:pPr>
              <w:spacing w:line="240" w:lineRule="auto"/>
              <w:jc w:val="left"/>
              <w:rPr>
                <w:rFonts w:ascii="Arial" w:hAnsi="Arial" w:cs="Arial"/>
                <w:color w:val="000000"/>
                <w:sz w:val="20"/>
              </w:rPr>
            </w:pPr>
            <w:r w:rsidRPr="00674FA0">
              <w:rPr>
                <w:rFonts w:ascii="Arial" w:hAnsi="Arial" w:cs="Arial"/>
                <w:color w:val="000000"/>
                <w:sz w:val="20"/>
              </w:rPr>
              <w:t>Non-heroin</w:t>
            </w:r>
          </w:p>
        </w:tc>
        <w:tc>
          <w:tcPr>
            <w:tcW w:w="643" w:type="pct"/>
            <w:tcBorders>
              <w:top w:val="nil"/>
              <w:left w:val="nil"/>
              <w:bottom w:val="single" w:sz="8" w:space="0" w:color="000000"/>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8</w:t>
            </w:r>
            <w:r>
              <w:rPr>
                <w:rFonts w:ascii="Arial" w:hAnsi="Arial" w:cs="Arial"/>
                <w:color w:val="000000"/>
                <w:sz w:val="20"/>
              </w:rPr>
              <w:t xml:space="preserve"> years</w:t>
            </w:r>
          </w:p>
        </w:tc>
        <w:tc>
          <w:tcPr>
            <w:tcW w:w="1258" w:type="pct"/>
            <w:tcBorders>
              <w:top w:val="nil"/>
              <w:left w:val="nil"/>
              <w:bottom w:val="single" w:sz="8" w:space="0" w:color="000000"/>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31</w:t>
            </w:r>
          </w:p>
        </w:tc>
        <w:tc>
          <w:tcPr>
            <w:tcW w:w="1095" w:type="pct"/>
            <w:tcBorders>
              <w:top w:val="nil"/>
              <w:left w:val="nil"/>
              <w:bottom w:val="single" w:sz="8" w:space="0" w:color="000000"/>
              <w:right w:val="nil"/>
            </w:tcBorders>
            <w:shd w:val="clear" w:color="auto" w:fill="auto"/>
            <w:noWrap/>
            <w:vAlign w:val="bottom"/>
            <w:hideMark/>
          </w:tcPr>
          <w:p w:rsidR="003B0DEE" w:rsidRPr="00674FA0" w:rsidRDefault="003B0DEE" w:rsidP="000D5D90">
            <w:pPr>
              <w:spacing w:line="240" w:lineRule="auto"/>
              <w:jc w:val="center"/>
              <w:rPr>
                <w:rFonts w:ascii="Arial" w:hAnsi="Arial" w:cs="Arial"/>
                <w:color w:val="000000"/>
                <w:sz w:val="20"/>
              </w:rPr>
            </w:pPr>
            <w:r w:rsidRPr="00674FA0">
              <w:rPr>
                <w:rFonts w:ascii="Arial" w:hAnsi="Arial" w:cs="Arial"/>
                <w:color w:val="000000"/>
                <w:sz w:val="20"/>
              </w:rPr>
              <w:t>156</w:t>
            </w:r>
          </w:p>
        </w:tc>
        <w:tc>
          <w:tcPr>
            <w:tcW w:w="601" w:type="pct"/>
            <w:tcBorders>
              <w:top w:val="nil"/>
              <w:left w:val="nil"/>
              <w:bottom w:val="single" w:sz="8" w:space="0" w:color="000000"/>
              <w:right w:val="nil"/>
            </w:tcBorders>
            <w:shd w:val="clear" w:color="auto" w:fill="auto"/>
            <w:noWrap/>
            <w:vAlign w:val="bottom"/>
            <w:hideMark/>
          </w:tcPr>
          <w:p w:rsidR="003B0DEE" w:rsidRPr="00674FA0" w:rsidRDefault="003B0DEE" w:rsidP="000D5D90">
            <w:pPr>
              <w:spacing w:line="240" w:lineRule="auto"/>
              <w:jc w:val="center"/>
              <w:rPr>
                <w:rFonts w:ascii="Arial" w:hAnsi="Arial" w:cs="Arial"/>
                <w:sz w:val="20"/>
              </w:rPr>
            </w:pPr>
            <w:r w:rsidRPr="00674FA0">
              <w:rPr>
                <w:rFonts w:ascii="Arial" w:hAnsi="Arial" w:cs="Arial"/>
                <w:sz w:val="20"/>
              </w:rPr>
              <w:t>19.9%</w:t>
            </w:r>
          </w:p>
        </w:tc>
      </w:tr>
    </w:tbl>
    <w:p w:rsidR="003B0DEE" w:rsidRDefault="003B0DEE" w:rsidP="000D5D90">
      <w:pPr>
        <w:pStyle w:val="BodyText"/>
      </w:pPr>
    </w:p>
    <w:p w:rsidR="003B0DEE" w:rsidRDefault="003B0DEE" w:rsidP="000D5D90">
      <w:pPr>
        <w:pStyle w:val="BodyText"/>
      </w:pPr>
      <w:r w:rsidRPr="00580428">
        <w:t xml:space="preserve">‘Older’ is defined as 35 years of age or older when entering treatment, or, if younger than 35 years, where there has been prolonged opioid use for 10 or more years.  The numbers of people entering treatment in 2015 which are classified as ‘older’ using this definition are outlined in Table </w:t>
      </w:r>
      <w:r>
        <w:t>5-7</w:t>
      </w:r>
      <w:r w:rsidRPr="00580428">
        <w:t>.  Approximately half of people (49.4%) who entered treatment for the first time in 2015 are classified as ‘older’.</w:t>
      </w:r>
    </w:p>
    <w:p w:rsidR="003B0DEE" w:rsidRPr="005C08E6" w:rsidRDefault="003B0DEE" w:rsidP="000D5D90">
      <w:pPr>
        <w:pStyle w:val="Caption"/>
        <w:spacing w:line="240" w:lineRule="auto"/>
      </w:pPr>
      <w:bookmarkStart w:id="96" w:name="_Toc15332004"/>
      <w:r>
        <w:t xml:space="preserve">Table </w:t>
      </w:r>
      <w:fldSimple w:instr=" STYLEREF 1 \s ">
        <w:r>
          <w:rPr>
            <w:noProof/>
          </w:rPr>
          <w:t>5</w:t>
        </w:r>
      </w:fldSimple>
      <w:r>
        <w:noBreakHyphen/>
      </w:r>
      <w:fldSimple w:instr=" SEQ Table \* ARABIC \s 1 ">
        <w:r>
          <w:rPr>
            <w:noProof/>
          </w:rPr>
          <w:t>7</w:t>
        </w:r>
      </w:fldSimple>
      <w:r>
        <w:t xml:space="preserve">  </w:t>
      </w:r>
      <w:r>
        <w:rPr>
          <w:b w:val="0"/>
        </w:rPr>
        <w:t>N</w:t>
      </w:r>
      <w:r w:rsidRPr="00580428">
        <w:rPr>
          <w:b w:val="0"/>
        </w:rPr>
        <w:t>umber of people entering treatment in 2015 classified as ‘older’</w:t>
      </w:r>
      <w:bookmarkEnd w:id="96"/>
    </w:p>
    <w:tbl>
      <w:tblPr>
        <w:tblW w:w="4862" w:type="pct"/>
        <w:tblLayout w:type="fixed"/>
        <w:tblLook w:val="04A0" w:firstRow="1" w:lastRow="0" w:firstColumn="1" w:lastColumn="0" w:noHBand="0" w:noVBand="1"/>
      </w:tblPr>
      <w:tblGrid>
        <w:gridCol w:w="2523"/>
        <w:gridCol w:w="2120"/>
        <w:gridCol w:w="2268"/>
        <w:gridCol w:w="1844"/>
      </w:tblGrid>
      <w:tr w:rsidR="003B0DEE" w:rsidRPr="00580428" w:rsidTr="000D5D90">
        <w:trPr>
          <w:trHeight w:val="288"/>
        </w:trPr>
        <w:tc>
          <w:tcPr>
            <w:tcW w:w="1441" w:type="pct"/>
            <w:tcBorders>
              <w:top w:val="single" w:sz="8" w:space="0" w:color="000000"/>
              <w:left w:val="nil"/>
              <w:bottom w:val="nil"/>
              <w:right w:val="nil"/>
            </w:tcBorders>
            <w:shd w:val="clear" w:color="auto" w:fill="auto"/>
            <w:noWrap/>
            <w:vAlign w:val="bottom"/>
            <w:hideMark/>
          </w:tcPr>
          <w:p w:rsidR="003B0DEE" w:rsidRPr="00580428" w:rsidRDefault="003B0DEE" w:rsidP="000D5D90">
            <w:pPr>
              <w:spacing w:line="240" w:lineRule="auto"/>
              <w:rPr>
                <w:rFonts w:ascii="Arial" w:hAnsi="Arial" w:cs="Arial"/>
                <w:b/>
                <w:bCs/>
                <w:color w:val="000000"/>
                <w:sz w:val="20"/>
              </w:rPr>
            </w:pPr>
          </w:p>
        </w:tc>
        <w:tc>
          <w:tcPr>
            <w:tcW w:w="1211" w:type="pct"/>
            <w:tcBorders>
              <w:top w:val="single" w:sz="8" w:space="0" w:color="000000"/>
              <w:left w:val="nil"/>
              <w:bottom w:val="nil"/>
              <w:right w:val="nil"/>
            </w:tcBorders>
            <w:shd w:val="clear" w:color="auto" w:fill="auto"/>
            <w:noWrap/>
            <w:vAlign w:val="bottom"/>
            <w:hideMark/>
          </w:tcPr>
          <w:p w:rsidR="003B0DEE" w:rsidRPr="00580428" w:rsidRDefault="003B0DEE">
            <w:pPr>
              <w:spacing w:line="240" w:lineRule="auto"/>
              <w:jc w:val="left"/>
              <w:rPr>
                <w:rFonts w:ascii="Arial" w:hAnsi="Arial" w:cs="Arial"/>
                <w:color w:val="000000"/>
                <w:sz w:val="20"/>
              </w:rPr>
            </w:pPr>
            <w:r w:rsidRPr="00580428">
              <w:rPr>
                <w:rFonts w:ascii="Arial" w:hAnsi="Arial" w:cs="Arial"/>
                <w:color w:val="000000"/>
                <w:sz w:val="20"/>
              </w:rPr>
              <w:t>Number of people entering treatment with this criteri</w:t>
            </w:r>
            <w:r>
              <w:rPr>
                <w:rFonts w:ascii="Arial" w:hAnsi="Arial" w:cs="Arial"/>
                <w:color w:val="000000"/>
                <w:sz w:val="20"/>
              </w:rPr>
              <w:t>on</w:t>
            </w:r>
            <w:r w:rsidRPr="00580428">
              <w:rPr>
                <w:rFonts w:ascii="Arial" w:hAnsi="Arial" w:cs="Arial"/>
                <w:color w:val="000000"/>
                <w:sz w:val="20"/>
              </w:rPr>
              <w:t xml:space="preserve"> in 2015</w:t>
            </w:r>
          </w:p>
        </w:tc>
        <w:tc>
          <w:tcPr>
            <w:tcW w:w="1295" w:type="pct"/>
            <w:tcBorders>
              <w:top w:val="single" w:sz="8" w:space="0" w:color="000000"/>
              <w:left w:val="nil"/>
              <w:bottom w:val="nil"/>
              <w:right w:val="nil"/>
            </w:tcBorders>
            <w:shd w:val="clear" w:color="auto" w:fill="auto"/>
            <w:noWrap/>
            <w:vAlign w:val="bottom"/>
            <w:hideMark/>
          </w:tcPr>
          <w:p w:rsidR="003B0DEE" w:rsidRPr="00580428" w:rsidRDefault="003B0DEE" w:rsidP="000D5D90">
            <w:pPr>
              <w:spacing w:line="240" w:lineRule="auto"/>
              <w:jc w:val="left"/>
              <w:rPr>
                <w:rFonts w:ascii="Arial" w:hAnsi="Arial" w:cs="Arial"/>
                <w:color w:val="000000"/>
                <w:sz w:val="20"/>
              </w:rPr>
            </w:pPr>
            <w:r w:rsidRPr="00580428">
              <w:rPr>
                <w:rFonts w:ascii="Arial" w:hAnsi="Arial" w:cs="Arial"/>
                <w:color w:val="000000"/>
                <w:sz w:val="20"/>
              </w:rPr>
              <w:t>Total number of people entering treatment for opioid use in 2015</w:t>
            </w:r>
          </w:p>
        </w:tc>
        <w:tc>
          <w:tcPr>
            <w:tcW w:w="1053" w:type="pct"/>
            <w:tcBorders>
              <w:top w:val="single" w:sz="8" w:space="0" w:color="000000"/>
              <w:left w:val="nil"/>
              <w:bottom w:val="nil"/>
              <w:right w:val="nil"/>
            </w:tcBorders>
            <w:shd w:val="clear" w:color="auto" w:fill="auto"/>
            <w:noWrap/>
            <w:vAlign w:val="bottom"/>
            <w:hideMark/>
          </w:tcPr>
          <w:p w:rsidR="003B0DEE" w:rsidRPr="00580428" w:rsidRDefault="003B0DEE" w:rsidP="000D5D90">
            <w:pPr>
              <w:spacing w:line="240" w:lineRule="auto"/>
              <w:jc w:val="left"/>
              <w:rPr>
                <w:rFonts w:ascii="Arial" w:hAnsi="Arial" w:cs="Arial"/>
                <w:color w:val="000000"/>
                <w:sz w:val="20"/>
              </w:rPr>
            </w:pPr>
            <w:r w:rsidRPr="00580428">
              <w:rPr>
                <w:rFonts w:ascii="Arial" w:hAnsi="Arial" w:cs="Arial"/>
                <w:color w:val="000000"/>
                <w:sz w:val="20"/>
              </w:rPr>
              <w:t>Percentage classified as older</w:t>
            </w:r>
          </w:p>
        </w:tc>
      </w:tr>
      <w:tr w:rsidR="003B0DEE" w:rsidRPr="00580428" w:rsidTr="000D5D90">
        <w:trPr>
          <w:trHeight w:val="288"/>
        </w:trPr>
        <w:tc>
          <w:tcPr>
            <w:tcW w:w="1441" w:type="pct"/>
            <w:tcBorders>
              <w:top w:val="nil"/>
              <w:left w:val="nil"/>
              <w:right w:val="nil"/>
            </w:tcBorders>
            <w:shd w:val="clear" w:color="auto" w:fill="auto"/>
            <w:noWrap/>
            <w:vAlign w:val="bottom"/>
            <w:hideMark/>
          </w:tcPr>
          <w:p w:rsidR="003B0DEE" w:rsidRPr="00580428" w:rsidRDefault="003B0DEE" w:rsidP="000D5D90">
            <w:pPr>
              <w:spacing w:line="240" w:lineRule="auto"/>
              <w:jc w:val="left"/>
              <w:rPr>
                <w:rFonts w:ascii="Arial" w:hAnsi="Arial" w:cs="Arial"/>
                <w:b/>
                <w:sz w:val="20"/>
              </w:rPr>
            </w:pPr>
            <w:r w:rsidRPr="00580428">
              <w:rPr>
                <w:rFonts w:ascii="Arial" w:hAnsi="Arial" w:cs="Arial"/>
                <w:b/>
                <w:sz w:val="20"/>
              </w:rPr>
              <w:t>New opioid treatment entrants (study cohort)</w:t>
            </w:r>
          </w:p>
          <w:p w:rsidR="003B0DEE" w:rsidRPr="00580428" w:rsidRDefault="003B0DEE" w:rsidP="000D5D90">
            <w:pPr>
              <w:spacing w:line="240" w:lineRule="auto"/>
              <w:jc w:val="left"/>
              <w:rPr>
                <w:rFonts w:ascii="Arial" w:hAnsi="Arial" w:cs="Arial"/>
                <w:color w:val="000000"/>
                <w:sz w:val="20"/>
              </w:rPr>
            </w:pPr>
          </w:p>
        </w:tc>
        <w:tc>
          <w:tcPr>
            <w:tcW w:w="1211" w:type="pct"/>
            <w:tcBorders>
              <w:top w:val="nil"/>
              <w:left w:val="nil"/>
              <w:right w:val="nil"/>
            </w:tcBorders>
            <w:shd w:val="clear" w:color="auto" w:fill="auto"/>
            <w:noWrap/>
            <w:vAlign w:val="center"/>
            <w:hideMark/>
          </w:tcPr>
          <w:p w:rsidR="003B0DEE" w:rsidRPr="00580428" w:rsidRDefault="003B0DEE" w:rsidP="000D5D90">
            <w:pPr>
              <w:spacing w:line="240" w:lineRule="auto"/>
              <w:jc w:val="center"/>
              <w:rPr>
                <w:rFonts w:ascii="Arial" w:hAnsi="Arial" w:cs="Arial"/>
                <w:color w:val="000000"/>
                <w:sz w:val="20"/>
              </w:rPr>
            </w:pPr>
            <w:r w:rsidRPr="00580428">
              <w:rPr>
                <w:rFonts w:ascii="Arial" w:hAnsi="Arial" w:cs="Arial"/>
                <w:color w:val="000000"/>
                <w:sz w:val="20"/>
              </w:rPr>
              <w:t>457</w:t>
            </w:r>
          </w:p>
        </w:tc>
        <w:tc>
          <w:tcPr>
            <w:tcW w:w="1295" w:type="pct"/>
            <w:tcBorders>
              <w:top w:val="nil"/>
              <w:left w:val="nil"/>
              <w:right w:val="nil"/>
            </w:tcBorders>
            <w:shd w:val="clear" w:color="auto" w:fill="auto"/>
            <w:noWrap/>
            <w:vAlign w:val="center"/>
            <w:hideMark/>
          </w:tcPr>
          <w:p w:rsidR="003B0DEE" w:rsidRPr="00580428" w:rsidRDefault="003B0DEE" w:rsidP="000D5D90">
            <w:pPr>
              <w:spacing w:line="240" w:lineRule="auto"/>
              <w:jc w:val="center"/>
              <w:rPr>
                <w:rFonts w:ascii="Arial" w:hAnsi="Arial" w:cs="Arial"/>
                <w:color w:val="000000"/>
                <w:sz w:val="20"/>
              </w:rPr>
            </w:pPr>
            <w:r w:rsidRPr="00580428">
              <w:rPr>
                <w:rFonts w:ascii="Arial" w:hAnsi="Arial" w:cs="Arial"/>
                <w:color w:val="000000"/>
                <w:sz w:val="20"/>
              </w:rPr>
              <w:t>926</w:t>
            </w:r>
          </w:p>
        </w:tc>
        <w:tc>
          <w:tcPr>
            <w:tcW w:w="1053" w:type="pct"/>
            <w:tcBorders>
              <w:top w:val="nil"/>
              <w:left w:val="nil"/>
              <w:right w:val="nil"/>
            </w:tcBorders>
            <w:shd w:val="clear" w:color="auto" w:fill="auto"/>
            <w:noWrap/>
            <w:vAlign w:val="center"/>
            <w:hideMark/>
          </w:tcPr>
          <w:p w:rsidR="003B0DEE" w:rsidRPr="00580428" w:rsidRDefault="003B0DEE" w:rsidP="000D5D90">
            <w:pPr>
              <w:spacing w:line="240" w:lineRule="auto"/>
              <w:jc w:val="center"/>
              <w:rPr>
                <w:rFonts w:ascii="Arial" w:hAnsi="Arial" w:cs="Arial"/>
                <w:b/>
                <w:sz w:val="20"/>
              </w:rPr>
            </w:pPr>
            <w:r w:rsidRPr="00580428">
              <w:rPr>
                <w:rFonts w:ascii="Arial" w:hAnsi="Arial" w:cs="Arial"/>
                <w:b/>
                <w:sz w:val="20"/>
              </w:rPr>
              <w:t>49.4%</w:t>
            </w:r>
          </w:p>
        </w:tc>
      </w:tr>
      <w:tr w:rsidR="003B0DEE" w:rsidRPr="00580428" w:rsidTr="000D5D90">
        <w:trPr>
          <w:trHeight w:val="288"/>
        </w:trPr>
        <w:tc>
          <w:tcPr>
            <w:tcW w:w="1441" w:type="pct"/>
            <w:tcBorders>
              <w:top w:val="nil"/>
              <w:left w:val="nil"/>
              <w:bottom w:val="single" w:sz="8" w:space="0" w:color="000000"/>
              <w:right w:val="nil"/>
            </w:tcBorders>
            <w:shd w:val="clear" w:color="auto" w:fill="auto"/>
            <w:noWrap/>
            <w:vAlign w:val="bottom"/>
            <w:hideMark/>
          </w:tcPr>
          <w:p w:rsidR="003B0DEE" w:rsidRPr="00580428" w:rsidRDefault="003B0DEE" w:rsidP="000D5D90">
            <w:pPr>
              <w:spacing w:line="240" w:lineRule="auto"/>
              <w:jc w:val="left"/>
              <w:rPr>
                <w:rFonts w:ascii="Arial" w:hAnsi="Arial" w:cs="Arial"/>
                <w:b/>
                <w:color w:val="000000"/>
                <w:sz w:val="20"/>
              </w:rPr>
            </w:pPr>
            <w:r w:rsidRPr="00580428">
              <w:rPr>
                <w:rFonts w:ascii="Arial" w:hAnsi="Arial" w:cs="Arial"/>
                <w:b/>
                <w:color w:val="000000"/>
                <w:sz w:val="20"/>
              </w:rPr>
              <w:t xml:space="preserve">All opioid treatment entrants </w:t>
            </w:r>
          </w:p>
          <w:p w:rsidR="003B0DEE" w:rsidRPr="00580428" w:rsidRDefault="003B0DEE" w:rsidP="000D5D90">
            <w:pPr>
              <w:spacing w:line="240" w:lineRule="auto"/>
              <w:jc w:val="left"/>
              <w:rPr>
                <w:rFonts w:ascii="Arial" w:hAnsi="Arial" w:cs="Arial"/>
                <w:color w:val="000000"/>
                <w:sz w:val="20"/>
              </w:rPr>
            </w:pPr>
            <w:r w:rsidRPr="00580428">
              <w:rPr>
                <w:rFonts w:ascii="Arial" w:hAnsi="Arial" w:cs="Arial"/>
                <w:color w:val="000000"/>
                <w:sz w:val="20"/>
              </w:rPr>
              <w:t>(includes both new and previously treated cases)</w:t>
            </w:r>
          </w:p>
        </w:tc>
        <w:tc>
          <w:tcPr>
            <w:tcW w:w="1211" w:type="pct"/>
            <w:tcBorders>
              <w:top w:val="nil"/>
              <w:left w:val="nil"/>
              <w:bottom w:val="single" w:sz="8" w:space="0" w:color="000000"/>
              <w:right w:val="nil"/>
            </w:tcBorders>
            <w:shd w:val="clear" w:color="auto" w:fill="auto"/>
            <w:noWrap/>
            <w:vAlign w:val="center"/>
            <w:hideMark/>
          </w:tcPr>
          <w:p w:rsidR="003B0DEE" w:rsidRPr="00580428" w:rsidRDefault="003B0DEE" w:rsidP="000D5D90">
            <w:pPr>
              <w:spacing w:line="240" w:lineRule="auto"/>
              <w:jc w:val="center"/>
              <w:rPr>
                <w:rFonts w:ascii="Arial" w:hAnsi="Arial" w:cs="Arial"/>
                <w:color w:val="000000"/>
                <w:sz w:val="20"/>
              </w:rPr>
            </w:pPr>
            <w:r w:rsidRPr="00580428">
              <w:rPr>
                <w:rFonts w:ascii="Arial" w:hAnsi="Arial" w:cs="Arial"/>
                <w:color w:val="000000"/>
                <w:sz w:val="20"/>
              </w:rPr>
              <w:t>2750</w:t>
            </w:r>
          </w:p>
        </w:tc>
        <w:tc>
          <w:tcPr>
            <w:tcW w:w="1295" w:type="pct"/>
            <w:tcBorders>
              <w:top w:val="nil"/>
              <w:left w:val="nil"/>
              <w:bottom w:val="single" w:sz="8" w:space="0" w:color="000000"/>
              <w:right w:val="nil"/>
            </w:tcBorders>
            <w:shd w:val="clear" w:color="auto" w:fill="auto"/>
            <w:noWrap/>
            <w:vAlign w:val="center"/>
            <w:hideMark/>
          </w:tcPr>
          <w:p w:rsidR="003B0DEE" w:rsidRPr="00580428" w:rsidRDefault="003B0DEE" w:rsidP="000D5D90">
            <w:pPr>
              <w:spacing w:line="240" w:lineRule="auto"/>
              <w:jc w:val="center"/>
              <w:rPr>
                <w:rFonts w:ascii="Arial" w:hAnsi="Arial" w:cs="Arial"/>
                <w:color w:val="000000"/>
                <w:sz w:val="20"/>
              </w:rPr>
            </w:pPr>
            <w:r w:rsidRPr="00580428">
              <w:rPr>
                <w:rFonts w:ascii="Arial" w:hAnsi="Arial" w:cs="Arial"/>
                <w:color w:val="000000"/>
                <w:sz w:val="20"/>
              </w:rPr>
              <w:t>4448</w:t>
            </w:r>
          </w:p>
        </w:tc>
        <w:tc>
          <w:tcPr>
            <w:tcW w:w="1053" w:type="pct"/>
            <w:tcBorders>
              <w:top w:val="nil"/>
              <w:left w:val="nil"/>
              <w:bottom w:val="single" w:sz="8" w:space="0" w:color="000000"/>
              <w:right w:val="nil"/>
            </w:tcBorders>
            <w:shd w:val="clear" w:color="auto" w:fill="auto"/>
            <w:noWrap/>
            <w:vAlign w:val="center"/>
            <w:hideMark/>
          </w:tcPr>
          <w:p w:rsidR="003B0DEE" w:rsidRPr="00580428" w:rsidRDefault="003B0DEE" w:rsidP="000D5D90">
            <w:pPr>
              <w:spacing w:line="240" w:lineRule="auto"/>
              <w:jc w:val="center"/>
              <w:rPr>
                <w:rFonts w:ascii="Arial" w:hAnsi="Arial" w:cs="Arial"/>
                <w:b/>
                <w:sz w:val="20"/>
              </w:rPr>
            </w:pPr>
            <w:r w:rsidRPr="00580428">
              <w:rPr>
                <w:rFonts w:ascii="Arial" w:hAnsi="Arial" w:cs="Arial"/>
                <w:b/>
                <w:sz w:val="20"/>
              </w:rPr>
              <w:t>61.8%</w:t>
            </w:r>
          </w:p>
        </w:tc>
      </w:tr>
    </w:tbl>
    <w:p w:rsidR="003B0DEE" w:rsidRPr="006533CE" w:rsidRDefault="003B0DEE" w:rsidP="000D5D90">
      <w:pPr>
        <w:pStyle w:val="Heading2"/>
      </w:pPr>
      <w:bookmarkStart w:id="97" w:name="_Toc15331705"/>
      <w:r w:rsidRPr="006533CE">
        <w:lastRenderedPageBreak/>
        <w:t xml:space="preserve">Discussion of </w:t>
      </w:r>
      <w:r>
        <w:t>results</w:t>
      </w:r>
      <w:bookmarkEnd w:id="97"/>
      <w:r w:rsidRPr="006533CE">
        <w:t xml:space="preserve"> </w:t>
      </w:r>
    </w:p>
    <w:p w:rsidR="003B0DEE" w:rsidRPr="00454539" w:rsidRDefault="003B0DEE" w:rsidP="000D5D90">
      <w:pPr>
        <w:pStyle w:val="BodyText"/>
      </w:pPr>
      <w:r w:rsidRPr="00454539">
        <w:t xml:space="preserve">This chapter profiles new opioid treatment entries and provides important findings including: (1) the typology of </w:t>
      </w:r>
      <w:r>
        <w:t>opioid-using</w:t>
      </w:r>
      <w:r w:rsidRPr="00454539">
        <w:t xml:space="preserve"> behaviours, (2) the existence of subgroups, with varying onset and durations of opioid use prior to entering treatment, (3) distinguishing attributes relating to sociodemographic features and </w:t>
      </w:r>
      <w:r>
        <w:t>drug-using careers, (4) varying</w:t>
      </w:r>
      <w:r w:rsidRPr="00454539">
        <w:t xml:space="preserve"> ages at treatment entry by typologies.  This is the first time that a detailed analysis of the opioid treatment</w:t>
      </w:r>
      <w:r>
        <w:t xml:space="preserve"> group within the Europe-</w:t>
      </w:r>
      <w:r w:rsidRPr="00454539">
        <w:t>wide TDI has been undertaken in relation to ageing, the onset of opioid use and duration prior to entering treatment for the first time.</w:t>
      </w:r>
    </w:p>
    <w:p w:rsidR="003B0DEE" w:rsidRDefault="003B0DEE" w:rsidP="000D5D90">
      <w:pPr>
        <w:pStyle w:val="Heading3"/>
      </w:pPr>
      <w:bookmarkStart w:id="98" w:name="_Toc15331706"/>
      <w:r>
        <w:t>Results in context</w:t>
      </w:r>
      <w:bookmarkEnd w:id="98"/>
    </w:p>
    <w:p w:rsidR="003B0DEE" w:rsidRPr="00454539" w:rsidRDefault="003B0DEE" w:rsidP="000D5D90">
      <w:pPr>
        <w:pStyle w:val="BodyText"/>
      </w:pPr>
      <w:r w:rsidRPr="00454539">
        <w:t>Women accounted for appro</w:t>
      </w:r>
      <w:r>
        <w:t>ximately one-quarter of cluster</w:t>
      </w:r>
      <w:r w:rsidRPr="00454539">
        <w:t xml:space="preserve"> two to five inclusive, a finding consistent with  European figures whereby women account for roughly one-quarter of all people with serious illicit drug problems and make up approximately 20% of entrants to specialist drug treatment across Europe </w:t>
      </w:r>
      <w:r>
        <w:rPr>
          <w:noProof/>
        </w:rPr>
        <w:t>(European Monitoring Centre for Drugs and Drug Addiction 2017b)</w:t>
      </w:r>
      <w:r w:rsidRPr="00454539">
        <w:t xml:space="preserve">.  In addition, rates of unemployment, polydrug use and injecting were high in these clusters, all consistent with similar studies </w:t>
      </w:r>
      <w:r>
        <w:rPr>
          <w:noProof/>
        </w:rPr>
        <w:t>(Grella &amp; Lovinger 2011, Barrio</w:t>
      </w:r>
      <w:r w:rsidRPr="00833639">
        <w:rPr>
          <w:i/>
          <w:noProof/>
        </w:rPr>
        <w:t xml:space="preserve"> et al.</w:t>
      </w:r>
      <w:r>
        <w:rPr>
          <w:noProof/>
        </w:rPr>
        <w:t xml:space="preserve"> 2013, Han</w:t>
      </w:r>
      <w:r w:rsidRPr="00833639">
        <w:rPr>
          <w:i/>
          <w:noProof/>
        </w:rPr>
        <w:t xml:space="preserve"> et al.</w:t>
      </w:r>
      <w:r>
        <w:rPr>
          <w:noProof/>
        </w:rPr>
        <w:t xml:space="preserve"> 2015, Mounteney</w:t>
      </w:r>
      <w:r w:rsidRPr="00833639">
        <w:rPr>
          <w:i/>
          <w:noProof/>
        </w:rPr>
        <w:t xml:space="preserve"> et al.</w:t>
      </w:r>
      <w:r>
        <w:rPr>
          <w:noProof/>
        </w:rPr>
        <w:t xml:space="preserve"> 2016, Carew &amp; Comiskey 2018b)</w:t>
      </w:r>
      <w:r w:rsidRPr="00454539">
        <w:t xml:space="preserve">.  Generally, adolescence (age 12–17 years) is regarded as the critical risk period for initiation of substance use </w:t>
      </w:r>
      <w:r>
        <w:rPr>
          <w:noProof/>
        </w:rPr>
        <w:t>(Strashny 2014)</w:t>
      </w:r>
      <w:r w:rsidRPr="00454539">
        <w:t>.  The median age of drug use initiation was</w:t>
      </w:r>
      <w:r>
        <w:t xml:space="preserve"> during adolescence for cluster</w:t>
      </w:r>
      <w:r w:rsidRPr="00454539">
        <w:t xml:space="preserve"> two to five inclusive; however cluster one </w:t>
      </w:r>
      <w:r>
        <w:t>was</w:t>
      </w:r>
      <w:r w:rsidRPr="00454539">
        <w:t xml:space="preserve"> different, initiating drug use at an older age (median 20 years).  Other studies show that almost all drug use was initiated by the age of 30 years </w:t>
      </w:r>
      <w:r>
        <w:rPr>
          <w:noProof/>
        </w:rPr>
        <w:t>(United Nations Office on Drugs and Crime 2018)</w:t>
      </w:r>
      <w:r w:rsidRPr="00454539">
        <w:t>.</w:t>
      </w:r>
    </w:p>
    <w:p w:rsidR="003B0DEE" w:rsidRPr="00454539" w:rsidRDefault="003B0DEE" w:rsidP="000D5D90">
      <w:pPr>
        <w:pStyle w:val="BodyText"/>
      </w:pPr>
      <w:r w:rsidRPr="00454539">
        <w:t>The subgroups identified in this study provide a better understanding of the changing opioid endemic.  Cluster one is of particular interest.  Problem use of opioids other than heroin is small</w:t>
      </w:r>
      <w:r>
        <w:t>;</w:t>
      </w:r>
      <w:r w:rsidRPr="00454539">
        <w:t xml:space="preserve"> however</w:t>
      </w:r>
      <w:r>
        <w:t>,</w:t>
      </w:r>
      <w:r w:rsidRPr="00454539">
        <w:t xml:space="preserve"> numbers are increasing.  There has been a dramatic increase in the use of pharmaceutical opioids </w:t>
      </w:r>
      <w:r>
        <w:rPr>
          <w:noProof/>
        </w:rPr>
        <w:t>(Degenhardt</w:t>
      </w:r>
      <w:r w:rsidRPr="00791A95">
        <w:rPr>
          <w:i/>
          <w:noProof/>
        </w:rPr>
        <w:t xml:space="preserve"> et al.</w:t>
      </w:r>
      <w:r>
        <w:rPr>
          <w:noProof/>
        </w:rPr>
        <w:t xml:space="preserve"> 2008, Maxwell 2011, Fischer &amp; Argento 2012)</w:t>
      </w:r>
      <w:r w:rsidRPr="00454539">
        <w:t xml:space="preserve">.  Globally, the most commonly used pharmaceutical opioid is codeine </w:t>
      </w:r>
      <w:r>
        <w:rPr>
          <w:noProof/>
        </w:rPr>
        <w:t>(Nielsen</w:t>
      </w:r>
      <w:r w:rsidRPr="00791A95">
        <w:rPr>
          <w:i/>
          <w:noProof/>
        </w:rPr>
        <w:t xml:space="preserve"> et al.</w:t>
      </w:r>
      <w:r>
        <w:rPr>
          <w:noProof/>
        </w:rPr>
        <w:t xml:space="preserve"> 2018)</w:t>
      </w:r>
      <w:r w:rsidRPr="00454539">
        <w:t xml:space="preserve">, for which presentations at addiction treatment services have increased internationally </w:t>
      </w:r>
      <w:r>
        <w:rPr>
          <w:noProof/>
        </w:rPr>
        <w:t>(Myers</w:t>
      </w:r>
      <w:r w:rsidRPr="00D91DC9">
        <w:rPr>
          <w:i/>
          <w:noProof/>
        </w:rPr>
        <w:t xml:space="preserve"> et al.</w:t>
      </w:r>
      <w:r>
        <w:rPr>
          <w:noProof/>
        </w:rPr>
        <w:t xml:space="preserve"> 2003, Nielsen</w:t>
      </w:r>
      <w:r w:rsidRPr="00D91DC9">
        <w:rPr>
          <w:i/>
          <w:noProof/>
        </w:rPr>
        <w:t xml:space="preserve"> et al.</w:t>
      </w:r>
      <w:r>
        <w:rPr>
          <w:noProof/>
        </w:rPr>
        <w:t xml:space="preserve"> 2015a, Nielsen</w:t>
      </w:r>
      <w:r w:rsidRPr="00D91DC9">
        <w:rPr>
          <w:i/>
          <w:noProof/>
        </w:rPr>
        <w:t xml:space="preserve"> et al.</w:t>
      </w:r>
      <w:r>
        <w:rPr>
          <w:noProof/>
        </w:rPr>
        <w:t xml:space="preserve"> 2015b)</w:t>
      </w:r>
      <w:r>
        <w:t>.</w:t>
      </w:r>
      <w:r w:rsidRPr="00454539">
        <w:t xml:space="preserve"> </w:t>
      </w:r>
      <w:r>
        <w:t xml:space="preserve"> H</w:t>
      </w:r>
      <w:r w:rsidRPr="00454539">
        <w:t>owever</w:t>
      </w:r>
      <w:r>
        <w:t>,</w:t>
      </w:r>
      <w:r w:rsidRPr="00454539">
        <w:t xml:space="preserve"> there has been little consideration given to potential treatment demand from this group </w:t>
      </w:r>
      <w:r>
        <w:rPr>
          <w:noProof/>
        </w:rPr>
        <w:t>(Nielsen</w:t>
      </w:r>
      <w:r w:rsidRPr="00D91DC9">
        <w:rPr>
          <w:i/>
          <w:noProof/>
        </w:rPr>
        <w:t xml:space="preserve"> et al.</w:t>
      </w:r>
      <w:r>
        <w:rPr>
          <w:noProof/>
        </w:rPr>
        <w:t xml:space="preserve"> 2015a)</w:t>
      </w:r>
      <w:r w:rsidRPr="00454539">
        <w:t xml:space="preserve">.  The potential for codeine to be misused has been shown and harms due to overuse well documented </w:t>
      </w:r>
      <w:r>
        <w:rPr>
          <w:noProof/>
        </w:rPr>
        <w:t>(Sproule</w:t>
      </w:r>
      <w:r w:rsidRPr="00791A95">
        <w:rPr>
          <w:i/>
          <w:noProof/>
        </w:rPr>
        <w:t xml:space="preserve"> et al.</w:t>
      </w:r>
      <w:r>
        <w:rPr>
          <w:noProof/>
        </w:rPr>
        <w:t xml:space="preserve"> 1999, Frei</w:t>
      </w:r>
      <w:r w:rsidRPr="00791A95">
        <w:rPr>
          <w:i/>
          <w:noProof/>
        </w:rPr>
        <w:t xml:space="preserve"> et al.</w:t>
      </w:r>
      <w:r>
        <w:rPr>
          <w:noProof/>
        </w:rPr>
        <w:t xml:space="preserve"> 2010, Anderson 2013, Babalonis</w:t>
      </w:r>
      <w:r w:rsidRPr="00791A95">
        <w:rPr>
          <w:i/>
          <w:noProof/>
        </w:rPr>
        <w:t xml:space="preserve"> et al.</w:t>
      </w:r>
      <w:r>
        <w:rPr>
          <w:noProof/>
        </w:rPr>
        <w:t xml:space="preserve"> 2013, Mill</w:t>
      </w:r>
      <w:r w:rsidRPr="00791A95">
        <w:rPr>
          <w:i/>
          <w:noProof/>
        </w:rPr>
        <w:t xml:space="preserve"> et al.</w:t>
      </w:r>
      <w:r>
        <w:rPr>
          <w:noProof/>
        </w:rPr>
        <w:t xml:space="preserve"> 2018)</w:t>
      </w:r>
      <w:r w:rsidRPr="00454539">
        <w:t>.  The profile of cluster one is consistent with international findings, whereby approximately equal proportions of men and women are treated for problematic use of other types of opioid</w:t>
      </w:r>
      <w:r>
        <w:t>s</w:t>
      </w:r>
      <w:r w:rsidRPr="00454539">
        <w:t xml:space="preserve"> (non-heroin), having a greater average age than those tr</w:t>
      </w:r>
      <w:r>
        <w:t xml:space="preserve">eated for other types of opioid and </w:t>
      </w:r>
      <w:r w:rsidRPr="00454539">
        <w:t xml:space="preserve">having high levels of education and employment </w:t>
      </w:r>
      <w:r>
        <w:rPr>
          <w:noProof/>
        </w:rPr>
        <w:t>(Nielsen</w:t>
      </w:r>
      <w:r w:rsidRPr="00D91DC9">
        <w:rPr>
          <w:i/>
          <w:noProof/>
        </w:rPr>
        <w:t xml:space="preserve"> et al.</w:t>
      </w:r>
      <w:r>
        <w:rPr>
          <w:noProof/>
        </w:rPr>
        <w:t xml:space="preserve"> 2015a, Nielsen</w:t>
      </w:r>
      <w:r w:rsidRPr="00D91DC9">
        <w:rPr>
          <w:i/>
          <w:noProof/>
        </w:rPr>
        <w:t xml:space="preserve"> et al.</w:t>
      </w:r>
      <w:r>
        <w:rPr>
          <w:noProof/>
        </w:rPr>
        <w:t xml:space="preserve"> 2018)</w:t>
      </w:r>
      <w:r w:rsidRPr="00454539">
        <w:t xml:space="preserve">.  </w:t>
      </w:r>
      <w:proofErr w:type="gramStart"/>
      <w:r w:rsidRPr="00454539">
        <w:t>The majority of cluster one reported problem codeine use.</w:t>
      </w:r>
      <w:proofErr w:type="gramEnd"/>
      <w:r w:rsidRPr="00454539">
        <w:t xml:space="preserve">  However, under-reporting of codeine dependence is known to be common </w:t>
      </w:r>
      <w:r>
        <w:rPr>
          <w:noProof/>
        </w:rPr>
        <w:t>(Nielsen</w:t>
      </w:r>
      <w:r w:rsidRPr="00791A95">
        <w:rPr>
          <w:i/>
          <w:noProof/>
        </w:rPr>
        <w:t xml:space="preserve"> et al.</w:t>
      </w:r>
      <w:r>
        <w:rPr>
          <w:noProof/>
        </w:rPr>
        <w:t xml:space="preserve"> 2018)</w:t>
      </w:r>
      <w:r w:rsidRPr="00454539">
        <w:t>.  The consumption of other substances alongside opioids, particularly benzodiaze</w:t>
      </w:r>
      <w:r>
        <w:t xml:space="preserve">pines, indicates a population who </w:t>
      </w:r>
      <w:r w:rsidRPr="00454539">
        <w:t>may require specialist interventions.  A recent systematic review found high prevalence rates of mental health comorbidity, delayed identification and under-reporting of dependence</w:t>
      </w:r>
      <w:r w:rsidR="009D2A34" w:rsidRPr="00454539">
        <w:t>, and</w:t>
      </w:r>
      <w:r w:rsidRPr="00454539">
        <w:t xml:space="preserve"> serious complications associated with the consumption of large amounts of products containing codeine </w:t>
      </w:r>
      <w:r>
        <w:rPr>
          <w:noProof/>
        </w:rPr>
        <w:t>(Nielsen</w:t>
      </w:r>
      <w:r w:rsidRPr="00791A95">
        <w:rPr>
          <w:i/>
          <w:noProof/>
        </w:rPr>
        <w:t xml:space="preserve"> et al.</w:t>
      </w:r>
      <w:r>
        <w:rPr>
          <w:noProof/>
        </w:rPr>
        <w:t xml:space="preserve"> 2018)</w:t>
      </w:r>
      <w:r w:rsidRPr="00454539">
        <w:t>.  Patient characteris</w:t>
      </w:r>
      <w:r>
        <w:t>tics</w:t>
      </w:r>
      <w:r w:rsidRPr="00454539">
        <w:t xml:space="preserve"> indicate that cluster one </w:t>
      </w:r>
      <w:r w:rsidRPr="00454539">
        <w:lastRenderedPageBreak/>
        <w:t xml:space="preserve">may be suitably treated in </w:t>
      </w:r>
      <w:r>
        <w:t xml:space="preserve">a </w:t>
      </w:r>
      <w:r w:rsidRPr="00454539">
        <w:t xml:space="preserve">primary care </w:t>
      </w:r>
      <w:r>
        <w:t xml:space="preserve">setting, </w:t>
      </w:r>
      <w:r w:rsidRPr="00454539">
        <w:t xml:space="preserve">given </w:t>
      </w:r>
      <w:r>
        <w:t xml:space="preserve">the </w:t>
      </w:r>
      <w:r w:rsidRPr="00454539">
        <w:t xml:space="preserve">high rates </w:t>
      </w:r>
      <w:r>
        <w:t>of employment, social stability and</w:t>
      </w:r>
      <w:r w:rsidRPr="00454539">
        <w:t xml:space="preserve"> caring responsibilities</w:t>
      </w:r>
      <w:r>
        <w:t xml:space="preserve">, and this group are also </w:t>
      </w:r>
      <w:r w:rsidRPr="00454539">
        <w:t xml:space="preserve">less likely to </w:t>
      </w:r>
      <w:r>
        <w:t xml:space="preserve">inject drugs or </w:t>
      </w:r>
      <w:r w:rsidRPr="00454539">
        <w:t xml:space="preserve">use additional </w:t>
      </w:r>
      <w:r>
        <w:t>substances alongside opioids</w:t>
      </w:r>
      <w:r w:rsidRPr="00454539">
        <w:t>.</w:t>
      </w:r>
    </w:p>
    <w:p w:rsidR="003B0DEE" w:rsidRDefault="003B0DEE" w:rsidP="000D5D90">
      <w:pPr>
        <w:pStyle w:val="BodyText"/>
      </w:pPr>
      <w:r w:rsidRPr="00454539">
        <w:t xml:space="preserve">The initiation of opioid use varied across clusters.  Cluster five was the only group to commence opioid use during adolescence.  The profile of cluster five indicates a group with more complex and chronic </w:t>
      </w:r>
      <w:r>
        <w:t>drug-using</w:t>
      </w:r>
      <w:r w:rsidRPr="00454539">
        <w:t xml:space="preserve"> practices and more complex needs which may be more difficult to treat.  This group had early-onset drug use, early-onset opioid use, the longest time interval to access treatment, and more than half of this group injected drugs.  Yet, cluster five were the youngest to enter treatment.    </w:t>
      </w:r>
    </w:p>
    <w:p w:rsidR="003B0DEE" w:rsidRDefault="003B0DEE" w:rsidP="000D5D90">
      <w:pPr>
        <w:pStyle w:val="Heading3"/>
      </w:pPr>
      <w:bookmarkStart w:id="99" w:name="_Toc15331707"/>
      <w:r>
        <w:t>Ageing</w:t>
      </w:r>
      <w:bookmarkEnd w:id="99"/>
    </w:p>
    <w:p w:rsidR="003B0DEE" w:rsidRDefault="003B0DEE" w:rsidP="000D5D90">
      <w:pPr>
        <w:pStyle w:val="BodyText"/>
      </w:pPr>
      <w:r w:rsidRPr="00454539">
        <w:t xml:space="preserve">Previous studies show that opioid treatment entrants are ageing </w:t>
      </w:r>
      <w:r>
        <w:rPr>
          <w:noProof/>
        </w:rPr>
        <w:t>(Beynon</w:t>
      </w:r>
      <w:r w:rsidRPr="0062594C">
        <w:rPr>
          <w:i/>
          <w:noProof/>
        </w:rPr>
        <w:t xml:space="preserve"> et al.</w:t>
      </w:r>
      <w:r>
        <w:rPr>
          <w:noProof/>
        </w:rPr>
        <w:t xml:space="preserve"> 2007, Gossop 2008, Han</w:t>
      </w:r>
      <w:r w:rsidRPr="0062594C">
        <w:rPr>
          <w:i/>
          <w:noProof/>
        </w:rPr>
        <w:t xml:space="preserve"> et al.</w:t>
      </w:r>
      <w:r>
        <w:rPr>
          <w:noProof/>
        </w:rPr>
        <w:t xml:space="preserve"> 2009a, Australian Injecting Illicit Drug Users League 2011, Crome</w:t>
      </w:r>
      <w:r w:rsidRPr="0062594C">
        <w:rPr>
          <w:i/>
          <w:noProof/>
        </w:rPr>
        <w:t xml:space="preserve"> et al.</w:t>
      </w:r>
      <w:r>
        <w:rPr>
          <w:noProof/>
        </w:rPr>
        <w:t xml:space="preserve"> 2011b, Crome</w:t>
      </w:r>
      <w:r w:rsidRPr="0062594C">
        <w:rPr>
          <w:i/>
          <w:noProof/>
        </w:rPr>
        <w:t xml:space="preserve"> et al.</w:t>
      </w:r>
      <w:r>
        <w:rPr>
          <w:noProof/>
        </w:rPr>
        <w:t xml:space="preserve"> 2011a, Frances 2011, Wu &amp; Blazer 2011, Han</w:t>
      </w:r>
      <w:r w:rsidRPr="0062594C">
        <w:rPr>
          <w:i/>
          <w:noProof/>
        </w:rPr>
        <w:t xml:space="preserve"> et al.</w:t>
      </w:r>
      <w:r>
        <w:rPr>
          <w:noProof/>
        </w:rPr>
        <w:t xml:space="preserve"> 2015, Carew &amp; Comiskey 2018b, Huhn</w:t>
      </w:r>
      <w:r w:rsidRPr="0062594C">
        <w:rPr>
          <w:i/>
          <w:noProof/>
        </w:rPr>
        <w:t xml:space="preserve"> et al.</w:t>
      </w:r>
      <w:r>
        <w:rPr>
          <w:noProof/>
        </w:rPr>
        <w:t xml:space="preserve"> 2018)</w:t>
      </w:r>
      <w:r w:rsidRPr="00454539">
        <w:t xml:space="preserve"> and </w:t>
      </w:r>
      <w:r>
        <w:t xml:space="preserve">onset of opioid use is </w:t>
      </w:r>
      <w:r w:rsidRPr="00454539">
        <w:t xml:space="preserve">delayed </w:t>
      </w:r>
      <w:r>
        <w:rPr>
          <w:noProof/>
        </w:rPr>
        <w:t>(Roe</w:t>
      </w:r>
      <w:r w:rsidRPr="00833639">
        <w:rPr>
          <w:i/>
          <w:noProof/>
        </w:rPr>
        <w:t xml:space="preserve"> et al.</w:t>
      </w:r>
      <w:r>
        <w:rPr>
          <w:noProof/>
        </w:rPr>
        <w:t xml:space="preserve"> 2010, Barrio</w:t>
      </w:r>
      <w:r w:rsidRPr="00833639">
        <w:rPr>
          <w:i/>
          <w:noProof/>
        </w:rPr>
        <w:t xml:space="preserve"> et al.</w:t>
      </w:r>
      <w:r>
        <w:rPr>
          <w:noProof/>
        </w:rPr>
        <w:t xml:space="preserve"> 2013, Carew &amp; Comiskey 2018b)</w:t>
      </w:r>
      <w:r>
        <w:t>.  People in cluster</w:t>
      </w:r>
      <w:r w:rsidRPr="00454539">
        <w:t xml:space="preserve"> three, four and five appear to have contributed to the overall temporal shift in ageing as it was only in these groups that the median age entering treatment incre</w:t>
      </w:r>
      <w:r>
        <w:t>ased significantly in the seven-year-</w:t>
      </w:r>
      <w:r w:rsidRPr="00454539">
        <w:t>period</w:t>
      </w:r>
      <w:r>
        <w:t>, 2009–2015</w:t>
      </w:r>
      <w:r w:rsidRPr="00454539">
        <w:t>.  Collectively</w:t>
      </w:r>
      <w:r>
        <w:t>, cluster</w:t>
      </w:r>
      <w:r w:rsidRPr="00454539">
        <w:t xml:space="preserve"> four and five </w:t>
      </w:r>
      <w:proofErr w:type="gramStart"/>
      <w:r w:rsidRPr="00454539">
        <w:t>account</w:t>
      </w:r>
      <w:proofErr w:type="gramEnd"/>
      <w:r w:rsidRPr="00454539">
        <w:t xml:space="preserve"> for 58.8% of all treatment entrants across the period</w:t>
      </w:r>
      <w:r>
        <w:t xml:space="preserve"> 2009–2015</w:t>
      </w:r>
      <w:r w:rsidRPr="00454539">
        <w:t xml:space="preserve">, and they are the only groups with increased durations of opioid use prior </w:t>
      </w:r>
      <w:r>
        <w:t xml:space="preserve">to </w:t>
      </w:r>
      <w:r w:rsidRPr="00454539">
        <w:t xml:space="preserve">treatment, and the key contributors to the shift in late treatment entries.  For all other clusters the duration of use decreased or remained unchanged.  This suggests that undertaking analysis which compares heroin and non-heroin groups may mask the </w:t>
      </w:r>
      <w:r>
        <w:t xml:space="preserve">severity effects </w:t>
      </w:r>
      <w:r w:rsidRPr="00454539">
        <w:t xml:space="preserve">experienced by some individuals.  </w:t>
      </w:r>
      <w:r>
        <w:t xml:space="preserve">The data does not indicate that the expansion of services outside of Dublin may have influenced ageing trends.  Treatment services were extended across the country in the late 2000s (mainly 2007 and 2008); however, the study results show that in the largest cluster (five), </w:t>
      </w:r>
      <w:r w:rsidRPr="00454539">
        <w:t>the median age entering treatment</w:t>
      </w:r>
      <w:r>
        <w:t xml:space="preserve"> and duration of </w:t>
      </w:r>
      <w:r w:rsidRPr="00454539">
        <w:t xml:space="preserve">opioid use prior </w:t>
      </w:r>
      <w:r>
        <w:t xml:space="preserve">to </w:t>
      </w:r>
      <w:r w:rsidRPr="00454539">
        <w:t>treatment</w:t>
      </w:r>
      <w:r>
        <w:t xml:space="preserve"> increased </w:t>
      </w:r>
      <w:r w:rsidRPr="00454539">
        <w:t>significant</w:t>
      </w:r>
      <w:r>
        <w:t xml:space="preserve">ly for both people residing in Dublin and outside of Dublin.    </w:t>
      </w:r>
    </w:p>
    <w:p w:rsidR="003B0DEE" w:rsidRDefault="003B0DEE" w:rsidP="000D5D90">
      <w:pPr>
        <w:pStyle w:val="BodyText"/>
      </w:pPr>
      <w:r w:rsidRPr="00454539">
        <w:t xml:space="preserve">There is clear evidence of an ageing opioid treatment population globally and the existence of subgroups.  These changing demographics indicate new challenges for policymakers and healthcare </w:t>
      </w:r>
      <w:proofErr w:type="gramStart"/>
      <w:r w:rsidRPr="00454539">
        <w:t>providers</w:t>
      </w:r>
      <w:proofErr w:type="gramEnd"/>
      <w:r w:rsidRPr="00454539">
        <w:t xml:space="preserve"> alike </w:t>
      </w:r>
      <w:r>
        <w:rPr>
          <w:noProof/>
        </w:rPr>
        <w:t>(Gfroerer</w:t>
      </w:r>
      <w:r w:rsidRPr="00791A95">
        <w:rPr>
          <w:i/>
          <w:noProof/>
        </w:rPr>
        <w:t xml:space="preserve"> et al.</w:t>
      </w:r>
      <w:r>
        <w:rPr>
          <w:noProof/>
        </w:rPr>
        <w:t xml:space="preserve"> 2003, Rosen</w:t>
      </w:r>
      <w:r w:rsidRPr="00791A95">
        <w:rPr>
          <w:i/>
          <w:noProof/>
        </w:rPr>
        <w:t xml:space="preserve"> et al.</w:t>
      </w:r>
      <w:r>
        <w:rPr>
          <w:noProof/>
        </w:rPr>
        <w:t xml:space="preserve"> 2011, Wu &amp; Blazer 2011, Rao &amp; Roche 2017)</w:t>
      </w:r>
      <w:r w:rsidRPr="00454539">
        <w:t>.  Meeting the needs of older people who use</w:t>
      </w:r>
      <w:r>
        <w:t>d</w:t>
      </w:r>
      <w:r w:rsidRPr="00454539">
        <w:t xml:space="preserve"> opioids is a pressing issue particularly for treatment services, given that this cohort </w:t>
      </w:r>
      <w:r>
        <w:t>is</w:t>
      </w:r>
      <w:r w:rsidRPr="00454539">
        <w:t xml:space="preserve"> expected to form the majority of the drug treatment population </w:t>
      </w:r>
      <w:r>
        <w:rPr>
          <w:noProof/>
        </w:rPr>
        <w:t>(European Monitoring Centre for Drugs and Drug Addiction 2017b)</w:t>
      </w:r>
      <w:r w:rsidR="009D2A34" w:rsidRPr="00454539">
        <w:t xml:space="preserve">.  </w:t>
      </w:r>
      <w:r w:rsidRPr="00454539">
        <w:t xml:space="preserve">Evidence suggests that service providers are unaware of age-specific and gender-specific issues </w:t>
      </w:r>
      <w:r>
        <w:rPr>
          <w:noProof/>
        </w:rPr>
        <w:t>(Johnstone</w:t>
      </w:r>
      <w:r w:rsidRPr="00791A95">
        <w:rPr>
          <w:i/>
          <w:noProof/>
        </w:rPr>
        <w:t xml:space="preserve"> et al.</w:t>
      </w:r>
      <w:r>
        <w:rPr>
          <w:noProof/>
        </w:rPr>
        <w:t xml:space="preserve"> 2017)</w:t>
      </w:r>
      <w:r w:rsidRPr="00454539">
        <w:t xml:space="preserve">, and although there is an acknowledgement that older people who use drugs require tailored services, there are few treatment programmes meeting their needs </w:t>
      </w:r>
      <w:r>
        <w:rPr>
          <w:noProof/>
        </w:rPr>
        <w:t>(United Nations Office on Drugs and Crime 2018)</w:t>
      </w:r>
      <w:r w:rsidRPr="00454539">
        <w:t xml:space="preserve">.  </w:t>
      </w:r>
    </w:p>
    <w:p w:rsidR="003B0DEE" w:rsidRDefault="003B0DEE" w:rsidP="000D5D90">
      <w:pPr>
        <w:spacing w:line="360" w:lineRule="auto"/>
        <w:jc w:val="left"/>
        <w:rPr>
          <w:rFonts w:ascii="Arial" w:hAnsi="Arial" w:cs="Arial"/>
          <w:sz w:val="20"/>
        </w:rPr>
      </w:pPr>
      <w:r w:rsidRPr="004A781F">
        <w:rPr>
          <w:rFonts w:ascii="Arial" w:hAnsi="Arial" w:cs="Arial"/>
          <w:sz w:val="20"/>
        </w:rPr>
        <w:t xml:space="preserve">Given the substantial variation in the literature as to what the term ‘older’ or ‘ageing’ encompasses, it is important to develop an evidence based definition.  In developing a definition of ‘older’ consideration </w:t>
      </w:r>
      <w:r>
        <w:rPr>
          <w:rFonts w:ascii="Arial" w:hAnsi="Arial" w:cs="Arial"/>
          <w:sz w:val="20"/>
        </w:rPr>
        <w:t>was</w:t>
      </w:r>
      <w:r w:rsidRPr="004A781F">
        <w:rPr>
          <w:rFonts w:ascii="Arial" w:hAnsi="Arial" w:cs="Arial"/>
          <w:sz w:val="20"/>
        </w:rPr>
        <w:t xml:space="preserve"> given not only to the statistical evidence (findings of this study), but also to a practical solution which is useable within the treatment setting, and which also </w:t>
      </w:r>
      <w:r>
        <w:rPr>
          <w:rFonts w:ascii="Arial" w:hAnsi="Arial" w:cs="Arial"/>
          <w:sz w:val="20"/>
        </w:rPr>
        <w:t>lends itself to</w:t>
      </w:r>
      <w:r w:rsidRPr="004A781F">
        <w:rPr>
          <w:rFonts w:ascii="Arial" w:hAnsi="Arial" w:cs="Arial"/>
          <w:sz w:val="20"/>
        </w:rPr>
        <w:t xml:space="preserve"> </w:t>
      </w:r>
      <w:r w:rsidRPr="004A781F">
        <w:rPr>
          <w:rFonts w:ascii="Arial" w:hAnsi="Arial" w:cs="Arial"/>
          <w:sz w:val="20"/>
        </w:rPr>
        <w:lastRenderedPageBreak/>
        <w:t xml:space="preserve">reporting </w:t>
      </w:r>
      <w:r>
        <w:rPr>
          <w:rFonts w:ascii="Arial" w:hAnsi="Arial" w:cs="Arial"/>
          <w:sz w:val="20"/>
        </w:rPr>
        <w:t>purposes</w:t>
      </w:r>
      <w:r w:rsidRPr="004A781F">
        <w:rPr>
          <w:rFonts w:ascii="Arial" w:hAnsi="Arial" w:cs="Arial"/>
          <w:sz w:val="20"/>
        </w:rPr>
        <w:t>.  The proposed definition of ‘older’ incorporates chronological age (years since birth) and recognises issues of accelerat</w:t>
      </w:r>
      <w:r>
        <w:rPr>
          <w:rFonts w:ascii="Arial" w:hAnsi="Arial" w:cs="Arial"/>
          <w:sz w:val="20"/>
        </w:rPr>
        <w:t>ed</w:t>
      </w:r>
      <w:r w:rsidRPr="004A781F">
        <w:rPr>
          <w:rFonts w:ascii="Arial" w:hAnsi="Arial" w:cs="Arial"/>
          <w:sz w:val="20"/>
        </w:rPr>
        <w:t xml:space="preserve"> ageing due to drug use (years since commencement of opioid use).  Drug use is known to accelerate the physical ageing process by fifteen years </w:t>
      </w:r>
      <w:r>
        <w:rPr>
          <w:rFonts w:ascii="Arial" w:hAnsi="Arial" w:cs="Arial"/>
          <w:noProof/>
          <w:sz w:val="20"/>
        </w:rPr>
        <w:t>(Vogt 2009)</w:t>
      </w:r>
      <w:r w:rsidRPr="004A781F">
        <w:rPr>
          <w:rFonts w:ascii="Arial" w:hAnsi="Arial" w:cs="Arial"/>
          <w:sz w:val="20"/>
        </w:rPr>
        <w:t xml:space="preserve"> and is an important factor in addition to chronological age, particularly whe</w:t>
      </w:r>
      <w:r>
        <w:rPr>
          <w:rFonts w:ascii="Arial" w:hAnsi="Arial" w:cs="Arial"/>
          <w:sz w:val="20"/>
        </w:rPr>
        <w:t>re</w:t>
      </w:r>
      <w:r w:rsidRPr="004A781F">
        <w:rPr>
          <w:rFonts w:ascii="Arial" w:hAnsi="Arial" w:cs="Arial"/>
          <w:sz w:val="20"/>
        </w:rPr>
        <w:t xml:space="preserve"> an individual is chronological</w:t>
      </w:r>
      <w:r>
        <w:rPr>
          <w:rFonts w:ascii="Arial" w:hAnsi="Arial" w:cs="Arial"/>
          <w:sz w:val="20"/>
        </w:rPr>
        <w:t>ly</w:t>
      </w:r>
      <w:r w:rsidRPr="004A781F">
        <w:rPr>
          <w:rFonts w:ascii="Arial" w:hAnsi="Arial" w:cs="Arial"/>
          <w:sz w:val="20"/>
        </w:rPr>
        <w:t xml:space="preserve"> young </w:t>
      </w:r>
      <w:r>
        <w:rPr>
          <w:rFonts w:ascii="Arial" w:hAnsi="Arial" w:cs="Arial"/>
          <w:sz w:val="20"/>
        </w:rPr>
        <w:t>but</w:t>
      </w:r>
      <w:r w:rsidRPr="004A781F">
        <w:rPr>
          <w:rFonts w:ascii="Arial" w:hAnsi="Arial" w:cs="Arial"/>
          <w:sz w:val="20"/>
        </w:rPr>
        <w:t xml:space="preserve"> has prolonged opioid use.  </w:t>
      </w:r>
    </w:p>
    <w:p w:rsidR="003B0DEE" w:rsidRPr="00454539" w:rsidRDefault="003B0DEE" w:rsidP="000D5D90">
      <w:pPr>
        <w:pStyle w:val="BodyText"/>
      </w:pPr>
      <w:r w:rsidRPr="004A781F">
        <w:rPr>
          <w:szCs w:val="20"/>
        </w:rPr>
        <w:t xml:space="preserve">The definition was derived following careful consideration of </w:t>
      </w:r>
      <w:r>
        <w:rPr>
          <w:szCs w:val="20"/>
        </w:rPr>
        <w:t>practical implementation and study findings.</w:t>
      </w:r>
      <w:r>
        <w:t xml:space="preserve">  In treatment settings, i</w:t>
      </w:r>
      <w:r w:rsidRPr="004A781F">
        <w:rPr>
          <w:szCs w:val="20"/>
        </w:rPr>
        <w:t>t</w:t>
      </w:r>
      <w:r w:rsidRPr="004A781F">
        <w:rPr>
          <w:szCs w:val="20"/>
          <w:lang w:val="en"/>
        </w:rPr>
        <w:t xml:space="preserve"> is imperative that clinical treatment decisions are based on individual assessments.  </w:t>
      </w:r>
      <w:r w:rsidRPr="004A781F">
        <w:rPr>
          <w:szCs w:val="20"/>
        </w:rPr>
        <w:t>Any definition of ‘older’ should be easy to use</w:t>
      </w:r>
      <w:r>
        <w:rPr>
          <w:szCs w:val="20"/>
        </w:rPr>
        <w:t xml:space="preserve"> and implement</w:t>
      </w:r>
      <w:r w:rsidRPr="004A781F">
        <w:rPr>
          <w:szCs w:val="20"/>
        </w:rPr>
        <w:t xml:space="preserve"> there</w:t>
      </w:r>
      <w:r>
        <w:rPr>
          <w:szCs w:val="20"/>
        </w:rPr>
        <w:t>by</w:t>
      </w:r>
      <w:r w:rsidRPr="004A781F">
        <w:rPr>
          <w:szCs w:val="20"/>
        </w:rPr>
        <w:t xml:space="preserve"> making the cohort easily recognisable.  Analysis of age is often presented in aggregated form and regularly reported using five year age groups</w:t>
      </w:r>
      <w:r>
        <w:rPr>
          <w:szCs w:val="20"/>
        </w:rPr>
        <w:t xml:space="preserve"> (see,</w:t>
      </w:r>
      <w:r w:rsidRPr="004A781F">
        <w:rPr>
          <w:szCs w:val="20"/>
        </w:rPr>
        <w:t xml:space="preserve"> for example</w:t>
      </w:r>
      <w:r>
        <w:rPr>
          <w:szCs w:val="20"/>
        </w:rPr>
        <w:t>,</w:t>
      </w:r>
      <w:r w:rsidRPr="004A781F">
        <w:rPr>
          <w:szCs w:val="20"/>
        </w:rPr>
        <w:t xml:space="preserve"> </w:t>
      </w:r>
      <w:r>
        <w:rPr>
          <w:szCs w:val="20"/>
        </w:rPr>
        <w:t xml:space="preserve">reports from the </w:t>
      </w:r>
      <w:r w:rsidRPr="004A781F">
        <w:rPr>
          <w:szCs w:val="20"/>
        </w:rPr>
        <w:t>Euro</w:t>
      </w:r>
      <w:r>
        <w:rPr>
          <w:szCs w:val="20"/>
        </w:rPr>
        <w:t xml:space="preserve">pean Commission, </w:t>
      </w:r>
      <w:r w:rsidRPr="004A781F">
        <w:rPr>
          <w:szCs w:val="20"/>
        </w:rPr>
        <w:t>EMCDDA,</w:t>
      </w:r>
      <w:r>
        <w:rPr>
          <w:szCs w:val="20"/>
        </w:rPr>
        <w:t xml:space="preserve"> United Nations</w:t>
      </w:r>
      <w:r w:rsidRPr="004A781F">
        <w:rPr>
          <w:szCs w:val="20"/>
        </w:rPr>
        <w:t xml:space="preserve">, </w:t>
      </w:r>
      <w:r>
        <w:rPr>
          <w:noProof/>
          <w:szCs w:val="20"/>
        </w:rPr>
        <w:t>(European Commission 2016, European Monitoring Centre for Drugs and Drug Addiction 2018b, United Nations Office on Drugs and Crime 2018)</w:t>
      </w:r>
      <w:r w:rsidRPr="004A781F">
        <w:rPr>
          <w:szCs w:val="20"/>
        </w:rPr>
        <w:t xml:space="preserve">. </w:t>
      </w:r>
      <w:r>
        <w:rPr>
          <w:szCs w:val="20"/>
        </w:rPr>
        <w:t xml:space="preserve"> </w:t>
      </w:r>
      <w:r w:rsidRPr="004A781F">
        <w:rPr>
          <w:szCs w:val="20"/>
        </w:rPr>
        <w:t>The definition of ‘older’ should not inhibit wider usefulness such as drawing national and international comparisons</w:t>
      </w:r>
      <w:r>
        <w:rPr>
          <w:szCs w:val="20"/>
        </w:rPr>
        <w:t xml:space="preserve"> of the drug situation</w:t>
      </w:r>
      <w:r>
        <w:t xml:space="preserve">.  </w:t>
      </w:r>
      <w:r>
        <w:rPr>
          <w:szCs w:val="20"/>
        </w:rPr>
        <w:t>When all opioid treatment entrants are considered, that is, both people who are entered treatment for the first time, and also people who were previously treated and who returned for further treatment, three-in-</w:t>
      </w:r>
      <w:r w:rsidRPr="00912616">
        <w:rPr>
          <w:szCs w:val="20"/>
        </w:rPr>
        <w:t xml:space="preserve">five people </w:t>
      </w:r>
      <w:r>
        <w:rPr>
          <w:szCs w:val="20"/>
        </w:rPr>
        <w:t xml:space="preserve">(61.8%) </w:t>
      </w:r>
      <w:r w:rsidRPr="00912616">
        <w:rPr>
          <w:szCs w:val="20"/>
        </w:rPr>
        <w:t>are classified as ‘older’.  The chro</w:t>
      </w:r>
      <w:r>
        <w:rPr>
          <w:szCs w:val="20"/>
        </w:rPr>
        <w:t>no</w:t>
      </w:r>
      <w:r w:rsidRPr="00912616">
        <w:rPr>
          <w:szCs w:val="20"/>
        </w:rPr>
        <w:t>logical age of 35 years</w:t>
      </w:r>
      <w:r>
        <w:rPr>
          <w:szCs w:val="20"/>
        </w:rPr>
        <w:t>, although it may seem relatively young</w:t>
      </w:r>
      <w:r w:rsidRPr="00912616">
        <w:rPr>
          <w:szCs w:val="20"/>
        </w:rPr>
        <w:t xml:space="preserve"> is consistent with a </w:t>
      </w:r>
      <w:r>
        <w:rPr>
          <w:szCs w:val="20"/>
        </w:rPr>
        <w:t xml:space="preserve">number of other studies </w:t>
      </w:r>
      <w:r>
        <w:rPr>
          <w:noProof/>
          <w:szCs w:val="20"/>
        </w:rPr>
        <w:t>(Working Group of the Senior Drug Dependents and Care Structure Project 2010, Matheson</w:t>
      </w:r>
      <w:r w:rsidRPr="00157033">
        <w:rPr>
          <w:i/>
          <w:noProof/>
          <w:szCs w:val="20"/>
        </w:rPr>
        <w:t xml:space="preserve"> et al.</w:t>
      </w:r>
      <w:r>
        <w:rPr>
          <w:noProof/>
          <w:szCs w:val="20"/>
        </w:rPr>
        <w:t xml:space="preserve"> 2017)</w:t>
      </w:r>
      <w:r>
        <w:rPr>
          <w:szCs w:val="20"/>
        </w:rPr>
        <w:t xml:space="preserve">. </w:t>
      </w:r>
      <w:r w:rsidRPr="00912616">
        <w:rPr>
          <w:szCs w:val="20"/>
        </w:rPr>
        <w:t xml:space="preserve"> </w:t>
      </w:r>
      <w:r w:rsidRPr="00157033">
        <w:rPr>
          <w:szCs w:val="20"/>
        </w:rPr>
        <w:t xml:space="preserve">The definition utilised by the EMCDDA of 40 years of age </w:t>
      </w:r>
      <w:r w:rsidRPr="00157033">
        <w:rPr>
          <w:noProof/>
          <w:szCs w:val="20"/>
        </w:rPr>
        <w:t>(European Monitoring Centre for Drugs and Drug Addiction 2010a)</w:t>
      </w:r>
      <w:r w:rsidRPr="00157033">
        <w:rPr>
          <w:szCs w:val="20"/>
        </w:rPr>
        <w:t xml:space="preserve"> was developed more than a decade ago and may no longer be appropriate given how trends have changed in more recent years, in addition this definition encompassed all types of drug users and is not specific to opioids</w:t>
      </w:r>
      <w:proofErr w:type="gramStart"/>
      <w:r>
        <w:rPr>
          <w:szCs w:val="20"/>
        </w:rPr>
        <w:t xml:space="preserve">. </w:t>
      </w:r>
      <w:proofErr w:type="gramEnd"/>
      <w:r>
        <w:rPr>
          <w:szCs w:val="20"/>
        </w:rPr>
        <w:t xml:space="preserve">An age of 30 years has been used in the United Arab Emirates to define older opioid users </w:t>
      </w:r>
      <w:r>
        <w:rPr>
          <w:noProof/>
          <w:szCs w:val="20"/>
        </w:rPr>
        <w:t>(Alblooshi</w:t>
      </w:r>
      <w:r w:rsidRPr="007279FF">
        <w:rPr>
          <w:i/>
          <w:noProof/>
          <w:szCs w:val="20"/>
        </w:rPr>
        <w:t xml:space="preserve"> et al.</w:t>
      </w:r>
      <w:r>
        <w:rPr>
          <w:noProof/>
          <w:szCs w:val="20"/>
        </w:rPr>
        <w:t xml:space="preserve"> 2016)</w:t>
      </w:r>
      <w:r>
        <w:rPr>
          <w:szCs w:val="20"/>
        </w:rPr>
        <w:t>, although like most other studies, no rationale is provided for this decision</w:t>
      </w:r>
      <w:r w:rsidRPr="00157033">
        <w:rPr>
          <w:szCs w:val="20"/>
        </w:rPr>
        <w:t xml:space="preserve">.  </w:t>
      </w:r>
      <w:r>
        <w:rPr>
          <w:szCs w:val="20"/>
        </w:rPr>
        <w:t xml:space="preserve">Forty percent of all drug related deaths in Scotland are among people younger than 35 years old </w:t>
      </w:r>
      <w:r>
        <w:rPr>
          <w:noProof/>
          <w:szCs w:val="20"/>
        </w:rPr>
        <w:t>(Gao</w:t>
      </w:r>
      <w:r w:rsidRPr="00C61C4D">
        <w:rPr>
          <w:i/>
          <w:noProof/>
          <w:szCs w:val="20"/>
        </w:rPr>
        <w:t xml:space="preserve"> et al.</w:t>
      </w:r>
      <w:r>
        <w:rPr>
          <w:noProof/>
          <w:szCs w:val="20"/>
        </w:rPr>
        <w:t xml:space="preserve"> 2016)</w:t>
      </w:r>
      <w:r>
        <w:rPr>
          <w:szCs w:val="20"/>
        </w:rPr>
        <w:t>, while i</w:t>
      </w:r>
      <w:r w:rsidRPr="00C61C4D">
        <w:rPr>
          <w:szCs w:val="20"/>
        </w:rPr>
        <w:t xml:space="preserve">n the United Kingdom almost </w:t>
      </w:r>
      <w:r>
        <w:rPr>
          <w:szCs w:val="20"/>
        </w:rPr>
        <w:t xml:space="preserve">40% of deaths among people who had a prescribing treatment modality were aged 35 years or younger </w:t>
      </w:r>
      <w:r>
        <w:rPr>
          <w:noProof/>
          <w:szCs w:val="20"/>
        </w:rPr>
        <w:t>(Pierce</w:t>
      </w:r>
      <w:r w:rsidRPr="00275700">
        <w:rPr>
          <w:i/>
          <w:noProof/>
          <w:szCs w:val="20"/>
        </w:rPr>
        <w:t xml:space="preserve"> et al.</w:t>
      </w:r>
      <w:r>
        <w:rPr>
          <w:noProof/>
          <w:szCs w:val="20"/>
        </w:rPr>
        <w:t xml:space="preserve"> 2018)</w:t>
      </w:r>
      <w:r>
        <w:rPr>
          <w:szCs w:val="20"/>
        </w:rPr>
        <w:t xml:space="preserve">.  </w:t>
      </w:r>
      <w:r w:rsidRPr="00157033">
        <w:rPr>
          <w:szCs w:val="20"/>
        </w:rPr>
        <w:t xml:space="preserve">Unpublished data from the Irish National Drug Related Deaths Index (NDRDI) indicates that in 2015 there were more deaths </w:t>
      </w:r>
      <w:r>
        <w:rPr>
          <w:szCs w:val="20"/>
        </w:rPr>
        <w:t xml:space="preserve">among people aged </w:t>
      </w:r>
      <w:r w:rsidRPr="00157033">
        <w:rPr>
          <w:szCs w:val="20"/>
        </w:rPr>
        <w:t>35-39</w:t>
      </w:r>
      <w:r>
        <w:rPr>
          <w:szCs w:val="20"/>
        </w:rPr>
        <w:t xml:space="preserve"> years </w:t>
      </w:r>
      <w:r w:rsidRPr="00157033">
        <w:rPr>
          <w:szCs w:val="20"/>
        </w:rPr>
        <w:t xml:space="preserve">than in any other age group </w:t>
      </w:r>
      <w:r w:rsidRPr="00157033">
        <w:rPr>
          <w:noProof/>
          <w:szCs w:val="20"/>
        </w:rPr>
        <w:t>(Lynn 2019)</w:t>
      </w:r>
      <w:r w:rsidRPr="00157033">
        <w:rPr>
          <w:szCs w:val="20"/>
        </w:rPr>
        <w:t>, and thus the opportunity to effect real change may have been missed by age 40</w:t>
      </w:r>
      <w:r w:rsidRPr="00684154">
        <w:rPr>
          <w:szCs w:val="20"/>
        </w:rPr>
        <w:t xml:space="preserve">.  </w:t>
      </w:r>
      <w:r w:rsidRPr="00684154">
        <w:t xml:space="preserve">Findings from a Spanish study of ageing and mortality among </w:t>
      </w:r>
      <w:r>
        <w:t xml:space="preserve">people who use </w:t>
      </w:r>
      <w:r w:rsidRPr="00684154">
        <w:t>drug</w:t>
      </w:r>
      <w:r>
        <w:t>s</w:t>
      </w:r>
      <w:r w:rsidRPr="00684154">
        <w:t xml:space="preserve"> indicate that healthcare and harm reduction services should be established early among this population and maintained throughout the lifetime</w:t>
      </w:r>
      <w:r>
        <w:t xml:space="preserve"> </w:t>
      </w:r>
      <w:r>
        <w:rPr>
          <w:noProof/>
        </w:rPr>
        <w:t>(Molist</w:t>
      </w:r>
      <w:r w:rsidRPr="00C243B8">
        <w:rPr>
          <w:i/>
          <w:noProof/>
        </w:rPr>
        <w:t xml:space="preserve"> et al.</w:t>
      </w:r>
      <w:r>
        <w:rPr>
          <w:noProof/>
        </w:rPr>
        <w:t xml:space="preserve"> 2018)</w:t>
      </w:r>
      <w:r w:rsidRPr="00684154">
        <w:t xml:space="preserve">. </w:t>
      </w:r>
    </w:p>
    <w:p w:rsidR="003B0DEE" w:rsidRDefault="003B0DEE" w:rsidP="000D5D90">
      <w:pPr>
        <w:pStyle w:val="Default"/>
        <w:tabs>
          <w:tab w:val="left" w:pos="1843"/>
        </w:tabs>
        <w:spacing w:line="360" w:lineRule="auto"/>
        <w:rPr>
          <w:sz w:val="20"/>
        </w:rPr>
      </w:pPr>
      <w:r>
        <w:rPr>
          <w:sz w:val="20"/>
          <w:szCs w:val="20"/>
        </w:rPr>
        <w:t xml:space="preserve">Long-term opioid use among people aged </w:t>
      </w:r>
      <w:proofErr w:type="gramStart"/>
      <w:r>
        <w:rPr>
          <w:sz w:val="20"/>
          <w:szCs w:val="20"/>
        </w:rPr>
        <w:t>under</w:t>
      </w:r>
      <w:proofErr w:type="gramEnd"/>
      <w:r>
        <w:rPr>
          <w:sz w:val="20"/>
          <w:szCs w:val="20"/>
        </w:rPr>
        <w:t xml:space="preserve"> 35 years has not been considered as ‘older’ in the literature.  Younger, long-term opioid users may experience </w:t>
      </w:r>
      <w:r w:rsidRPr="00912616">
        <w:rPr>
          <w:sz w:val="20"/>
          <w:szCs w:val="20"/>
        </w:rPr>
        <w:t xml:space="preserve">similar </w:t>
      </w:r>
      <w:r w:rsidRPr="00EA155F">
        <w:rPr>
          <w:sz w:val="20"/>
          <w:szCs w:val="20"/>
        </w:rPr>
        <w:t>premature ageing</w:t>
      </w:r>
      <w:r>
        <w:rPr>
          <w:sz w:val="20"/>
          <w:szCs w:val="20"/>
        </w:rPr>
        <w:t xml:space="preserve"> related</w:t>
      </w:r>
      <w:r w:rsidRPr="00912616">
        <w:rPr>
          <w:sz w:val="20"/>
          <w:szCs w:val="20"/>
        </w:rPr>
        <w:t xml:space="preserve"> challenges</w:t>
      </w:r>
      <w:r>
        <w:rPr>
          <w:sz w:val="20"/>
          <w:szCs w:val="20"/>
        </w:rPr>
        <w:t xml:space="preserve"> as their </w:t>
      </w:r>
      <w:r w:rsidRPr="00A36E13">
        <w:rPr>
          <w:sz w:val="20"/>
          <w:szCs w:val="20"/>
        </w:rPr>
        <w:t>older counterparts and hence considering both aspect</w:t>
      </w:r>
      <w:r w:rsidRPr="00E522DC">
        <w:rPr>
          <w:sz w:val="20"/>
          <w:szCs w:val="20"/>
        </w:rPr>
        <w:t xml:space="preserve">s can assist the planning of future care needs.  </w:t>
      </w:r>
      <w:r w:rsidRPr="00A36E13">
        <w:rPr>
          <w:sz w:val="20"/>
        </w:rPr>
        <w:t xml:space="preserve">Awareness and education programmes are recommended for health and social care providers including the screening, assessment and diagnosis of problem substance use in ageing populations </w:t>
      </w:r>
      <w:r w:rsidRPr="00A36E13">
        <w:rPr>
          <w:noProof/>
          <w:sz w:val="20"/>
        </w:rPr>
        <w:t>(Carew &amp; Comiskey 2018b)</w:t>
      </w:r>
      <w:r w:rsidRPr="00A36E13">
        <w:rPr>
          <w:sz w:val="20"/>
        </w:rPr>
        <w:t>.</w:t>
      </w:r>
      <w:r w:rsidRPr="00AF596A">
        <w:rPr>
          <w:sz w:val="20"/>
        </w:rPr>
        <w:t xml:space="preserve">  The identification of codeine dependence in clinical settings can often be delayed, contributing to morbidity </w:t>
      </w:r>
      <w:r w:rsidRPr="00AF596A">
        <w:rPr>
          <w:noProof/>
          <w:sz w:val="20"/>
        </w:rPr>
        <w:t>(Nielsen</w:t>
      </w:r>
      <w:r w:rsidRPr="00AF596A">
        <w:rPr>
          <w:i/>
          <w:noProof/>
          <w:sz w:val="20"/>
        </w:rPr>
        <w:t xml:space="preserve"> et al.</w:t>
      </w:r>
      <w:r w:rsidRPr="00AF596A">
        <w:rPr>
          <w:noProof/>
          <w:sz w:val="20"/>
        </w:rPr>
        <w:t xml:space="preserve"> 2018)</w:t>
      </w:r>
      <w:r w:rsidRPr="00AF596A">
        <w:rPr>
          <w:sz w:val="20"/>
        </w:rPr>
        <w:t>.  Screening and prevention interventions are recommended where codeine is available to purchase over-the-</w:t>
      </w:r>
      <w:r w:rsidRPr="00AF596A">
        <w:rPr>
          <w:sz w:val="20"/>
        </w:rPr>
        <w:lastRenderedPageBreak/>
        <w:t xml:space="preserve">counter </w:t>
      </w:r>
      <w:r w:rsidRPr="00AF596A">
        <w:rPr>
          <w:noProof/>
          <w:sz w:val="20"/>
        </w:rPr>
        <w:t>(Nielsen</w:t>
      </w:r>
      <w:r w:rsidRPr="00AF596A">
        <w:rPr>
          <w:i/>
          <w:noProof/>
          <w:sz w:val="20"/>
        </w:rPr>
        <w:t xml:space="preserve"> et al.</w:t>
      </w:r>
      <w:r w:rsidRPr="00AF596A">
        <w:rPr>
          <w:noProof/>
          <w:sz w:val="20"/>
        </w:rPr>
        <w:t xml:space="preserve"> 2018)</w:t>
      </w:r>
      <w:r w:rsidRPr="00AF596A">
        <w:rPr>
          <w:sz w:val="20"/>
        </w:rPr>
        <w:t xml:space="preserve">.  Pain and pain related conditions (including headaches and dental pain) have been cited as a reason for initiating opioid use among people entering treatment for opioid dependence </w:t>
      </w:r>
      <w:r>
        <w:rPr>
          <w:noProof/>
          <w:sz w:val="20"/>
        </w:rPr>
        <w:t>(Nielsen</w:t>
      </w:r>
      <w:r w:rsidRPr="00D91DC9">
        <w:rPr>
          <w:i/>
          <w:noProof/>
          <w:sz w:val="20"/>
        </w:rPr>
        <w:t xml:space="preserve"> et al.</w:t>
      </w:r>
      <w:r>
        <w:rPr>
          <w:noProof/>
          <w:sz w:val="20"/>
        </w:rPr>
        <w:t xml:space="preserve"> 2015a)</w:t>
      </w:r>
      <w:r w:rsidRPr="00AF596A">
        <w:rPr>
          <w:sz w:val="20"/>
        </w:rPr>
        <w:t xml:space="preserve">.  Given the prominence of over-the-counter codeine products and the likelihood that users may have limited contact with health professionals other than pharmacists, prevention strategies and early identification of </w:t>
      </w:r>
      <w:r>
        <w:rPr>
          <w:sz w:val="20"/>
        </w:rPr>
        <w:t>problematic use</w:t>
      </w:r>
      <w:r w:rsidRPr="00AF596A">
        <w:rPr>
          <w:sz w:val="20"/>
        </w:rPr>
        <w:t xml:space="preserve"> are essential. </w:t>
      </w:r>
    </w:p>
    <w:p w:rsidR="003B0DEE" w:rsidRPr="00A36E13" w:rsidRDefault="003B0DEE" w:rsidP="000D5D90">
      <w:pPr>
        <w:autoSpaceDE w:val="0"/>
        <w:autoSpaceDN w:val="0"/>
        <w:adjustRightInd w:val="0"/>
        <w:spacing w:line="360" w:lineRule="auto"/>
        <w:jc w:val="left"/>
        <w:rPr>
          <w:rFonts w:ascii="Arial" w:hAnsi="Arial" w:cs="Arial"/>
          <w:sz w:val="20"/>
        </w:rPr>
      </w:pPr>
      <w:r w:rsidRPr="00A36E13">
        <w:rPr>
          <w:rFonts w:ascii="Arial" w:hAnsi="Arial" w:cs="Arial"/>
          <w:sz w:val="20"/>
        </w:rPr>
        <w:t>The findings indicate that treatment demand is dominated by an ageing</w:t>
      </w:r>
      <w:r w:rsidRPr="00020754">
        <w:rPr>
          <w:rFonts w:ascii="Arial" w:hAnsi="Arial" w:cs="Arial"/>
          <w:sz w:val="20"/>
        </w:rPr>
        <w:t xml:space="preserve"> cohort of people who use </w:t>
      </w:r>
      <w:r w:rsidRPr="00E522DC">
        <w:rPr>
          <w:rFonts w:ascii="Arial" w:hAnsi="Arial" w:cs="Arial"/>
          <w:sz w:val="20"/>
        </w:rPr>
        <w:t>opioid drugs.  Ageing combined with the</w:t>
      </w:r>
      <w:r w:rsidRPr="00A36E13">
        <w:rPr>
          <w:rFonts w:ascii="Arial" w:hAnsi="Arial" w:cs="Arial"/>
          <w:sz w:val="20"/>
        </w:rPr>
        <w:t xml:space="preserve"> effects of long durations of opioid drug use point toward a cohort experiencing many health issues and comorbidities</w:t>
      </w:r>
      <w:proofErr w:type="gramStart"/>
      <w:r w:rsidRPr="00A36E13">
        <w:rPr>
          <w:rFonts w:ascii="Arial" w:hAnsi="Arial" w:cs="Arial"/>
          <w:sz w:val="20"/>
        </w:rPr>
        <w:t xml:space="preserve">. </w:t>
      </w:r>
      <w:proofErr w:type="gramEnd"/>
      <w:r w:rsidRPr="00A36E13">
        <w:rPr>
          <w:rFonts w:ascii="Arial" w:hAnsi="Arial" w:cs="Arial"/>
          <w:sz w:val="20"/>
        </w:rPr>
        <w:t xml:space="preserve">Many health issues and comorbidities are evident amongst people who use opioid drugs </w:t>
      </w:r>
      <w:r w:rsidRPr="00A36E13">
        <w:rPr>
          <w:rFonts w:ascii="Arial" w:hAnsi="Arial" w:cs="Arial"/>
          <w:noProof/>
          <w:sz w:val="20"/>
        </w:rPr>
        <w:t>(Cullen</w:t>
      </w:r>
      <w:r w:rsidRPr="00A36E13">
        <w:rPr>
          <w:rFonts w:ascii="Arial" w:hAnsi="Arial" w:cs="Arial"/>
          <w:i/>
          <w:noProof/>
          <w:sz w:val="20"/>
        </w:rPr>
        <w:t xml:space="preserve"> et al.</w:t>
      </w:r>
      <w:r w:rsidRPr="00A36E13">
        <w:rPr>
          <w:rFonts w:ascii="Arial" w:hAnsi="Arial" w:cs="Arial"/>
          <w:noProof/>
          <w:sz w:val="20"/>
        </w:rPr>
        <w:t xml:space="preserve"> 2009)</w:t>
      </w:r>
      <w:r w:rsidRPr="00A36E13">
        <w:rPr>
          <w:rFonts w:ascii="Arial" w:hAnsi="Arial" w:cs="Arial"/>
          <w:sz w:val="20"/>
        </w:rPr>
        <w:t xml:space="preserve">, and given the wide disparity between what is considered older age in the general population and among people who use drugs, many of the protocols and policies for such comorbidities may not be implemented at the point in time when the person who uses drugs actually needs them.  Given that people who use opioid drugs make up the majority of drug treatments, it is likely that </w:t>
      </w:r>
      <w:r w:rsidRPr="00E522DC">
        <w:rPr>
          <w:rFonts w:ascii="Arial" w:hAnsi="Arial" w:cs="Arial"/>
          <w:sz w:val="20"/>
        </w:rPr>
        <w:t xml:space="preserve">addressing these </w:t>
      </w:r>
      <w:r w:rsidRPr="00A36E13">
        <w:rPr>
          <w:rFonts w:ascii="Arial" w:hAnsi="Arial" w:cs="Arial"/>
          <w:color w:val="000000"/>
          <w:sz w:val="20"/>
        </w:rPr>
        <w:t>complex and varied needs</w:t>
      </w:r>
      <w:r w:rsidRPr="00A36E13">
        <w:rPr>
          <w:rFonts w:ascii="Arial" w:hAnsi="Arial" w:cs="Arial"/>
          <w:sz w:val="20"/>
        </w:rPr>
        <w:t xml:space="preserve"> will increasingly become a mainstream activity among treatment providers.  However, available evidence suggests that service providers are ill prepared to best meet the needs of this ageing cohort and </w:t>
      </w:r>
      <w:proofErr w:type="gramStart"/>
      <w:r w:rsidRPr="00A36E13">
        <w:rPr>
          <w:rFonts w:ascii="Arial" w:hAnsi="Arial" w:cs="Arial"/>
          <w:sz w:val="20"/>
        </w:rPr>
        <w:t>staff are</w:t>
      </w:r>
      <w:proofErr w:type="gramEnd"/>
      <w:r w:rsidRPr="00A36E13">
        <w:rPr>
          <w:rFonts w:ascii="Arial" w:hAnsi="Arial" w:cs="Arial"/>
          <w:sz w:val="20"/>
        </w:rPr>
        <w:t xml:space="preserve"> unaware of age-specific issues.  Current drug policies and treatment services are predominately focused on the needs of the known and younger profile of people who use drugs, and it is inevitable that existing services need to adapt to the ageing population.  </w:t>
      </w:r>
      <w:r w:rsidRPr="00A36E13">
        <w:rPr>
          <w:rFonts w:ascii="Arial" w:hAnsi="Arial" w:cs="Arial"/>
          <w:color w:val="000000"/>
          <w:sz w:val="20"/>
        </w:rPr>
        <w:t xml:space="preserve">Specialised treatment programmes for older people who use drugs are rare in Europe.  </w:t>
      </w:r>
      <w:r w:rsidRPr="00A36E13">
        <w:rPr>
          <w:rFonts w:ascii="Arial" w:hAnsi="Arial" w:cs="Arial"/>
          <w:sz w:val="20"/>
        </w:rPr>
        <w:t xml:space="preserve">There is a need for service providers to take account of ageing trends and to adapt appropriately.  </w:t>
      </w:r>
    </w:p>
    <w:p w:rsidR="003B0DEE" w:rsidRPr="00AF596A" w:rsidRDefault="003B0DEE" w:rsidP="000D5D90">
      <w:pPr>
        <w:pStyle w:val="Default"/>
        <w:tabs>
          <w:tab w:val="left" w:pos="1843"/>
        </w:tabs>
        <w:spacing w:line="360" w:lineRule="auto"/>
        <w:rPr>
          <w:sz w:val="20"/>
        </w:rPr>
      </w:pPr>
    </w:p>
    <w:p w:rsidR="003B0DEE" w:rsidRDefault="003B0DEE" w:rsidP="000D5D90">
      <w:pPr>
        <w:pStyle w:val="Heading3"/>
      </w:pPr>
      <w:bookmarkStart w:id="100" w:name="_Toc15331708"/>
      <w:r>
        <w:t>Strengths and limitations</w:t>
      </w:r>
      <w:bookmarkEnd w:id="100"/>
    </w:p>
    <w:p w:rsidR="003B0DEE" w:rsidRPr="00454539" w:rsidRDefault="003B0DEE" w:rsidP="000D5D90">
      <w:pPr>
        <w:pStyle w:val="BodyText"/>
      </w:pPr>
      <w:r w:rsidRPr="00454539">
        <w:t xml:space="preserve">The study has several strengths.  Unlike smaller studies which use limited data and struggle with the generalisability of their results, this </w:t>
      </w:r>
      <w:r>
        <w:t>analysis</w:t>
      </w:r>
      <w:r w:rsidRPr="00454539">
        <w:t xml:space="preserve"> utilised a national epidemiological treatment dataset over a</w:t>
      </w:r>
      <w:r>
        <w:t xml:space="preserve"> seven-year-period</w:t>
      </w:r>
      <w:r w:rsidRPr="00454539">
        <w:t>.  The dataset follows a long established European protocol, there</w:t>
      </w:r>
      <w:r>
        <w:t xml:space="preserve">by making </w:t>
      </w:r>
      <w:r w:rsidRPr="00454539">
        <w:t xml:space="preserve">this study approach useful, repeatable and comparable.  The findings may assist other countries in understanding the characteristics of their ageing </w:t>
      </w:r>
      <w:r>
        <w:t>opioid</w:t>
      </w:r>
      <w:r w:rsidRPr="00454539">
        <w:t xml:space="preserve"> populations.  Cluster analytic techniques such as the TwoStep method used are advantageous as they provide a data driven means of identifying differences, and thus the clusters uncovered are of relevance to the opioid treatment population.  </w:t>
      </w:r>
      <w:r>
        <w:t>The objective was to examine for groups based of opioid using behaviours and client characteristics.  C</w:t>
      </w:r>
      <w:r w:rsidRPr="00742614">
        <w:t>lusters are categories o</w:t>
      </w:r>
      <w:r>
        <w:t xml:space="preserve">r groups which have </w:t>
      </w:r>
      <w:r w:rsidRPr="00742614">
        <w:t>many features in common</w:t>
      </w:r>
      <w:r>
        <w:t>, yet each group differs from the others in a meaningful way.</w:t>
      </w:r>
      <w:r w:rsidRPr="00742614">
        <w:t xml:space="preserve"> </w:t>
      </w:r>
      <w:r>
        <w:t xml:space="preserve"> The TwoStep method is the only clustering technique which allows for both </w:t>
      </w:r>
      <w:r w:rsidRPr="00C85823">
        <w:t>continuous and categorical variables</w:t>
      </w:r>
      <w:r>
        <w:t xml:space="preserve">, both types were present in this dataset and were considered potentially useful in the examination for groups.  The method </w:t>
      </w:r>
      <w:r w:rsidRPr="00902857">
        <w:t>automatically determine</w:t>
      </w:r>
      <w:r>
        <w:t>d</w:t>
      </w:r>
      <w:r w:rsidRPr="00902857">
        <w:t xml:space="preserve"> the optimal number of clusters</w:t>
      </w:r>
      <w:r>
        <w:t xml:space="preserve"> based on two steps, a pre-clustering step, followed by a clustering step.  </w:t>
      </w:r>
      <w:r w:rsidRPr="00902857">
        <w:t xml:space="preserve">In the pre-clustering step, data </w:t>
      </w:r>
      <w:r>
        <w:t xml:space="preserve">was scanned </w:t>
      </w:r>
      <w:r w:rsidRPr="00902857">
        <w:t xml:space="preserve">record by </w:t>
      </w:r>
      <w:r>
        <w:t xml:space="preserve">record to determine </w:t>
      </w:r>
      <w:r w:rsidRPr="00902857">
        <w:t>whether the current</w:t>
      </w:r>
      <w:r>
        <w:t xml:space="preserve"> </w:t>
      </w:r>
      <w:r w:rsidRPr="00902857">
        <w:t>record can be added to one of the previously formed clusters or whether a new cluster is required using distance criterion.  The clustering stage utilis</w:t>
      </w:r>
      <w:r>
        <w:t>ed</w:t>
      </w:r>
      <w:r w:rsidRPr="00902857">
        <w:t xml:space="preserve"> the results of the pre-cluster step as input and automatically groups the results into the optimum number of clusters using the Schwarz’s BIC.  The relative contribution of </w:t>
      </w:r>
      <w:r>
        <w:t>variables to form the clusters wa</w:t>
      </w:r>
      <w:r w:rsidRPr="00902857">
        <w:t xml:space="preserve">s computed for both </w:t>
      </w:r>
      <w:r w:rsidRPr="00C85823">
        <w:t>continuous and categorical</w:t>
      </w:r>
      <w:r w:rsidRPr="00902857">
        <w:t xml:space="preserve"> variables.</w:t>
      </w:r>
      <w:r>
        <w:t xml:space="preserve">  Given that study was </w:t>
      </w:r>
      <w:r>
        <w:lastRenderedPageBreak/>
        <w:t xml:space="preserve">concerned with ageing, the most appropriate age variables considered for inclusion in the model were age of opioid use onset and age entering treatment.  However, it should be noted that other proxies for age may have yielded slightly different results.  The variable age entering treatment was excluded from the model using the </w:t>
      </w:r>
      <w:r w:rsidRPr="00C85823">
        <w:t>Schwarz’s BIC</w:t>
      </w:r>
      <w:r>
        <w:t xml:space="preserve">.  This criterion </w:t>
      </w:r>
      <w:r w:rsidRPr="00C85823">
        <w:t>is considered one of the most</w:t>
      </w:r>
      <w:r>
        <w:t xml:space="preserve"> </w:t>
      </w:r>
      <w:r w:rsidRPr="00C85823">
        <w:t>useful and objective selection criteria</w:t>
      </w:r>
      <w:r>
        <w:t xml:space="preserve"> because it </w:t>
      </w:r>
      <w:r w:rsidRPr="00C85823">
        <w:t>avoids the arbitrariness of traditional</w:t>
      </w:r>
      <w:r>
        <w:t xml:space="preserve"> </w:t>
      </w:r>
      <w:r w:rsidRPr="00C85823">
        <w:t xml:space="preserve">clustering techniques </w:t>
      </w:r>
      <w:r>
        <w:rPr>
          <w:noProof/>
        </w:rPr>
        <w:t>(Chiu</w:t>
      </w:r>
      <w:r w:rsidRPr="00244B0D">
        <w:rPr>
          <w:i/>
          <w:noProof/>
        </w:rPr>
        <w:t xml:space="preserve"> et al.</w:t>
      </w:r>
      <w:r>
        <w:rPr>
          <w:noProof/>
        </w:rPr>
        <w:t xml:space="preserve"> 2001, Norusis 2011)</w:t>
      </w:r>
      <w:r w:rsidRPr="00C85823">
        <w:t xml:space="preserve">. </w:t>
      </w:r>
      <w:r>
        <w:t xml:space="preserve"> Once the cluster solution was formed, variables which were important in distinguishing the clusters apart were objectively tested using post hoc tests.  </w:t>
      </w:r>
      <w:r w:rsidRPr="00454539">
        <w:t xml:space="preserve">The cluster solution may be limited by the selection of variables used in generating the cluster solution and by the linkage method used.  However, the solution is empirically sound and reflects the only appropriate dataset measure for opioid </w:t>
      </w:r>
      <w:r>
        <w:t xml:space="preserve">use </w:t>
      </w:r>
      <w:r w:rsidRPr="00454539">
        <w:t xml:space="preserve">onset.  Different similarity measures were used and identical results were obtained using multiple measures, therefore increasing the robustness of </w:t>
      </w:r>
      <w:r>
        <w:t>the</w:t>
      </w:r>
      <w:r w:rsidRPr="00454539">
        <w:t xml:space="preserve"> findings.</w:t>
      </w:r>
    </w:p>
    <w:p w:rsidR="003B0DEE" w:rsidRPr="00454539" w:rsidRDefault="003B0DEE" w:rsidP="000D5D90">
      <w:pPr>
        <w:pStyle w:val="BodyText"/>
      </w:pPr>
      <w:r w:rsidRPr="00454539">
        <w:t xml:space="preserve">Self-reported data is one limitation of the study as ability to recall historical information may be affected by memory.  As the NDTRS is based on the drug treatment cohort, we cannot take into account those with non-problematic drug use, people who ceased their drug use, those who have not sought treatment, those who died before seeking treatment, or those treated previously for other drugs and subsequently used opioids.  Additionally, population characteristics may not generalise beyond the treatment seeking population.  As data were cross-sectional, causality cannot be determined.  </w:t>
      </w:r>
    </w:p>
    <w:p w:rsidR="003B0DEE" w:rsidRDefault="003B0DEE" w:rsidP="000D5D90">
      <w:pPr>
        <w:pStyle w:val="Heading3"/>
      </w:pPr>
      <w:bookmarkStart w:id="101" w:name="_Toc15331709"/>
      <w:r>
        <w:t>Implications for policy and practice</w:t>
      </w:r>
      <w:bookmarkEnd w:id="101"/>
    </w:p>
    <w:p w:rsidR="003B0DEE" w:rsidRPr="00D24BDA" w:rsidRDefault="003B0DEE" w:rsidP="000D5D90">
      <w:pPr>
        <w:pStyle w:val="BodyText"/>
        <w:rPr>
          <w:color w:val="FF0000"/>
        </w:rPr>
      </w:pPr>
      <w:r w:rsidRPr="00454539">
        <w:t xml:space="preserve">The burden of opioid </w:t>
      </w:r>
      <w:r>
        <w:t>use</w:t>
      </w:r>
      <w:r w:rsidRPr="00454539">
        <w:t xml:space="preserve"> on the drug treatment system is highlighted through treatment data and th</w:t>
      </w:r>
      <w:r>
        <w:t>is</w:t>
      </w:r>
      <w:r w:rsidRPr="00454539">
        <w:t xml:space="preserve"> burden continues to be significant </w:t>
      </w:r>
      <w:r>
        <w:rPr>
          <w:noProof/>
        </w:rPr>
        <w:t>(Mounteney</w:t>
      </w:r>
      <w:r w:rsidRPr="00791A95">
        <w:rPr>
          <w:i/>
          <w:noProof/>
        </w:rPr>
        <w:t xml:space="preserve"> et al.</w:t>
      </w:r>
      <w:r>
        <w:rPr>
          <w:noProof/>
        </w:rPr>
        <w:t xml:space="preserve"> 2016)</w:t>
      </w:r>
      <w:r w:rsidRPr="00454539">
        <w:t>.  Information about the ageing opioid-using population is vital to develop</w:t>
      </w:r>
      <w:r>
        <w:t>ing</w:t>
      </w:r>
      <w:r w:rsidRPr="00454539">
        <w:t xml:space="preserve"> appropriate policies and practices for treatment and prevention.  The use of clustering techniques provides the opportunity to understand the characteristics </w:t>
      </w:r>
      <w:r>
        <w:t xml:space="preserve">of </w:t>
      </w:r>
      <w:r w:rsidRPr="00454539">
        <w:t>and typologies among first-time opioid treatment entrants in Ireland.  This study describes the complexities within an important opioid treatment population and begins to fill an important void.  Not only are people admitted for opioid use treatment ageing, several hidden groups exist.  Understanding the different types of opioid users provide</w:t>
      </w:r>
      <w:r>
        <w:t>s</w:t>
      </w:r>
      <w:r w:rsidRPr="00454539">
        <w:t xml:space="preserve"> learning and allow</w:t>
      </w:r>
      <w:r>
        <w:t>s</w:t>
      </w:r>
      <w:r w:rsidRPr="00454539">
        <w:t xml:space="preserve"> for interventions to be adapted for these groups.  The clinical presentation of each of the five cluster groupings ha</w:t>
      </w:r>
      <w:r>
        <w:t>s</w:t>
      </w:r>
      <w:r w:rsidRPr="00454539">
        <w:t xml:space="preserve"> implications for treatment provision and can provide guidance for the development of more effective interventions that will target both the type of opioid used and the unique challenges related to the methods and duration of use.  </w:t>
      </w:r>
      <w:r w:rsidRPr="002105EF">
        <w:t xml:space="preserve">For example, continued efforts regarding education/awareness programmes and prevention measures concerning the use of non-heroin opioids such as codeine may be hugely beneficial.  In the context of cluster five, education and prevention measures are of significant importance, particularly among teenagers as half of this group had used drugs by age fourteen and half had commenced the use of opioids by age seventeen.  Earlier engagement with treatment services is also important, especially in cluster four and five.  Entry points to treatment could be proactively created, with increased emphasis on treatment among community and harm reduction services, with the potential to minimise the delay into first treatment.  Supervised injecting facilities may also potentially result in individuals engaging with staff earlier in their injecting career and this may be useful in encouraging people into </w:t>
      </w:r>
      <w:r w:rsidRPr="002105EF">
        <w:lastRenderedPageBreak/>
        <w:t>treatment earlier in their drug-using career.</w:t>
      </w:r>
      <w:r>
        <w:t xml:space="preserve">  </w:t>
      </w:r>
      <w:r w:rsidRPr="00454539">
        <w:t xml:space="preserve">These findings highlight hidden groups at risk of chronic harm who may require consideration and prioritising in policy and practice.  </w:t>
      </w:r>
      <w:r>
        <w:t>R</w:t>
      </w:r>
      <w:r w:rsidRPr="00F035B9">
        <w:t>ecognising that there are distinct patient groups can help refine treatment/prevention strategies for those who seek care.</w:t>
      </w:r>
      <w:r w:rsidRPr="00D24BDA">
        <w:rPr>
          <w:color w:val="FF0000"/>
          <w:sz w:val="19"/>
          <w:szCs w:val="19"/>
        </w:rPr>
        <w:t xml:space="preserve"> </w:t>
      </w:r>
    </w:p>
    <w:p w:rsidR="003B0DEE" w:rsidRPr="00A842D7" w:rsidRDefault="003B0DEE" w:rsidP="000D5D90">
      <w:pPr>
        <w:pStyle w:val="Heading2"/>
      </w:pPr>
      <w:bookmarkStart w:id="102" w:name="_Toc15331710"/>
      <w:r w:rsidRPr="00A842D7">
        <w:t>Conclusion</w:t>
      </w:r>
      <w:bookmarkEnd w:id="102"/>
    </w:p>
    <w:p w:rsidR="003B0DEE" w:rsidRDefault="003B0DEE" w:rsidP="000D5D90">
      <w:pPr>
        <w:pStyle w:val="BodyText"/>
        <w:sectPr w:rsidR="003B0DEE" w:rsidSect="000D5D90">
          <w:pgSz w:w="11907" w:h="16840" w:code="9"/>
          <w:pgMar w:top="1134" w:right="1134" w:bottom="1134" w:left="1985" w:header="709" w:footer="709" w:gutter="0"/>
          <w:cols w:space="708"/>
          <w:docGrid w:linePitch="360"/>
        </w:sectPr>
      </w:pPr>
      <w:r w:rsidRPr="00F035B9">
        <w:t xml:space="preserve">In summary, </w:t>
      </w:r>
      <w:r>
        <w:t>C</w:t>
      </w:r>
      <w:r w:rsidRPr="00F035B9">
        <w:t xml:space="preserve">hapter </w:t>
      </w:r>
      <w:r>
        <w:t>5</w:t>
      </w:r>
      <w:r w:rsidRPr="00F035B9">
        <w:t xml:space="preserve"> described the results of the cluster analysis, uncovered hidden groups within the opioid treatment population, detail</w:t>
      </w:r>
      <w:r>
        <w:t>ed</w:t>
      </w:r>
      <w:r w:rsidRPr="00F035B9">
        <w:t xml:space="preserve"> how these groups differ from each other and how the groups have contributed to age-related trends.  These findings inform the statistical models described in </w:t>
      </w:r>
      <w:r>
        <w:t>C</w:t>
      </w:r>
      <w:r w:rsidRPr="00F035B9">
        <w:t xml:space="preserve">hapter </w:t>
      </w:r>
      <w:r>
        <w:t xml:space="preserve">6, which </w:t>
      </w:r>
      <w:r w:rsidRPr="00F035B9">
        <w:t xml:space="preserve">presents treatment </w:t>
      </w:r>
      <w:r w:rsidRPr="00FC028A">
        <w:t xml:space="preserve">completion rates, durations of treatment exposure, along with characteristics </w:t>
      </w:r>
      <w:r>
        <w:t xml:space="preserve">(such as age) </w:t>
      </w:r>
      <w:r w:rsidRPr="00FC028A">
        <w:t>which may be associated with treatment completion, retention and dropout</w:t>
      </w:r>
      <w:r>
        <w:t>.</w:t>
      </w:r>
      <w:r w:rsidRPr="00FC028A">
        <w:t>.</w:t>
      </w:r>
    </w:p>
    <w:p w:rsidR="003B0DEE" w:rsidRPr="0084174E" w:rsidRDefault="003B0DEE" w:rsidP="000D5D90">
      <w:pPr>
        <w:pStyle w:val="Heading1"/>
        <w:rPr>
          <w:color w:val="FFFFFF"/>
          <w:sz w:val="20"/>
        </w:rPr>
      </w:pPr>
      <w:bookmarkStart w:id="103" w:name="_Toc15331711"/>
      <w:r w:rsidRPr="0084174E">
        <w:rPr>
          <w:color w:val="FFFFFF" w:themeColor="background1"/>
          <w:sz w:val="16"/>
        </w:rPr>
        <w:lastRenderedPageBreak/>
        <w:t>Chapter 6</w:t>
      </w:r>
      <w:r w:rsidRPr="0084174E">
        <w:rPr>
          <w:color w:val="FFFFFF" w:themeColor="background1"/>
          <w:sz w:val="16"/>
        </w:rPr>
        <w:tab/>
        <w:t>Treatment retention and completion among people who use opioids</w:t>
      </w:r>
      <w:bookmarkEnd w:id="103"/>
    </w:p>
    <w:p w:rsidR="003B0DEE" w:rsidRDefault="003B0DEE" w:rsidP="000D5D90">
      <w:pPr>
        <w:pStyle w:val="Chapter"/>
      </w:pPr>
      <w:r w:rsidRPr="00524F43">
        <w:t xml:space="preserve">Chapter </w:t>
      </w:r>
      <w:r>
        <w:t>6</w:t>
      </w:r>
      <w:r w:rsidRPr="00524F43">
        <w:t xml:space="preserve"> </w:t>
      </w:r>
    </w:p>
    <w:p w:rsidR="003B0DEE" w:rsidRPr="00524F43" w:rsidRDefault="003B0DEE" w:rsidP="000D5D90">
      <w:pPr>
        <w:pStyle w:val="Chapter"/>
      </w:pPr>
      <w:r>
        <w:t>Treatment retention and completion among people who use opioids</w:t>
      </w:r>
    </w:p>
    <w:p w:rsidR="003B0DEE" w:rsidRPr="00524F43" w:rsidRDefault="003B0DEE" w:rsidP="000D5D90">
      <w:pPr>
        <w:spacing w:line="276" w:lineRule="auto"/>
      </w:pPr>
    </w:p>
    <w:p w:rsidR="003B0DEE" w:rsidRDefault="003B0DEE" w:rsidP="000D5D90">
      <w:pPr>
        <w:pStyle w:val="Heading2"/>
      </w:pPr>
      <w:bookmarkStart w:id="104" w:name="_Toc15331712"/>
      <w:r w:rsidRPr="00524F43">
        <w:t>Introduction</w:t>
      </w:r>
      <w:bookmarkEnd w:id="104"/>
    </w:p>
    <w:p w:rsidR="003B0DEE" w:rsidRPr="00EB715E" w:rsidRDefault="003B0DEE" w:rsidP="000D5D90">
      <w:pPr>
        <w:pStyle w:val="BodyText"/>
      </w:pPr>
      <w:r w:rsidRPr="003E34B5">
        <w:t>This is the third and final chapter outlining the study findings.  The aim of this study was to investigate the age profile of the opioid treatme</w:t>
      </w:r>
      <w:r>
        <w:t>nt population over a twenty-one-year-period</w:t>
      </w:r>
      <w:r w:rsidRPr="003E34B5">
        <w:t xml:space="preserve"> using routine health surveillance data, and to explore typologies of client characteristics, behaviours and associated treatment discharge outcomes.  The study results are presented in three interconnected chapters.  This, the third results chapter focuses on the final research objective of the study: “To report treatment retention and completion rates for opioid treatment entrants and explore which characteristics </w:t>
      </w:r>
      <w:r>
        <w:t xml:space="preserve">(such as age) </w:t>
      </w:r>
      <w:r w:rsidRPr="003E34B5">
        <w:t xml:space="preserve">may be associated with treatment completion, retention and dropout”.  It </w:t>
      </w:r>
      <w:r>
        <w:t>also investigates whether older people using opioids achieve different treatment outcomes than their younger counterparts</w:t>
      </w:r>
      <w:r w:rsidRPr="00EB715E">
        <w:t xml:space="preserve">.  The results are discussed in the context of the existing literature on </w:t>
      </w:r>
      <w:r>
        <w:t>treatment retention and completion</w:t>
      </w:r>
      <w:r w:rsidRPr="00EB715E">
        <w:t>.</w:t>
      </w:r>
    </w:p>
    <w:p w:rsidR="003B0DEE" w:rsidRPr="00FD0E14" w:rsidRDefault="003B0DEE" w:rsidP="000D5D90">
      <w:pPr>
        <w:pStyle w:val="BodyText"/>
      </w:pPr>
      <w:r w:rsidRPr="00FD0E14">
        <w:t xml:space="preserve">There are two sections to this chapter.  The first section describes the </w:t>
      </w:r>
      <w:r>
        <w:t xml:space="preserve">NDTRS </w:t>
      </w:r>
      <w:r w:rsidRPr="00FD0E14">
        <w:t xml:space="preserve">treatment discharge dataset and </w:t>
      </w:r>
      <w:r>
        <w:t xml:space="preserve">also </w:t>
      </w:r>
      <w:r w:rsidRPr="00FD0E14">
        <w:t>investigates wh</w:t>
      </w:r>
      <w:r>
        <w:t xml:space="preserve">ich treatment entry characteristics </w:t>
      </w:r>
      <w:r w:rsidRPr="00FD0E14">
        <w:t xml:space="preserve">have an impact on </w:t>
      </w:r>
      <w:r>
        <w:t xml:space="preserve">the likelihood of treatment completion/dropout.  The second section of this chapter uses survival analysis methods to examine treatment exposure (the length of time in treatment) in relationship to explanatory variables. </w:t>
      </w:r>
    </w:p>
    <w:p w:rsidR="003B0DEE" w:rsidRPr="00524F43" w:rsidRDefault="003B0DEE" w:rsidP="000D5D90">
      <w:pPr>
        <w:pStyle w:val="Heading2"/>
      </w:pPr>
      <w:bookmarkStart w:id="105" w:name="_Toc15331713"/>
      <w:r w:rsidRPr="00524F43">
        <w:t xml:space="preserve">Description of the </w:t>
      </w:r>
      <w:r>
        <w:t>discharge study cohort</w:t>
      </w:r>
      <w:bookmarkEnd w:id="105"/>
    </w:p>
    <w:p w:rsidR="003B0DEE" w:rsidRPr="008F46BC" w:rsidRDefault="003B0DEE" w:rsidP="000D5D90">
      <w:pPr>
        <w:pStyle w:val="BodyText"/>
      </w:pPr>
      <w:r>
        <w:t xml:space="preserve">Currently, the European TDI does not record information on treatment discharge; however this information is recorded in the Irish system.  </w:t>
      </w:r>
      <w:r w:rsidRPr="00345D9D">
        <w:t xml:space="preserve">Although </w:t>
      </w:r>
      <w:r w:rsidRPr="00A62C27">
        <w:t>the NDTRS was</w:t>
      </w:r>
      <w:r w:rsidRPr="00345D9D">
        <w:t xml:space="preserve"> rolled out nationally in 1995, the recording of information on treatment discharges was implemented on a national basis </w:t>
      </w:r>
      <w:r>
        <w:t xml:space="preserve">ten years ago, </w:t>
      </w:r>
      <w:r w:rsidRPr="00345D9D">
        <w:t xml:space="preserve">in 2009.  </w:t>
      </w:r>
      <w:r w:rsidRPr="00AB36F3">
        <w:t>The</w:t>
      </w:r>
      <w:r>
        <w:t>refore, the</w:t>
      </w:r>
      <w:r w:rsidRPr="00AB36F3">
        <w:t xml:space="preserve"> study </w:t>
      </w:r>
      <w:r>
        <w:t>cohort</w:t>
      </w:r>
      <w:r w:rsidRPr="00AB36F3">
        <w:t xml:space="preserve"> </w:t>
      </w:r>
      <w:r>
        <w:t>for this chapter</w:t>
      </w:r>
      <w:r w:rsidRPr="00AB36F3">
        <w:t xml:space="preserve"> </w:t>
      </w:r>
      <w:r>
        <w:t xml:space="preserve">included all </w:t>
      </w:r>
      <w:r w:rsidRPr="00AB36F3">
        <w:t xml:space="preserve">new persons entering treatment for opioid-related problems in Ireland in the years 2009 to 2015 inclusive. </w:t>
      </w:r>
      <w:r>
        <w:t xml:space="preserve"> </w:t>
      </w:r>
      <w:r w:rsidRPr="00345D9D">
        <w:t>Coincidently, the results of the Joinpoint regression analysis</w:t>
      </w:r>
      <w:r>
        <w:t xml:space="preserve"> (Chapter 4)</w:t>
      </w:r>
      <w:r w:rsidRPr="00345D9D">
        <w:t xml:space="preserve"> indicated the most recent </w:t>
      </w:r>
      <w:r>
        <w:t xml:space="preserve">change in </w:t>
      </w:r>
      <w:r w:rsidRPr="00345D9D">
        <w:t xml:space="preserve">trend in treatment admissions commenced in 2009.  </w:t>
      </w:r>
      <w:r>
        <w:t>As previously outlined in Chapter 3, t</w:t>
      </w:r>
      <w:r w:rsidRPr="00345D9D">
        <w:t xml:space="preserve">he Health Research Board provided data on all treatment discharges taking place up to </w:t>
      </w:r>
      <w:r>
        <w:t>the end of 2017 (</w:t>
      </w:r>
      <w:r w:rsidRPr="00345D9D">
        <w:t>31/12/2017</w:t>
      </w:r>
      <w:r>
        <w:t>)</w:t>
      </w:r>
      <w:r w:rsidRPr="00345D9D">
        <w:t xml:space="preserve">.  </w:t>
      </w:r>
      <w:r>
        <w:t>A record with no discharge data indicates that the individual is still engaged in treatment</w:t>
      </w:r>
      <w:r w:rsidRPr="00345D9D">
        <w:t xml:space="preserve">. </w:t>
      </w:r>
      <w:r>
        <w:t xml:space="preserve"> The </w:t>
      </w:r>
      <w:r w:rsidRPr="00345D9D">
        <w:t>minimum follow-up period was two years</w:t>
      </w:r>
      <w:r>
        <w:t xml:space="preserve"> due to the fact that </w:t>
      </w:r>
      <w:r w:rsidRPr="00345D9D">
        <w:t xml:space="preserve">the latest possible treatment entry date was 31/12/2015 and discharge data was available until at least 31/12/2017.  Similarly, the longest </w:t>
      </w:r>
      <w:r>
        <w:t>follow-up</w:t>
      </w:r>
      <w:r w:rsidRPr="00345D9D">
        <w:t xml:space="preserve"> period was almost nine years (01/01/2009-31/12/2017).  </w:t>
      </w:r>
      <w:r>
        <w:t>T</w:t>
      </w:r>
      <w:r w:rsidRPr="00F0607A">
        <w:t xml:space="preserve">he study </w:t>
      </w:r>
      <w:r w:rsidRPr="00F0607A">
        <w:lastRenderedPageBreak/>
        <w:t xml:space="preserve">period consisted of varying observation periods; </w:t>
      </w:r>
      <w:r>
        <w:t xml:space="preserve">commencing </w:t>
      </w:r>
      <w:r w:rsidRPr="00F0607A">
        <w:t>from individual</w:t>
      </w:r>
      <w:r>
        <w:t>’s</w:t>
      </w:r>
      <w:r w:rsidRPr="00F0607A">
        <w:t xml:space="preserve"> </w:t>
      </w:r>
      <w:r>
        <w:t xml:space="preserve">treatment start date </w:t>
      </w:r>
      <w:r w:rsidRPr="00F0607A">
        <w:t xml:space="preserve">until </w:t>
      </w:r>
      <w:r>
        <w:t xml:space="preserve">either (a) their discharge date, or (b) </w:t>
      </w:r>
      <w:r w:rsidRPr="00F0607A">
        <w:t>the censoring date, 31</w:t>
      </w:r>
      <w:r>
        <w:t>/12/</w:t>
      </w:r>
      <w:r w:rsidRPr="00F0607A">
        <w:t>20</w:t>
      </w:r>
      <w:r>
        <w:t xml:space="preserve">17.  The observation period was standardised the using a </w:t>
      </w:r>
      <w:r w:rsidRPr="00127F7E">
        <w:t>time variable indicating the duration of time spent in treatment (</w:t>
      </w:r>
      <w:r>
        <w:t>in days</w:t>
      </w:r>
      <w:r w:rsidRPr="00127F7E">
        <w:t>).</w:t>
      </w:r>
    </w:p>
    <w:p w:rsidR="003B0DEE" w:rsidRPr="00524F43" w:rsidRDefault="003B0DEE" w:rsidP="000D5D90">
      <w:pPr>
        <w:pStyle w:val="Heading3"/>
      </w:pPr>
      <w:bookmarkStart w:id="106" w:name="_Toc15331714"/>
      <w:r w:rsidRPr="00524F43">
        <w:t>Number of treatment discharges</w:t>
      </w:r>
      <w:bookmarkEnd w:id="106"/>
    </w:p>
    <w:p w:rsidR="003B0DEE" w:rsidRDefault="003B0DEE" w:rsidP="000D5D90">
      <w:pPr>
        <w:pStyle w:val="BodyText"/>
      </w:pPr>
      <w:r w:rsidRPr="00E42AC9">
        <w:t xml:space="preserve">A total of </w:t>
      </w:r>
      <w:r w:rsidRPr="00454539">
        <w:t xml:space="preserve">7,933 </w:t>
      </w:r>
      <w:r w:rsidRPr="00E42AC9">
        <w:t xml:space="preserve">new individuals entered treatment for problem opioid use between 2009 and 2015.  </w:t>
      </w:r>
      <w:r>
        <w:t>There was no discharge data for 1,847 of these, indicating that they were still engaged in treatment.  Discharge</w:t>
      </w:r>
      <w:r w:rsidRPr="00E42AC9">
        <w:t xml:space="preserve"> data was available for 6,086 (76.7%) individuals</w:t>
      </w:r>
      <w:r>
        <w:t xml:space="preserve">.  </w:t>
      </w:r>
    </w:p>
    <w:p w:rsidR="003B0DEE" w:rsidRDefault="003B0DEE" w:rsidP="000D5D90">
      <w:pPr>
        <w:pStyle w:val="BodyText"/>
        <w:rPr>
          <w:color w:val="FF0000"/>
        </w:rPr>
      </w:pPr>
      <w:r>
        <w:t>T</w:t>
      </w:r>
      <w:r w:rsidRPr="000E0833">
        <w:t>he researcher reviewed the Health Research Board</w:t>
      </w:r>
      <w:r>
        <w:t xml:space="preserve"> data definitions and rules to check for meaningfulness before the data was used.  </w:t>
      </w:r>
      <w:r w:rsidRPr="000E0833">
        <w:t>The data</w:t>
      </w:r>
      <w:r>
        <w:t>set</w:t>
      </w:r>
      <w:r w:rsidRPr="000E0833">
        <w:t xml:space="preserve"> was subject to Health Research Board data collection and data validation protocols meaning the dataset had been previously validated and any errors or omissions corrected.  Nonetheless, the researcher reviewed the dataset prior to use and undertook checks </w:t>
      </w:r>
      <w:r>
        <w:t xml:space="preserve">for inconsistencies, </w:t>
      </w:r>
      <w:r w:rsidRPr="000E0833">
        <w:t>errors</w:t>
      </w:r>
      <w:r>
        <w:t xml:space="preserve"> and other logic checks.  For example, these checks ensured that each record had at least one treatment intervention recorded, dates were logical and sequential, data was recorded for all discharge variables, and the reason for discharge outlined in Table 6.1 was consistent with all other information recorded</w:t>
      </w:r>
      <w:r w:rsidRPr="000E0833">
        <w:t xml:space="preserve">. </w:t>
      </w:r>
      <w:r>
        <w:t xml:space="preserve"> Upon further investigation, it emerged that </w:t>
      </w:r>
      <w:r w:rsidRPr="00E42AC9">
        <w:t>in</w:t>
      </w:r>
      <w:r>
        <w:t>complete</w:t>
      </w:r>
      <w:r w:rsidRPr="00E42AC9">
        <w:t xml:space="preserve"> </w:t>
      </w:r>
      <w:r>
        <w:t xml:space="preserve">discharge </w:t>
      </w:r>
      <w:r w:rsidRPr="00E42AC9">
        <w:t>data</w:t>
      </w:r>
      <w:r>
        <w:t xml:space="preserve"> existed </w:t>
      </w:r>
      <w:r w:rsidRPr="00E42AC9">
        <w:t>for 454 records</w:t>
      </w:r>
      <w:r>
        <w:t>, whereby the service provider indicated that the individual had been discharged from treatment.  However, they failed to record any further information about the discharge.  In order to carry out a meaningful analysis, this incomplete discharge data were removed from further analysis</w:t>
      </w:r>
      <w:r w:rsidRPr="00E42AC9">
        <w:t>, resulting in 5</w:t>
      </w:r>
      <w:r>
        <w:t>,</w:t>
      </w:r>
      <w:r w:rsidRPr="00E42AC9">
        <w:t>632 (70.9%)</w:t>
      </w:r>
      <w:r>
        <w:t xml:space="preserve"> </w:t>
      </w:r>
      <w:r w:rsidRPr="00E42AC9">
        <w:t xml:space="preserve">valid </w:t>
      </w:r>
      <w:r>
        <w:t xml:space="preserve">discharge records.  An additional 115 records were also excluded from this analysis as they received a </w:t>
      </w:r>
      <w:r w:rsidRPr="00F82F93">
        <w:t>detoxification</w:t>
      </w:r>
      <w:r>
        <w:t xml:space="preserve"> alone</w:t>
      </w:r>
      <w:r w:rsidRPr="00F82F93">
        <w:t xml:space="preserve"> </w:t>
      </w:r>
      <w:r>
        <w:t xml:space="preserve">which </w:t>
      </w:r>
      <w:r w:rsidRPr="00F82F93">
        <w:t xml:space="preserve">is generally regarded as an initial stage of </w:t>
      </w:r>
      <w:r>
        <w:t xml:space="preserve">treatment </w:t>
      </w:r>
      <w:r>
        <w:rPr>
          <w:noProof/>
        </w:rPr>
        <w:t>(National Institute on Drug Abuse 2018)</w:t>
      </w:r>
      <w:r>
        <w:t xml:space="preserve"> with further stages usually required post detoxification </w:t>
      </w:r>
      <w:r>
        <w:rPr>
          <w:noProof/>
        </w:rPr>
        <w:t>(National Institute on Drug Abuse 2018, Stahler &amp; Mennis 2018)</w:t>
      </w:r>
      <w:r w:rsidRPr="00F82F93">
        <w:t xml:space="preserve">. </w:t>
      </w:r>
      <w:r>
        <w:t xml:space="preserve"> D</w:t>
      </w:r>
      <w:r w:rsidRPr="000B6C21">
        <w:t>etoxification</w:t>
      </w:r>
      <w:r>
        <w:t xml:space="preserve">s which were delivered in conjunction with other </w:t>
      </w:r>
      <w:r w:rsidRPr="000B6C21">
        <w:t>additional structured interventions, such as a medication free therapy programme</w:t>
      </w:r>
      <w:r>
        <w:t>, were included in the analysis.  Therefore, t</w:t>
      </w:r>
      <w:r w:rsidRPr="004F5375">
        <w:t xml:space="preserve">he discharged cohort </w:t>
      </w:r>
      <w:r>
        <w:t xml:space="preserve">used in this analysis </w:t>
      </w:r>
      <w:r w:rsidRPr="004F5375">
        <w:t xml:space="preserve">consisted of 5,517 </w:t>
      </w:r>
      <w:r>
        <w:t xml:space="preserve">valid </w:t>
      </w:r>
      <w:r w:rsidRPr="004F5375">
        <w:t>records</w:t>
      </w:r>
      <w:r>
        <w:t xml:space="preserve"> (69.5% of all treatment entrants)</w:t>
      </w:r>
      <w:r w:rsidRPr="004F5375">
        <w:t xml:space="preserve">, 69.3% </w:t>
      </w:r>
      <w:r>
        <w:t xml:space="preserve">were </w:t>
      </w:r>
      <w:r w:rsidRPr="004F5375">
        <w:t xml:space="preserve">male, </w:t>
      </w:r>
      <w:r>
        <w:t xml:space="preserve">and the </w:t>
      </w:r>
      <w:r w:rsidRPr="004F5375">
        <w:t xml:space="preserve">median age </w:t>
      </w:r>
      <w:r>
        <w:t xml:space="preserve">was </w:t>
      </w:r>
      <w:r w:rsidRPr="004F5375">
        <w:t xml:space="preserve">29 years.  </w:t>
      </w:r>
      <w:r>
        <w:t>Table 6-</w:t>
      </w:r>
      <w:r w:rsidRPr="00AE57C3">
        <w:t>1 displays</w:t>
      </w:r>
      <w:r w:rsidRPr="00E42AC9">
        <w:t xml:space="preserve"> the </w:t>
      </w:r>
      <w:r>
        <w:t>reason for discharge</w:t>
      </w:r>
      <w:r w:rsidRPr="00E42AC9">
        <w:t xml:space="preserve">. </w:t>
      </w:r>
      <w:r>
        <w:t xml:space="preserve"> Among</w:t>
      </w:r>
      <w:r w:rsidRPr="00E42AC9">
        <w:t xml:space="preserve"> the total 5,</w:t>
      </w:r>
      <w:r>
        <w:t>517</w:t>
      </w:r>
      <w:r w:rsidRPr="00E42AC9">
        <w:t xml:space="preserve"> discharges, 22.</w:t>
      </w:r>
      <w:r>
        <w:t>6</w:t>
      </w:r>
      <w:r w:rsidRPr="00E42AC9">
        <w:t xml:space="preserve">% </w:t>
      </w:r>
      <w:r>
        <w:t xml:space="preserve">(n=1,272) </w:t>
      </w:r>
      <w:r w:rsidRPr="00E42AC9">
        <w:t xml:space="preserve">completed treatment. </w:t>
      </w:r>
      <w:r>
        <w:t xml:space="preserve"> A total of 2,516 individuals (44.6%) </w:t>
      </w:r>
      <w:r w:rsidRPr="00FD12F0">
        <w:t>drop</w:t>
      </w:r>
      <w:r>
        <w:t>ped</w:t>
      </w:r>
      <w:r w:rsidRPr="00FD12F0">
        <w:t xml:space="preserve">-out </w:t>
      </w:r>
      <w:r>
        <w:t>of treatment (</w:t>
      </w:r>
      <w:r w:rsidRPr="00FD12F0">
        <w:t>“declined further treatment”, “did not return for appointments”, and “</w:t>
      </w:r>
      <w:r w:rsidRPr="0045620D">
        <w:t xml:space="preserve">premature exit for non-compliance”).  </w:t>
      </w:r>
      <w:proofErr w:type="gramStart"/>
      <w:r w:rsidRPr="0045620D">
        <w:t>The most common reasons</w:t>
      </w:r>
      <w:r>
        <w:t xml:space="preserve"> for premature discharge for non-compliance i</w:t>
      </w:r>
      <w:r w:rsidRPr="0045620D">
        <w:t>ncluded drug taking (48.4%), breaking service contract (32.7%), and violent behaviour (5.8%).</w:t>
      </w:r>
      <w:proofErr w:type="gramEnd"/>
      <w:r>
        <w:rPr>
          <w:color w:val="FF0000"/>
        </w:rPr>
        <w:t xml:space="preserve"> </w:t>
      </w:r>
    </w:p>
    <w:p w:rsidR="003B0DEE" w:rsidRDefault="003B0DEE">
      <w:pPr>
        <w:spacing w:line="240" w:lineRule="auto"/>
        <w:jc w:val="left"/>
        <w:rPr>
          <w:rFonts w:ascii="Arial" w:hAnsi="Arial"/>
          <w:b/>
          <w:bCs/>
          <w:sz w:val="20"/>
          <w:szCs w:val="18"/>
        </w:rPr>
      </w:pPr>
      <w:r>
        <w:br w:type="page"/>
      </w:r>
    </w:p>
    <w:p w:rsidR="003B0DEE" w:rsidRDefault="003B0DEE" w:rsidP="000D5D90">
      <w:pPr>
        <w:pStyle w:val="Caption"/>
        <w:spacing w:line="240" w:lineRule="auto"/>
      </w:pPr>
      <w:bookmarkStart w:id="107" w:name="_Toc15332005"/>
      <w:r>
        <w:lastRenderedPageBreak/>
        <w:t xml:space="preserve">Table </w:t>
      </w:r>
      <w:fldSimple w:instr=" STYLEREF 1 \s ">
        <w:r>
          <w:rPr>
            <w:noProof/>
          </w:rPr>
          <w:t>6</w:t>
        </w:r>
      </w:fldSimple>
      <w:r>
        <w:noBreakHyphen/>
      </w:r>
      <w:fldSimple w:instr=" SEQ Table \* ARABIC \s 1 ">
        <w:r>
          <w:rPr>
            <w:noProof/>
          </w:rPr>
          <w:t>1</w:t>
        </w:r>
      </w:fldSimple>
      <w:r>
        <w:t xml:space="preserve">  </w:t>
      </w:r>
      <w:r w:rsidRPr="005C08E6">
        <w:rPr>
          <w:b w:val="0"/>
        </w:rPr>
        <w:t>Reason for treatment discharge for first-time opioid treatment entrants</w:t>
      </w:r>
      <w:r>
        <w:rPr>
          <w:b w:val="0"/>
        </w:rPr>
        <w:t xml:space="preserve"> 2009</w:t>
      </w:r>
      <w:r w:rsidRPr="00E561BA">
        <w:rPr>
          <w:rFonts w:cs="Arial"/>
          <w:b w:val="0"/>
        </w:rPr>
        <w:t>–2015</w:t>
      </w:r>
      <w:bookmarkEnd w:id="107"/>
    </w:p>
    <w:tbl>
      <w:tblPr>
        <w:tblW w:w="4430" w:type="pct"/>
        <w:tblBorders>
          <w:top w:val="single" w:sz="8" w:space="0" w:color="000000"/>
          <w:bottom w:val="single" w:sz="8" w:space="0" w:color="000000"/>
        </w:tblBorders>
        <w:shd w:val="clear" w:color="auto" w:fill="FFFFFF"/>
        <w:tblLook w:val="04A0" w:firstRow="1" w:lastRow="0" w:firstColumn="1" w:lastColumn="0" w:noHBand="0" w:noVBand="1"/>
      </w:tblPr>
      <w:tblGrid>
        <w:gridCol w:w="6486"/>
        <w:gridCol w:w="774"/>
        <w:gridCol w:w="680"/>
        <w:gridCol w:w="38"/>
      </w:tblGrid>
      <w:tr w:rsidR="003B0DEE" w:rsidRPr="000806DA" w:rsidTr="000D5D90">
        <w:trPr>
          <w:gridAfter w:val="1"/>
          <w:wAfter w:w="24" w:type="pct"/>
          <w:trHeight w:val="20"/>
        </w:trPr>
        <w:tc>
          <w:tcPr>
            <w:tcW w:w="4065"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Reason for discharge</w:t>
            </w:r>
          </w:p>
        </w:tc>
        <w:tc>
          <w:tcPr>
            <w:tcW w:w="485"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color w:val="000000"/>
                <w:sz w:val="20"/>
                <w:lang w:eastAsia="en-US"/>
              </w:rPr>
            </w:pPr>
            <w:r w:rsidRPr="000806DA">
              <w:rPr>
                <w:rFonts w:ascii="Arial" w:hAnsi="Arial" w:cs="Arial"/>
                <w:b/>
                <w:bCs/>
                <w:sz w:val="20"/>
                <w:lang w:eastAsia="en-US"/>
              </w:rPr>
              <w:t>N</w:t>
            </w:r>
          </w:p>
        </w:tc>
        <w:tc>
          <w:tcPr>
            <w:tcW w:w="426"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color w:val="000000"/>
                <w:sz w:val="20"/>
                <w:lang w:eastAsia="en-US"/>
              </w:rPr>
            </w:pPr>
            <w:r w:rsidRPr="000806DA">
              <w:rPr>
                <w:rFonts w:ascii="Arial" w:hAnsi="Arial" w:cs="Arial"/>
                <w:b/>
                <w:bCs/>
                <w:color w:val="000000"/>
                <w:sz w:val="20"/>
                <w:lang w:eastAsia="en-US"/>
              </w:rPr>
              <w:t>%</w:t>
            </w:r>
          </w:p>
        </w:tc>
      </w:tr>
      <w:tr w:rsidR="003B0DEE" w:rsidRPr="000806DA" w:rsidTr="000D5D90">
        <w:trPr>
          <w:trHeight w:val="48"/>
        </w:trPr>
        <w:tc>
          <w:tcPr>
            <w:tcW w:w="4065" w:type="pct"/>
            <w:tcBorders>
              <w:top w:val="single" w:sz="8" w:space="0" w:color="000000"/>
              <w:left w:val="nil"/>
              <w:bottom w:val="nil"/>
              <w:right w:val="nil"/>
            </w:tcBorders>
            <w:shd w:val="clear" w:color="auto" w:fill="D9D9D9" w:themeFill="background1" w:themeFillShade="D9"/>
          </w:tcPr>
          <w:p w:rsidR="003B0DEE" w:rsidRPr="00F37016" w:rsidRDefault="003B0DEE" w:rsidP="000D5D90">
            <w:pPr>
              <w:spacing w:line="240" w:lineRule="auto"/>
              <w:jc w:val="left"/>
              <w:rPr>
                <w:rFonts w:ascii="Arial" w:hAnsi="Arial" w:cs="Arial"/>
                <w:b/>
                <w:bCs/>
                <w:sz w:val="20"/>
                <w:lang w:eastAsia="en-US"/>
              </w:rPr>
            </w:pPr>
            <w:r w:rsidRPr="00F37016">
              <w:rPr>
                <w:rFonts w:ascii="Arial" w:hAnsi="Arial" w:cs="Arial"/>
                <w:b/>
                <w:bCs/>
                <w:sz w:val="20"/>
                <w:lang w:eastAsia="en-US"/>
              </w:rPr>
              <w:t>Treatment completed</w:t>
            </w:r>
          </w:p>
        </w:tc>
        <w:tc>
          <w:tcPr>
            <w:tcW w:w="485" w:type="pct"/>
            <w:tcBorders>
              <w:top w:val="single" w:sz="8" w:space="0" w:color="000000"/>
              <w:left w:val="nil"/>
              <w:bottom w:val="nil"/>
              <w:right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sidRPr="00F37016">
              <w:rPr>
                <w:rFonts w:ascii="Arial" w:hAnsi="Arial" w:cs="Arial"/>
                <w:b/>
                <w:color w:val="000000"/>
                <w:sz w:val="20"/>
                <w:lang w:eastAsia="en-US"/>
              </w:rPr>
              <w:t>1262</w:t>
            </w:r>
          </w:p>
        </w:tc>
        <w:tc>
          <w:tcPr>
            <w:tcW w:w="450" w:type="pct"/>
            <w:gridSpan w:val="2"/>
            <w:tcBorders>
              <w:top w:val="single" w:sz="8" w:space="0" w:color="000000"/>
              <w:left w:val="nil"/>
              <w:bottom w:val="nil"/>
              <w:right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sidRPr="00F37016">
              <w:rPr>
                <w:rFonts w:ascii="Arial" w:hAnsi="Arial" w:cs="Arial"/>
                <w:b/>
                <w:color w:val="000000"/>
                <w:sz w:val="20"/>
                <w:lang w:eastAsia="en-US"/>
              </w:rPr>
              <w:t>22.9</w:t>
            </w:r>
          </w:p>
        </w:tc>
      </w:tr>
      <w:tr w:rsidR="003B0DEE" w:rsidRPr="000806DA" w:rsidTr="000D5D90">
        <w:trPr>
          <w:trHeight w:val="48"/>
        </w:trPr>
        <w:tc>
          <w:tcPr>
            <w:tcW w:w="4065" w:type="pct"/>
            <w:tcBorders>
              <w:top w:val="nil"/>
              <w:bottom w:val="nil"/>
            </w:tcBorders>
            <w:shd w:val="clear" w:color="auto" w:fill="D9D9D9" w:themeFill="background1" w:themeFillShade="D9"/>
            <w:vAlign w:val="center"/>
          </w:tcPr>
          <w:p w:rsidR="003B0DEE" w:rsidRPr="00F37016" w:rsidRDefault="003B0DEE" w:rsidP="000D5D90">
            <w:pPr>
              <w:spacing w:line="240" w:lineRule="auto"/>
              <w:jc w:val="left"/>
              <w:rPr>
                <w:rFonts w:ascii="Arial" w:hAnsi="Arial" w:cs="Arial"/>
                <w:b/>
                <w:bCs/>
                <w:sz w:val="20"/>
                <w:lang w:eastAsia="en-US"/>
              </w:rPr>
            </w:pPr>
            <w:r w:rsidRPr="00F37016">
              <w:rPr>
                <w:rFonts w:ascii="Arial" w:hAnsi="Arial" w:cs="Arial"/>
                <w:b/>
                <w:bCs/>
                <w:sz w:val="20"/>
                <w:lang w:eastAsia="en-US"/>
              </w:rPr>
              <w:t xml:space="preserve">Dropped-out of treatment </w:t>
            </w:r>
          </w:p>
        </w:tc>
        <w:tc>
          <w:tcPr>
            <w:tcW w:w="485" w:type="pct"/>
            <w:tcBorders>
              <w:top w:val="nil"/>
              <w:bottom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sidRPr="00F37016">
              <w:rPr>
                <w:rFonts w:ascii="Arial" w:hAnsi="Arial" w:cs="Arial"/>
                <w:b/>
                <w:color w:val="000000"/>
                <w:sz w:val="20"/>
                <w:lang w:eastAsia="en-US"/>
              </w:rPr>
              <w:t>2516</w:t>
            </w:r>
          </w:p>
        </w:tc>
        <w:tc>
          <w:tcPr>
            <w:tcW w:w="450" w:type="pct"/>
            <w:gridSpan w:val="2"/>
            <w:tcBorders>
              <w:top w:val="nil"/>
              <w:bottom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Pr>
                <w:rFonts w:ascii="Arial" w:hAnsi="Arial" w:cs="Arial"/>
                <w:b/>
                <w:color w:val="000000"/>
                <w:sz w:val="20"/>
                <w:lang w:eastAsia="en-US"/>
              </w:rPr>
              <w:t>45.6</w:t>
            </w:r>
          </w:p>
        </w:tc>
      </w:tr>
      <w:tr w:rsidR="003B0DEE" w:rsidRPr="000806DA" w:rsidTr="000D5D90">
        <w:trPr>
          <w:trHeight w:val="48"/>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Client declined further treatment</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836</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15.2</w:t>
            </w:r>
          </w:p>
        </w:tc>
      </w:tr>
      <w:tr w:rsidR="003B0DEE" w:rsidRPr="000806DA" w:rsidTr="000D5D90">
        <w:trPr>
          <w:trHeight w:val="48"/>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Client did not return for appointments (no show/DNA)</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1457</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26.4</w:t>
            </w:r>
          </w:p>
        </w:tc>
      </w:tr>
      <w:tr w:rsidR="003B0DEE" w:rsidRPr="000806DA" w:rsidTr="000D5D90">
        <w:trPr>
          <w:trHeight w:val="48"/>
        </w:trPr>
        <w:tc>
          <w:tcPr>
            <w:tcW w:w="4065" w:type="pct"/>
            <w:tcBorders>
              <w:top w:val="nil"/>
              <w:bottom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Premature exit from treatment for non-compliance</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223</w:t>
            </w:r>
          </w:p>
        </w:tc>
        <w:tc>
          <w:tcPr>
            <w:tcW w:w="450" w:type="pct"/>
            <w:gridSpan w:val="2"/>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4.0</w:t>
            </w:r>
          </w:p>
        </w:tc>
      </w:tr>
      <w:tr w:rsidR="003B0DEE" w:rsidRPr="000806DA" w:rsidTr="000D5D90">
        <w:trPr>
          <w:trHeight w:val="48"/>
        </w:trPr>
        <w:tc>
          <w:tcPr>
            <w:tcW w:w="4065" w:type="pct"/>
            <w:tcBorders>
              <w:top w:val="nil"/>
              <w:bottom w:val="nil"/>
            </w:tcBorders>
            <w:shd w:val="clear" w:color="auto" w:fill="D9D9D9" w:themeFill="background1" w:themeFillShade="D9"/>
            <w:vAlign w:val="center"/>
          </w:tcPr>
          <w:p w:rsidR="003B0DEE" w:rsidRPr="00F37016" w:rsidRDefault="003B0DEE" w:rsidP="000D5D90">
            <w:pPr>
              <w:spacing w:line="240" w:lineRule="auto"/>
              <w:jc w:val="left"/>
              <w:rPr>
                <w:rFonts w:ascii="Arial" w:hAnsi="Arial" w:cs="Arial"/>
                <w:b/>
                <w:bCs/>
                <w:sz w:val="20"/>
                <w:lang w:eastAsia="en-US"/>
              </w:rPr>
            </w:pPr>
            <w:r w:rsidRPr="00F37016">
              <w:rPr>
                <w:rFonts w:ascii="Arial" w:hAnsi="Arial" w:cs="Arial"/>
                <w:b/>
                <w:bCs/>
                <w:sz w:val="20"/>
                <w:lang w:eastAsia="en-US"/>
              </w:rPr>
              <w:t>Transferred/referred to treatment in another drug/alcohol service</w:t>
            </w:r>
          </w:p>
        </w:tc>
        <w:tc>
          <w:tcPr>
            <w:tcW w:w="485" w:type="pct"/>
            <w:tcBorders>
              <w:top w:val="nil"/>
              <w:bottom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sidRPr="00F37016">
              <w:rPr>
                <w:rFonts w:ascii="Arial" w:hAnsi="Arial" w:cs="Arial"/>
                <w:b/>
                <w:color w:val="000000"/>
                <w:sz w:val="20"/>
                <w:lang w:eastAsia="en-US"/>
              </w:rPr>
              <w:t>944</w:t>
            </w:r>
          </w:p>
        </w:tc>
        <w:tc>
          <w:tcPr>
            <w:tcW w:w="450" w:type="pct"/>
            <w:gridSpan w:val="2"/>
            <w:tcBorders>
              <w:top w:val="nil"/>
              <w:bottom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sidRPr="00F37016">
              <w:rPr>
                <w:rFonts w:ascii="Arial" w:hAnsi="Arial" w:cs="Arial"/>
                <w:b/>
                <w:color w:val="000000"/>
                <w:sz w:val="20"/>
                <w:lang w:eastAsia="en-US"/>
              </w:rPr>
              <w:t>17.1</w:t>
            </w:r>
          </w:p>
        </w:tc>
      </w:tr>
      <w:tr w:rsidR="003B0DEE" w:rsidRPr="00F37016" w:rsidTr="000D5D90">
        <w:trPr>
          <w:trHeight w:val="48"/>
        </w:trPr>
        <w:tc>
          <w:tcPr>
            <w:tcW w:w="4065" w:type="pct"/>
            <w:tcBorders>
              <w:top w:val="nil"/>
              <w:left w:val="nil"/>
              <w:bottom w:val="nil"/>
              <w:right w:val="nil"/>
            </w:tcBorders>
            <w:shd w:val="clear" w:color="auto" w:fill="D9D9D9" w:themeFill="background1" w:themeFillShade="D9"/>
            <w:vAlign w:val="center"/>
          </w:tcPr>
          <w:p w:rsidR="003B0DEE" w:rsidRPr="00F37016" w:rsidRDefault="003B0DEE" w:rsidP="000D5D90">
            <w:pPr>
              <w:spacing w:line="240" w:lineRule="auto"/>
              <w:jc w:val="left"/>
              <w:rPr>
                <w:rFonts w:ascii="Arial" w:hAnsi="Arial" w:cs="Arial"/>
                <w:b/>
                <w:bCs/>
                <w:sz w:val="20"/>
                <w:lang w:eastAsia="en-US"/>
              </w:rPr>
            </w:pPr>
            <w:r w:rsidRPr="00F37016">
              <w:rPr>
                <w:rFonts w:ascii="Arial" w:hAnsi="Arial" w:cs="Arial"/>
                <w:b/>
                <w:bCs/>
                <w:sz w:val="20"/>
                <w:lang w:eastAsia="en-US"/>
              </w:rPr>
              <w:t>Other discharge reason</w:t>
            </w:r>
          </w:p>
        </w:tc>
        <w:tc>
          <w:tcPr>
            <w:tcW w:w="485" w:type="pct"/>
            <w:tcBorders>
              <w:top w:val="nil"/>
              <w:left w:val="nil"/>
              <w:bottom w:val="nil"/>
              <w:right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Pr>
                <w:rFonts w:ascii="Arial" w:hAnsi="Arial" w:cs="Arial"/>
                <w:b/>
                <w:color w:val="000000"/>
                <w:sz w:val="20"/>
                <w:lang w:eastAsia="en-US"/>
              </w:rPr>
              <w:t>795</w:t>
            </w:r>
          </w:p>
        </w:tc>
        <w:tc>
          <w:tcPr>
            <w:tcW w:w="450" w:type="pct"/>
            <w:gridSpan w:val="2"/>
            <w:tcBorders>
              <w:top w:val="nil"/>
              <w:left w:val="nil"/>
              <w:bottom w:val="nil"/>
              <w:right w:val="nil"/>
            </w:tcBorders>
            <w:shd w:val="clear" w:color="auto" w:fill="D9D9D9" w:themeFill="background1" w:themeFillShade="D9"/>
            <w:vAlign w:val="center"/>
          </w:tcPr>
          <w:p w:rsidR="003B0DEE" w:rsidRPr="00F37016" w:rsidRDefault="003B0DEE" w:rsidP="000D5D90">
            <w:pPr>
              <w:spacing w:line="240" w:lineRule="auto"/>
              <w:jc w:val="right"/>
              <w:rPr>
                <w:rFonts w:ascii="Arial" w:hAnsi="Arial" w:cs="Arial"/>
                <w:b/>
                <w:color w:val="000000"/>
                <w:sz w:val="20"/>
                <w:lang w:eastAsia="en-US"/>
              </w:rPr>
            </w:pPr>
            <w:r>
              <w:rPr>
                <w:rFonts w:ascii="Arial" w:hAnsi="Arial" w:cs="Arial"/>
                <w:b/>
                <w:color w:val="000000"/>
                <w:sz w:val="20"/>
                <w:lang w:eastAsia="en-US"/>
              </w:rPr>
              <w:t>14.4</w:t>
            </w:r>
          </w:p>
        </w:tc>
      </w:tr>
      <w:tr w:rsidR="003B0DEE" w:rsidRPr="000806DA" w:rsidTr="000D5D90">
        <w:trPr>
          <w:trHeight w:val="48"/>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Released from prison but not linked to other treatment service</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129</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w:t>
            </w:r>
          </w:p>
        </w:tc>
      </w:tr>
      <w:tr w:rsidR="003B0DEE" w:rsidRPr="000806DA" w:rsidTr="000D5D90">
        <w:trPr>
          <w:trHeight w:val="48"/>
        </w:trPr>
        <w:tc>
          <w:tcPr>
            <w:tcW w:w="4065" w:type="pct"/>
            <w:tcBorders>
              <w:top w:val="nil"/>
              <w:left w:val="nil"/>
              <w:right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Died</w:t>
            </w:r>
          </w:p>
        </w:tc>
        <w:tc>
          <w:tcPr>
            <w:tcW w:w="485"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28</w:t>
            </w:r>
          </w:p>
        </w:tc>
        <w:tc>
          <w:tcPr>
            <w:tcW w:w="450" w:type="pct"/>
            <w:gridSpan w:val="2"/>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0.5</w:t>
            </w:r>
          </w:p>
        </w:tc>
      </w:tr>
      <w:tr w:rsidR="003B0DEE" w:rsidRPr="000806DA" w:rsidTr="000D5D90">
        <w:trPr>
          <w:trHeight w:val="150"/>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Sentenced to prison</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217</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3.9</w:t>
            </w:r>
          </w:p>
        </w:tc>
      </w:tr>
      <w:tr w:rsidR="003B0DEE" w:rsidRPr="000806DA" w:rsidTr="000D5D90">
        <w:trPr>
          <w:trHeight w:val="20"/>
        </w:trPr>
        <w:tc>
          <w:tcPr>
            <w:tcW w:w="4065" w:type="pct"/>
            <w:tcBorders>
              <w:top w:val="nil"/>
              <w:left w:val="nil"/>
              <w:right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Other</w:t>
            </w:r>
          </w:p>
        </w:tc>
        <w:tc>
          <w:tcPr>
            <w:tcW w:w="485"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25</w:t>
            </w:r>
          </w:p>
        </w:tc>
        <w:tc>
          <w:tcPr>
            <w:tcW w:w="450" w:type="pct"/>
            <w:gridSpan w:val="2"/>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0.5</w:t>
            </w:r>
          </w:p>
        </w:tc>
      </w:tr>
      <w:tr w:rsidR="003B0DEE" w:rsidRPr="000806DA" w:rsidTr="000D5D90">
        <w:trPr>
          <w:trHeight w:val="20"/>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Medical transfer or medical issue</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34</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0.6</w:t>
            </w:r>
          </w:p>
        </w:tc>
      </w:tr>
      <w:tr w:rsidR="003B0DEE" w:rsidRPr="000806DA" w:rsidTr="000D5D90">
        <w:trPr>
          <w:trHeight w:val="20"/>
        </w:trPr>
        <w:tc>
          <w:tcPr>
            <w:tcW w:w="4065" w:type="pct"/>
            <w:tcBorders>
              <w:top w:val="nil"/>
              <w:left w:val="nil"/>
              <w:right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No longer lives in the area</w:t>
            </w:r>
          </w:p>
        </w:tc>
        <w:tc>
          <w:tcPr>
            <w:tcW w:w="485"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86</w:t>
            </w:r>
          </w:p>
        </w:tc>
        <w:tc>
          <w:tcPr>
            <w:tcW w:w="450" w:type="pct"/>
            <w:gridSpan w:val="2"/>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w:t>
            </w:r>
          </w:p>
        </w:tc>
      </w:tr>
      <w:tr w:rsidR="003B0DEE" w:rsidRPr="000806DA" w:rsidTr="000D5D90">
        <w:trPr>
          <w:trHeight w:val="20"/>
        </w:trPr>
        <w:tc>
          <w:tcPr>
            <w:tcW w:w="4065" w:type="pct"/>
            <w:tcBorders>
              <w:top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0806DA">
              <w:rPr>
                <w:rFonts w:ascii="Arial" w:hAnsi="Arial" w:cs="Arial"/>
                <w:bCs/>
                <w:sz w:val="20"/>
                <w:lang w:eastAsia="en-US"/>
              </w:rPr>
              <w:t>Prison to prison transfer</w:t>
            </w:r>
          </w:p>
        </w:tc>
        <w:tc>
          <w:tcPr>
            <w:tcW w:w="485"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175</w:t>
            </w:r>
          </w:p>
        </w:tc>
        <w:tc>
          <w:tcPr>
            <w:tcW w:w="450" w:type="pct"/>
            <w:gridSpan w:val="2"/>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3.2</w:t>
            </w:r>
          </w:p>
        </w:tc>
      </w:tr>
      <w:tr w:rsidR="003B0DEE" w:rsidRPr="000806DA" w:rsidTr="000D5D90">
        <w:trPr>
          <w:trHeight w:val="20"/>
        </w:trPr>
        <w:tc>
          <w:tcPr>
            <w:tcW w:w="406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left"/>
              <w:rPr>
                <w:rFonts w:ascii="Arial" w:hAnsi="Arial" w:cs="Arial"/>
                <w:bCs/>
                <w:sz w:val="20"/>
                <w:lang w:eastAsia="en-US"/>
              </w:rPr>
            </w:pPr>
            <w:r>
              <w:rPr>
                <w:rFonts w:ascii="Arial" w:hAnsi="Arial" w:cs="Arial"/>
                <w:bCs/>
                <w:sz w:val="20"/>
                <w:lang w:eastAsia="en-US"/>
              </w:rPr>
              <w:t xml:space="preserve">  </w:t>
            </w:r>
            <w:r w:rsidRPr="002E5ABE">
              <w:rPr>
                <w:rFonts w:ascii="Arial" w:hAnsi="Arial" w:cs="Arial"/>
                <w:bCs/>
                <w:sz w:val="20"/>
                <w:lang w:eastAsia="en-US"/>
              </w:rPr>
              <w:t>Unknown</w:t>
            </w:r>
          </w:p>
        </w:tc>
        <w:tc>
          <w:tcPr>
            <w:tcW w:w="48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101</w:t>
            </w:r>
          </w:p>
        </w:tc>
        <w:tc>
          <w:tcPr>
            <w:tcW w:w="450" w:type="pct"/>
            <w:gridSpan w:val="2"/>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w:t>
            </w:r>
          </w:p>
        </w:tc>
      </w:tr>
      <w:tr w:rsidR="003B0DEE" w:rsidRPr="000806DA" w:rsidTr="000D5D90">
        <w:trPr>
          <w:trHeight w:val="20"/>
        </w:trPr>
        <w:tc>
          <w:tcPr>
            <w:tcW w:w="4065"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rPr>
                <w:rFonts w:ascii="Arial" w:hAnsi="Arial" w:cs="Arial"/>
                <w:b/>
                <w:bCs/>
                <w:color w:val="000000"/>
                <w:sz w:val="20"/>
                <w:lang w:eastAsia="en-US"/>
              </w:rPr>
            </w:pPr>
            <w:r w:rsidRPr="000806DA">
              <w:rPr>
                <w:rFonts w:ascii="Arial" w:hAnsi="Arial" w:cs="Arial"/>
                <w:b/>
                <w:bCs/>
                <w:color w:val="000000"/>
                <w:sz w:val="20"/>
                <w:lang w:eastAsia="en-US"/>
              </w:rPr>
              <w:t>Total</w:t>
            </w:r>
          </w:p>
        </w:tc>
        <w:tc>
          <w:tcPr>
            <w:tcW w:w="485"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Pr>
                <w:rFonts w:ascii="Arial" w:hAnsi="Arial" w:cs="Arial"/>
                <w:b/>
                <w:color w:val="000000"/>
                <w:sz w:val="20"/>
                <w:lang w:eastAsia="en-US"/>
              </w:rPr>
              <w:t>55</w:t>
            </w:r>
            <w:r w:rsidRPr="000806DA">
              <w:rPr>
                <w:rFonts w:ascii="Arial" w:hAnsi="Arial" w:cs="Arial"/>
                <w:b/>
                <w:color w:val="000000"/>
                <w:sz w:val="20"/>
                <w:lang w:eastAsia="en-US"/>
              </w:rPr>
              <w:t>17</w:t>
            </w:r>
          </w:p>
        </w:tc>
        <w:tc>
          <w:tcPr>
            <w:tcW w:w="450" w:type="pct"/>
            <w:gridSpan w:val="2"/>
            <w:tcBorders>
              <w:top w:val="single" w:sz="8" w:space="0" w:color="000000"/>
              <w:bottom w:val="single" w:sz="8" w:space="0" w:color="000000"/>
            </w:tcBorders>
            <w:shd w:val="clear" w:color="auto" w:fill="FFFFFF"/>
            <w:vAlign w:val="center"/>
          </w:tcPr>
          <w:p w:rsidR="003B0DEE" w:rsidRPr="000806DA" w:rsidRDefault="003B0DEE" w:rsidP="000D5D90">
            <w:pPr>
              <w:keepNext/>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100.0</w:t>
            </w:r>
          </w:p>
        </w:tc>
      </w:tr>
    </w:tbl>
    <w:p w:rsidR="003B0DEE" w:rsidRPr="00307FA2" w:rsidRDefault="003B0DEE" w:rsidP="000D5D90">
      <w:pPr>
        <w:spacing w:after="200" w:line="276" w:lineRule="auto"/>
        <w:rPr>
          <w:b/>
          <w:bCs/>
          <w:kern w:val="32"/>
          <w:sz w:val="26"/>
          <w:szCs w:val="26"/>
        </w:rPr>
      </w:pPr>
    </w:p>
    <w:p w:rsidR="003B0DEE" w:rsidRDefault="003B0DEE" w:rsidP="000D5D90">
      <w:pPr>
        <w:pStyle w:val="BodyText"/>
      </w:pPr>
      <w:r>
        <w:t>Figure 6-</w:t>
      </w:r>
      <w:r w:rsidRPr="00AE57C3">
        <w:t xml:space="preserve">1 </w:t>
      </w:r>
      <w:r>
        <w:t>describes</w:t>
      </w:r>
      <w:r w:rsidRPr="00AE57C3">
        <w:t xml:space="preserve"> </w:t>
      </w:r>
      <w:r>
        <w:t xml:space="preserve">the cohort used in this analysis.  Part one of this analysis </w:t>
      </w:r>
      <w:r w:rsidRPr="00FD0E14">
        <w:t>investigates wh</w:t>
      </w:r>
      <w:r>
        <w:t xml:space="preserve">ich treatment entry characteristics </w:t>
      </w:r>
      <w:r w:rsidRPr="00FD0E14">
        <w:t xml:space="preserve">have an impact on </w:t>
      </w:r>
      <w:r>
        <w:t xml:space="preserve">the likelihood of treatment completion/dropout (n=3,778).  Part two examines treatment exposure (the length of time in treatment) in relationship to explanatory variables and includes treatment completions, dropouts, transfers and those still in treatment (n=6,619). </w:t>
      </w:r>
    </w:p>
    <w:p w:rsidR="003B0DEE" w:rsidRDefault="003B0DEE" w:rsidP="000D5D90">
      <w:pPr>
        <w:pStyle w:val="BodyText"/>
        <w:rPr>
          <w:b/>
        </w:rPr>
      </w:pPr>
    </w:p>
    <w:p w:rsidR="003B0DEE" w:rsidRDefault="003B0DEE" w:rsidP="000D5D90">
      <w:pPr>
        <w:spacing w:after="200" w:line="276" w:lineRule="auto"/>
        <w:jc w:val="left"/>
        <w:rPr>
          <w:rFonts w:ascii="Arial" w:hAnsi="Arial" w:cs="Arial"/>
          <w:sz w:val="20"/>
        </w:rPr>
      </w:pPr>
      <w:bookmarkStart w:id="108" w:name="_Toc15331954"/>
      <w:r w:rsidRPr="00726BB3">
        <w:rPr>
          <w:rFonts w:ascii="Arial" w:hAnsi="Arial" w:cs="Arial"/>
          <w:b/>
          <w:sz w:val="20"/>
        </w:rPr>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r w:rsidRPr="00726BB3">
        <w:rPr>
          <w:rFonts w:ascii="Arial" w:hAnsi="Arial" w:cs="Arial"/>
          <w:sz w:val="20"/>
        </w:rPr>
        <w:t xml:space="preserve"> </w:t>
      </w:r>
      <w:r>
        <w:rPr>
          <w:rFonts w:ascii="Arial" w:hAnsi="Arial" w:cs="Arial"/>
          <w:sz w:val="20"/>
        </w:rPr>
        <w:t xml:space="preserve"> </w:t>
      </w:r>
      <w:r w:rsidRPr="00726BB3">
        <w:rPr>
          <w:rFonts w:ascii="Arial" w:hAnsi="Arial" w:cs="Arial"/>
          <w:sz w:val="20"/>
        </w:rPr>
        <w:t xml:space="preserve">Flow chart of the </w:t>
      </w:r>
      <w:r>
        <w:rPr>
          <w:rFonts w:ascii="Arial" w:hAnsi="Arial" w:cs="Arial"/>
          <w:sz w:val="20"/>
        </w:rPr>
        <w:t xml:space="preserve">treatment discharge </w:t>
      </w:r>
      <w:r w:rsidRPr="00726BB3">
        <w:rPr>
          <w:rFonts w:ascii="Arial" w:hAnsi="Arial" w:cs="Arial"/>
          <w:sz w:val="20"/>
        </w:rPr>
        <w:t>study cohort</w:t>
      </w:r>
      <w:r>
        <w:rPr>
          <w:rFonts w:ascii="Arial" w:hAnsi="Arial" w:cs="Arial"/>
          <w:sz w:val="20"/>
        </w:rPr>
        <w:t xml:space="preserve"> </w:t>
      </w:r>
      <w:r w:rsidRPr="00E561BA">
        <w:rPr>
          <w:rFonts w:ascii="Arial" w:hAnsi="Arial" w:cs="Arial"/>
          <w:sz w:val="20"/>
        </w:rPr>
        <w:t>2009–2015</w:t>
      </w:r>
      <w:bookmarkEnd w:id="108"/>
    </w:p>
    <w:p w:rsidR="003B0DEE" w:rsidRDefault="003B0DEE" w:rsidP="000D5D90">
      <w:pPr>
        <w:spacing w:after="200" w:line="276" w:lineRule="auto"/>
        <w:jc w:val="left"/>
        <w:rPr>
          <w:rFonts w:ascii="Arial" w:hAnsi="Arial" w:cs="Arial"/>
          <w:sz w:val="20"/>
        </w:rPr>
      </w:pPr>
      <w:r>
        <w:rPr>
          <w:rFonts w:ascii="Arial" w:hAnsi="Arial" w:cs="Arial"/>
          <w:noProof/>
          <w:sz w:val="20"/>
        </w:rPr>
        <w:lastRenderedPageBreak/>
        <w:drawing>
          <wp:inline distT="0" distB="0" distL="0" distR="0">
            <wp:extent cx="5577840" cy="50444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7840" cy="5044440"/>
                    </a:xfrm>
                    <a:prstGeom prst="rect">
                      <a:avLst/>
                    </a:prstGeom>
                    <a:noFill/>
                    <a:ln>
                      <a:noFill/>
                    </a:ln>
                  </pic:spPr>
                </pic:pic>
              </a:graphicData>
            </a:graphic>
          </wp:inline>
        </w:drawing>
      </w:r>
    </w:p>
    <w:p w:rsidR="003B0DEE" w:rsidRDefault="003B0DEE" w:rsidP="000D5D90">
      <w:pPr>
        <w:spacing w:after="200" w:line="276" w:lineRule="auto"/>
        <w:jc w:val="left"/>
        <w:rPr>
          <w:rFonts w:ascii="Arial" w:hAnsi="Arial" w:cs="Arial"/>
          <w:sz w:val="20"/>
        </w:rPr>
      </w:pPr>
    </w:p>
    <w:p w:rsidR="003B0DEE" w:rsidRDefault="003B0DEE" w:rsidP="000D5D90">
      <w:pPr>
        <w:pStyle w:val="Heading2"/>
      </w:pPr>
      <w:bookmarkStart w:id="109" w:name="_Toc15331715"/>
      <w:r>
        <w:t>Characteristics associated with treatment completion and dropout</w:t>
      </w:r>
      <w:bookmarkEnd w:id="109"/>
    </w:p>
    <w:p w:rsidR="003B0DEE" w:rsidRDefault="003B0DEE" w:rsidP="000D5D90">
      <w:pPr>
        <w:pStyle w:val="BodyText"/>
      </w:pPr>
      <w:r>
        <w:t>T</w:t>
      </w:r>
      <w:r w:rsidRPr="00FD12F0">
        <w:t xml:space="preserve">hose </w:t>
      </w:r>
      <w:r w:rsidRPr="00AE57C3">
        <w:t>who successfully completed (n=1,262, 22.9%) were contrasted against those who dropped-out of treat</w:t>
      </w:r>
      <w:r>
        <w:t>ment (n=2,516, 45.6%).  Table 6-</w:t>
      </w:r>
      <w:r w:rsidRPr="00AE57C3">
        <w:t>2 displays the descriptive statistics for the tre</w:t>
      </w:r>
      <w:r>
        <w:t>atment outcome (completion/drop-</w:t>
      </w:r>
      <w:r w:rsidRPr="00AE57C3">
        <w:t>out, n=3,778) and explanatory sociodemographic variables, while Tables 6.3 and 6.4 display opioid-using behaviours and treatment settings accessed.  Univariate analysis indicated several significant relationships</w:t>
      </w:r>
      <w:r w:rsidRPr="007F32B2">
        <w:t>.  There were statistically significant relationships between treatment outcome and;</w:t>
      </w:r>
      <w:r>
        <w:t xml:space="preserve"> </w:t>
      </w:r>
    </w:p>
    <w:p w:rsidR="003B0DEE" w:rsidRDefault="003B0DEE" w:rsidP="000D5D90">
      <w:pPr>
        <w:pStyle w:val="ListParagraph"/>
        <w:numPr>
          <w:ilvl w:val="0"/>
          <w:numId w:val="8"/>
        </w:numPr>
        <w:rPr>
          <w:rFonts w:cs="Arial"/>
        </w:rPr>
      </w:pPr>
      <w:r>
        <w:rPr>
          <w:rFonts w:cs="Arial"/>
          <w:b/>
        </w:rPr>
        <w:t>A</w:t>
      </w:r>
      <w:r w:rsidRPr="00805E9C">
        <w:rPr>
          <w:rFonts w:cs="Arial"/>
          <w:b/>
        </w:rPr>
        <w:t>ge entering treatment</w:t>
      </w:r>
      <w:r w:rsidRPr="00821992">
        <w:rPr>
          <w:rFonts w:cs="Arial"/>
        </w:rPr>
        <w:t xml:space="preserve"> (U=</w:t>
      </w:r>
      <w:r>
        <w:rPr>
          <w:rFonts w:cs="Arial"/>
        </w:rPr>
        <w:t>13.080</w:t>
      </w:r>
      <w:r w:rsidRPr="00821992">
        <w:rPr>
          <w:rFonts w:cs="Arial"/>
        </w:rPr>
        <w:t xml:space="preserve">, </w:t>
      </w:r>
      <w:r>
        <w:rPr>
          <w:rFonts w:cs="Arial"/>
        </w:rPr>
        <w:t>p&lt;</w:t>
      </w:r>
      <w:r w:rsidRPr="00821992">
        <w:rPr>
          <w:rFonts w:cs="Arial"/>
        </w:rPr>
        <w:t>0.001)</w:t>
      </w:r>
      <w:r>
        <w:rPr>
          <w:rFonts w:cs="Arial"/>
        </w:rPr>
        <w:t xml:space="preserve">.  People who entered treatment at an older age were more likely to complete treatment. </w:t>
      </w:r>
      <w:r w:rsidRPr="00821992">
        <w:rPr>
          <w:rFonts w:cs="Arial"/>
        </w:rPr>
        <w:t xml:space="preserve"> </w:t>
      </w:r>
    </w:p>
    <w:p w:rsidR="003B0DEE" w:rsidRPr="00805E9C" w:rsidRDefault="003B0DEE" w:rsidP="000D5D90">
      <w:pPr>
        <w:pStyle w:val="ListParagraph"/>
        <w:numPr>
          <w:ilvl w:val="0"/>
          <w:numId w:val="8"/>
        </w:numPr>
        <w:rPr>
          <w:rFonts w:cs="Arial"/>
        </w:rPr>
      </w:pPr>
      <w:r>
        <w:rPr>
          <w:rFonts w:cs="Arial"/>
          <w:b/>
        </w:rPr>
        <w:t>E</w:t>
      </w:r>
      <w:r w:rsidRPr="00805E9C">
        <w:rPr>
          <w:rFonts w:cs="Arial"/>
          <w:b/>
        </w:rPr>
        <w:t>mployment status</w:t>
      </w:r>
      <w:r w:rsidRPr="00821992">
        <w:rPr>
          <w:rFonts w:cs="Arial"/>
        </w:rPr>
        <w:t xml:space="preserve"> (χ</w:t>
      </w:r>
      <w:r w:rsidRPr="00AC67A9">
        <w:rPr>
          <w:rFonts w:cs="Arial"/>
          <w:szCs w:val="24"/>
          <w:vertAlign w:val="superscript"/>
        </w:rPr>
        <w:t>2</w:t>
      </w:r>
      <w:r w:rsidRPr="00821992">
        <w:rPr>
          <w:rFonts w:cs="Arial"/>
        </w:rPr>
        <w:t xml:space="preserve"> = 8</w:t>
      </w:r>
      <w:r>
        <w:rPr>
          <w:rFonts w:cs="Arial"/>
        </w:rPr>
        <w:t>7</w:t>
      </w:r>
      <w:r w:rsidRPr="00821992">
        <w:rPr>
          <w:rFonts w:cs="Arial"/>
        </w:rPr>
        <w:t>.</w:t>
      </w:r>
      <w:r>
        <w:rPr>
          <w:rFonts w:cs="Arial"/>
        </w:rPr>
        <w:t>654, p&lt;</w:t>
      </w:r>
      <w:r w:rsidRPr="00821992">
        <w:rPr>
          <w:rFonts w:cs="Arial"/>
        </w:rPr>
        <w:t xml:space="preserve">0.001).  </w:t>
      </w:r>
      <w:r w:rsidRPr="00805E9C">
        <w:rPr>
          <w:rFonts w:cs="Arial"/>
        </w:rPr>
        <w:t xml:space="preserve">The proportion completing treatment was significantly higher </w:t>
      </w:r>
      <w:r>
        <w:rPr>
          <w:rFonts w:cs="Arial"/>
        </w:rPr>
        <w:t>for</w:t>
      </w:r>
      <w:r w:rsidRPr="00805E9C">
        <w:rPr>
          <w:rFonts w:cs="Arial"/>
        </w:rPr>
        <w:t xml:space="preserve"> </w:t>
      </w:r>
      <w:r>
        <w:rPr>
          <w:rFonts w:cs="Arial"/>
        </w:rPr>
        <w:t xml:space="preserve">people </w:t>
      </w:r>
      <w:r w:rsidRPr="00805E9C">
        <w:rPr>
          <w:rFonts w:cs="Arial"/>
        </w:rPr>
        <w:t xml:space="preserve">in regular employment and those who were retired, disabled or at home.  The proportion </w:t>
      </w:r>
      <w:r>
        <w:rPr>
          <w:rFonts w:cs="Arial"/>
        </w:rPr>
        <w:t xml:space="preserve">dropping </w:t>
      </w:r>
      <w:r w:rsidRPr="00805E9C">
        <w:rPr>
          <w:rFonts w:cs="Arial"/>
        </w:rPr>
        <w:t>out of treatment was significantly higher</w:t>
      </w:r>
      <w:r>
        <w:rPr>
          <w:rFonts w:cs="Arial"/>
        </w:rPr>
        <w:t xml:space="preserve"> among</w:t>
      </w:r>
      <w:r w:rsidRPr="00805E9C">
        <w:rPr>
          <w:rFonts w:cs="Arial"/>
        </w:rPr>
        <w:t xml:space="preserve"> those who were </w:t>
      </w:r>
      <w:r>
        <w:rPr>
          <w:rFonts w:cs="Arial"/>
        </w:rPr>
        <w:t xml:space="preserve">classified as </w:t>
      </w:r>
      <w:r w:rsidRPr="00805E9C">
        <w:rPr>
          <w:rFonts w:cs="Arial"/>
        </w:rPr>
        <w:t xml:space="preserve">unemployed. </w:t>
      </w:r>
    </w:p>
    <w:p w:rsidR="003B0DEE" w:rsidRPr="00D726BF" w:rsidRDefault="003B0DEE" w:rsidP="000D5D90">
      <w:pPr>
        <w:pStyle w:val="ListParagraph"/>
        <w:numPr>
          <w:ilvl w:val="0"/>
          <w:numId w:val="8"/>
        </w:numPr>
        <w:autoSpaceDE w:val="0"/>
        <w:autoSpaceDN w:val="0"/>
        <w:adjustRightInd w:val="0"/>
        <w:spacing w:before="0" w:after="0"/>
        <w:rPr>
          <w:rFonts w:cs="Arial"/>
        </w:rPr>
      </w:pPr>
      <w:r w:rsidRPr="00D726BF">
        <w:rPr>
          <w:rFonts w:cs="Arial"/>
          <w:b/>
        </w:rPr>
        <w:t>Living accommodation</w:t>
      </w:r>
      <w:r w:rsidRPr="00D726BF">
        <w:rPr>
          <w:rFonts w:cs="Arial"/>
        </w:rPr>
        <w:t xml:space="preserve"> (χ</w:t>
      </w:r>
      <w:r w:rsidRPr="00D726BF">
        <w:rPr>
          <w:rFonts w:cs="Arial"/>
          <w:szCs w:val="24"/>
          <w:vertAlign w:val="superscript"/>
        </w:rPr>
        <w:t xml:space="preserve">2 </w:t>
      </w:r>
      <w:r w:rsidRPr="00D726BF">
        <w:rPr>
          <w:rFonts w:cs="Arial"/>
        </w:rPr>
        <w:t xml:space="preserve">= 19.497, p&lt;0.001).  The proportion completing treatment was significantly higher for people who were in institutions.  A significantly higher proportion of </w:t>
      </w:r>
      <w:r w:rsidRPr="00D726BF">
        <w:rPr>
          <w:rFonts w:cs="Arial"/>
        </w:rPr>
        <w:lastRenderedPageBreak/>
        <w:t xml:space="preserve">treatment completions resided in an institution (including prison, residential care, </w:t>
      </w:r>
      <w:proofErr w:type="gramStart"/>
      <w:r w:rsidRPr="00D726BF">
        <w:rPr>
          <w:rFonts w:cs="Arial"/>
        </w:rPr>
        <w:t>half</w:t>
      </w:r>
      <w:proofErr w:type="gramEnd"/>
      <w:r w:rsidRPr="00D726BF">
        <w:rPr>
          <w:rFonts w:cs="Arial"/>
        </w:rPr>
        <w:t>-way house).</w:t>
      </w:r>
    </w:p>
    <w:p w:rsidR="003B0DEE" w:rsidRDefault="003B0DEE" w:rsidP="000D5D90">
      <w:pPr>
        <w:pStyle w:val="ListParagraph"/>
        <w:numPr>
          <w:ilvl w:val="0"/>
          <w:numId w:val="8"/>
        </w:numPr>
        <w:rPr>
          <w:rFonts w:cs="Arial"/>
        </w:rPr>
      </w:pPr>
      <w:r>
        <w:rPr>
          <w:rFonts w:cs="Arial"/>
          <w:b/>
        </w:rPr>
        <w:t>L</w:t>
      </w:r>
      <w:r w:rsidRPr="00805E9C">
        <w:rPr>
          <w:rFonts w:cs="Arial"/>
          <w:b/>
        </w:rPr>
        <w:t>iving arrangements</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 xml:space="preserve">16.971, p=0.009).  Significantly higher proportions of treatment dropouts lived with their friends.  </w:t>
      </w:r>
    </w:p>
    <w:p w:rsidR="003B0DEE" w:rsidRPr="00821992" w:rsidRDefault="003B0DEE" w:rsidP="000D5D90">
      <w:pPr>
        <w:pStyle w:val="ListParagraph"/>
        <w:numPr>
          <w:ilvl w:val="0"/>
          <w:numId w:val="8"/>
        </w:numPr>
        <w:rPr>
          <w:rFonts w:cs="Arial"/>
        </w:rPr>
      </w:pPr>
      <w:r>
        <w:rPr>
          <w:rFonts w:cs="Arial"/>
          <w:b/>
        </w:rPr>
        <w:t>L</w:t>
      </w:r>
      <w:r w:rsidRPr="00805E9C">
        <w:rPr>
          <w:rFonts w:cs="Arial"/>
          <w:b/>
        </w:rPr>
        <w:t>eaving school before aged sixteen years</w:t>
      </w:r>
      <w:r w:rsidRPr="00821992">
        <w:rPr>
          <w:rFonts w:cs="Arial"/>
        </w:rPr>
        <w:t xml:space="preserve"> (χ</w:t>
      </w:r>
      <w:r w:rsidRPr="00AC67A9">
        <w:rPr>
          <w:rFonts w:cs="Arial"/>
          <w:szCs w:val="24"/>
          <w:vertAlign w:val="superscript"/>
        </w:rPr>
        <w:t>2</w:t>
      </w:r>
      <w:r w:rsidRPr="00821992">
        <w:rPr>
          <w:rFonts w:cs="Arial"/>
        </w:rPr>
        <w:t xml:space="preserve"> = 14.</w:t>
      </w:r>
      <w:r>
        <w:rPr>
          <w:rFonts w:cs="Arial"/>
        </w:rPr>
        <w:t>122</w:t>
      </w:r>
      <w:r w:rsidRPr="00821992">
        <w:rPr>
          <w:rFonts w:cs="Arial"/>
        </w:rPr>
        <w:t xml:space="preserve">, </w:t>
      </w:r>
      <w:r>
        <w:rPr>
          <w:rFonts w:cs="Arial"/>
        </w:rPr>
        <w:t>p&lt;</w:t>
      </w:r>
      <w:r w:rsidRPr="00821992">
        <w:rPr>
          <w:rFonts w:cs="Arial"/>
        </w:rPr>
        <w:t>0.001</w:t>
      </w:r>
      <w:r>
        <w:rPr>
          <w:rFonts w:cs="Arial"/>
        </w:rPr>
        <w:t xml:space="preserve">).  There was a significant relationship between leaving school early and dropping out of treatment.  </w:t>
      </w:r>
    </w:p>
    <w:p w:rsidR="003B0DEE" w:rsidRDefault="003B0DEE" w:rsidP="000D5D90">
      <w:pPr>
        <w:pStyle w:val="ListParagraph"/>
        <w:numPr>
          <w:ilvl w:val="0"/>
          <w:numId w:val="8"/>
        </w:numPr>
        <w:rPr>
          <w:rFonts w:cs="Arial"/>
        </w:rPr>
      </w:pPr>
      <w:r>
        <w:rPr>
          <w:rFonts w:cs="Arial"/>
          <w:b/>
        </w:rPr>
        <w:t>H</w:t>
      </w:r>
      <w:r w:rsidRPr="00805E9C">
        <w:rPr>
          <w:rFonts w:cs="Arial"/>
          <w:b/>
        </w:rPr>
        <w:t>ighest level of education achieved</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29.987</w:t>
      </w:r>
      <w:r w:rsidRPr="00821992">
        <w:rPr>
          <w:rFonts w:cs="Arial"/>
        </w:rPr>
        <w:t xml:space="preserve">, </w:t>
      </w:r>
      <w:r>
        <w:rPr>
          <w:rFonts w:cs="Arial"/>
        </w:rPr>
        <w:t>p&lt;</w:t>
      </w:r>
      <w:r w:rsidRPr="00821992">
        <w:rPr>
          <w:rFonts w:cs="Arial"/>
        </w:rPr>
        <w:t>0.001</w:t>
      </w:r>
      <w:r>
        <w:rPr>
          <w:rFonts w:cs="Arial"/>
        </w:rPr>
        <w:t xml:space="preserve">).  Those who completed second or third level education were more likely to complete treatment than those who had completed just primary level education. </w:t>
      </w:r>
    </w:p>
    <w:p w:rsidR="003B0DEE" w:rsidRPr="00821992" w:rsidRDefault="003B0DEE" w:rsidP="000D5D90">
      <w:pPr>
        <w:pStyle w:val="ListParagraph"/>
        <w:numPr>
          <w:ilvl w:val="0"/>
          <w:numId w:val="8"/>
        </w:numPr>
        <w:rPr>
          <w:rFonts w:cs="Arial"/>
        </w:rPr>
      </w:pPr>
      <w:r>
        <w:rPr>
          <w:rFonts w:cs="Arial"/>
          <w:b/>
        </w:rPr>
        <w:t xml:space="preserve">Place of residence </w:t>
      </w:r>
      <w:r w:rsidRPr="00BD5840">
        <w:rPr>
          <w:rFonts w:cs="Arial"/>
        </w:rPr>
        <w:t>(</w:t>
      </w:r>
      <w:r w:rsidRPr="00821992">
        <w:rPr>
          <w:rFonts w:cs="Arial"/>
        </w:rPr>
        <w:t>χ</w:t>
      </w:r>
      <w:r w:rsidRPr="00AC67A9">
        <w:rPr>
          <w:rFonts w:cs="Arial"/>
          <w:szCs w:val="24"/>
          <w:vertAlign w:val="superscript"/>
        </w:rPr>
        <w:t>2</w:t>
      </w:r>
      <w:r w:rsidRPr="00821992">
        <w:rPr>
          <w:rFonts w:cs="Arial"/>
        </w:rPr>
        <w:t xml:space="preserve"> = </w:t>
      </w:r>
      <w:r>
        <w:rPr>
          <w:rFonts w:cs="Arial"/>
        </w:rPr>
        <w:t>5.280</w:t>
      </w:r>
      <w:r w:rsidRPr="00821992">
        <w:rPr>
          <w:rFonts w:cs="Arial"/>
        </w:rPr>
        <w:t>, p</w:t>
      </w:r>
      <w:r>
        <w:rPr>
          <w:rFonts w:cs="Arial"/>
        </w:rPr>
        <w:t xml:space="preserve">=0.022).  Dublin residents were less likely to complete treatment than people who resided outside of Dublin.  </w:t>
      </w:r>
    </w:p>
    <w:p w:rsidR="003B0DEE" w:rsidRDefault="003B0DEE" w:rsidP="000D5D90">
      <w:pPr>
        <w:pStyle w:val="ListParagraph"/>
        <w:numPr>
          <w:ilvl w:val="0"/>
          <w:numId w:val="8"/>
        </w:numPr>
        <w:rPr>
          <w:rFonts w:cs="Arial"/>
        </w:rPr>
      </w:pPr>
      <w:r>
        <w:rPr>
          <w:rFonts w:cs="Arial"/>
          <w:b/>
        </w:rPr>
        <w:t>A</w:t>
      </w:r>
      <w:r w:rsidRPr="00BD5840">
        <w:rPr>
          <w:rFonts w:cs="Arial"/>
          <w:b/>
        </w:rPr>
        <w:t>ge of drug initiation</w:t>
      </w:r>
      <w:r>
        <w:rPr>
          <w:rFonts w:cs="Arial"/>
          <w:b/>
        </w:rPr>
        <w:t xml:space="preserve"> </w:t>
      </w:r>
      <w:r w:rsidRPr="00821992">
        <w:rPr>
          <w:rFonts w:cs="Arial"/>
        </w:rPr>
        <w:t>(χ</w:t>
      </w:r>
      <w:r w:rsidRPr="00AC67A9">
        <w:rPr>
          <w:rFonts w:cs="Arial"/>
          <w:szCs w:val="24"/>
          <w:vertAlign w:val="superscript"/>
        </w:rPr>
        <w:t>2</w:t>
      </w:r>
      <w:r w:rsidRPr="00821992">
        <w:rPr>
          <w:rFonts w:cs="Arial"/>
        </w:rPr>
        <w:t xml:space="preserve"> = </w:t>
      </w:r>
      <w:r>
        <w:rPr>
          <w:rFonts w:cs="Arial"/>
        </w:rPr>
        <w:t>4.669</w:t>
      </w:r>
      <w:r w:rsidRPr="00821992">
        <w:rPr>
          <w:rFonts w:cs="Arial"/>
        </w:rPr>
        <w:t>, p</w:t>
      </w:r>
      <w:r>
        <w:rPr>
          <w:rFonts w:cs="Arial"/>
        </w:rPr>
        <w:t xml:space="preserve">&lt;0.031).  People who commenced drug use at an older age were more likely to complete treatment.  </w:t>
      </w:r>
    </w:p>
    <w:p w:rsidR="003B0DEE" w:rsidRDefault="003B0DEE" w:rsidP="000D5D90">
      <w:pPr>
        <w:pStyle w:val="ListParagraph"/>
        <w:numPr>
          <w:ilvl w:val="0"/>
          <w:numId w:val="8"/>
        </w:numPr>
        <w:rPr>
          <w:rFonts w:cs="Arial"/>
        </w:rPr>
      </w:pPr>
      <w:r>
        <w:rPr>
          <w:rFonts w:cs="Arial"/>
          <w:b/>
        </w:rPr>
        <w:t>T</w:t>
      </w:r>
      <w:r w:rsidRPr="00805E9C">
        <w:rPr>
          <w:rFonts w:cs="Arial"/>
          <w:b/>
        </w:rPr>
        <w:t>he time lag between first use of opioids and seeking treatment</w:t>
      </w:r>
      <w:r w:rsidRPr="00821992">
        <w:rPr>
          <w:rFonts w:cs="Arial"/>
        </w:rPr>
        <w:t xml:space="preserve"> (U=</w:t>
      </w:r>
      <w:r>
        <w:rPr>
          <w:rFonts w:cs="Arial"/>
        </w:rPr>
        <w:t>19.240</w:t>
      </w:r>
      <w:r w:rsidRPr="00821992">
        <w:rPr>
          <w:rFonts w:cs="Arial"/>
        </w:rPr>
        <w:t xml:space="preserve">, </w:t>
      </w:r>
      <w:r>
        <w:rPr>
          <w:rFonts w:cs="Arial"/>
        </w:rPr>
        <w:t xml:space="preserve">p&lt;0.001).  People who had a longer time lag were more likely to complete treatment. </w:t>
      </w:r>
    </w:p>
    <w:p w:rsidR="003B0DEE" w:rsidRPr="00821992" w:rsidRDefault="003B0DEE" w:rsidP="000D5D90">
      <w:pPr>
        <w:pStyle w:val="ListParagraph"/>
        <w:numPr>
          <w:ilvl w:val="0"/>
          <w:numId w:val="8"/>
        </w:numPr>
        <w:rPr>
          <w:rFonts w:cs="Arial"/>
        </w:rPr>
      </w:pPr>
      <w:r>
        <w:rPr>
          <w:rFonts w:cs="Arial"/>
          <w:b/>
        </w:rPr>
        <w:t>T</w:t>
      </w:r>
      <w:r w:rsidRPr="00805E9C">
        <w:rPr>
          <w:rFonts w:cs="Arial"/>
          <w:b/>
        </w:rPr>
        <w:t>he main type of problem opioid</w:t>
      </w:r>
      <w:r w:rsidRPr="00821992">
        <w:rPr>
          <w:rFonts w:cs="Arial"/>
        </w:rPr>
        <w:t xml:space="preserve"> (χ</w:t>
      </w:r>
      <w:r w:rsidRPr="00AC67A9">
        <w:rPr>
          <w:rFonts w:cs="Arial"/>
          <w:szCs w:val="24"/>
          <w:vertAlign w:val="superscript"/>
        </w:rPr>
        <w:t>2</w:t>
      </w:r>
      <w:r w:rsidRPr="00821992">
        <w:rPr>
          <w:rFonts w:cs="Arial"/>
        </w:rPr>
        <w:t xml:space="preserve"> = 12.</w:t>
      </w:r>
      <w:r>
        <w:rPr>
          <w:rFonts w:cs="Arial"/>
        </w:rPr>
        <w:t>800</w:t>
      </w:r>
      <w:r w:rsidRPr="00821992">
        <w:rPr>
          <w:rFonts w:cs="Arial"/>
        </w:rPr>
        <w:t xml:space="preserve">, </w:t>
      </w:r>
      <w:r>
        <w:rPr>
          <w:rFonts w:cs="Arial"/>
        </w:rPr>
        <w:t>p&lt;</w:t>
      </w:r>
      <w:r w:rsidRPr="00821992">
        <w:rPr>
          <w:rFonts w:cs="Arial"/>
        </w:rPr>
        <w:t>0.001)</w:t>
      </w:r>
      <w:r>
        <w:rPr>
          <w:rFonts w:cs="Arial"/>
        </w:rPr>
        <w:t>.  Pe</w:t>
      </w:r>
      <w:r w:rsidRPr="00786FCD">
        <w:rPr>
          <w:rFonts w:cs="Arial"/>
        </w:rPr>
        <w:t xml:space="preserve">ople </w:t>
      </w:r>
      <w:r>
        <w:rPr>
          <w:rFonts w:cs="Arial"/>
        </w:rPr>
        <w:t>entering treatment for non-heroin opioids (</w:t>
      </w:r>
      <w:r w:rsidRPr="00786FCD">
        <w:rPr>
          <w:rFonts w:cs="Arial"/>
        </w:rPr>
        <w:t>over-the-counter and prescribed opioids</w:t>
      </w:r>
      <w:r>
        <w:rPr>
          <w:rFonts w:cs="Arial"/>
        </w:rPr>
        <w:t xml:space="preserve">) were more likely to complete treatment. </w:t>
      </w:r>
      <w:r w:rsidRPr="00786FCD">
        <w:rPr>
          <w:rFonts w:cs="Arial"/>
        </w:rPr>
        <w:t xml:space="preserve"> </w:t>
      </w:r>
      <w:r w:rsidRPr="00821992">
        <w:rPr>
          <w:rFonts w:cs="Arial"/>
        </w:rPr>
        <w:t xml:space="preserve"> </w:t>
      </w:r>
    </w:p>
    <w:p w:rsidR="003B0DEE" w:rsidRPr="00821992" w:rsidRDefault="003B0DEE" w:rsidP="000D5D90">
      <w:pPr>
        <w:pStyle w:val="ListParagraph"/>
        <w:numPr>
          <w:ilvl w:val="0"/>
          <w:numId w:val="8"/>
        </w:numPr>
        <w:rPr>
          <w:rFonts w:cs="Arial"/>
        </w:rPr>
      </w:pPr>
      <w:r>
        <w:rPr>
          <w:rFonts w:cs="Arial"/>
          <w:b/>
        </w:rPr>
        <w:t>R</w:t>
      </w:r>
      <w:r w:rsidRPr="00805E9C">
        <w:rPr>
          <w:rFonts w:cs="Arial"/>
          <w:b/>
        </w:rPr>
        <w:t>oute of administration</w:t>
      </w:r>
      <w:r w:rsidRPr="00821992">
        <w:rPr>
          <w:rFonts w:cs="Arial"/>
        </w:rPr>
        <w:t xml:space="preserve"> (χ</w:t>
      </w:r>
      <w:r w:rsidRPr="00AC67A9">
        <w:rPr>
          <w:rFonts w:cs="Arial"/>
          <w:szCs w:val="24"/>
          <w:vertAlign w:val="superscript"/>
        </w:rPr>
        <w:t>2</w:t>
      </w:r>
      <w:r w:rsidRPr="00821992">
        <w:rPr>
          <w:rFonts w:cs="Arial"/>
        </w:rPr>
        <w:t xml:space="preserve"> = 21.</w:t>
      </w:r>
      <w:r>
        <w:rPr>
          <w:rFonts w:cs="Arial"/>
        </w:rPr>
        <w:t>935</w:t>
      </w:r>
      <w:r w:rsidRPr="00821992">
        <w:rPr>
          <w:rFonts w:cs="Arial"/>
        </w:rPr>
        <w:t>, p= 0.001</w:t>
      </w:r>
      <w:r>
        <w:rPr>
          <w:rFonts w:cs="Arial"/>
        </w:rPr>
        <w:t xml:space="preserve">).  Among injectors, the proportions completing/dropping out of treatment did not differ significantly.  However, opioid smokers were more likely to drop-out of treatment while those with oral use of opioids were more likely to complete treatment. </w:t>
      </w:r>
    </w:p>
    <w:p w:rsidR="003B0DEE" w:rsidRPr="00821992" w:rsidRDefault="003B0DEE" w:rsidP="000D5D90">
      <w:pPr>
        <w:pStyle w:val="ListParagraph"/>
        <w:numPr>
          <w:ilvl w:val="0"/>
          <w:numId w:val="8"/>
        </w:numPr>
        <w:rPr>
          <w:rFonts w:cs="Arial"/>
        </w:rPr>
      </w:pPr>
      <w:r>
        <w:rPr>
          <w:rFonts w:cs="Arial"/>
          <w:b/>
        </w:rPr>
        <w:t>F</w:t>
      </w:r>
      <w:r w:rsidRPr="00805E9C">
        <w:rPr>
          <w:rFonts w:cs="Arial"/>
          <w:b/>
        </w:rPr>
        <w:t>requency of opioid use in the month prior to treatment</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52.746</w:t>
      </w:r>
      <w:r w:rsidRPr="00821992">
        <w:rPr>
          <w:rFonts w:cs="Arial"/>
        </w:rPr>
        <w:t xml:space="preserve">, </w:t>
      </w:r>
      <w:r>
        <w:rPr>
          <w:rFonts w:cs="Arial"/>
        </w:rPr>
        <w:t>p&lt;</w:t>
      </w:r>
      <w:r w:rsidRPr="00821992">
        <w:rPr>
          <w:rFonts w:cs="Arial"/>
        </w:rPr>
        <w:t>0.001)</w:t>
      </w:r>
      <w:r>
        <w:rPr>
          <w:rFonts w:cs="Arial"/>
        </w:rPr>
        <w:t xml:space="preserve">.  People who had not used opioids in the month prior to entering treatment were more likely to complete treatment, while those with daily opioid use were significantly more likely to dropout. </w:t>
      </w:r>
      <w:r w:rsidRPr="00821992">
        <w:rPr>
          <w:rFonts w:cs="Arial"/>
        </w:rPr>
        <w:t xml:space="preserve"> </w:t>
      </w:r>
    </w:p>
    <w:p w:rsidR="003B0DEE" w:rsidRPr="00821992" w:rsidRDefault="003B0DEE" w:rsidP="000D5D90">
      <w:pPr>
        <w:pStyle w:val="ListParagraph"/>
        <w:numPr>
          <w:ilvl w:val="0"/>
          <w:numId w:val="8"/>
        </w:numPr>
        <w:rPr>
          <w:rFonts w:cs="Arial"/>
        </w:rPr>
      </w:pPr>
      <w:r>
        <w:rPr>
          <w:rFonts w:cs="Arial"/>
          <w:b/>
        </w:rPr>
        <w:t>T</w:t>
      </w:r>
      <w:r w:rsidRPr="00805E9C">
        <w:rPr>
          <w:rFonts w:cs="Arial"/>
          <w:b/>
        </w:rPr>
        <w:t>he use of benzodiazepines</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15.292</w:t>
      </w:r>
      <w:r w:rsidRPr="00821992">
        <w:rPr>
          <w:rFonts w:cs="Arial"/>
        </w:rPr>
        <w:t xml:space="preserve"> p</w:t>
      </w:r>
      <w:r>
        <w:rPr>
          <w:rFonts w:cs="Arial"/>
        </w:rPr>
        <w:t>&lt;</w:t>
      </w:r>
      <w:r w:rsidRPr="00821992">
        <w:rPr>
          <w:rFonts w:cs="Arial"/>
        </w:rPr>
        <w:t xml:space="preserve">0.001) and </w:t>
      </w:r>
      <w:r w:rsidRPr="00805E9C">
        <w:rPr>
          <w:rFonts w:cs="Arial"/>
          <w:b/>
        </w:rPr>
        <w:t>ecstasy</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9.274</w:t>
      </w:r>
      <w:r w:rsidRPr="00821992">
        <w:rPr>
          <w:rFonts w:cs="Arial"/>
        </w:rPr>
        <w:t>, p=0.00</w:t>
      </w:r>
      <w:r>
        <w:rPr>
          <w:rFonts w:cs="Arial"/>
        </w:rPr>
        <w:t xml:space="preserve">2).  People who used benzodiazepines in addition to opioids were significantly more likely to dropout of treatment.  Those with ecstasy in addition to opioid use were significantly more likely to complete treatment. </w:t>
      </w:r>
    </w:p>
    <w:p w:rsidR="003B0DEE" w:rsidRPr="00821992" w:rsidRDefault="003B0DEE" w:rsidP="000D5D90">
      <w:pPr>
        <w:pStyle w:val="ListParagraph"/>
        <w:numPr>
          <w:ilvl w:val="0"/>
          <w:numId w:val="8"/>
        </w:numPr>
        <w:rPr>
          <w:rFonts w:cs="Arial"/>
        </w:rPr>
      </w:pPr>
      <w:r>
        <w:rPr>
          <w:rFonts w:cs="Arial"/>
          <w:b/>
        </w:rPr>
        <w:t xml:space="preserve">Current </w:t>
      </w:r>
      <w:r w:rsidRPr="00805E9C">
        <w:rPr>
          <w:rFonts w:cs="Arial"/>
          <w:b/>
        </w:rPr>
        <w:t>inject</w:t>
      </w:r>
      <w:r>
        <w:rPr>
          <w:rFonts w:cs="Arial"/>
          <w:b/>
        </w:rPr>
        <w:t>ors</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15.754</w:t>
      </w:r>
      <w:r w:rsidRPr="00821992">
        <w:rPr>
          <w:rFonts w:cs="Arial"/>
        </w:rPr>
        <w:t>, p</w:t>
      </w:r>
      <w:r>
        <w:rPr>
          <w:rFonts w:cs="Arial"/>
        </w:rPr>
        <w:t xml:space="preserve">&lt;0.001).  People who reported that they were injecting at the point of treatment entry were significantly more likely to dropout of treatment. </w:t>
      </w:r>
    </w:p>
    <w:p w:rsidR="003B0DEE" w:rsidRPr="00821992" w:rsidRDefault="003B0DEE" w:rsidP="000D5D90">
      <w:pPr>
        <w:pStyle w:val="ListParagraph"/>
        <w:numPr>
          <w:ilvl w:val="0"/>
          <w:numId w:val="8"/>
        </w:numPr>
        <w:rPr>
          <w:rFonts w:cs="Arial"/>
        </w:rPr>
      </w:pPr>
      <w:r>
        <w:rPr>
          <w:rFonts w:cs="Arial"/>
          <w:b/>
        </w:rPr>
        <w:t>T</w:t>
      </w:r>
      <w:r w:rsidRPr="00805E9C">
        <w:rPr>
          <w:rFonts w:cs="Arial"/>
          <w:b/>
        </w:rPr>
        <w:t>reatment setting</w:t>
      </w:r>
      <w:r w:rsidRPr="00821992">
        <w:rPr>
          <w:rFonts w:cs="Arial"/>
        </w:rPr>
        <w:t xml:space="preserve"> (χ</w:t>
      </w:r>
      <w:r w:rsidRPr="00AC67A9">
        <w:rPr>
          <w:rFonts w:cs="Arial"/>
          <w:szCs w:val="24"/>
          <w:vertAlign w:val="superscript"/>
        </w:rPr>
        <w:t>2</w:t>
      </w:r>
      <w:r w:rsidRPr="00821992">
        <w:rPr>
          <w:rFonts w:cs="Arial"/>
        </w:rPr>
        <w:t xml:space="preserve"> = </w:t>
      </w:r>
      <w:r>
        <w:rPr>
          <w:rFonts w:cs="Arial"/>
        </w:rPr>
        <w:t>263.391</w:t>
      </w:r>
      <w:r w:rsidRPr="00821992">
        <w:rPr>
          <w:rFonts w:cs="Arial"/>
        </w:rPr>
        <w:t>, p&lt;</w:t>
      </w:r>
      <w:r>
        <w:rPr>
          <w:rFonts w:cs="Arial"/>
        </w:rPr>
        <w:t xml:space="preserve">0.001).  People treated in prison or an inpatient setting were more likely to complete treatment, while those treated in outpatient, low threshold  or general practice settings were more likely to dropout.  </w:t>
      </w:r>
    </w:p>
    <w:p w:rsidR="003B0DEE" w:rsidRPr="00821992" w:rsidRDefault="003B0DEE" w:rsidP="000D5D90">
      <w:pPr>
        <w:pStyle w:val="ListParagraph"/>
        <w:numPr>
          <w:ilvl w:val="0"/>
          <w:numId w:val="8"/>
        </w:numPr>
        <w:rPr>
          <w:rFonts w:cs="Arial"/>
        </w:rPr>
      </w:pPr>
      <w:r>
        <w:rPr>
          <w:rFonts w:cs="Arial"/>
          <w:b/>
        </w:rPr>
        <w:t>R</w:t>
      </w:r>
      <w:r w:rsidRPr="00805E9C">
        <w:rPr>
          <w:rFonts w:cs="Arial"/>
          <w:b/>
        </w:rPr>
        <w:t>eferral source</w:t>
      </w:r>
      <w:r>
        <w:rPr>
          <w:rFonts w:cs="Arial"/>
        </w:rPr>
        <w:t xml:space="preserve"> (</w:t>
      </w:r>
      <w:r w:rsidRPr="00821992">
        <w:rPr>
          <w:rFonts w:cs="Arial"/>
        </w:rPr>
        <w:t>χ</w:t>
      </w:r>
      <w:r w:rsidRPr="00AC67A9">
        <w:rPr>
          <w:rFonts w:cs="Arial"/>
          <w:szCs w:val="24"/>
          <w:vertAlign w:val="superscript"/>
        </w:rPr>
        <w:t>2</w:t>
      </w:r>
      <w:r w:rsidRPr="00821992">
        <w:rPr>
          <w:rFonts w:cs="Arial"/>
        </w:rPr>
        <w:t xml:space="preserve"> = </w:t>
      </w:r>
      <w:r>
        <w:rPr>
          <w:rFonts w:cs="Arial"/>
        </w:rPr>
        <w:t>49.856</w:t>
      </w:r>
      <w:r w:rsidRPr="00821992">
        <w:rPr>
          <w:rFonts w:cs="Arial"/>
        </w:rPr>
        <w:t>, p&lt;</w:t>
      </w:r>
      <w:r>
        <w:rPr>
          <w:rFonts w:cs="Arial"/>
        </w:rPr>
        <w:t>0.001).  People who self-referred to treatment were more likely to dropout.  Rates of treatment completion were significantly higher among those referred to treatment by friends/family or “other” sources</w:t>
      </w:r>
    </w:p>
    <w:p w:rsidR="003B0DEE" w:rsidRPr="009D2A34" w:rsidRDefault="003B0DEE" w:rsidP="009D2A34">
      <w:pPr>
        <w:pStyle w:val="ListParagraph"/>
        <w:numPr>
          <w:ilvl w:val="0"/>
          <w:numId w:val="8"/>
        </w:numPr>
        <w:spacing w:line="240" w:lineRule="auto"/>
        <w:rPr>
          <w:b/>
          <w:bCs/>
          <w:szCs w:val="18"/>
        </w:rPr>
      </w:pPr>
      <w:r w:rsidRPr="009D2A34">
        <w:rPr>
          <w:rFonts w:cs="Arial"/>
          <w:b/>
        </w:rPr>
        <w:t>Cluster grouping</w:t>
      </w:r>
      <w:r w:rsidRPr="009D2A34">
        <w:rPr>
          <w:rFonts w:cs="Arial"/>
        </w:rPr>
        <w:t xml:space="preserve"> (χ</w:t>
      </w:r>
      <w:r w:rsidRPr="009D2A34">
        <w:rPr>
          <w:rFonts w:cs="Arial"/>
          <w:szCs w:val="24"/>
          <w:vertAlign w:val="superscript"/>
        </w:rPr>
        <w:t>2</w:t>
      </w:r>
      <w:r w:rsidRPr="009D2A34">
        <w:rPr>
          <w:rFonts w:cs="Arial"/>
        </w:rPr>
        <w:t xml:space="preserve"> = 14.501, p=0.006).  A significantly higher proportion of cluster one “over-the-counter/prescription/other opioids use and late-onset drug use” completed treatment</w:t>
      </w:r>
      <w:proofErr w:type="gramStart"/>
      <w:r w:rsidRPr="009D2A34">
        <w:rPr>
          <w:rFonts w:cs="Arial"/>
        </w:rPr>
        <w:t xml:space="preserve">. </w:t>
      </w:r>
      <w:proofErr w:type="gramEnd"/>
      <w:r>
        <w:br w:type="page"/>
      </w:r>
    </w:p>
    <w:p w:rsidR="003B0DEE" w:rsidRPr="005C08E6" w:rsidRDefault="003B0DEE" w:rsidP="000D5D90">
      <w:pPr>
        <w:pStyle w:val="Caption"/>
        <w:spacing w:line="240" w:lineRule="auto"/>
      </w:pPr>
      <w:bookmarkStart w:id="110" w:name="_Toc15332006"/>
      <w:r>
        <w:lastRenderedPageBreak/>
        <w:t xml:space="preserve">Table </w:t>
      </w:r>
      <w:fldSimple w:instr=" STYLEREF 1 \s ">
        <w:r>
          <w:rPr>
            <w:noProof/>
          </w:rPr>
          <w:t>6</w:t>
        </w:r>
      </w:fldSimple>
      <w:r>
        <w:noBreakHyphen/>
      </w:r>
      <w:fldSimple w:instr=" SEQ Table \* ARABIC \s 1 ">
        <w:r>
          <w:rPr>
            <w:noProof/>
          </w:rPr>
          <w:t>2</w:t>
        </w:r>
      </w:fldSimple>
      <w:r>
        <w:t xml:space="preserve">  </w:t>
      </w:r>
      <w:r w:rsidRPr="005C08E6">
        <w:t>Discharge data</w:t>
      </w:r>
      <w:r w:rsidRPr="005C08E6">
        <w:rPr>
          <w:b w:val="0"/>
        </w:rPr>
        <w:t xml:space="preserve">: Frequencies, percentages completing or </w:t>
      </w:r>
      <w:r>
        <w:rPr>
          <w:b w:val="0"/>
        </w:rPr>
        <w:t>dropping out</w:t>
      </w:r>
      <w:r w:rsidRPr="005C08E6">
        <w:rPr>
          <w:b w:val="0"/>
        </w:rPr>
        <w:t xml:space="preserve"> of treatment, and chi-squared test results for client sociodemographic characteristics used in the analysis</w:t>
      </w:r>
      <w:bookmarkEnd w:id="110"/>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1750"/>
        <w:gridCol w:w="1906"/>
        <w:gridCol w:w="725"/>
        <w:gridCol w:w="717"/>
        <w:gridCol w:w="661"/>
        <w:gridCol w:w="606"/>
        <w:gridCol w:w="661"/>
        <w:gridCol w:w="606"/>
        <w:gridCol w:w="1372"/>
      </w:tblGrid>
      <w:tr w:rsidR="003B0DEE" w:rsidRPr="000806DA" w:rsidTr="000D5D90">
        <w:trPr>
          <w:trHeight w:val="20"/>
        </w:trPr>
        <w:tc>
          <w:tcPr>
            <w:tcW w:w="97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Characteristic</w:t>
            </w:r>
          </w:p>
        </w:tc>
        <w:tc>
          <w:tcPr>
            <w:tcW w:w="1058"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Values</w:t>
            </w:r>
          </w:p>
        </w:tc>
        <w:tc>
          <w:tcPr>
            <w:tcW w:w="801"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Sample</w:t>
            </w:r>
          </w:p>
        </w:tc>
        <w:tc>
          <w:tcPr>
            <w:tcW w:w="704"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Treatment completed</w:t>
            </w:r>
          </w:p>
        </w:tc>
        <w:tc>
          <w:tcPr>
            <w:tcW w:w="704"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Treatment dropout</w:t>
            </w:r>
          </w:p>
        </w:tc>
        <w:tc>
          <w:tcPr>
            <w:tcW w:w="76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Pr>
                <w:rFonts w:ascii="Arial" w:hAnsi="Arial" w:cs="Arial"/>
                <w:b/>
                <w:bCs/>
                <w:color w:val="000000"/>
                <w:sz w:val="20"/>
                <w:lang w:eastAsia="en-US"/>
              </w:rPr>
              <w:t>Test of significance</w:t>
            </w:r>
          </w:p>
        </w:tc>
      </w:tr>
      <w:tr w:rsidR="003B0DEE" w:rsidRPr="000806DA" w:rsidTr="000D5D90">
        <w:trPr>
          <w:trHeight w:val="48"/>
        </w:trPr>
        <w:tc>
          <w:tcPr>
            <w:tcW w:w="97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2208" w:type="pct"/>
            <w:gridSpan w:val="6"/>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center"/>
              <w:rPr>
                <w:rFonts w:ascii="Arial" w:hAnsi="Arial" w:cs="Arial"/>
                <w:b/>
                <w:color w:val="000000"/>
                <w:sz w:val="20"/>
                <w:lang w:eastAsia="en-US"/>
              </w:rPr>
            </w:pPr>
            <w:r w:rsidRPr="000806DA">
              <w:rPr>
                <w:rFonts w:ascii="Arial" w:hAnsi="Arial" w:cs="Arial"/>
                <w:b/>
                <w:color w:val="000000"/>
                <w:sz w:val="20"/>
                <w:lang w:eastAsia="en-US"/>
              </w:rPr>
              <w:t>Age (years)</w:t>
            </w:r>
          </w:p>
        </w:tc>
        <w:tc>
          <w:tcPr>
            <w:tcW w:w="76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F / U (p)</w:t>
            </w:r>
          </w:p>
        </w:tc>
      </w:tr>
      <w:tr w:rsidR="003B0DEE" w:rsidRPr="000806DA" w:rsidTr="000D5D90">
        <w:trPr>
          <w:trHeight w:val="48"/>
        </w:trPr>
        <w:tc>
          <w:tcPr>
            <w:tcW w:w="972"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Age entering treatment</w:t>
            </w:r>
          </w:p>
        </w:tc>
        <w:tc>
          <w:tcPr>
            <w:tcW w:w="1058"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Mean age </w:t>
            </w:r>
          </w:p>
        </w:tc>
        <w:tc>
          <w:tcPr>
            <w:tcW w:w="801" w:type="pct"/>
            <w:gridSpan w:val="2"/>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30</w:t>
            </w:r>
          </w:p>
        </w:tc>
        <w:tc>
          <w:tcPr>
            <w:tcW w:w="704" w:type="pct"/>
            <w:gridSpan w:val="2"/>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31</w:t>
            </w:r>
          </w:p>
        </w:tc>
        <w:tc>
          <w:tcPr>
            <w:tcW w:w="704" w:type="pct"/>
            <w:gridSpan w:val="2"/>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30</w:t>
            </w:r>
          </w:p>
        </w:tc>
        <w:tc>
          <w:tcPr>
            <w:tcW w:w="762"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24.405 (p&lt;0.001)</w:t>
            </w:r>
          </w:p>
        </w:tc>
      </w:tr>
      <w:tr w:rsidR="003B0DEE" w:rsidRPr="000806DA" w:rsidTr="000D5D90">
        <w:trPr>
          <w:trHeight w:val="48"/>
        </w:trPr>
        <w:tc>
          <w:tcPr>
            <w:tcW w:w="972" w:type="pct"/>
            <w:tcBorders>
              <w:top w:val="nil"/>
              <w:left w:val="nil"/>
              <w:bottom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20"/>
                <w:lang w:eastAsia="en-US"/>
              </w:rPr>
            </w:pPr>
          </w:p>
        </w:tc>
        <w:tc>
          <w:tcPr>
            <w:tcW w:w="1058" w:type="pct"/>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Median age </w:t>
            </w:r>
          </w:p>
        </w:tc>
        <w:tc>
          <w:tcPr>
            <w:tcW w:w="801" w:type="pct"/>
            <w:gridSpan w:val="2"/>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29</w:t>
            </w:r>
          </w:p>
        </w:tc>
        <w:tc>
          <w:tcPr>
            <w:tcW w:w="704" w:type="pct"/>
            <w:gridSpan w:val="2"/>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30</w:t>
            </w:r>
          </w:p>
        </w:tc>
        <w:tc>
          <w:tcPr>
            <w:tcW w:w="704" w:type="pct"/>
            <w:gridSpan w:val="2"/>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29</w:t>
            </w:r>
          </w:p>
        </w:tc>
        <w:tc>
          <w:tcPr>
            <w:tcW w:w="762"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13.080 (p&lt;0.001)</w:t>
            </w:r>
          </w:p>
        </w:tc>
      </w:tr>
      <w:tr w:rsidR="003B0DEE" w:rsidRPr="000806DA" w:rsidTr="000D5D90">
        <w:trPr>
          <w:trHeight w:val="48"/>
        </w:trPr>
        <w:tc>
          <w:tcPr>
            <w:tcW w:w="972" w:type="pct"/>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20"/>
                <w:lang w:eastAsia="en-US"/>
              </w:rPr>
            </w:pPr>
          </w:p>
        </w:tc>
        <w:tc>
          <w:tcPr>
            <w:tcW w:w="1058"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Range (5</w:t>
            </w:r>
            <w:r w:rsidRPr="008B37C7">
              <w:rPr>
                <w:rFonts w:ascii="Arial" w:hAnsi="Arial" w:cs="Arial"/>
                <w:color w:val="000000"/>
                <w:sz w:val="20"/>
                <w:vertAlign w:val="superscript"/>
                <w:lang w:eastAsia="en-US"/>
              </w:rPr>
              <w:t>th</w:t>
            </w:r>
            <w:r w:rsidRPr="000806DA">
              <w:rPr>
                <w:rFonts w:ascii="Arial" w:hAnsi="Arial" w:cs="Arial"/>
                <w:color w:val="000000"/>
                <w:sz w:val="20"/>
                <w:lang w:eastAsia="en-US"/>
              </w:rPr>
              <w:t>-95</w:t>
            </w:r>
            <w:r w:rsidRPr="008B37C7">
              <w:rPr>
                <w:rFonts w:ascii="Arial" w:hAnsi="Arial" w:cs="Arial"/>
                <w:color w:val="000000"/>
                <w:sz w:val="20"/>
                <w:vertAlign w:val="superscript"/>
                <w:lang w:eastAsia="en-US"/>
              </w:rPr>
              <w:t>th</w:t>
            </w:r>
            <w:r w:rsidRPr="000806DA">
              <w:rPr>
                <w:rFonts w:ascii="Arial" w:hAnsi="Arial" w:cs="Arial"/>
                <w:color w:val="000000"/>
                <w:sz w:val="20"/>
                <w:lang w:eastAsia="en-US"/>
              </w:rPr>
              <w:t xml:space="preserve"> percentiles)</w:t>
            </w:r>
          </w:p>
        </w:tc>
        <w:tc>
          <w:tcPr>
            <w:tcW w:w="801" w:type="pct"/>
            <w:gridSpan w:val="2"/>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highlight w:val="yellow"/>
                <w:lang w:eastAsia="en-US"/>
              </w:rPr>
            </w:pPr>
            <w:r w:rsidRPr="000806DA">
              <w:rPr>
                <w:rFonts w:ascii="Arial" w:hAnsi="Arial" w:cs="Arial"/>
                <w:color w:val="000000"/>
                <w:sz w:val="20"/>
                <w:lang w:eastAsia="en-US"/>
              </w:rPr>
              <w:t>(20-45)</w:t>
            </w:r>
          </w:p>
        </w:tc>
        <w:tc>
          <w:tcPr>
            <w:tcW w:w="704" w:type="pct"/>
            <w:gridSpan w:val="2"/>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(20-48)</w:t>
            </w:r>
          </w:p>
        </w:tc>
        <w:tc>
          <w:tcPr>
            <w:tcW w:w="704" w:type="pct"/>
            <w:gridSpan w:val="2"/>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(19-44)</w:t>
            </w:r>
          </w:p>
        </w:tc>
        <w:tc>
          <w:tcPr>
            <w:tcW w:w="762"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48"/>
        </w:trPr>
        <w:tc>
          <w:tcPr>
            <w:tcW w:w="97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403"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398"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367"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337"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367"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337"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76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center"/>
              <w:rPr>
                <w:rFonts w:ascii="Arial" w:hAnsi="Arial" w:cs="Arial"/>
                <w:b/>
                <w:color w:val="000000"/>
                <w:sz w:val="20"/>
                <w:lang w:eastAsia="en-US"/>
              </w:rPr>
            </w:pPr>
            <w:r w:rsidRPr="000806DA">
              <w:rPr>
                <w:rFonts w:ascii="Arial" w:hAnsi="Arial" w:cs="Arial"/>
                <w:b/>
                <w:bCs/>
                <w:color w:val="000000"/>
                <w:sz w:val="20"/>
                <w:lang w:eastAsia="en-US"/>
              </w:rPr>
              <w:t>Pearson chi-squared</w:t>
            </w:r>
          </w:p>
        </w:tc>
      </w:tr>
      <w:tr w:rsidR="003B0DEE" w:rsidRPr="000806DA" w:rsidTr="000D5D90">
        <w:trPr>
          <w:trHeight w:val="20"/>
        </w:trPr>
        <w:tc>
          <w:tcPr>
            <w:tcW w:w="972"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Gender</w:t>
            </w:r>
          </w:p>
        </w:tc>
        <w:tc>
          <w:tcPr>
            <w:tcW w:w="1058" w:type="pct"/>
            <w:tcBorders>
              <w:top w:val="single" w:sz="8" w:space="0" w:color="000000"/>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Male</w:t>
            </w:r>
          </w:p>
        </w:tc>
        <w:tc>
          <w:tcPr>
            <w:tcW w:w="403"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3609</w:t>
            </w:r>
          </w:p>
        </w:tc>
        <w:tc>
          <w:tcPr>
            <w:tcW w:w="398"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95.5</w:t>
            </w:r>
          </w:p>
        </w:tc>
        <w:tc>
          <w:tcPr>
            <w:tcW w:w="367"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1214</w:t>
            </w:r>
          </w:p>
        </w:tc>
        <w:tc>
          <w:tcPr>
            <w:tcW w:w="337" w:type="pct"/>
            <w:tcBorders>
              <w:top w:val="single" w:sz="8" w:space="0" w:color="000000"/>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96.2</w:t>
            </w:r>
          </w:p>
        </w:tc>
        <w:tc>
          <w:tcPr>
            <w:tcW w:w="367"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2395</w:t>
            </w:r>
          </w:p>
        </w:tc>
        <w:tc>
          <w:tcPr>
            <w:tcW w:w="337"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95.2</w:t>
            </w:r>
          </w:p>
        </w:tc>
        <w:tc>
          <w:tcPr>
            <w:tcW w:w="762"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NS</w:t>
            </w:r>
          </w:p>
        </w:tc>
      </w:tr>
      <w:tr w:rsidR="003B0DEE" w:rsidRPr="000806DA" w:rsidTr="000D5D90">
        <w:trPr>
          <w:trHeight w:val="20"/>
        </w:trPr>
        <w:tc>
          <w:tcPr>
            <w:tcW w:w="972" w:type="pct"/>
            <w:vMerge/>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left"/>
              <w:rPr>
                <w:rFonts w:ascii="Arial" w:hAnsi="Arial" w:cs="Arial"/>
                <w:b/>
                <w:bCs/>
                <w:sz w:val="20"/>
                <w:lang w:eastAsia="en-US"/>
              </w:rPr>
            </w:pPr>
          </w:p>
        </w:tc>
        <w:tc>
          <w:tcPr>
            <w:tcW w:w="105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Female</w:t>
            </w:r>
          </w:p>
        </w:tc>
        <w:tc>
          <w:tcPr>
            <w:tcW w:w="403"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169</w:t>
            </w:r>
          </w:p>
        </w:tc>
        <w:tc>
          <w:tcPr>
            <w:tcW w:w="398"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4.5</w:t>
            </w:r>
          </w:p>
        </w:tc>
        <w:tc>
          <w:tcPr>
            <w:tcW w:w="367"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48</w:t>
            </w:r>
          </w:p>
        </w:tc>
        <w:tc>
          <w:tcPr>
            <w:tcW w:w="337"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w:t>
            </w:r>
          </w:p>
        </w:tc>
        <w:tc>
          <w:tcPr>
            <w:tcW w:w="36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121</w:t>
            </w:r>
          </w:p>
        </w:tc>
        <w:tc>
          <w:tcPr>
            <w:tcW w:w="33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4.8</w:t>
            </w:r>
          </w:p>
        </w:tc>
        <w:tc>
          <w:tcPr>
            <w:tcW w:w="762"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972"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Employment status</w:t>
            </w:r>
          </w:p>
        </w:tc>
        <w:tc>
          <w:tcPr>
            <w:tcW w:w="1058" w:type="pct"/>
            <w:tcBorders>
              <w:top w:val="single" w:sz="8" w:space="0" w:color="000000"/>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Regular employment</w:t>
            </w:r>
          </w:p>
        </w:tc>
        <w:tc>
          <w:tcPr>
            <w:tcW w:w="403"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340</w:t>
            </w:r>
          </w:p>
        </w:tc>
        <w:tc>
          <w:tcPr>
            <w:tcW w:w="398"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9.0</w:t>
            </w:r>
          </w:p>
        </w:tc>
        <w:tc>
          <w:tcPr>
            <w:tcW w:w="367"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152</w:t>
            </w:r>
          </w:p>
        </w:tc>
        <w:tc>
          <w:tcPr>
            <w:tcW w:w="337"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12.0</w:t>
            </w:r>
          </w:p>
        </w:tc>
        <w:tc>
          <w:tcPr>
            <w:tcW w:w="367"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188</w:t>
            </w:r>
          </w:p>
        </w:tc>
        <w:tc>
          <w:tcPr>
            <w:tcW w:w="337"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7.5</w:t>
            </w:r>
          </w:p>
        </w:tc>
        <w:tc>
          <w:tcPr>
            <w:tcW w:w="762" w:type="pct"/>
            <w:vMerge w:val="restar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87.654 (p&lt;0.001)</w:t>
            </w:r>
          </w:p>
        </w:tc>
      </w:tr>
      <w:tr w:rsidR="003B0DEE" w:rsidRPr="000806DA" w:rsidTr="000D5D90">
        <w:trPr>
          <w:trHeight w:val="20"/>
        </w:trPr>
        <w:tc>
          <w:tcPr>
            <w:tcW w:w="972" w:type="pct"/>
            <w:vMerge/>
            <w:tcBorders>
              <w:top w:val="single" w:sz="8" w:space="0" w:color="000000"/>
              <w:left w:val="nil"/>
              <w:right w:val="nil"/>
            </w:tcBorders>
            <w:shd w:val="clear" w:color="auto" w:fill="FFFFFF"/>
            <w:vAlign w:val="center"/>
          </w:tcPr>
          <w:p w:rsidR="003B0DEE" w:rsidRPr="000806DA" w:rsidRDefault="003B0DEE" w:rsidP="000D5D90">
            <w:pPr>
              <w:spacing w:line="240" w:lineRule="auto"/>
              <w:jc w:val="left"/>
              <w:rPr>
                <w:rFonts w:ascii="Arial" w:hAnsi="Arial" w:cs="Arial"/>
                <w:b/>
                <w:bCs/>
                <w:sz w:val="20"/>
                <w:lang w:eastAsia="en-US"/>
              </w:rPr>
            </w:pPr>
          </w:p>
        </w:tc>
        <w:tc>
          <w:tcPr>
            <w:tcW w:w="1058"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Student</w:t>
            </w:r>
          </w:p>
        </w:tc>
        <w:tc>
          <w:tcPr>
            <w:tcW w:w="403" w:type="pct"/>
            <w:tcBorders>
              <w:left w:val="nil"/>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51</w:t>
            </w:r>
          </w:p>
        </w:tc>
        <w:tc>
          <w:tcPr>
            <w:tcW w:w="398" w:type="pct"/>
            <w:tcBorders>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w:t>
            </w:r>
          </w:p>
        </w:tc>
        <w:tc>
          <w:tcPr>
            <w:tcW w:w="367" w:type="pct"/>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20</w:t>
            </w:r>
          </w:p>
        </w:tc>
        <w:tc>
          <w:tcPr>
            <w:tcW w:w="337" w:type="pct"/>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w:t>
            </w:r>
          </w:p>
        </w:tc>
        <w:tc>
          <w:tcPr>
            <w:tcW w:w="367" w:type="pct"/>
            <w:tcBorders>
              <w:left w:val="nil"/>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31</w:t>
            </w:r>
          </w:p>
        </w:tc>
        <w:tc>
          <w:tcPr>
            <w:tcW w:w="337" w:type="pct"/>
            <w:tcBorders>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w:t>
            </w:r>
          </w:p>
        </w:tc>
        <w:tc>
          <w:tcPr>
            <w:tcW w:w="762"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058" w:type="pct"/>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Retired/disability/at home</w:t>
            </w:r>
          </w:p>
        </w:tc>
        <w:tc>
          <w:tcPr>
            <w:tcW w:w="403" w:type="pct"/>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479</w:t>
            </w:r>
          </w:p>
        </w:tc>
        <w:tc>
          <w:tcPr>
            <w:tcW w:w="398" w:type="pct"/>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12.7</w:t>
            </w:r>
          </w:p>
        </w:tc>
        <w:tc>
          <w:tcPr>
            <w:tcW w:w="367" w:type="pct"/>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230</w:t>
            </w:r>
          </w:p>
        </w:tc>
        <w:tc>
          <w:tcPr>
            <w:tcW w:w="337" w:type="pct"/>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18.2</w:t>
            </w:r>
          </w:p>
        </w:tc>
        <w:tc>
          <w:tcPr>
            <w:tcW w:w="367" w:type="pct"/>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249</w:t>
            </w:r>
          </w:p>
        </w:tc>
        <w:tc>
          <w:tcPr>
            <w:tcW w:w="337" w:type="pct"/>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9.9</w:t>
            </w:r>
          </w:p>
        </w:tc>
        <w:tc>
          <w:tcPr>
            <w:tcW w:w="762" w:type="pct"/>
            <w:vMerge/>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058"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Unemployed</w:t>
            </w:r>
          </w:p>
        </w:tc>
        <w:tc>
          <w:tcPr>
            <w:tcW w:w="403" w:type="pct"/>
            <w:tcBorders>
              <w:left w:val="nil"/>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2779</w:t>
            </w:r>
          </w:p>
        </w:tc>
        <w:tc>
          <w:tcPr>
            <w:tcW w:w="398" w:type="pct"/>
            <w:tcBorders>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73.6</w:t>
            </w:r>
          </w:p>
        </w:tc>
        <w:tc>
          <w:tcPr>
            <w:tcW w:w="367" w:type="pct"/>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817</w:t>
            </w:r>
          </w:p>
        </w:tc>
        <w:tc>
          <w:tcPr>
            <w:tcW w:w="337" w:type="pct"/>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64.7</w:t>
            </w:r>
          </w:p>
        </w:tc>
        <w:tc>
          <w:tcPr>
            <w:tcW w:w="367" w:type="pct"/>
            <w:tcBorders>
              <w:left w:val="nil"/>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1962</w:t>
            </w:r>
          </w:p>
        </w:tc>
        <w:tc>
          <w:tcPr>
            <w:tcW w:w="337" w:type="pct"/>
            <w:tcBorders>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78.0</w:t>
            </w:r>
          </w:p>
        </w:tc>
        <w:tc>
          <w:tcPr>
            <w:tcW w:w="762"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058"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Other</w:t>
            </w:r>
          </w:p>
        </w:tc>
        <w:tc>
          <w:tcPr>
            <w:tcW w:w="403" w:type="pct"/>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81</w:t>
            </w:r>
          </w:p>
        </w:tc>
        <w:tc>
          <w:tcPr>
            <w:tcW w:w="398" w:type="pct"/>
            <w:tcBorders>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w:t>
            </w:r>
          </w:p>
        </w:tc>
        <w:tc>
          <w:tcPr>
            <w:tcW w:w="367" w:type="pct"/>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30</w:t>
            </w:r>
          </w:p>
        </w:tc>
        <w:tc>
          <w:tcPr>
            <w:tcW w:w="337" w:type="pct"/>
            <w:tcBorders>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2.4</w:t>
            </w:r>
          </w:p>
        </w:tc>
        <w:tc>
          <w:tcPr>
            <w:tcW w:w="367" w:type="pct"/>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51</w:t>
            </w:r>
          </w:p>
        </w:tc>
        <w:tc>
          <w:tcPr>
            <w:tcW w:w="337" w:type="pct"/>
            <w:tcBorders>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w:t>
            </w:r>
          </w:p>
        </w:tc>
        <w:tc>
          <w:tcPr>
            <w:tcW w:w="762" w:type="pct"/>
            <w:vMerge/>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058"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Unknown</w:t>
            </w:r>
          </w:p>
        </w:tc>
        <w:tc>
          <w:tcPr>
            <w:tcW w:w="403"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48</w:t>
            </w:r>
          </w:p>
        </w:tc>
        <w:tc>
          <w:tcPr>
            <w:tcW w:w="398"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w:t>
            </w:r>
          </w:p>
        </w:tc>
        <w:tc>
          <w:tcPr>
            <w:tcW w:w="367"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13</w:t>
            </w:r>
          </w:p>
        </w:tc>
        <w:tc>
          <w:tcPr>
            <w:tcW w:w="337"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w:t>
            </w:r>
          </w:p>
        </w:tc>
        <w:tc>
          <w:tcPr>
            <w:tcW w:w="36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35</w:t>
            </w:r>
          </w:p>
        </w:tc>
        <w:tc>
          <w:tcPr>
            <w:tcW w:w="33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w:t>
            </w:r>
          </w:p>
        </w:tc>
        <w:tc>
          <w:tcPr>
            <w:tcW w:w="762" w:type="pct"/>
            <w:vMerge/>
            <w:tcBorders>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val="restart"/>
            <w:tcBorders>
              <w:top w:val="single" w:sz="8" w:space="0" w:color="000000"/>
            </w:tcBorders>
            <w:shd w:val="clear" w:color="auto" w:fill="FFFFFF"/>
          </w:tcPr>
          <w:p w:rsidR="003B0DEE" w:rsidRPr="00D726BF" w:rsidRDefault="003B0DEE" w:rsidP="000D5D90">
            <w:pPr>
              <w:spacing w:line="240" w:lineRule="auto"/>
              <w:jc w:val="left"/>
              <w:rPr>
                <w:rFonts w:ascii="Arial" w:hAnsi="Arial" w:cs="Arial"/>
                <w:b/>
                <w:bCs/>
                <w:sz w:val="20"/>
                <w:lang w:eastAsia="en-US"/>
              </w:rPr>
            </w:pPr>
            <w:r w:rsidRPr="00D726BF">
              <w:rPr>
                <w:rFonts w:ascii="Arial" w:hAnsi="Arial" w:cs="Arial"/>
                <w:b/>
                <w:bCs/>
                <w:color w:val="000000"/>
                <w:sz w:val="20"/>
                <w:lang w:eastAsia="en-US"/>
              </w:rPr>
              <w:t>Living accommodation</w:t>
            </w:r>
          </w:p>
        </w:tc>
        <w:tc>
          <w:tcPr>
            <w:tcW w:w="1058" w:type="pct"/>
            <w:tcBorders>
              <w:top w:val="single" w:sz="8" w:space="0" w:color="000000"/>
            </w:tcBorders>
            <w:shd w:val="clear" w:color="auto" w:fill="F2F2F2"/>
          </w:tcPr>
          <w:p w:rsidR="003B0DEE" w:rsidRPr="00D726BF" w:rsidRDefault="003B0DEE" w:rsidP="000D5D90">
            <w:pPr>
              <w:spacing w:line="240" w:lineRule="auto"/>
              <w:jc w:val="left"/>
              <w:rPr>
                <w:rFonts w:ascii="Arial" w:hAnsi="Arial" w:cs="Arial"/>
                <w:color w:val="000000"/>
                <w:sz w:val="20"/>
                <w:lang w:eastAsia="en-US"/>
              </w:rPr>
            </w:pPr>
            <w:r w:rsidRPr="00D726BF">
              <w:rPr>
                <w:rFonts w:ascii="Arial" w:hAnsi="Arial" w:cs="Arial"/>
                <w:color w:val="000000"/>
                <w:sz w:val="20"/>
                <w:lang w:eastAsia="en-US"/>
              </w:rPr>
              <w:t>Stable accommodation</w:t>
            </w:r>
          </w:p>
        </w:tc>
        <w:tc>
          <w:tcPr>
            <w:tcW w:w="403" w:type="pct"/>
            <w:tcBorders>
              <w:top w:val="single" w:sz="8" w:space="0" w:color="000000"/>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2880</w:t>
            </w:r>
          </w:p>
        </w:tc>
        <w:tc>
          <w:tcPr>
            <w:tcW w:w="398" w:type="pct"/>
            <w:tcBorders>
              <w:top w:val="single" w:sz="8" w:space="0" w:color="000000"/>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76.2</w:t>
            </w:r>
          </w:p>
        </w:tc>
        <w:tc>
          <w:tcPr>
            <w:tcW w:w="367" w:type="pct"/>
            <w:tcBorders>
              <w:top w:val="single" w:sz="8" w:space="0" w:color="000000"/>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936</w:t>
            </w:r>
          </w:p>
        </w:tc>
        <w:tc>
          <w:tcPr>
            <w:tcW w:w="337" w:type="pct"/>
            <w:tcBorders>
              <w:top w:val="single" w:sz="8" w:space="0" w:color="000000"/>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74.2</w:t>
            </w:r>
          </w:p>
        </w:tc>
        <w:tc>
          <w:tcPr>
            <w:tcW w:w="367" w:type="pct"/>
            <w:tcBorders>
              <w:top w:val="single" w:sz="8" w:space="0" w:color="000000"/>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1944</w:t>
            </w:r>
          </w:p>
        </w:tc>
        <w:tc>
          <w:tcPr>
            <w:tcW w:w="337" w:type="pct"/>
            <w:tcBorders>
              <w:top w:val="single" w:sz="8" w:space="0" w:color="000000"/>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77.3</w:t>
            </w:r>
          </w:p>
        </w:tc>
        <w:tc>
          <w:tcPr>
            <w:tcW w:w="762" w:type="pct"/>
            <w:tcBorders>
              <w:top w:val="single" w:sz="8" w:space="0" w:color="000000"/>
            </w:tcBorders>
            <w:shd w:val="clear" w:color="auto" w:fill="F2F2F2"/>
          </w:tcPr>
          <w:p w:rsidR="003B0DEE" w:rsidRPr="00D726BF" w:rsidRDefault="003B0DEE" w:rsidP="000D5D90">
            <w:pPr>
              <w:spacing w:line="240" w:lineRule="auto"/>
              <w:jc w:val="right"/>
              <w:rPr>
                <w:rFonts w:ascii="Arial" w:hAnsi="Arial" w:cs="Arial"/>
                <w:sz w:val="20"/>
                <w:lang w:eastAsia="en-US"/>
              </w:rPr>
            </w:pPr>
            <w:r w:rsidRPr="00D726BF">
              <w:rPr>
                <w:rFonts w:ascii="Arial" w:hAnsi="Arial" w:cs="Arial"/>
                <w:sz w:val="20"/>
                <w:lang w:eastAsia="en-US"/>
              </w:rPr>
              <w:t>15.129 (p=0.002)</w:t>
            </w:r>
          </w:p>
        </w:tc>
      </w:tr>
      <w:tr w:rsidR="003B0DEE" w:rsidRPr="000806DA" w:rsidTr="000D5D90">
        <w:trPr>
          <w:trHeight w:val="20"/>
        </w:trPr>
        <w:tc>
          <w:tcPr>
            <w:tcW w:w="972" w:type="pct"/>
            <w:vMerge/>
            <w:tcBorders>
              <w:top w:val="single" w:sz="8" w:space="0" w:color="000000"/>
              <w:left w:val="nil"/>
              <w:right w:val="nil"/>
            </w:tcBorders>
            <w:shd w:val="clear" w:color="auto" w:fill="FFFFFF"/>
            <w:vAlign w:val="bottom"/>
          </w:tcPr>
          <w:p w:rsidR="003B0DEE" w:rsidRPr="00D726BF" w:rsidRDefault="003B0DEE" w:rsidP="000D5D90">
            <w:pPr>
              <w:spacing w:line="240" w:lineRule="auto"/>
              <w:jc w:val="left"/>
              <w:rPr>
                <w:rFonts w:ascii="Arial" w:hAnsi="Arial" w:cs="Arial"/>
                <w:b/>
                <w:bCs/>
                <w:sz w:val="20"/>
                <w:lang w:eastAsia="en-US"/>
              </w:rPr>
            </w:pPr>
          </w:p>
        </w:tc>
        <w:tc>
          <w:tcPr>
            <w:tcW w:w="1058" w:type="pct"/>
            <w:tcBorders>
              <w:left w:val="nil"/>
              <w:right w:val="nil"/>
            </w:tcBorders>
            <w:shd w:val="clear" w:color="auto" w:fill="F2F2F2"/>
          </w:tcPr>
          <w:p w:rsidR="003B0DEE" w:rsidRPr="00D726BF" w:rsidRDefault="003B0DEE" w:rsidP="000D5D90">
            <w:pPr>
              <w:spacing w:line="240" w:lineRule="auto"/>
              <w:jc w:val="left"/>
              <w:rPr>
                <w:rFonts w:ascii="Arial" w:hAnsi="Arial" w:cs="Arial"/>
                <w:color w:val="000000"/>
                <w:sz w:val="20"/>
                <w:lang w:eastAsia="en-US"/>
              </w:rPr>
            </w:pPr>
            <w:r w:rsidRPr="00D726BF">
              <w:rPr>
                <w:rFonts w:ascii="Arial" w:hAnsi="Arial" w:cs="Arial"/>
                <w:color w:val="000000"/>
                <w:sz w:val="20"/>
                <w:lang w:eastAsia="en-US"/>
              </w:rPr>
              <w:t>Unstable</w:t>
            </w:r>
          </w:p>
        </w:tc>
        <w:tc>
          <w:tcPr>
            <w:tcW w:w="403" w:type="pct"/>
            <w:tcBorders>
              <w:left w:val="nil"/>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382</w:t>
            </w:r>
          </w:p>
        </w:tc>
        <w:tc>
          <w:tcPr>
            <w:tcW w:w="398" w:type="pct"/>
            <w:tcBorders>
              <w:left w:val="nil"/>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10.1</w:t>
            </w:r>
          </w:p>
        </w:tc>
        <w:tc>
          <w:tcPr>
            <w:tcW w:w="367" w:type="pct"/>
            <w:tcBorders>
              <w:left w:val="nil"/>
              <w:right w:val="nil"/>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124</w:t>
            </w:r>
          </w:p>
        </w:tc>
        <w:tc>
          <w:tcPr>
            <w:tcW w:w="337" w:type="pct"/>
            <w:tcBorders>
              <w:left w:val="nil"/>
              <w:right w:val="nil"/>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9.8</w:t>
            </w:r>
          </w:p>
        </w:tc>
        <w:tc>
          <w:tcPr>
            <w:tcW w:w="367" w:type="pct"/>
            <w:tcBorders>
              <w:left w:val="nil"/>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258</w:t>
            </w:r>
          </w:p>
        </w:tc>
        <w:tc>
          <w:tcPr>
            <w:tcW w:w="337" w:type="pct"/>
            <w:tcBorders>
              <w:left w:val="nil"/>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10.3</w:t>
            </w:r>
          </w:p>
        </w:tc>
        <w:tc>
          <w:tcPr>
            <w:tcW w:w="762" w:type="pct"/>
            <w:tcBorders>
              <w:left w:val="nil"/>
              <w:right w:val="nil"/>
            </w:tcBorders>
            <w:shd w:val="clear" w:color="auto" w:fill="F2F2F2"/>
          </w:tcPr>
          <w:p w:rsidR="003B0DEE" w:rsidRPr="00D726BF"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tcBorders>
            <w:shd w:val="clear" w:color="auto" w:fill="FFFFFF"/>
            <w:vAlign w:val="bottom"/>
          </w:tcPr>
          <w:p w:rsidR="003B0DEE" w:rsidRPr="00D726BF" w:rsidRDefault="003B0DEE" w:rsidP="000D5D90">
            <w:pPr>
              <w:spacing w:line="240" w:lineRule="auto"/>
              <w:jc w:val="left"/>
              <w:rPr>
                <w:rFonts w:ascii="Arial" w:hAnsi="Arial" w:cs="Arial"/>
                <w:b/>
                <w:bCs/>
                <w:sz w:val="20"/>
                <w:lang w:eastAsia="en-US"/>
              </w:rPr>
            </w:pPr>
          </w:p>
        </w:tc>
        <w:tc>
          <w:tcPr>
            <w:tcW w:w="1058" w:type="pct"/>
            <w:tcBorders>
              <w:bottom w:val="nil"/>
            </w:tcBorders>
            <w:shd w:val="clear" w:color="auto" w:fill="F2F2F2"/>
          </w:tcPr>
          <w:p w:rsidR="003B0DEE" w:rsidRPr="00D726BF" w:rsidRDefault="003B0DEE" w:rsidP="000D5D90">
            <w:pPr>
              <w:spacing w:line="240" w:lineRule="auto"/>
              <w:jc w:val="left"/>
              <w:rPr>
                <w:rFonts w:ascii="Arial" w:hAnsi="Arial" w:cs="Arial"/>
                <w:color w:val="000000"/>
                <w:sz w:val="20"/>
                <w:lang w:eastAsia="en-US"/>
              </w:rPr>
            </w:pPr>
            <w:r w:rsidRPr="00D726BF">
              <w:rPr>
                <w:rFonts w:ascii="Arial" w:hAnsi="Arial" w:cs="Arial"/>
                <w:color w:val="000000"/>
                <w:sz w:val="20"/>
                <w:lang w:eastAsia="en-US"/>
              </w:rPr>
              <w:t>Institutions</w:t>
            </w:r>
          </w:p>
        </w:tc>
        <w:tc>
          <w:tcPr>
            <w:tcW w:w="403" w:type="pct"/>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468</w:t>
            </w:r>
          </w:p>
        </w:tc>
        <w:tc>
          <w:tcPr>
            <w:tcW w:w="398" w:type="pct"/>
            <w:tcBorders>
              <w:bottom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12.4</w:t>
            </w:r>
          </w:p>
        </w:tc>
        <w:tc>
          <w:tcPr>
            <w:tcW w:w="367" w:type="pct"/>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191</w:t>
            </w:r>
          </w:p>
        </w:tc>
        <w:tc>
          <w:tcPr>
            <w:tcW w:w="337" w:type="pct"/>
            <w:tcBorders>
              <w:bottom w:val="nil"/>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15.1</w:t>
            </w:r>
          </w:p>
        </w:tc>
        <w:tc>
          <w:tcPr>
            <w:tcW w:w="367" w:type="pct"/>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277</w:t>
            </w:r>
          </w:p>
        </w:tc>
        <w:tc>
          <w:tcPr>
            <w:tcW w:w="337" w:type="pct"/>
            <w:tcBorders>
              <w:bottom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11.0</w:t>
            </w:r>
          </w:p>
        </w:tc>
        <w:tc>
          <w:tcPr>
            <w:tcW w:w="762" w:type="pct"/>
            <w:shd w:val="clear" w:color="auto" w:fill="F2F2F2"/>
          </w:tcPr>
          <w:p w:rsidR="003B0DEE" w:rsidRPr="00D726BF"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top w:val="single" w:sz="8" w:space="0" w:color="000000"/>
              <w:left w:val="nil"/>
              <w:right w:val="nil"/>
            </w:tcBorders>
            <w:shd w:val="clear" w:color="auto" w:fill="FFFFFF"/>
            <w:vAlign w:val="bottom"/>
          </w:tcPr>
          <w:p w:rsidR="003B0DEE" w:rsidRPr="00D726BF" w:rsidRDefault="003B0DEE" w:rsidP="000D5D90">
            <w:pPr>
              <w:spacing w:line="240" w:lineRule="auto"/>
              <w:jc w:val="left"/>
              <w:rPr>
                <w:rFonts w:ascii="Arial" w:hAnsi="Arial" w:cs="Arial"/>
                <w:b/>
                <w:bCs/>
                <w:sz w:val="20"/>
                <w:lang w:eastAsia="en-US"/>
              </w:rPr>
            </w:pPr>
          </w:p>
        </w:tc>
        <w:tc>
          <w:tcPr>
            <w:tcW w:w="1058"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left"/>
              <w:rPr>
                <w:rFonts w:ascii="Arial" w:hAnsi="Arial" w:cs="Arial"/>
                <w:color w:val="000000"/>
                <w:sz w:val="20"/>
                <w:lang w:eastAsia="en-US"/>
              </w:rPr>
            </w:pPr>
            <w:r w:rsidRPr="00D726BF">
              <w:rPr>
                <w:rFonts w:ascii="Arial" w:hAnsi="Arial" w:cs="Arial"/>
                <w:color w:val="000000"/>
                <w:sz w:val="20"/>
                <w:lang w:eastAsia="en-US"/>
              </w:rPr>
              <w:t>Unknown</w:t>
            </w:r>
          </w:p>
        </w:tc>
        <w:tc>
          <w:tcPr>
            <w:tcW w:w="403" w:type="pct"/>
            <w:tcBorders>
              <w:top w:val="nil"/>
              <w:left w:val="nil"/>
              <w:bottom w:val="single" w:sz="8" w:space="0" w:color="000000"/>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48</w:t>
            </w:r>
          </w:p>
        </w:tc>
        <w:tc>
          <w:tcPr>
            <w:tcW w:w="398" w:type="pct"/>
            <w:tcBorders>
              <w:top w:val="nil"/>
              <w:left w:val="nil"/>
              <w:bottom w:val="single" w:sz="8" w:space="0" w:color="000000"/>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1.3</w:t>
            </w:r>
          </w:p>
        </w:tc>
        <w:tc>
          <w:tcPr>
            <w:tcW w:w="367"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11</w:t>
            </w:r>
          </w:p>
        </w:tc>
        <w:tc>
          <w:tcPr>
            <w:tcW w:w="337"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0.9</w:t>
            </w:r>
          </w:p>
        </w:tc>
        <w:tc>
          <w:tcPr>
            <w:tcW w:w="367" w:type="pct"/>
            <w:tcBorders>
              <w:top w:val="nil"/>
              <w:left w:val="nil"/>
              <w:bottom w:val="single" w:sz="8" w:space="0" w:color="000000"/>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37</w:t>
            </w:r>
          </w:p>
        </w:tc>
        <w:tc>
          <w:tcPr>
            <w:tcW w:w="337" w:type="pct"/>
            <w:tcBorders>
              <w:top w:val="nil"/>
              <w:left w:val="nil"/>
              <w:bottom w:val="single" w:sz="8" w:space="0" w:color="000000"/>
              <w:right w:val="nil"/>
            </w:tcBorders>
            <w:shd w:val="clear" w:color="auto" w:fill="FFFFFF"/>
          </w:tcPr>
          <w:p w:rsidR="003B0DEE" w:rsidRPr="00D726BF" w:rsidRDefault="003B0DEE" w:rsidP="000D5D90">
            <w:pPr>
              <w:spacing w:line="240" w:lineRule="auto"/>
              <w:jc w:val="right"/>
              <w:rPr>
                <w:rFonts w:ascii="Arial" w:hAnsi="Arial" w:cs="Arial"/>
                <w:color w:val="000000"/>
                <w:sz w:val="20"/>
                <w:lang w:eastAsia="en-US"/>
              </w:rPr>
            </w:pPr>
            <w:r w:rsidRPr="00D726BF">
              <w:rPr>
                <w:rFonts w:ascii="Arial" w:hAnsi="Arial" w:cs="Arial"/>
                <w:color w:val="000000"/>
                <w:sz w:val="20"/>
                <w:lang w:eastAsia="en-US"/>
              </w:rPr>
              <w:t>1.5</w:t>
            </w:r>
          </w:p>
        </w:tc>
        <w:tc>
          <w:tcPr>
            <w:tcW w:w="762"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972"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sz w:val="20"/>
                <w:lang w:eastAsia="en-US"/>
              </w:rPr>
            </w:pPr>
            <w:r w:rsidRPr="000806DA">
              <w:rPr>
                <w:rFonts w:ascii="Arial" w:hAnsi="Arial" w:cs="Arial"/>
                <w:b/>
                <w:bCs/>
                <w:sz w:val="20"/>
                <w:lang w:eastAsia="en-US"/>
              </w:rPr>
              <w:t>Living arrangements</w:t>
            </w:r>
          </w:p>
        </w:tc>
        <w:tc>
          <w:tcPr>
            <w:tcW w:w="1058"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Alone</w:t>
            </w:r>
          </w:p>
        </w:tc>
        <w:tc>
          <w:tcPr>
            <w:tcW w:w="403"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441</w:t>
            </w:r>
          </w:p>
        </w:tc>
        <w:tc>
          <w:tcPr>
            <w:tcW w:w="398"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11.7</w:t>
            </w:r>
          </w:p>
        </w:tc>
        <w:tc>
          <w:tcPr>
            <w:tcW w:w="367"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159</w:t>
            </w:r>
          </w:p>
        </w:tc>
        <w:tc>
          <w:tcPr>
            <w:tcW w:w="337" w:type="pct"/>
            <w:tcBorders>
              <w:top w:val="single" w:sz="8" w:space="0" w:color="000000"/>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12.6</w:t>
            </w:r>
          </w:p>
        </w:tc>
        <w:tc>
          <w:tcPr>
            <w:tcW w:w="367"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282</w:t>
            </w:r>
          </w:p>
        </w:tc>
        <w:tc>
          <w:tcPr>
            <w:tcW w:w="337"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11.2</w:t>
            </w:r>
          </w:p>
        </w:tc>
        <w:tc>
          <w:tcPr>
            <w:tcW w:w="762" w:type="pct"/>
            <w:vMerge w:val="restar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16.971 (p=0.009)</w:t>
            </w:r>
          </w:p>
        </w:tc>
      </w:tr>
      <w:tr w:rsidR="003B0DEE" w:rsidRPr="000806DA" w:rsidTr="000D5D90">
        <w:trPr>
          <w:trHeight w:val="20"/>
        </w:trPr>
        <w:tc>
          <w:tcPr>
            <w:tcW w:w="972"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Parents or family</w:t>
            </w:r>
          </w:p>
        </w:tc>
        <w:tc>
          <w:tcPr>
            <w:tcW w:w="403"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1439</w:t>
            </w:r>
          </w:p>
        </w:tc>
        <w:tc>
          <w:tcPr>
            <w:tcW w:w="398"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38.1</w:t>
            </w:r>
          </w:p>
        </w:tc>
        <w:tc>
          <w:tcPr>
            <w:tcW w:w="367"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469</w:t>
            </w:r>
          </w:p>
        </w:tc>
        <w:tc>
          <w:tcPr>
            <w:tcW w:w="33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37.2</w:t>
            </w:r>
          </w:p>
        </w:tc>
        <w:tc>
          <w:tcPr>
            <w:tcW w:w="367"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970</w:t>
            </w:r>
          </w:p>
        </w:tc>
        <w:tc>
          <w:tcPr>
            <w:tcW w:w="33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38.6</w:t>
            </w:r>
          </w:p>
        </w:tc>
        <w:tc>
          <w:tcPr>
            <w:tcW w:w="762"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22"/>
        </w:trPr>
        <w:tc>
          <w:tcPr>
            <w:tcW w:w="972"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Alone with child/</w:t>
            </w:r>
          </w:p>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partner and child</w:t>
            </w:r>
          </w:p>
        </w:tc>
        <w:tc>
          <w:tcPr>
            <w:tcW w:w="403"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661</w:t>
            </w:r>
          </w:p>
        </w:tc>
        <w:tc>
          <w:tcPr>
            <w:tcW w:w="398"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17.5</w:t>
            </w:r>
          </w:p>
        </w:tc>
        <w:tc>
          <w:tcPr>
            <w:tcW w:w="367"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211</w:t>
            </w:r>
          </w:p>
        </w:tc>
        <w:tc>
          <w:tcPr>
            <w:tcW w:w="33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16.7</w:t>
            </w:r>
          </w:p>
        </w:tc>
        <w:tc>
          <w:tcPr>
            <w:tcW w:w="367"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450</w:t>
            </w:r>
          </w:p>
        </w:tc>
        <w:tc>
          <w:tcPr>
            <w:tcW w:w="33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17.9</w:t>
            </w:r>
          </w:p>
        </w:tc>
        <w:tc>
          <w:tcPr>
            <w:tcW w:w="762" w:type="pct"/>
            <w:vMerge/>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68"/>
        </w:trPr>
        <w:tc>
          <w:tcPr>
            <w:tcW w:w="972"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With partner</w:t>
            </w:r>
          </w:p>
        </w:tc>
        <w:tc>
          <w:tcPr>
            <w:tcW w:w="403"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318</w:t>
            </w:r>
          </w:p>
        </w:tc>
        <w:tc>
          <w:tcPr>
            <w:tcW w:w="398"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8.4</w:t>
            </w:r>
          </w:p>
        </w:tc>
        <w:tc>
          <w:tcPr>
            <w:tcW w:w="367"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104</w:t>
            </w:r>
          </w:p>
        </w:tc>
        <w:tc>
          <w:tcPr>
            <w:tcW w:w="33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8.2</w:t>
            </w:r>
          </w:p>
        </w:tc>
        <w:tc>
          <w:tcPr>
            <w:tcW w:w="367"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214</w:t>
            </w:r>
          </w:p>
        </w:tc>
        <w:tc>
          <w:tcPr>
            <w:tcW w:w="33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8.5</w:t>
            </w:r>
          </w:p>
        </w:tc>
        <w:tc>
          <w:tcPr>
            <w:tcW w:w="762"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Friends</w:t>
            </w:r>
          </w:p>
        </w:tc>
        <w:tc>
          <w:tcPr>
            <w:tcW w:w="403"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94</w:t>
            </w:r>
          </w:p>
        </w:tc>
        <w:tc>
          <w:tcPr>
            <w:tcW w:w="398"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2.5</w:t>
            </w:r>
          </w:p>
        </w:tc>
        <w:tc>
          <w:tcPr>
            <w:tcW w:w="367"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w:t>
            </w:r>
          </w:p>
        </w:tc>
        <w:tc>
          <w:tcPr>
            <w:tcW w:w="33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w:t>
            </w:r>
          </w:p>
        </w:tc>
        <w:tc>
          <w:tcPr>
            <w:tcW w:w="367"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w:t>
            </w:r>
          </w:p>
        </w:tc>
        <w:tc>
          <w:tcPr>
            <w:tcW w:w="33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2.9</w:t>
            </w:r>
          </w:p>
        </w:tc>
        <w:tc>
          <w:tcPr>
            <w:tcW w:w="762" w:type="pct"/>
            <w:vMerge/>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Other</w:t>
            </w:r>
          </w:p>
        </w:tc>
        <w:tc>
          <w:tcPr>
            <w:tcW w:w="403"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788</w:t>
            </w:r>
          </w:p>
        </w:tc>
        <w:tc>
          <w:tcPr>
            <w:tcW w:w="398"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20.9</w:t>
            </w:r>
          </w:p>
        </w:tc>
        <w:tc>
          <w:tcPr>
            <w:tcW w:w="367"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292</w:t>
            </w:r>
          </w:p>
        </w:tc>
        <w:tc>
          <w:tcPr>
            <w:tcW w:w="33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23.1</w:t>
            </w:r>
          </w:p>
        </w:tc>
        <w:tc>
          <w:tcPr>
            <w:tcW w:w="367"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496</w:t>
            </w:r>
          </w:p>
        </w:tc>
        <w:tc>
          <w:tcPr>
            <w:tcW w:w="33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19.7</w:t>
            </w:r>
          </w:p>
        </w:tc>
        <w:tc>
          <w:tcPr>
            <w:tcW w:w="762"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68"/>
        </w:trPr>
        <w:tc>
          <w:tcPr>
            <w:tcW w:w="972"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bottom w:val="single" w:sz="4" w:space="0" w:color="auto"/>
            </w:tcBorders>
            <w:shd w:val="clear" w:color="auto" w:fill="F2F2F2"/>
            <w:vAlign w:val="bottom"/>
          </w:tcPr>
          <w:p w:rsidR="003B0DEE" w:rsidRPr="000806DA" w:rsidRDefault="003B0DEE" w:rsidP="000D5D90">
            <w:pPr>
              <w:spacing w:line="240" w:lineRule="auto"/>
              <w:jc w:val="left"/>
              <w:rPr>
                <w:rFonts w:ascii="Arial" w:hAnsi="Arial" w:cs="Arial"/>
                <w:sz w:val="20"/>
                <w:lang w:eastAsia="en-US"/>
              </w:rPr>
            </w:pPr>
            <w:r w:rsidRPr="002E5ABE">
              <w:rPr>
                <w:rFonts w:ascii="Arial" w:hAnsi="Arial" w:cs="Arial"/>
                <w:bCs/>
                <w:sz w:val="20"/>
                <w:lang w:eastAsia="en-US"/>
              </w:rPr>
              <w:t>Unknown</w:t>
            </w:r>
          </w:p>
        </w:tc>
        <w:tc>
          <w:tcPr>
            <w:tcW w:w="403"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37</w:t>
            </w:r>
          </w:p>
        </w:tc>
        <w:tc>
          <w:tcPr>
            <w:tcW w:w="398"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w:t>
            </w:r>
          </w:p>
        </w:tc>
        <w:tc>
          <w:tcPr>
            <w:tcW w:w="367"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w:t>
            </w:r>
          </w:p>
        </w:tc>
        <w:tc>
          <w:tcPr>
            <w:tcW w:w="337"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0.6</w:t>
            </w:r>
          </w:p>
        </w:tc>
        <w:tc>
          <w:tcPr>
            <w:tcW w:w="367"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30</w:t>
            </w:r>
          </w:p>
        </w:tc>
        <w:tc>
          <w:tcPr>
            <w:tcW w:w="337"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w:t>
            </w:r>
          </w:p>
        </w:tc>
        <w:tc>
          <w:tcPr>
            <w:tcW w:w="762"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val="restart"/>
            <w:tcBorders>
              <w:top w:val="single" w:sz="8" w:space="0" w:color="000000"/>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Left before age 16 years</w:t>
            </w:r>
          </w:p>
        </w:tc>
        <w:tc>
          <w:tcPr>
            <w:tcW w:w="1058" w:type="pct"/>
            <w:tcBorders>
              <w:top w:val="single" w:sz="4" w:space="0" w:color="auto"/>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Yes</w:t>
            </w:r>
          </w:p>
        </w:tc>
        <w:tc>
          <w:tcPr>
            <w:tcW w:w="403" w:type="pct"/>
            <w:tcBorders>
              <w:top w:val="single" w:sz="4" w:space="0" w:color="auto"/>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1439</w:t>
            </w:r>
          </w:p>
        </w:tc>
        <w:tc>
          <w:tcPr>
            <w:tcW w:w="398" w:type="pct"/>
            <w:tcBorders>
              <w:top w:val="single" w:sz="4" w:space="0" w:color="auto"/>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44.1</w:t>
            </w:r>
          </w:p>
        </w:tc>
        <w:tc>
          <w:tcPr>
            <w:tcW w:w="367" w:type="pc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435</w:t>
            </w:r>
          </w:p>
        </w:tc>
        <w:tc>
          <w:tcPr>
            <w:tcW w:w="337" w:type="pct"/>
            <w:tcBorders>
              <w:top w:val="single" w:sz="4" w:space="0" w:color="auto"/>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39.5</w:t>
            </w:r>
          </w:p>
        </w:tc>
        <w:tc>
          <w:tcPr>
            <w:tcW w:w="367" w:type="pct"/>
            <w:tcBorders>
              <w:top w:val="single" w:sz="4" w:space="0" w:color="auto"/>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1004</w:t>
            </w:r>
          </w:p>
        </w:tc>
        <w:tc>
          <w:tcPr>
            <w:tcW w:w="337" w:type="pct"/>
            <w:tcBorders>
              <w:top w:val="single" w:sz="4" w:space="0" w:color="auto"/>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46.4</w:t>
            </w:r>
          </w:p>
        </w:tc>
        <w:tc>
          <w:tcPr>
            <w:tcW w:w="762"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14.122 (p&lt;0.001)</w:t>
            </w:r>
          </w:p>
        </w:tc>
      </w:tr>
      <w:tr w:rsidR="003B0DEE" w:rsidRPr="000806DA" w:rsidTr="000D5D90">
        <w:trPr>
          <w:trHeight w:val="20"/>
        </w:trPr>
        <w:tc>
          <w:tcPr>
            <w:tcW w:w="972"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bottom w:val="single" w:sz="4" w:space="0" w:color="auto"/>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No</w:t>
            </w:r>
          </w:p>
        </w:tc>
        <w:tc>
          <w:tcPr>
            <w:tcW w:w="403"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1825</w:t>
            </w:r>
          </w:p>
        </w:tc>
        <w:tc>
          <w:tcPr>
            <w:tcW w:w="398"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55.9</w:t>
            </w:r>
          </w:p>
        </w:tc>
        <w:tc>
          <w:tcPr>
            <w:tcW w:w="367"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666</w:t>
            </w:r>
          </w:p>
        </w:tc>
        <w:tc>
          <w:tcPr>
            <w:tcW w:w="337"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60.5</w:t>
            </w:r>
          </w:p>
        </w:tc>
        <w:tc>
          <w:tcPr>
            <w:tcW w:w="367"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1159</w:t>
            </w:r>
          </w:p>
        </w:tc>
        <w:tc>
          <w:tcPr>
            <w:tcW w:w="337" w:type="pct"/>
            <w:tcBorders>
              <w:top w:val="nil"/>
              <w:bottom w:val="single" w:sz="4" w:space="0" w:color="auto"/>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53.6</w:t>
            </w:r>
          </w:p>
        </w:tc>
        <w:tc>
          <w:tcPr>
            <w:tcW w:w="762" w:type="pct"/>
            <w:vMerge/>
            <w:tcBorders>
              <w:bottom w:val="single" w:sz="4" w:space="0" w:color="auto"/>
            </w:tcBorders>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Level of education</w:t>
            </w:r>
          </w:p>
        </w:tc>
        <w:tc>
          <w:tcPr>
            <w:tcW w:w="1058" w:type="pct"/>
            <w:tcBorders>
              <w:top w:val="single" w:sz="4" w:space="0" w:color="auto"/>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Never went to school/some primary level</w:t>
            </w:r>
          </w:p>
        </w:tc>
        <w:tc>
          <w:tcPr>
            <w:tcW w:w="403" w:type="pct"/>
            <w:tcBorders>
              <w:top w:val="single" w:sz="4" w:space="0" w:color="auto"/>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175</w:t>
            </w:r>
          </w:p>
        </w:tc>
        <w:tc>
          <w:tcPr>
            <w:tcW w:w="398" w:type="pct"/>
            <w:tcBorders>
              <w:top w:val="single" w:sz="4" w:space="0" w:color="auto"/>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w:t>
            </w:r>
          </w:p>
        </w:tc>
        <w:tc>
          <w:tcPr>
            <w:tcW w:w="367" w:type="pc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64</w:t>
            </w:r>
          </w:p>
        </w:tc>
        <w:tc>
          <w:tcPr>
            <w:tcW w:w="337" w:type="pct"/>
            <w:tcBorders>
              <w:top w:val="single" w:sz="4" w:space="0" w:color="auto"/>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5.1</w:t>
            </w:r>
          </w:p>
        </w:tc>
        <w:tc>
          <w:tcPr>
            <w:tcW w:w="367" w:type="pct"/>
            <w:tcBorders>
              <w:top w:val="single" w:sz="4" w:space="0" w:color="auto"/>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111</w:t>
            </w:r>
          </w:p>
        </w:tc>
        <w:tc>
          <w:tcPr>
            <w:tcW w:w="337" w:type="pct"/>
            <w:tcBorders>
              <w:top w:val="single" w:sz="4" w:space="0" w:color="auto"/>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4.4</w:t>
            </w:r>
          </w:p>
        </w:tc>
        <w:tc>
          <w:tcPr>
            <w:tcW w:w="762"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29.987 (p&lt;0.001)</w:t>
            </w:r>
          </w:p>
        </w:tc>
      </w:tr>
      <w:tr w:rsidR="003B0DEE" w:rsidRPr="000806DA" w:rsidTr="000D5D90">
        <w:trPr>
          <w:trHeight w:val="20"/>
        </w:trPr>
        <w:tc>
          <w:tcPr>
            <w:tcW w:w="972"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Completed primary level</w:t>
            </w:r>
          </w:p>
        </w:tc>
        <w:tc>
          <w:tcPr>
            <w:tcW w:w="403"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785</w:t>
            </w:r>
          </w:p>
        </w:tc>
        <w:tc>
          <w:tcPr>
            <w:tcW w:w="398"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20.8</w:t>
            </w:r>
          </w:p>
        </w:tc>
        <w:tc>
          <w:tcPr>
            <w:tcW w:w="367"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225</w:t>
            </w:r>
          </w:p>
        </w:tc>
        <w:tc>
          <w:tcPr>
            <w:tcW w:w="33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17.8</w:t>
            </w:r>
          </w:p>
        </w:tc>
        <w:tc>
          <w:tcPr>
            <w:tcW w:w="367"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560</w:t>
            </w:r>
          </w:p>
        </w:tc>
        <w:tc>
          <w:tcPr>
            <w:tcW w:w="33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22.3</w:t>
            </w:r>
          </w:p>
        </w:tc>
        <w:tc>
          <w:tcPr>
            <w:tcW w:w="762" w:type="pct"/>
            <w:vMerge/>
            <w:shd w:val="clear" w:color="auto" w:fill="F2F2F2"/>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Completed second level </w:t>
            </w:r>
          </w:p>
        </w:tc>
        <w:tc>
          <w:tcPr>
            <w:tcW w:w="403"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2132</w:t>
            </w:r>
          </w:p>
        </w:tc>
        <w:tc>
          <w:tcPr>
            <w:tcW w:w="398"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56.4</w:t>
            </w:r>
          </w:p>
        </w:tc>
        <w:tc>
          <w:tcPr>
            <w:tcW w:w="367"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747</w:t>
            </w:r>
          </w:p>
        </w:tc>
        <w:tc>
          <w:tcPr>
            <w:tcW w:w="33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59.2</w:t>
            </w:r>
          </w:p>
        </w:tc>
        <w:tc>
          <w:tcPr>
            <w:tcW w:w="367"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1385</w:t>
            </w:r>
          </w:p>
        </w:tc>
        <w:tc>
          <w:tcPr>
            <w:tcW w:w="33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55.0</w:t>
            </w:r>
          </w:p>
        </w:tc>
        <w:tc>
          <w:tcPr>
            <w:tcW w:w="762" w:type="pct"/>
            <w:vMerge/>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20"/>
                <w:lang w:eastAsia="en-US"/>
              </w:rPr>
            </w:pPr>
          </w:p>
        </w:tc>
      </w:tr>
      <w:tr w:rsidR="003B0DEE" w:rsidRPr="000806DA" w:rsidTr="000D5D90">
        <w:trPr>
          <w:trHeight w:val="20"/>
        </w:trPr>
        <w:tc>
          <w:tcPr>
            <w:tcW w:w="972" w:type="pct"/>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Completed third level </w:t>
            </w:r>
          </w:p>
        </w:tc>
        <w:tc>
          <w:tcPr>
            <w:tcW w:w="403"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172</w:t>
            </w:r>
          </w:p>
        </w:tc>
        <w:tc>
          <w:tcPr>
            <w:tcW w:w="398"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w:t>
            </w:r>
          </w:p>
        </w:tc>
        <w:tc>
          <w:tcPr>
            <w:tcW w:w="367"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w:t>
            </w:r>
          </w:p>
        </w:tc>
        <w:tc>
          <w:tcPr>
            <w:tcW w:w="33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6.2</w:t>
            </w:r>
          </w:p>
        </w:tc>
        <w:tc>
          <w:tcPr>
            <w:tcW w:w="367"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94</w:t>
            </w:r>
          </w:p>
        </w:tc>
        <w:tc>
          <w:tcPr>
            <w:tcW w:w="33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3.7</w:t>
            </w:r>
          </w:p>
        </w:tc>
        <w:tc>
          <w:tcPr>
            <w:tcW w:w="762"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972"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top w:val="nil"/>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Still in education</w:t>
            </w:r>
          </w:p>
        </w:tc>
        <w:tc>
          <w:tcPr>
            <w:tcW w:w="403"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51</w:t>
            </w:r>
          </w:p>
        </w:tc>
        <w:tc>
          <w:tcPr>
            <w:tcW w:w="398"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w:t>
            </w:r>
          </w:p>
        </w:tc>
        <w:tc>
          <w:tcPr>
            <w:tcW w:w="367"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w:t>
            </w:r>
          </w:p>
        </w:tc>
        <w:tc>
          <w:tcPr>
            <w:tcW w:w="33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w:t>
            </w:r>
          </w:p>
        </w:tc>
        <w:tc>
          <w:tcPr>
            <w:tcW w:w="367"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w:t>
            </w:r>
          </w:p>
        </w:tc>
        <w:tc>
          <w:tcPr>
            <w:tcW w:w="33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w:t>
            </w:r>
          </w:p>
        </w:tc>
        <w:tc>
          <w:tcPr>
            <w:tcW w:w="762"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972" w:type="pct"/>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Unknown</w:t>
            </w:r>
          </w:p>
        </w:tc>
        <w:tc>
          <w:tcPr>
            <w:tcW w:w="403"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463</w:t>
            </w:r>
          </w:p>
        </w:tc>
        <w:tc>
          <w:tcPr>
            <w:tcW w:w="398"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12.3</w:t>
            </w:r>
          </w:p>
        </w:tc>
        <w:tc>
          <w:tcPr>
            <w:tcW w:w="367"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128</w:t>
            </w:r>
          </w:p>
        </w:tc>
        <w:tc>
          <w:tcPr>
            <w:tcW w:w="33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10.1</w:t>
            </w:r>
          </w:p>
        </w:tc>
        <w:tc>
          <w:tcPr>
            <w:tcW w:w="367"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335</w:t>
            </w:r>
          </w:p>
        </w:tc>
        <w:tc>
          <w:tcPr>
            <w:tcW w:w="33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13.3</w:t>
            </w:r>
          </w:p>
        </w:tc>
        <w:tc>
          <w:tcPr>
            <w:tcW w:w="762"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972" w:type="pct"/>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Resident in</w:t>
            </w:r>
          </w:p>
        </w:tc>
        <w:tc>
          <w:tcPr>
            <w:tcW w:w="1058" w:type="pct"/>
            <w:tcBorders>
              <w:top w:val="single" w:sz="8" w:space="0" w:color="000000"/>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Dublin</w:t>
            </w:r>
          </w:p>
        </w:tc>
        <w:tc>
          <w:tcPr>
            <w:tcW w:w="403"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961</w:t>
            </w:r>
          </w:p>
        </w:tc>
        <w:tc>
          <w:tcPr>
            <w:tcW w:w="398"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25.4</w:t>
            </w:r>
          </w:p>
        </w:tc>
        <w:tc>
          <w:tcPr>
            <w:tcW w:w="367"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292</w:t>
            </w:r>
          </w:p>
        </w:tc>
        <w:tc>
          <w:tcPr>
            <w:tcW w:w="337"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23.1</w:t>
            </w:r>
          </w:p>
        </w:tc>
        <w:tc>
          <w:tcPr>
            <w:tcW w:w="367"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669</w:t>
            </w:r>
          </w:p>
        </w:tc>
        <w:tc>
          <w:tcPr>
            <w:tcW w:w="337"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26.6</w:t>
            </w:r>
          </w:p>
        </w:tc>
        <w:tc>
          <w:tcPr>
            <w:tcW w:w="762" w:type="pct"/>
            <w:vMerge w:val="restar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sz w:val="20"/>
                <w:lang w:eastAsia="en-US"/>
              </w:rPr>
              <w:t>5.280 (p=0.022)</w:t>
            </w:r>
          </w:p>
        </w:tc>
      </w:tr>
      <w:tr w:rsidR="003B0DEE" w:rsidRPr="000806DA" w:rsidTr="000D5D90">
        <w:trPr>
          <w:trHeight w:val="20"/>
        </w:trPr>
        <w:tc>
          <w:tcPr>
            <w:tcW w:w="972" w:type="pct"/>
            <w:vMerge/>
            <w:tcBorders>
              <w:top w:val="single" w:sz="8" w:space="0" w:color="000000"/>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058" w:type="pct"/>
            <w:tcBorders>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Outside Dublin</w:t>
            </w:r>
          </w:p>
        </w:tc>
        <w:tc>
          <w:tcPr>
            <w:tcW w:w="403" w:type="pct"/>
            <w:tcBorders>
              <w:top w:val="nil"/>
              <w:bottom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2817</w:t>
            </w:r>
          </w:p>
        </w:tc>
        <w:tc>
          <w:tcPr>
            <w:tcW w:w="398" w:type="pct"/>
            <w:tcBorders>
              <w:top w:val="nil"/>
              <w:bottom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74.6</w:t>
            </w:r>
          </w:p>
        </w:tc>
        <w:tc>
          <w:tcPr>
            <w:tcW w:w="367"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970</w:t>
            </w:r>
          </w:p>
        </w:tc>
        <w:tc>
          <w:tcPr>
            <w:tcW w:w="337"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76.9</w:t>
            </w:r>
          </w:p>
        </w:tc>
        <w:tc>
          <w:tcPr>
            <w:tcW w:w="367" w:type="pct"/>
            <w:tcBorders>
              <w:top w:val="nil"/>
              <w:bottom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1847</w:t>
            </w:r>
          </w:p>
        </w:tc>
        <w:tc>
          <w:tcPr>
            <w:tcW w:w="337" w:type="pct"/>
            <w:tcBorders>
              <w:top w:val="nil"/>
              <w:bottom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73.4</w:t>
            </w:r>
          </w:p>
        </w:tc>
        <w:tc>
          <w:tcPr>
            <w:tcW w:w="762" w:type="pct"/>
            <w:vMerge/>
            <w:tcBorders>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972" w:type="pct"/>
            <w:tcBorders>
              <w:top w:val="single" w:sz="8" w:space="0" w:color="000000"/>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20"/>
                <w:lang w:eastAsia="en-US"/>
              </w:rPr>
            </w:pPr>
            <w:r w:rsidRPr="000806DA">
              <w:rPr>
                <w:rFonts w:ascii="Arial" w:hAnsi="Arial" w:cs="Arial"/>
                <w:b/>
                <w:bCs/>
                <w:color w:val="000000"/>
                <w:sz w:val="20"/>
                <w:lang w:eastAsia="en-US"/>
              </w:rPr>
              <w:t>Total</w:t>
            </w:r>
          </w:p>
        </w:tc>
        <w:tc>
          <w:tcPr>
            <w:tcW w:w="1058" w:type="pct"/>
            <w:tcBorders>
              <w:top w:val="single" w:sz="8" w:space="0" w:color="000000"/>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b/>
                <w:color w:val="000000"/>
                <w:sz w:val="20"/>
                <w:lang w:eastAsia="en-US"/>
              </w:rPr>
            </w:pPr>
          </w:p>
        </w:tc>
        <w:tc>
          <w:tcPr>
            <w:tcW w:w="403"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3778</w:t>
            </w:r>
          </w:p>
        </w:tc>
        <w:tc>
          <w:tcPr>
            <w:tcW w:w="398"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100.0</w:t>
            </w:r>
          </w:p>
        </w:tc>
        <w:tc>
          <w:tcPr>
            <w:tcW w:w="367"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1262</w:t>
            </w:r>
          </w:p>
        </w:tc>
        <w:tc>
          <w:tcPr>
            <w:tcW w:w="337"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33.4</w:t>
            </w:r>
          </w:p>
        </w:tc>
        <w:tc>
          <w:tcPr>
            <w:tcW w:w="367"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2516</w:t>
            </w:r>
          </w:p>
        </w:tc>
        <w:tc>
          <w:tcPr>
            <w:tcW w:w="337"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66.6</w:t>
            </w:r>
          </w:p>
        </w:tc>
        <w:tc>
          <w:tcPr>
            <w:tcW w:w="76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bl>
    <w:p w:rsidR="003B0DEE" w:rsidRPr="00726BB3" w:rsidRDefault="003B0DEE" w:rsidP="000D5D90">
      <w:pPr>
        <w:pStyle w:val="Caption"/>
        <w:spacing w:line="240" w:lineRule="auto"/>
        <w:rPr>
          <w:rFonts w:cs="Arial"/>
        </w:rPr>
      </w:pPr>
      <w:r>
        <w:rPr>
          <w:b w:val="0"/>
        </w:rPr>
        <w:br w:type="page"/>
      </w:r>
      <w:bookmarkStart w:id="111" w:name="_Toc15332007"/>
      <w:r w:rsidRPr="005C08E6">
        <w:lastRenderedPageBreak/>
        <w:t xml:space="preserve">Table </w:t>
      </w:r>
      <w:fldSimple w:instr=" STYLEREF 1 \s ">
        <w:r>
          <w:rPr>
            <w:noProof/>
          </w:rPr>
          <w:t>6</w:t>
        </w:r>
      </w:fldSimple>
      <w:r>
        <w:noBreakHyphen/>
      </w:r>
      <w:fldSimple w:instr=" SEQ Table \* ARABIC \s 1 ">
        <w:r>
          <w:rPr>
            <w:noProof/>
          </w:rPr>
          <w:t>3</w:t>
        </w:r>
      </w:fldSimple>
      <w:r w:rsidRPr="005C08E6">
        <w:rPr>
          <w:b w:val="0"/>
        </w:rPr>
        <w:t xml:space="preserve">  </w:t>
      </w:r>
      <w:r w:rsidRPr="005C08E6">
        <w:t>Discharge data</w:t>
      </w:r>
      <w:r w:rsidRPr="005C08E6">
        <w:rPr>
          <w:b w:val="0"/>
        </w:rPr>
        <w:t xml:space="preserve">: Frequencies, percentages completing or </w:t>
      </w:r>
      <w:r>
        <w:rPr>
          <w:b w:val="0"/>
        </w:rPr>
        <w:t>dropping out</w:t>
      </w:r>
      <w:r w:rsidRPr="005C08E6">
        <w:rPr>
          <w:b w:val="0"/>
        </w:rPr>
        <w:t xml:space="preserve"> of treatment, and chi-squared test results for opioid-using behaviours used in the analysis</w:t>
      </w:r>
      <w:bookmarkEnd w:id="111"/>
    </w:p>
    <w:tbl>
      <w:tblPr>
        <w:tblW w:w="5131" w:type="pct"/>
        <w:tblBorders>
          <w:top w:val="single" w:sz="8" w:space="0" w:color="000000"/>
          <w:bottom w:val="single" w:sz="8" w:space="0" w:color="000000"/>
        </w:tblBorders>
        <w:shd w:val="clear" w:color="auto" w:fill="FFFFFF"/>
        <w:tblLook w:val="04A0" w:firstRow="1" w:lastRow="0" w:firstColumn="1" w:lastColumn="0" w:noHBand="0" w:noVBand="1"/>
      </w:tblPr>
      <w:tblGrid>
        <w:gridCol w:w="1618"/>
        <w:gridCol w:w="1887"/>
        <w:gridCol w:w="734"/>
        <w:gridCol w:w="697"/>
        <w:gridCol w:w="639"/>
        <w:gridCol w:w="699"/>
        <w:gridCol w:w="639"/>
        <w:gridCol w:w="699"/>
        <w:gridCol w:w="1628"/>
      </w:tblGrid>
      <w:tr w:rsidR="003B0DEE" w:rsidRPr="000806DA" w:rsidTr="000D5D90">
        <w:trPr>
          <w:trHeight w:val="20"/>
        </w:trPr>
        <w:tc>
          <w:tcPr>
            <w:tcW w:w="876"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Characteristic</w:t>
            </w:r>
          </w:p>
        </w:tc>
        <w:tc>
          <w:tcPr>
            <w:tcW w:w="1021"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Values</w:t>
            </w:r>
          </w:p>
        </w:tc>
        <w:tc>
          <w:tcPr>
            <w:tcW w:w="774"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Sample</w:t>
            </w:r>
          </w:p>
        </w:tc>
        <w:tc>
          <w:tcPr>
            <w:tcW w:w="724"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Treatment completed</w:t>
            </w:r>
          </w:p>
        </w:tc>
        <w:tc>
          <w:tcPr>
            <w:tcW w:w="724"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Treatment dropout</w:t>
            </w:r>
          </w:p>
        </w:tc>
        <w:tc>
          <w:tcPr>
            <w:tcW w:w="881"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Test of significance</w:t>
            </w:r>
          </w:p>
        </w:tc>
      </w:tr>
      <w:tr w:rsidR="003B0DEE" w:rsidRPr="000806DA" w:rsidTr="000D5D90">
        <w:trPr>
          <w:trHeight w:val="20"/>
        </w:trPr>
        <w:tc>
          <w:tcPr>
            <w:tcW w:w="876" w:type="pct"/>
            <w:tcBorders>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p>
        </w:tc>
        <w:tc>
          <w:tcPr>
            <w:tcW w:w="2222" w:type="pct"/>
            <w:gridSpan w:val="6"/>
            <w:tcBorders>
              <w:top w:val="single" w:sz="8" w:space="0" w:color="000000"/>
              <w:left w:val="nil"/>
              <w:right w:val="nil"/>
            </w:tcBorders>
            <w:shd w:val="clear" w:color="auto" w:fill="FFFFFF"/>
            <w:vAlign w:val="center"/>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Years</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U (p)</w:t>
            </w:r>
          </w:p>
        </w:tc>
      </w:tr>
      <w:tr w:rsidR="003B0DEE" w:rsidRPr="000806DA" w:rsidTr="000D5D90">
        <w:trPr>
          <w:trHeight w:val="20"/>
        </w:trPr>
        <w:tc>
          <w:tcPr>
            <w:tcW w:w="876"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Age first used any drug</w:t>
            </w:r>
          </w:p>
        </w:tc>
        <w:tc>
          <w:tcPr>
            <w:tcW w:w="1021" w:type="pct"/>
            <w:tcBorders>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Median years </w:t>
            </w:r>
            <w:r w:rsidRPr="000806DA">
              <w:rPr>
                <w:rFonts w:ascii="Arial" w:hAnsi="Arial" w:cs="Arial"/>
                <w:color w:val="000000"/>
                <w:sz w:val="20"/>
                <w:lang w:eastAsia="en-US"/>
              </w:rPr>
              <w:t>(5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-95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 xml:space="preserve"> percentiles)</w:t>
            </w:r>
          </w:p>
        </w:tc>
        <w:tc>
          <w:tcPr>
            <w:tcW w:w="77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 (11-30)</w:t>
            </w:r>
          </w:p>
        </w:tc>
        <w:tc>
          <w:tcPr>
            <w:tcW w:w="724"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 (11-32)</w:t>
            </w:r>
          </w:p>
        </w:tc>
        <w:tc>
          <w:tcPr>
            <w:tcW w:w="72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 (11-30)</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4.669 (p=0.031)</w:t>
            </w:r>
          </w:p>
        </w:tc>
      </w:tr>
      <w:tr w:rsidR="003B0DEE" w:rsidRPr="000806DA" w:rsidTr="000D5D90">
        <w:trPr>
          <w:trHeight w:val="20"/>
        </w:trPr>
        <w:tc>
          <w:tcPr>
            <w:tcW w:w="876"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Age first used opioids</w:t>
            </w:r>
          </w:p>
        </w:tc>
        <w:tc>
          <w:tcPr>
            <w:tcW w:w="1021" w:type="pct"/>
            <w:tcBorders>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Median years </w:t>
            </w:r>
            <w:r w:rsidRPr="000806DA">
              <w:rPr>
                <w:rFonts w:ascii="Arial" w:hAnsi="Arial" w:cs="Arial"/>
                <w:color w:val="000000"/>
                <w:sz w:val="20"/>
                <w:lang w:eastAsia="en-US"/>
              </w:rPr>
              <w:t>(5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-95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 xml:space="preserve"> percentiles)</w:t>
            </w:r>
          </w:p>
        </w:tc>
        <w:tc>
          <w:tcPr>
            <w:tcW w:w="77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 (14-37)</w:t>
            </w:r>
          </w:p>
        </w:tc>
        <w:tc>
          <w:tcPr>
            <w:tcW w:w="724"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 (14-37)</w:t>
            </w:r>
          </w:p>
          <w:p w:rsidR="003B0DEE" w:rsidRPr="000806DA" w:rsidRDefault="003B0DEE" w:rsidP="000D5D90">
            <w:pPr>
              <w:spacing w:line="240" w:lineRule="auto"/>
              <w:jc w:val="right"/>
              <w:rPr>
                <w:rFonts w:ascii="Arial" w:hAnsi="Arial" w:cs="Arial"/>
                <w:color w:val="000000"/>
                <w:sz w:val="19"/>
                <w:szCs w:val="19"/>
                <w:lang w:eastAsia="en-US"/>
              </w:rPr>
            </w:pPr>
          </w:p>
        </w:tc>
        <w:tc>
          <w:tcPr>
            <w:tcW w:w="72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 (14-36)</w:t>
            </w:r>
          </w:p>
          <w:p w:rsidR="003B0DEE" w:rsidRPr="000806DA" w:rsidRDefault="003B0DEE" w:rsidP="000D5D90">
            <w:pPr>
              <w:spacing w:line="240" w:lineRule="auto"/>
              <w:jc w:val="right"/>
              <w:rPr>
                <w:rFonts w:ascii="Arial" w:hAnsi="Arial" w:cs="Arial"/>
                <w:b/>
                <w:color w:val="000000"/>
                <w:sz w:val="19"/>
                <w:szCs w:val="19"/>
                <w:lang w:eastAsia="en-US"/>
              </w:rPr>
            </w:pP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Time lag between first use of opioids and seeking treatment</w:t>
            </w:r>
          </w:p>
        </w:tc>
        <w:tc>
          <w:tcPr>
            <w:tcW w:w="1021" w:type="pct"/>
            <w:tcBorders>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Median years </w:t>
            </w:r>
            <w:r w:rsidRPr="000806DA">
              <w:rPr>
                <w:rFonts w:ascii="Arial" w:hAnsi="Arial" w:cs="Arial"/>
                <w:color w:val="000000"/>
                <w:sz w:val="20"/>
                <w:lang w:eastAsia="en-US"/>
              </w:rPr>
              <w:t>(5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-95</w:t>
            </w:r>
            <w:r w:rsidRPr="007520E8">
              <w:rPr>
                <w:rFonts w:ascii="Arial" w:hAnsi="Arial" w:cs="Arial"/>
                <w:color w:val="000000"/>
                <w:sz w:val="20"/>
                <w:vertAlign w:val="superscript"/>
                <w:lang w:eastAsia="en-US"/>
              </w:rPr>
              <w:t>th</w:t>
            </w:r>
            <w:r w:rsidRPr="000806DA">
              <w:rPr>
                <w:rFonts w:ascii="Arial" w:hAnsi="Arial" w:cs="Arial"/>
                <w:color w:val="000000"/>
                <w:sz w:val="20"/>
                <w:lang w:eastAsia="en-US"/>
              </w:rPr>
              <w:t xml:space="preserve"> percentiles)</w:t>
            </w:r>
          </w:p>
        </w:tc>
        <w:tc>
          <w:tcPr>
            <w:tcW w:w="77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 (1-20)</w:t>
            </w:r>
          </w:p>
        </w:tc>
        <w:tc>
          <w:tcPr>
            <w:tcW w:w="724"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 (1-22)</w:t>
            </w:r>
          </w:p>
        </w:tc>
        <w:tc>
          <w:tcPr>
            <w:tcW w:w="724"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 (1-20)</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19.240 (p&lt;0.001)</w:t>
            </w:r>
          </w:p>
        </w:tc>
      </w:tr>
      <w:tr w:rsidR="003B0DEE" w:rsidRPr="000806DA" w:rsidTr="000D5D90">
        <w:trPr>
          <w:trHeight w:val="20"/>
        </w:trPr>
        <w:tc>
          <w:tcPr>
            <w:tcW w:w="876" w:type="pct"/>
            <w:tcBorders>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p>
        </w:tc>
        <w:tc>
          <w:tcPr>
            <w:tcW w:w="397"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7"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6"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8"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6"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8"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b/>
                <w:bCs/>
                <w:color w:val="000000"/>
                <w:sz w:val="19"/>
                <w:szCs w:val="19"/>
                <w:lang w:eastAsia="en-US"/>
              </w:rPr>
              <w:t>Pearson chi-squared</w:t>
            </w:r>
          </w:p>
        </w:tc>
      </w:tr>
      <w:tr w:rsidR="003B0DEE" w:rsidRPr="000806DA" w:rsidTr="000D5D90">
        <w:trPr>
          <w:trHeight w:val="20"/>
        </w:trPr>
        <w:tc>
          <w:tcPr>
            <w:tcW w:w="876"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b/>
                <w:bCs/>
                <w:sz w:val="19"/>
                <w:szCs w:val="19"/>
                <w:lang w:eastAsia="en-US"/>
              </w:rPr>
            </w:pPr>
            <w:r w:rsidRPr="000806DA">
              <w:rPr>
                <w:rFonts w:ascii="Arial" w:hAnsi="Arial" w:cs="Arial"/>
                <w:b/>
                <w:bCs/>
                <w:sz w:val="19"/>
                <w:szCs w:val="19"/>
                <w:lang w:eastAsia="en-US"/>
              </w:rPr>
              <w:t xml:space="preserve">Main type of problem </w:t>
            </w:r>
            <w:r>
              <w:rPr>
                <w:rFonts w:ascii="Arial" w:hAnsi="Arial" w:cs="Arial"/>
                <w:b/>
                <w:bCs/>
                <w:sz w:val="19"/>
                <w:szCs w:val="19"/>
                <w:lang w:eastAsia="en-US"/>
              </w:rPr>
              <w:t>opioid</w:t>
            </w:r>
          </w:p>
        </w:tc>
        <w:tc>
          <w:tcPr>
            <w:tcW w:w="1021"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Heroin</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3215</w:t>
            </w:r>
          </w:p>
        </w:tc>
        <w:tc>
          <w:tcPr>
            <w:tcW w:w="37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85.1</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1037</w:t>
            </w:r>
          </w:p>
        </w:tc>
        <w:tc>
          <w:tcPr>
            <w:tcW w:w="378"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82.2</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2178</w:t>
            </w:r>
          </w:p>
        </w:tc>
        <w:tc>
          <w:tcPr>
            <w:tcW w:w="378"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86.6</w:t>
            </w:r>
          </w:p>
        </w:tc>
        <w:tc>
          <w:tcPr>
            <w:tcW w:w="881"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12.800 (p&lt;0.001)</w:t>
            </w:r>
          </w:p>
        </w:tc>
      </w:tr>
      <w:tr w:rsidR="003B0DEE" w:rsidRPr="000806DA" w:rsidTr="000D5D90">
        <w:trPr>
          <w:trHeight w:val="20"/>
        </w:trPr>
        <w:tc>
          <w:tcPr>
            <w:tcW w:w="876"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sz w:val="19"/>
                <w:szCs w:val="19"/>
                <w:lang w:eastAsia="en-US"/>
              </w:rPr>
            </w:pPr>
          </w:p>
        </w:tc>
        <w:tc>
          <w:tcPr>
            <w:tcW w:w="1021" w:type="pct"/>
            <w:tcBorders>
              <w:top w:val="nil"/>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 xml:space="preserve">Other </w:t>
            </w:r>
            <w:r>
              <w:rPr>
                <w:rFonts w:ascii="Arial" w:hAnsi="Arial" w:cs="Arial"/>
                <w:sz w:val="19"/>
                <w:szCs w:val="19"/>
                <w:lang w:eastAsia="en-US"/>
              </w:rPr>
              <w:t>opioid</w:t>
            </w:r>
            <w:r w:rsidRPr="000806DA">
              <w:rPr>
                <w:rFonts w:ascii="Arial" w:hAnsi="Arial" w:cs="Arial"/>
                <w:sz w:val="19"/>
                <w:szCs w:val="19"/>
                <w:lang w:eastAsia="en-US"/>
              </w:rPr>
              <w:t>s</w:t>
            </w:r>
          </w:p>
        </w:tc>
        <w:tc>
          <w:tcPr>
            <w:tcW w:w="397"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563</w:t>
            </w:r>
          </w:p>
        </w:tc>
        <w:tc>
          <w:tcPr>
            <w:tcW w:w="377"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14.9</w:t>
            </w:r>
          </w:p>
        </w:tc>
        <w:tc>
          <w:tcPr>
            <w:tcW w:w="346"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225</w:t>
            </w:r>
          </w:p>
        </w:tc>
        <w:tc>
          <w:tcPr>
            <w:tcW w:w="378"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17.8</w:t>
            </w:r>
          </w:p>
        </w:tc>
        <w:tc>
          <w:tcPr>
            <w:tcW w:w="346"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338</w:t>
            </w:r>
          </w:p>
        </w:tc>
        <w:tc>
          <w:tcPr>
            <w:tcW w:w="378"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13.4</w:t>
            </w:r>
          </w:p>
        </w:tc>
        <w:tc>
          <w:tcPr>
            <w:tcW w:w="881" w:type="pct"/>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76"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b/>
                <w:bCs/>
                <w:sz w:val="19"/>
                <w:szCs w:val="19"/>
                <w:lang w:eastAsia="en-US"/>
              </w:rPr>
            </w:pPr>
            <w:r w:rsidRPr="000806DA">
              <w:rPr>
                <w:rFonts w:ascii="Arial" w:hAnsi="Arial" w:cs="Arial"/>
                <w:b/>
                <w:bCs/>
                <w:sz w:val="19"/>
                <w:szCs w:val="19"/>
                <w:lang w:eastAsia="en-US"/>
              </w:rPr>
              <w:t xml:space="preserve">Route of opioid administration </w:t>
            </w:r>
          </w:p>
        </w:tc>
        <w:tc>
          <w:tcPr>
            <w:tcW w:w="1021" w:type="pct"/>
            <w:tcBorders>
              <w:top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Inject</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996</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26.4</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321</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25.4</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675</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26.8</w:t>
            </w:r>
          </w:p>
        </w:tc>
        <w:tc>
          <w:tcPr>
            <w:tcW w:w="881"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21.935 (p=0.001)</w:t>
            </w:r>
          </w:p>
        </w:tc>
      </w:tr>
      <w:tr w:rsidR="003B0DEE" w:rsidRPr="000806DA" w:rsidTr="000D5D90">
        <w:trPr>
          <w:trHeight w:val="20"/>
        </w:trPr>
        <w:tc>
          <w:tcPr>
            <w:tcW w:w="876"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Smoke</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2133</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56.5</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680</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53.9</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1453</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57.8</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tcBorders>
              <w:top w:val="nil"/>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Eat or drink</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548</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14.5</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214</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17.0</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334</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13.3</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Other</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0.2</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0.3</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0.1</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tcBorders>
              <w:top w:val="nil"/>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Not recorded</w:t>
            </w:r>
          </w:p>
        </w:tc>
        <w:tc>
          <w:tcPr>
            <w:tcW w:w="39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95</w:t>
            </w: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2.5</w:t>
            </w: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w:t>
            </w:r>
          </w:p>
        </w:tc>
        <w:tc>
          <w:tcPr>
            <w:tcW w:w="378"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3.5</w:t>
            </w: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51</w:t>
            </w:r>
          </w:p>
        </w:tc>
        <w:tc>
          <w:tcPr>
            <w:tcW w:w="378"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w:t>
            </w:r>
          </w:p>
        </w:tc>
        <w:tc>
          <w:tcPr>
            <w:tcW w:w="881"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Frequency of opioid use in month prior to treatment</w:t>
            </w:r>
          </w:p>
        </w:tc>
        <w:tc>
          <w:tcPr>
            <w:tcW w:w="1021" w:type="pct"/>
            <w:tcBorders>
              <w:top w:val="single" w:sz="8" w:space="0" w:color="000000"/>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No use in the past month</w:t>
            </w:r>
          </w:p>
        </w:tc>
        <w:tc>
          <w:tcPr>
            <w:tcW w:w="397"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912</w:t>
            </w:r>
          </w:p>
        </w:tc>
        <w:tc>
          <w:tcPr>
            <w:tcW w:w="377"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24.1</w:t>
            </w:r>
          </w:p>
        </w:tc>
        <w:tc>
          <w:tcPr>
            <w:tcW w:w="346"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357</w:t>
            </w:r>
          </w:p>
        </w:tc>
        <w:tc>
          <w:tcPr>
            <w:tcW w:w="378"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28.3</w:t>
            </w:r>
          </w:p>
        </w:tc>
        <w:tc>
          <w:tcPr>
            <w:tcW w:w="346"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555</w:t>
            </w:r>
          </w:p>
        </w:tc>
        <w:tc>
          <w:tcPr>
            <w:tcW w:w="378"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22.1</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52.746 (p&lt;0.001)</w:t>
            </w:r>
          </w:p>
        </w:tc>
      </w:tr>
      <w:tr w:rsidR="003B0DEE" w:rsidRPr="000806DA" w:rsidTr="000D5D90">
        <w:trPr>
          <w:trHeight w:val="68"/>
        </w:trPr>
        <w:tc>
          <w:tcPr>
            <w:tcW w:w="876"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Once a week or less</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198</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5.2</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143</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2-6 days per week</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568</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15.0</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185</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14.7</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383</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15.2</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Daily</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1849</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48.9</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545</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43.2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1304</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51.8</w:t>
            </w:r>
          </w:p>
        </w:tc>
        <w:tc>
          <w:tcPr>
            <w:tcW w:w="881" w:type="pct"/>
            <w:tcBorders>
              <w:top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2E5ABE">
              <w:rPr>
                <w:rFonts w:ascii="Arial" w:hAnsi="Arial" w:cs="Arial"/>
                <w:bCs/>
                <w:sz w:val="20"/>
                <w:lang w:eastAsia="en-US"/>
              </w:rPr>
              <w:t>Unknown</w:t>
            </w:r>
          </w:p>
        </w:tc>
        <w:tc>
          <w:tcPr>
            <w:tcW w:w="39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251</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6.6</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120</w:t>
            </w:r>
          </w:p>
        </w:tc>
        <w:tc>
          <w:tcPr>
            <w:tcW w:w="37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9.5</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131</w:t>
            </w:r>
          </w:p>
        </w:tc>
        <w:tc>
          <w:tcPr>
            <w:tcW w:w="378"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5.2</w:t>
            </w:r>
          </w:p>
        </w:tc>
        <w:tc>
          <w:tcPr>
            <w:tcW w:w="881"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76"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Polysubstance use</w:t>
            </w:r>
          </w:p>
        </w:tc>
        <w:tc>
          <w:tcPr>
            <w:tcW w:w="1021"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2245</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59.4</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755</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59.8</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1490</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59.2</w:t>
            </w:r>
          </w:p>
        </w:tc>
        <w:tc>
          <w:tcPr>
            <w:tcW w:w="881"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39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1533</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40.6</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507</w:t>
            </w:r>
          </w:p>
        </w:tc>
        <w:tc>
          <w:tcPr>
            <w:tcW w:w="37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40.2</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1026</w:t>
            </w:r>
          </w:p>
        </w:tc>
        <w:tc>
          <w:tcPr>
            <w:tcW w:w="378"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40.8</w:t>
            </w:r>
          </w:p>
        </w:tc>
        <w:tc>
          <w:tcPr>
            <w:tcW w:w="881"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 xml:space="preserve">Number of problem substances </w:t>
            </w:r>
            <w:r>
              <w:rPr>
                <w:rFonts w:ascii="Arial" w:hAnsi="Arial" w:cs="Arial"/>
                <w:b/>
                <w:bCs/>
                <w:color w:val="000000"/>
                <w:sz w:val="19"/>
                <w:szCs w:val="19"/>
                <w:lang w:eastAsia="en-US"/>
              </w:rPr>
              <w:t>reported</w:t>
            </w:r>
          </w:p>
        </w:tc>
        <w:tc>
          <w:tcPr>
            <w:tcW w:w="1021"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One substance</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1533</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40.6</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507</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40.2</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1026</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40.8</w:t>
            </w:r>
          </w:p>
        </w:tc>
        <w:tc>
          <w:tcPr>
            <w:tcW w:w="881"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top w:val="nil"/>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Two substances</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1028</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27.2</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341</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27.0</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687</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27.3</w:t>
            </w:r>
          </w:p>
        </w:tc>
        <w:tc>
          <w:tcPr>
            <w:tcW w:w="881"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Three substances</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780</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20.6</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270</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21.4</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510</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20.3</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tcBorders>
              <w:top w:val="nil"/>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Four substances</w:t>
            </w:r>
          </w:p>
        </w:tc>
        <w:tc>
          <w:tcPr>
            <w:tcW w:w="39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437</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11.6</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144</w:t>
            </w:r>
          </w:p>
        </w:tc>
        <w:tc>
          <w:tcPr>
            <w:tcW w:w="37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11.4</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293</w:t>
            </w:r>
          </w:p>
        </w:tc>
        <w:tc>
          <w:tcPr>
            <w:tcW w:w="378"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11.6</w:t>
            </w:r>
          </w:p>
        </w:tc>
        <w:tc>
          <w:tcPr>
            <w:tcW w:w="881"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Pr>
                <w:rFonts w:ascii="Arial" w:hAnsi="Arial" w:cs="Arial"/>
                <w:b/>
                <w:bCs/>
                <w:color w:val="000000"/>
                <w:sz w:val="19"/>
                <w:szCs w:val="19"/>
                <w:lang w:eastAsia="en-US"/>
              </w:rPr>
              <w:t>Type of a</w:t>
            </w:r>
            <w:r w:rsidRPr="000806DA">
              <w:rPr>
                <w:rFonts w:ascii="Arial" w:hAnsi="Arial" w:cs="Arial"/>
                <w:b/>
                <w:bCs/>
                <w:color w:val="000000"/>
                <w:sz w:val="19"/>
                <w:szCs w:val="19"/>
                <w:lang w:eastAsia="en-US"/>
              </w:rPr>
              <w:t>dditional problem substances used</w:t>
            </w:r>
          </w:p>
        </w:tc>
        <w:tc>
          <w:tcPr>
            <w:tcW w:w="1021" w:type="pct"/>
            <w:tcBorders>
              <w:top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Alcohol </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617</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16.3</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223</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17.7</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394</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15.7</w:t>
            </w:r>
          </w:p>
        </w:tc>
        <w:tc>
          <w:tcPr>
            <w:tcW w:w="881"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Amphetamines</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1.7</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29</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Benzodiazepines</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829</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21.9</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230</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599</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highlight w:val="yellow"/>
                <w:lang w:eastAsia="en-US"/>
              </w:rPr>
            </w:pPr>
            <w:r w:rsidRPr="000806DA">
              <w:rPr>
                <w:rFonts w:ascii="Arial" w:hAnsi="Arial" w:cs="Arial"/>
                <w:color w:val="000000"/>
                <w:sz w:val="19"/>
                <w:szCs w:val="19"/>
                <w:lang w:eastAsia="en-US"/>
              </w:rPr>
              <w:t>23.8</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15.292 (p&lt;0.001)</w:t>
            </w:r>
          </w:p>
        </w:tc>
      </w:tr>
      <w:tr w:rsidR="003B0DEE" w:rsidRPr="000806DA" w:rsidTr="000D5D90">
        <w:trPr>
          <w:trHeight w:val="20"/>
        </w:trPr>
        <w:tc>
          <w:tcPr>
            <w:tcW w:w="876"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Cannabis</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1192</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31.6</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419</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33.2</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773</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highlight w:val="yellow"/>
                <w:lang w:eastAsia="en-US"/>
              </w:rPr>
            </w:pPr>
            <w:r w:rsidRPr="000806DA">
              <w:rPr>
                <w:rFonts w:ascii="Arial" w:hAnsi="Arial" w:cs="Arial"/>
                <w:color w:val="000000"/>
                <w:sz w:val="19"/>
                <w:szCs w:val="19"/>
                <w:lang w:eastAsia="en-US"/>
              </w:rPr>
              <w:t>30.7</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Cocaine</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558</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14.8</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204</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354</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14.1</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Ecstasy</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162</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4.3</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72</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5.7</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90</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3.6</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9.274 (p=0.002)</w:t>
            </w:r>
          </w:p>
        </w:tc>
      </w:tr>
      <w:tr w:rsidR="003B0DEE" w:rsidRPr="000806DA" w:rsidTr="000D5D90">
        <w:trPr>
          <w:trHeight w:val="20"/>
        </w:trPr>
        <w:tc>
          <w:tcPr>
            <w:tcW w:w="876"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color w:val="000000"/>
                <w:sz w:val="19"/>
                <w:szCs w:val="19"/>
                <w:lang w:eastAsia="en-US"/>
              </w:rPr>
              <w:t>Opioid</w:t>
            </w:r>
            <w:r w:rsidRPr="000806DA">
              <w:rPr>
                <w:rFonts w:ascii="Arial" w:hAnsi="Arial" w:cs="Arial"/>
                <w:color w:val="000000"/>
                <w:sz w:val="19"/>
                <w:szCs w:val="19"/>
                <w:lang w:eastAsia="en-US"/>
              </w:rPr>
              <w:t>s</w:t>
            </w:r>
            <w:r w:rsidRPr="000806DA">
              <w:rPr>
                <w:rFonts w:ascii="Arial" w:hAnsi="Arial" w:cs="Arial"/>
                <w:color w:val="000000"/>
                <w:sz w:val="19"/>
                <w:szCs w:val="19"/>
                <w:vertAlign w:val="superscript"/>
                <w:lang w:eastAsia="en-US"/>
              </w:rPr>
              <w:t>‡</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267</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7.1</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78</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189</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7.5</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Other substances</w:t>
            </w:r>
          </w:p>
        </w:tc>
        <w:tc>
          <w:tcPr>
            <w:tcW w:w="39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169</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4.5</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48</w:t>
            </w:r>
          </w:p>
        </w:tc>
        <w:tc>
          <w:tcPr>
            <w:tcW w:w="37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3.8</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121</w:t>
            </w:r>
          </w:p>
        </w:tc>
        <w:tc>
          <w:tcPr>
            <w:tcW w:w="378"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4.8</w:t>
            </w:r>
          </w:p>
        </w:tc>
        <w:tc>
          <w:tcPr>
            <w:tcW w:w="881"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106"/>
        </w:trPr>
        <w:tc>
          <w:tcPr>
            <w:tcW w:w="876"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Ever injected</w:t>
            </w:r>
          </w:p>
        </w:tc>
        <w:tc>
          <w:tcPr>
            <w:tcW w:w="1021"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1525</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40.4</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481</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38.1</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1044</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41.5</w:t>
            </w:r>
          </w:p>
        </w:tc>
        <w:tc>
          <w:tcPr>
            <w:tcW w:w="881"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top w:val="nil"/>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2090</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55.3</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721</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57.1</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1369</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54.4</w:t>
            </w:r>
          </w:p>
        </w:tc>
        <w:tc>
          <w:tcPr>
            <w:tcW w:w="881"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tcBorders>
              <w:top w:val="nil"/>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Unknown</w:t>
            </w:r>
          </w:p>
        </w:tc>
        <w:tc>
          <w:tcPr>
            <w:tcW w:w="39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163</w:t>
            </w: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4.3</w:t>
            </w: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60</w:t>
            </w:r>
          </w:p>
        </w:tc>
        <w:tc>
          <w:tcPr>
            <w:tcW w:w="378"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4.8</w:t>
            </w: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103</w:t>
            </w:r>
          </w:p>
        </w:tc>
        <w:tc>
          <w:tcPr>
            <w:tcW w:w="378"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w:t>
            </w:r>
          </w:p>
        </w:tc>
        <w:tc>
          <w:tcPr>
            <w:tcW w:w="881"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Currently injecting</w:t>
            </w:r>
            <w:r w:rsidRPr="00790D88">
              <w:rPr>
                <w:rFonts w:ascii="Arial" w:hAnsi="Arial" w:cs="Arial"/>
                <w:color w:val="000000"/>
                <w:sz w:val="20"/>
                <w:vertAlign w:val="superscript"/>
              </w:rPr>
              <w:t>†</w:t>
            </w:r>
          </w:p>
        </w:tc>
        <w:tc>
          <w:tcPr>
            <w:tcW w:w="1021" w:type="pct"/>
            <w:tcBorders>
              <w:top w:val="single" w:sz="8" w:space="0" w:color="000000"/>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397"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683</w:t>
            </w:r>
          </w:p>
        </w:tc>
        <w:tc>
          <w:tcPr>
            <w:tcW w:w="377"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44.8</w:t>
            </w:r>
          </w:p>
        </w:tc>
        <w:tc>
          <w:tcPr>
            <w:tcW w:w="346"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189</w:t>
            </w:r>
          </w:p>
        </w:tc>
        <w:tc>
          <w:tcPr>
            <w:tcW w:w="378"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39.3</w:t>
            </w:r>
          </w:p>
        </w:tc>
        <w:tc>
          <w:tcPr>
            <w:tcW w:w="346"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494</w:t>
            </w:r>
          </w:p>
        </w:tc>
        <w:tc>
          <w:tcPr>
            <w:tcW w:w="378"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47.3</w:t>
            </w:r>
          </w:p>
        </w:tc>
        <w:tc>
          <w:tcPr>
            <w:tcW w:w="881"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15.754 (p&lt;0.001)</w:t>
            </w:r>
          </w:p>
        </w:tc>
      </w:tr>
      <w:tr w:rsidR="003B0DEE" w:rsidRPr="000806DA" w:rsidTr="000D5D90">
        <w:trPr>
          <w:trHeight w:val="20"/>
        </w:trPr>
        <w:tc>
          <w:tcPr>
            <w:tcW w:w="876" w:type="pct"/>
            <w:vMerge/>
            <w:tcBorders>
              <w:top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397"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787</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51.6</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264</w:t>
            </w:r>
          </w:p>
        </w:tc>
        <w:tc>
          <w:tcPr>
            <w:tcW w:w="378"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54.9</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523</w:t>
            </w:r>
          </w:p>
        </w:tc>
        <w:tc>
          <w:tcPr>
            <w:tcW w:w="3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50.1</w:t>
            </w:r>
          </w:p>
        </w:tc>
        <w:tc>
          <w:tcPr>
            <w:tcW w:w="881"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Unknown</w:t>
            </w:r>
          </w:p>
        </w:tc>
        <w:tc>
          <w:tcPr>
            <w:tcW w:w="39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3.6</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28</w:t>
            </w:r>
          </w:p>
        </w:tc>
        <w:tc>
          <w:tcPr>
            <w:tcW w:w="378"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5.8</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w:t>
            </w:r>
          </w:p>
        </w:tc>
        <w:tc>
          <w:tcPr>
            <w:tcW w:w="378"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w:t>
            </w:r>
          </w:p>
        </w:tc>
        <w:tc>
          <w:tcPr>
            <w:tcW w:w="881"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val="restart"/>
            <w:tcBorders>
              <w:top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Ever shared injecting equipment</w:t>
            </w:r>
            <w:r w:rsidRPr="00790D88">
              <w:rPr>
                <w:rFonts w:ascii="Arial" w:hAnsi="Arial" w:cs="Arial"/>
                <w:color w:val="000000"/>
                <w:sz w:val="20"/>
                <w:vertAlign w:val="superscript"/>
              </w:rPr>
              <w:t>†</w:t>
            </w:r>
          </w:p>
        </w:tc>
        <w:tc>
          <w:tcPr>
            <w:tcW w:w="1021" w:type="pct"/>
            <w:tcBorders>
              <w:top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39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626</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47.6</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183</w:t>
            </w:r>
          </w:p>
        </w:tc>
        <w:tc>
          <w:tcPr>
            <w:tcW w:w="378"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44.6</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443</w:t>
            </w:r>
          </w:p>
        </w:tc>
        <w:tc>
          <w:tcPr>
            <w:tcW w:w="378"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49.0</w:t>
            </w:r>
          </w:p>
        </w:tc>
        <w:tc>
          <w:tcPr>
            <w:tcW w:w="881"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76"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397"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688</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52.4</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227</w:t>
            </w:r>
          </w:p>
        </w:tc>
        <w:tc>
          <w:tcPr>
            <w:tcW w:w="378"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55.4</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461</w:t>
            </w:r>
          </w:p>
        </w:tc>
        <w:tc>
          <w:tcPr>
            <w:tcW w:w="3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51.0</w:t>
            </w:r>
          </w:p>
        </w:tc>
        <w:tc>
          <w:tcPr>
            <w:tcW w:w="881"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vMerge/>
            <w:tcBorders>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21" w:type="pct"/>
            <w:tcBorders>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p>
        </w:tc>
        <w:tc>
          <w:tcPr>
            <w:tcW w:w="39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8"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8"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881"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76" w:type="pct"/>
            <w:tcBorders>
              <w:top w:val="single" w:sz="8" w:space="0" w:color="000000"/>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Total</w:t>
            </w:r>
          </w:p>
        </w:tc>
        <w:tc>
          <w:tcPr>
            <w:tcW w:w="1021" w:type="pct"/>
            <w:tcBorders>
              <w:top w:val="single" w:sz="8" w:space="0" w:color="000000"/>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b/>
                <w:color w:val="000000"/>
                <w:sz w:val="19"/>
                <w:szCs w:val="19"/>
                <w:lang w:eastAsia="en-US"/>
              </w:rPr>
            </w:pPr>
          </w:p>
        </w:tc>
        <w:tc>
          <w:tcPr>
            <w:tcW w:w="397"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3778</w:t>
            </w:r>
          </w:p>
        </w:tc>
        <w:tc>
          <w:tcPr>
            <w:tcW w:w="377"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100.0</w:t>
            </w:r>
          </w:p>
        </w:tc>
        <w:tc>
          <w:tcPr>
            <w:tcW w:w="346"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1262</w:t>
            </w:r>
          </w:p>
        </w:tc>
        <w:tc>
          <w:tcPr>
            <w:tcW w:w="378"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33.4</w:t>
            </w:r>
          </w:p>
        </w:tc>
        <w:tc>
          <w:tcPr>
            <w:tcW w:w="346"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2516</w:t>
            </w:r>
          </w:p>
        </w:tc>
        <w:tc>
          <w:tcPr>
            <w:tcW w:w="378"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66.6</w:t>
            </w:r>
          </w:p>
        </w:tc>
        <w:tc>
          <w:tcPr>
            <w:tcW w:w="881"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bl>
    <w:p w:rsidR="003B0DEE" w:rsidRPr="000806DA" w:rsidRDefault="003B0DEE" w:rsidP="000D5D90">
      <w:pPr>
        <w:spacing w:line="240" w:lineRule="auto"/>
        <w:rPr>
          <w:rFonts w:ascii="Arial" w:hAnsi="Arial" w:cs="Arial"/>
          <w:color w:val="000000"/>
          <w:sz w:val="20"/>
        </w:rPr>
      </w:pPr>
      <w:r w:rsidRPr="000806DA">
        <w:rPr>
          <w:rFonts w:ascii="Arial" w:hAnsi="Arial" w:cs="Arial"/>
          <w:color w:val="000000"/>
          <w:sz w:val="20"/>
          <w:vertAlign w:val="superscript"/>
        </w:rPr>
        <w:t xml:space="preserve">‡ </w:t>
      </w:r>
      <w:r w:rsidRPr="000806DA">
        <w:rPr>
          <w:rFonts w:ascii="Arial" w:hAnsi="Arial" w:cs="Arial"/>
          <w:color w:val="000000"/>
          <w:sz w:val="20"/>
        </w:rPr>
        <w:t>Other types of opioid drugs used in addition to the main problem</w:t>
      </w:r>
      <w:r w:rsidR="008051E8">
        <w:rPr>
          <w:rFonts w:ascii="Arial" w:hAnsi="Arial" w:cs="Arial"/>
          <w:color w:val="000000"/>
          <w:sz w:val="20"/>
        </w:rPr>
        <w:t>.</w:t>
      </w:r>
      <w:r w:rsidRPr="000806DA">
        <w:rPr>
          <w:rFonts w:ascii="Arial" w:hAnsi="Arial" w:cs="Arial"/>
          <w:color w:val="000000"/>
          <w:sz w:val="20"/>
        </w:rPr>
        <w:t xml:space="preserve"> </w:t>
      </w:r>
    </w:p>
    <w:p w:rsidR="003B0DEE" w:rsidRPr="000806DA" w:rsidRDefault="003B0DEE" w:rsidP="000D5D90">
      <w:pPr>
        <w:spacing w:line="240" w:lineRule="auto"/>
        <w:rPr>
          <w:rFonts w:ascii="Arial" w:hAnsi="Arial" w:cs="Arial"/>
          <w:color w:val="000000"/>
          <w:sz w:val="20"/>
        </w:rPr>
      </w:pPr>
      <w:r w:rsidRPr="000806DA">
        <w:rPr>
          <w:rFonts w:ascii="Arial" w:hAnsi="Arial" w:cs="Arial"/>
          <w:color w:val="000000"/>
          <w:sz w:val="20"/>
        </w:rPr>
        <w:t xml:space="preserve">† </w:t>
      </w:r>
      <w:proofErr w:type="gramStart"/>
      <w:r w:rsidRPr="000806DA">
        <w:rPr>
          <w:rFonts w:ascii="Arial" w:hAnsi="Arial" w:cs="Arial"/>
          <w:color w:val="000000"/>
          <w:sz w:val="20"/>
        </w:rPr>
        <w:t>injectors</w:t>
      </w:r>
      <w:proofErr w:type="gramEnd"/>
      <w:r w:rsidRPr="000806DA">
        <w:rPr>
          <w:rFonts w:ascii="Arial" w:hAnsi="Arial" w:cs="Arial"/>
          <w:color w:val="000000"/>
          <w:sz w:val="20"/>
        </w:rPr>
        <w:t xml:space="preserve"> only</w:t>
      </w:r>
      <w:r w:rsidR="008051E8">
        <w:rPr>
          <w:rFonts w:ascii="Arial" w:hAnsi="Arial" w:cs="Arial"/>
          <w:color w:val="000000"/>
          <w:sz w:val="20"/>
        </w:rPr>
        <w:t>.</w:t>
      </w:r>
    </w:p>
    <w:p w:rsidR="003B0DEE" w:rsidRPr="00726BB3" w:rsidRDefault="003B0DEE" w:rsidP="000D5D90">
      <w:pPr>
        <w:spacing w:after="200" w:line="240" w:lineRule="auto"/>
        <w:jc w:val="left"/>
        <w:rPr>
          <w:rFonts w:ascii="Arial" w:hAnsi="Arial" w:cs="Arial"/>
        </w:rPr>
      </w:pPr>
      <w:r>
        <w:rPr>
          <w:b/>
        </w:rPr>
        <w:br w:type="page"/>
      </w:r>
      <w:bookmarkStart w:id="112" w:name="_Toc15332008"/>
      <w:r w:rsidRPr="00726BB3">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Pr>
          <w:rFonts w:ascii="Arial" w:hAnsi="Arial" w:cs="Arial"/>
          <w:b/>
          <w:sz w:val="20"/>
        </w:rPr>
        <w:t xml:space="preserve">  </w:t>
      </w:r>
      <w:r w:rsidRPr="00726BB3">
        <w:rPr>
          <w:rFonts w:ascii="Arial" w:hAnsi="Arial" w:cs="Arial"/>
          <w:b/>
          <w:sz w:val="20"/>
        </w:rPr>
        <w:t xml:space="preserve">Discharge data: </w:t>
      </w:r>
      <w:r w:rsidRPr="00E03F3E">
        <w:rPr>
          <w:rFonts w:ascii="Arial" w:hAnsi="Arial" w:cs="Arial"/>
          <w:sz w:val="20"/>
        </w:rPr>
        <w:t xml:space="preserve">Frequencies, percentages completing or </w:t>
      </w:r>
      <w:r>
        <w:rPr>
          <w:rFonts w:ascii="Arial" w:hAnsi="Arial" w:cs="Arial"/>
          <w:sz w:val="20"/>
        </w:rPr>
        <w:t>dropping out</w:t>
      </w:r>
      <w:r w:rsidRPr="00E03F3E">
        <w:rPr>
          <w:rFonts w:ascii="Arial" w:hAnsi="Arial" w:cs="Arial"/>
          <w:sz w:val="20"/>
        </w:rPr>
        <w:t xml:space="preserve"> of treatment, and chi-squared test results for treatment service variables and cluster grouping used in the analysis</w:t>
      </w:r>
      <w:bookmarkEnd w:id="112"/>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1550"/>
        <w:gridCol w:w="2060"/>
        <w:gridCol w:w="732"/>
        <w:gridCol w:w="717"/>
        <w:gridCol w:w="661"/>
        <w:gridCol w:w="711"/>
        <w:gridCol w:w="661"/>
        <w:gridCol w:w="714"/>
        <w:gridCol w:w="1198"/>
      </w:tblGrid>
      <w:tr w:rsidR="003B0DEE" w:rsidRPr="000806DA" w:rsidTr="000D5D90">
        <w:trPr>
          <w:trHeight w:val="20"/>
        </w:trPr>
        <w:tc>
          <w:tcPr>
            <w:tcW w:w="861"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Characteristic</w:t>
            </w:r>
          </w:p>
        </w:tc>
        <w:tc>
          <w:tcPr>
            <w:tcW w:w="115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Values</w:t>
            </w:r>
          </w:p>
        </w:tc>
        <w:tc>
          <w:tcPr>
            <w:tcW w:w="819"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Sample</w:t>
            </w:r>
          </w:p>
        </w:tc>
        <w:tc>
          <w:tcPr>
            <w:tcW w:w="747"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Treatment completed</w:t>
            </w:r>
          </w:p>
        </w:tc>
        <w:tc>
          <w:tcPr>
            <w:tcW w:w="747"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Treatment dropout</w:t>
            </w:r>
          </w:p>
        </w:tc>
        <w:tc>
          <w:tcPr>
            <w:tcW w:w="673"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Pearson chi-squared</w:t>
            </w:r>
          </w:p>
        </w:tc>
      </w:tr>
      <w:tr w:rsidR="003B0DEE" w:rsidRPr="000806DA" w:rsidTr="000D5D90">
        <w:trPr>
          <w:trHeight w:val="20"/>
        </w:trPr>
        <w:tc>
          <w:tcPr>
            <w:tcW w:w="861" w:type="pct"/>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415"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404"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343"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404"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343"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404"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673"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val="restart"/>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Treatment setting</w:t>
            </w:r>
          </w:p>
        </w:tc>
        <w:tc>
          <w:tcPr>
            <w:tcW w:w="1152" w:type="pct"/>
            <w:tcBorders>
              <w:top w:val="nil"/>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Outpatient</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2059</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54.5</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495</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39.2</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1564</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62.2</w:t>
            </w:r>
          </w:p>
        </w:tc>
        <w:tc>
          <w:tcPr>
            <w:tcW w:w="673" w:type="pct"/>
            <w:vMerge w:val="restar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263.391 (p&lt;0.001)</w:t>
            </w:r>
          </w:p>
        </w:tc>
      </w:tr>
      <w:tr w:rsidR="003B0DEE" w:rsidRPr="000806DA" w:rsidTr="000D5D90">
        <w:trPr>
          <w:trHeight w:val="20"/>
        </w:trPr>
        <w:tc>
          <w:tcPr>
            <w:tcW w:w="861" w:type="pct"/>
            <w:vMerge/>
            <w:tcBorders>
              <w:top w:val="nil"/>
              <w:left w:val="nil"/>
              <w:right w:val="nil"/>
            </w:tcBorders>
            <w:shd w:val="clear" w:color="auto" w:fill="FFFFFF"/>
            <w:vAlign w:val="center"/>
          </w:tcPr>
          <w:p w:rsidR="003B0DEE" w:rsidRPr="000806DA" w:rsidRDefault="003B0DEE" w:rsidP="000D5D90">
            <w:pPr>
              <w:spacing w:line="240" w:lineRule="auto"/>
              <w:jc w:val="left"/>
              <w:rPr>
                <w:rFonts w:ascii="Arial" w:hAnsi="Arial" w:cs="Arial"/>
                <w:b/>
                <w:bCs/>
                <w:sz w:val="20"/>
                <w:lang w:eastAsia="en-US"/>
              </w:rPr>
            </w:pPr>
          </w:p>
        </w:tc>
        <w:tc>
          <w:tcPr>
            <w:tcW w:w="1152" w:type="pct"/>
            <w:tcBorders>
              <w:top w:val="nil"/>
              <w:left w:val="nil"/>
              <w:bottom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Inpatient</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1067</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28.2</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516</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40.9</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551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21.9</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Low threshold</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347</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9.2</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93</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254</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10.1</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tcBorders>
              <w:top w:val="nil"/>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General practitioner</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0.6</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tcBorders>
              <w:top w:val="nil"/>
              <w:bottom w:val="single" w:sz="4" w:space="0" w:color="auto"/>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single" w:sz="4" w:space="0" w:color="auto"/>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Prison</w:t>
            </w:r>
          </w:p>
        </w:tc>
        <w:tc>
          <w:tcPr>
            <w:tcW w:w="415"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267</w:t>
            </w:r>
          </w:p>
        </w:tc>
        <w:tc>
          <w:tcPr>
            <w:tcW w:w="404"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7.1</w:t>
            </w:r>
          </w:p>
        </w:tc>
        <w:tc>
          <w:tcPr>
            <w:tcW w:w="343"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151</w:t>
            </w:r>
          </w:p>
        </w:tc>
        <w:tc>
          <w:tcPr>
            <w:tcW w:w="404"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12.0</w:t>
            </w:r>
          </w:p>
        </w:tc>
        <w:tc>
          <w:tcPr>
            <w:tcW w:w="343"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116</w:t>
            </w:r>
          </w:p>
        </w:tc>
        <w:tc>
          <w:tcPr>
            <w:tcW w:w="404"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w:t>
            </w:r>
          </w:p>
        </w:tc>
        <w:tc>
          <w:tcPr>
            <w:tcW w:w="673" w:type="pct"/>
            <w:vMerge/>
            <w:tcBorders>
              <w:bottom w:val="single" w:sz="4" w:space="0" w:color="auto"/>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val="restart"/>
            <w:tcBorders>
              <w:top w:val="single" w:sz="4" w:space="0" w:color="auto"/>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Referral source</w:t>
            </w:r>
          </w:p>
        </w:tc>
        <w:tc>
          <w:tcPr>
            <w:tcW w:w="1152"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Self</w:t>
            </w:r>
          </w:p>
        </w:tc>
        <w:tc>
          <w:tcPr>
            <w:tcW w:w="415"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1549</w:t>
            </w:r>
          </w:p>
        </w:tc>
        <w:tc>
          <w:tcPr>
            <w:tcW w:w="404"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41.0</w:t>
            </w:r>
          </w:p>
        </w:tc>
        <w:tc>
          <w:tcPr>
            <w:tcW w:w="343"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452</w:t>
            </w:r>
          </w:p>
        </w:tc>
        <w:tc>
          <w:tcPr>
            <w:tcW w:w="404"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35.8</w:t>
            </w:r>
          </w:p>
        </w:tc>
        <w:tc>
          <w:tcPr>
            <w:tcW w:w="343"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1097</w:t>
            </w:r>
          </w:p>
        </w:tc>
        <w:tc>
          <w:tcPr>
            <w:tcW w:w="404"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43.6</w:t>
            </w:r>
          </w:p>
        </w:tc>
        <w:tc>
          <w:tcPr>
            <w:tcW w:w="673"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49.856 (p&lt;0.001)</w:t>
            </w:r>
          </w:p>
        </w:tc>
      </w:tr>
      <w:tr w:rsidR="003B0DEE" w:rsidRPr="000806DA" w:rsidTr="000D5D90">
        <w:trPr>
          <w:trHeight w:val="20"/>
        </w:trPr>
        <w:tc>
          <w:tcPr>
            <w:tcW w:w="861" w:type="pct"/>
            <w:vMerge/>
            <w:shd w:val="clear" w:color="auto" w:fill="FFFFFF"/>
            <w:vAlign w:val="center"/>
          </w:tcPr>
          <w:p w:rsidR="003B0DEE" w:rsidRPr="000806DA" w:rsidRDefault="003B0DEE" w:rsidP="000D5D90">
            <w:pPr>
              <w:spacing w:line="240" w:lineRule="auto"/>
              <w:jc w:val="left"/>
              <w:rPr>
                <w:rFonts w:ascii="Arial" w:hAnsi="Arial" w:cs="Arial"/>
                <w:b/>
                <w:bCs/>
                <w:sz w:val="20"/>
                <w:lang w:eastAsia="en-US"/>
              </w:rPr>
            </w:pPr>
          </w:p>
        </w:tc>
        <w:tc>
          <w:tcPr>
            <w:tcW w:w="1152" w:type="pct"/>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Family/friends</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343</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9.1</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148</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11.7</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195</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152"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Other drug treatment centre</w:t>
            </w:r>
          </w:p>
        </w:tc>
        <w:tc>
          <w:tcPr>
            <w:tcW w:w="41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321</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8.5</w:t>
            </w:r>
          </w:p>
        </w:tc>
        <w:tc>
          <w:tcPr>
            <w:tcW w:w="343"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108</w:t>
            </w:r>
          </w:p>
        </w:tc>
        <w:tc>
          <w:tcPr>
            <w:tcW w:w="404"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8.6</w:t>
            </w:r>
          </w:p>
        </w:tc>
        <w:tc>
          <w:tcPr>
            <w:tcW w:w="343"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213</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8.5</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152" w:type="pct"/>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General practitioner</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273</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7.2</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94</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179</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7.1</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152"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Hospital/other medical source</w:t>
            </w:r>
          </w:p>
        </w:tc>
        <w:tc>
          <w:tcPr>
            <w:tcW w:w="41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223</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5.9</w:t>
            </w:r>
          </w:p>
        </w:tc>
        <w:tc>
          <w:tcPr>
            <w:tcW w:w="343"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68</w:t>
            </w:r>
          </w:p>
        </w:tc>
        <w:tc>
          <w:tcPr>
            <w:tcW w:w="404"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5.4</w:t>
            </w:r>
          </w:p>
        </w:tc>
        <w:tc>
          <w:tcPr>
            <w:tcW w:w="343"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155</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6.2</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jc w:val="left"/>
              <w:rPr>
                <w:rFonts w:ascii="Arial" w:hAnsi="Arial" w:cs="Arial"/>
                <w:b/>
                <w:bCs/>
                <w:sz w:val="20"/>
                <w:lang w:eastAsia="en-US"/>
              </w:rPr>
            </w:pPr>
          </w:p>
        </w:tc>
        <w:tc>
          <w:tcPr>
            <w:tcW w:w="1152" w:type="pct"/>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Social services</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460</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12.2</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145</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11.5</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20"/>
                <w:lang w:eastAsia="en-US"/>
              </w:rPr>
            </w:pPr>
            <w:r w:rsidRPr="000806DA">
              <w:rPr>
                <w:rFonts w:ascii="Arial" w:hAnsi="Arial" w:cs="Arial"/>
                <w:color w:val="000000"/>
                <w:sz w:val="20"/>
                <w:lang w:eastAsia="en-US"/>
              </w:rPr>
              <w:t>315</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12.5</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Court/probation</w:t>
            </w:r>
            <w:r>
              <w:rPr>
                <w:rFonts w:ascii="Arial" w:hAnsi="Arial" w:cs="Arial"/>
                <w:color w:val="000000"/>
                <w:sz w:val="20"/>
                <w:lang w:eastAsia="en-US"/>
              </w:rPr>
              <w:t xml:space="preserve"> service</w:t>
            </w:r>
            <w:r w:rsidRPr="000806DA">
              <w:rPr>
                <w:rFonts w:ascii="Arial" w:hAnsi="Arial" w:cs="Arial"/>
                <w:color w:val="000000"/>
                <w:sz w:val="20"/>
                <w:lang w:eastAsia="en-US"/>
              </w:rPr>
              <w:t>/police</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258</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6.8</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93</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7.4</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165</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6.6</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Other</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295</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7.8</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135</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10.7</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160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6.4</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Pr>
                <w:rFonts w:ascii="Arial" w:hAnsi="Arial" w:cs="Arial"/>
                <w:color w:val="000000"/>
                <w:sz w:val="20"/>
                <w:lang w:eastAsia="en-US"/>
              </w:rPr>
              <w:t>Unknown</w:t>
            </w:r>
          </w:p>
        </w:tc>
        <w:tc>
          <w:tcPr>
            <w:tcW w:w="41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56</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1.5</w:t>
            </w:r>
          </w:p>
        </w:tc>
        <w:tc>
          <w:tcPr>
            <w:tcW w:w="343"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19</w:t>
            </w:r>
          </w:p>
        </w:tc>
        <w:tc>
          <w:tcPr>
            <w:tcW w:w="404"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1.5</w:t>
            </w:r>
          </w:p>
        </w:tc>
        <w:tc>
          <w:tcPr>
            <w:tcW w:w="343"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37</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color w:val="000000"/>
                <w:sz w:val="20"/>
                <w:lang w:eastAsia="en-US"/>
              </w:rPr>
              <w:t>1.5</w:t>
            </w:r>
          </w:p>
        </w:tc>
        <w:tc>
          <w:tcPr>
            <w:tcW w:w="673"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val="restart"/>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 xml:space="preserve">Year commenced treatment </w:t>
            </w:r>
          </w:p>
        </w:tc>
        <w:tc>
          <w:tcPr>
            <w:tcW w:w="1152"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2009</w:t>
            </w:r>
          </w:p>
        </w:tc>
        <w:tc>
          <w:tcPr>
            <w:tcW w:w="41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160</w:t>
            </w:r>
          </w:p>
        </w:tc>
        <w:tc>
          <w:tcPr>
            <w:tcW w:w="404"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12.7</w:t>
            </w:r>
          </w:p>
        </w:tc>
        <w:tc>
          <w:tcPr>
            <w:tcW w:w="343"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334</w:t>
            </w:r>
          </w:p>
        </w:tc>
        <w:tc>
          <w:tcPr>
            <w:tcW w:w="404"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13.3</w:t>
            </w:r>
          </w:p>
        </w:tc>
        <w:tc>
          <w:tcPr>
            <w:tcW w:w="343"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494</w:t>
            </w:r>
          </w:p>
        </w:tc>
        <w:tc>
          <w:tcPr>
            <w:tcW w:w="404"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13.1</w:t>
            </w:r>
          </w:p>
        </w:tc>
        <w:tc>
          <w:tcPr>
            <w:tcW w:w="673"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NS</w:t>
            </w: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2010</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C834C7">
              <w:rPr>
                <w:rFonts w:ascii="Arial" w:hAnsi="Arial" w:cs="Arial"/>
                <w:sz w:val="20"/>
                <w:lang w:eastAsia="en-US"/>
              </w:rPr>
              <w:t>269</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21.3</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431</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17.1</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700</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18.5</w:t>
            </w:r>
          </w:p>
        </w:tc>
        <w:tc>
          <w:tcPr>
            <w:tcW w:w="673"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2011</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172</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13.6</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364</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14.5</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536</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14.2</w:t>
            </w:r>
          </w:p>
        </w:tc>
        <w:tc>
          <w:tcPr>
            <w:tcW w:w="673"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2012</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13.5</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377</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15.0</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548</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14.5</w:t>
            </w:r>
          </w:p>
        </w:tc>
        <w:tc>
          <w:tcPr>
            <w:tcW w:w="673"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2013</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181</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14.3</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357</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14.2</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538</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14.2</w:t>
            </w:r>
          </w:p>
        </w:tc>
        <w:tc>
          <w:tcPr>
            <w:tcW w:w="673"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2014</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169</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13.4</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360</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14.3</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529</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14.0</w:t>
            </w:r>
          </w:p>
        </w:tc>
        <w:tc>
          <w:tcPr>
            <w:tcW w:w="673"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2015</w:t>
            </w:r>
          </w:p>
        </w:tc>
        <w:tc>
          <w:tcPr>
            <w:tcW w:w="41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140</w:t>
            </w:r>
          </w:p>
        </w:tc>
        <w:tc>
          <w:tcPr>
            <w:tcW w:w="40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11.1</w:t>
            </w:r>
          </w:p>
        </w:tc>
        <w:tc>
          <w:tcPr>
            <w:tcW w:w="343"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293</w:t>
            </w:r>
          </w:p>
        </w:tc>
        <w:tc>
          <w:tcPr>
            <w:tcW w:w="404"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11.6</w:t>
            </w:r>
          </w:p>
        </w:tc>
        <w:tc>
          <w:tcPr>
            <w:tcW w:w="343"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433</w:t>
            </w:r>
          </w:p>
        </w:tc>
        <w:tc>
          <w:tcPr>
            <w:tcW w:w="40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11.5</w:t>
            </w:r>
          </w:p>
        </w:tc>
        <w:tc>
          <w:tcPr>
            <w:tcW w:w="673"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p>
        </w:tc>
      </w:tr>
      <w:tr w:rsidR="003B0DEE" w:rsidRPr="000806DA" w:rsidTr="000D5D90">
        <w:trPr>
          <w:trHeight w:val="20"/>
        </w:trPr>
        <w:tc>
          <w:tcPr>
            <w:tcW w:w="861" w:type="pct"/>
            <w:vMerge w:val="restar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sz w:val="20"/>
                <w:lang w:eastAsia="en-US"/>
              </w:rPr>
              <w:t>Cluster grouping</w:t>
            </w:r>
          </w:p>
        </w:tc>
        <w:tc>
          <w:tcPr>
            <w:tcW w:w="1152" w:type="pct"/>
            <w:tcBorders>
              <w:top w:val="single" w:sz="8" w:space="0" w:color="000000"/>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1</w:t>
            </w:r>
          </w:p>
        </w:tc>
        <w:tc>
          <w:tcPr>
            <w:tcW w:w="41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563</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14.9</w:t>
            </w:r>
          </w:p>
        </w:tc>
        <w:tc>
          <w:tcPr>
            <w:tcW w:w="343"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225</w:t>
            </w:r>
          </w:p>
        </w:tc>
        <w:tc>
          <w:tcPr>
            <w:tcW w:w="404"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17.8</w:t>
            </w:r>
          </w:p>
        </w:tc>
        <w:tc>
          <w:tcPr>
            <w:tcW w:w="343"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338</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13.4</w:t>
            </w:r>
          </w:p>
        </w:tc>
        <w:tc>
          <w:tcPr>
            <w:tcW w:w="673" w:type="pct"/>
            <w:vMerge w:val="restar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14.501 (p=0.006)</w:t>
            </w:r>
          </w:p>
        </w:tc>
      </w:tr>
      <w:tr w:rsidR="003B0DEE" w:rsidRPr="000806DA" w:rsidTr="000D5D90">
        <w:trPr>
          <w:trHeight w:val="20"/>
        </w:trPr>
        <w:tc>
          <w:tcPr>
            <w:tcW w:w="861" w:type="pct"/>
            <w:vMerge/>
            <w:tcBorders>
              <w:top w:val="nil"/>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742</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19.6</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230</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18.2</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512</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20.3</w:t>
            </w:r>
          </w:p>
        </w:tc>
        <w:tc>
          <w:tcPr>
            <w:tcW w:w="673" w:type="pct"/>
            <w:vMerge/>
            <w:shd w:val="clear" w:color="auto" w:fill="F2F2F2"/>
          </w:tcPr>
          <w:p w:rsidR="003B0DEE" w:rsidRPr="000806DA" w:rsidRDefault="003B0DEE" w:rsidP="000D5D90">
            <w:pPr>
              <w:spacing w:line="240" w:lineRule="auto"/>
              <w:jc w:val="center"/>
              <w:rPr>
                <w:rFonts w:ascii="Arial" w:hAnsi="Arial" w:cs="Arial"/>
                <w:color w:val="000000"/>
                <w:sz w:val="20"/>
                <w:lang w:eastAsia="en-US"/>
              </w:rPr>
            </w:pPr>
          </w:p>
        </w:tc>
      </w:tr>
      <w:tr w:rsidR="003B0DEE" w:rsidRPr="000806DA" w:rsidTr="000D5D90">
        <w:trPr>
          <w:trHeight w:val="20"/>
        </w:trPr>
        <w:tc>
          <w:tcPr>
            <w:tcW w:w="861"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3</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442</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11.7</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138</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10.9</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304</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12.1</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tcBorders>
              <w:top w:val="nil"/>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4</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849</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22.5</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272</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21.6</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577</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22.9</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52"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5</w:t>
            </w:r>
          </w:p>
        </w:tc>
        <w:tc>
          <w:tcPr>
            <w:tcW w:w="41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1182</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31.3</w:t>
            </w:r>
          </w:p>
        </w:tc>
        <w:tc>
          <w:tcPr>
            <w:tcW w:w="343"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397</w:t>
            </w:r>
          </w:p>
        </w:tc>
        <w:tc>
          <w:tcPr>
            <w:tcW w:w="404"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31.5</w:t>
            </w:r>
          </w:p>
        </w:tc>
        <w:tc>
          <w:tcPr>
            <w:tcW w:w="343"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785</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31.2</w:t>
            </w:r>
          </w:p>
        </w:tc>
        <w:tc>
          <w:tcPr>
            <w:tcW w:w="673" w:type="pct"/>
            <w:vMerge/>
            <w:tcBorders>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r w:rsidR="003B0DEE" w:rsidRPr="000806DA" w:rsidTr="000D5D90">
        <w:trPr>
          <w:trHeight w:val="20"/>
        </w:trPr>
        <w:tc>
          <w:tcPr>
            <w:tcW w:w="861" w:type="pct"/>
            <w:tcBorders>
              <w:top w:val="single" w:sz="8" w:space="0" w:color="000000"/>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Total</w:t>
            </w:r>
          </w:p>
        </w:tc>
        <w:tc>
          <w:tcPr>
            <w:tcW w:w="1152" w:type="pct"/>
            <w:tcBorders>
              <w:top w:val="single" w:sz="8" w:space="0" w:color="000000"/>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b/>
                <w:color w:val="000000"/>
                <w:sz w:val="20"/>
                <w:lang w:eastAsia="en-US"/>
              </w:rPr>
            </w:pPr>
          </w:p>
        </w:tc>
        <w:tc>
          <w:tcPr>
            <w:tcW w:w="415"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3778</w:t>
            </w:r>
          </w:p>
        </w:tc>
        <w:tc>
          <w:tcPr>
            <w:tcW w:w="404"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100.0</w:t>
            </w:r>
          </w:p>
        </w:tc>
        <w:tc>
          <w:tcPr>
            <w:tcW w:w="343" w:type="pct"/>
            <w:tcBorders>
              <w:top w:val="single" w:sz="8" w:space="0" w:color="000000"/>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1262</w:t>
            </w:r>
          </w:p>
        </w:tc>
        <w:tc>
          <w:tcPr>
            <w:tcW w:w="404" w:type="pct"/>
            <w:tcBorders>
              <w:top w:val="single" w:sz="8" w:space="0" w:color="000000"/>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33.4</w:t>
            </w:r>
          </w:p>
        </w:tc>
        <w:tc>
          <w:tcPr>
            <w:tcW w:w="343"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2516</w:t>
            </w:r>
          </w:p>
        </w:tc>
        <w:tc>
          <w:tcPr>
            <w:tcW w:w="404"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66.6</w:t>
            </w:r>
          </w:p>
        </w:tc>
        <w:tc>
          <w:tcPr>
            <w:tcW w:w="673" w:type="pct"/>
            <w:tcBorders>
              <w:top w:val="single" w:sz="8" w:space="0" w:color="000000"/>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p>
        </w:tc>
      </w:tr>
    </w:tbl>
    <w:p w:rsidR="003B0DEE" w:rsidRDefault="003B0DEE" w:rsidP="000D5D90">
      <w:pPr>
        <w:spacing w:after="200" w:line="276" w:lineRule="auto"/>
        <w:rPr>
          <w:rFonts w:cs="Arial"/>
          <w:b/>
          <w:bCs/>
          <w:kern w:val="32"/>
          <w:sz w:val="24"/>
          <w:szCs w:val="26"/>
        </w:rPr>
      </w:pPr>
    </w:p>
    <w:p w:rsidR="003B0DEE" w:rsidRPr="00524F43" w:rsidRDefault="003B0DEE" w:rsidP="000D5D90">
      <w:pPr>
        <w:pStyle w:val="Heading2"/>
      </w:pPr>
      <w:bookmarkStart w:id="113" w:name="_Toc15331716"/>
      <w:r>
        <w:t>Predictors of treatment completion</w:t>
      </w:r>
      <w:bookmarkEnd w:id="113"/>
    </w:p>
    <w:p w:rsidR="003B0DEE" w:rsidRPr="00E03F3E" w:rsidRDefault="003B0DEE" w:rsidP="000D5D90">
      <w:pPr>
        <w:pStyle w:val="BodyText"/>
      </w:pPr>
      <w:r w:rsidRPr="00E03F3E">
        <w:t>A binary logistic regression model was developed to assess the impact of the explanatory variables on the likelihood of treatment completion/dropout.  Results of the logistic regression of treatment completion for the entire sample of 3,778 cases are s</w:t>
      </w:r>
      <w:r>
        <w:t>hown in Table 6-</w:t>
      </w:r>
      <w:r w:rsidRPr="00E03F3E">
        <w:t>5.  The model was statistically significant, χ</w:t>
      </w:r>
      <w:r w:rsidRPr="00FF1E53">
        <w:rPr>
          <w:vertAlign w:val="superscript"/>
        </w:rPr>
        <w:t>2</w:t>
      </w:r>
      <w:r w:rsidRPr="00E03F3E">
        <w:t xml:space="preserve"> (31) =</w:t>
      </w:r>
      <w:r>
        <w:t xml:space="preserve"> </w:t>
      </w:r>
      <w:r w:rsidRPr="00E03F3E">
        <w:t xml:space="preserve">424.82, p&lt;0.001 indicating that the model was able to distinguish between treatment completion/dropout.  The model explained 18.6% (Nagelkerke </w:t>
      </w:r>
      <w:r w:rsidRPr="00E03F3E">
        <w:rPr>
          <w:rStyle w:val="Emphasis"/>
          <w:i w:val="0"/>
          <w:iCs w:val="0"/>
        </w:rPr>
        <w:t>R</w:t>
      </w:r>
      <w:r w:rsidRPr="00FF1E53">
        <w:rPr>
          <w:rStyle w:val="Emphasis"/>
          <w:i w:val="0"/>
          <w:iCs w:val="0"/>
          <w:vertAlign w:val="superscript"/>
        </w:rPr>
        <w:t>2</w:t>
      </w:r>
      <w:r w:rsidRPr="00E03F3E">
        <w:t xml:space="preserve">) of the variance in treatment outcome and correctly classified 71.0% of cases.  Collinearity diagnostics (tolerance values, beta coefficients, condition index, eigenvalues, variance inflation factors, and variance decomposition proportions) indicated the absence of collinearity among the explanatory variables.  Greater </w:t>
      </w:r>
      <w:r w:rsidRPr="00873697">
        <w:t>likelihood for treatment completion was associated with remaining in school until at least 16 years of age; being treated in an inpatient or prison setting; being referred to treatment by family/friends or by court/probation</w:t>
      </w:r>
      <w:r>
        <w:t xml:space="preserve"> service </w:t>
      </w:r>
      <w:r w:rsidRPr="00873697">
        <w:t xml:space="preserve">/police; and an increased time lag between first using opioids and seeking treatment.  A lesser likelihood for treatment completion was associated </w:t>
      </w:r>
      <w:r>
        <w:t>with</w:t>
      </w:r>
      <w:r w:rsidRPr="00873697">
        <w:t xml:space="preserve"> </w:t>
      </w:r>
      <w:r w:rsidRPr="00873697">
        <w:lastRenderedPageBreak/>
        <w:t>being unemployed; living with parents/family, with children, or with friends; residing in Dublin; and using benzodiazepines in addition to opioids.</w:t>
      </w:r>
      <w:r w:rsidRPr="00E03F3E">
        <w:t xml:space="preserve"> </w:t>
      </w:r>
    </w:p>
    <w:p w:rsidR="003B0DEE" w:rsidRDefault="003B0DEE" w:rsidP="000D5D90">
      <w:pPr>
        <w:pStyle w:val="BodyText"/>
      </w:pPr>
      <w:r>
        <w:t>Age was not a significant factor in the model.  However, i</w:t>
      </w:r>
      <w:r w:rsidRPr="00E03F3E">
        <w:t xml:space="preserve">ncreasing time lag between the opioid initiation and seeking treatment was associated with an increased likelihood of completing treatment.  For every one year increase in time between opioid initiation and seeking treatment, the odds of completing treatment increased by 1.035 (95% CI: 1.021-1.049).  People who remained in school past the age </w:t>
      </w:r>
      <w:r>
        <w:t xml:space="preserve">of </w:t>
      </w:r>
      <w:r w:rsidRPr="00E03F3E">
        <w:t>16 years of age were 1.549 times more likely to complete treatment than those who left school prior to 16 years of age (95% CI: 1.293-1.855).  Treatment setting was an important predictor of treatment completion.  People treated in an inpatient setting were 4.115 (95% CI: 3.305-5.123) times more likely to complete treatment than people treated in an outpatient setting</w:t>
      </w:r>
      <w:r>
        <w:t>,</w:t>
      </w:r>
      <w:r w:rsidRPr="00E03F3E">
        <w:t xml:space="preserve"> </w:t>
      </w:r>
      <w:r>
        <w:t xml:space="preserve">while </w:t>
      </w:r>
      <w:r w:rsidRPr="00E03F3E">
        <w:t xml:space="preserve"> those treated in prison were 7.292 (95% CI: 3.876-13.722) times more likely to complete treatment than people treated in an outpatient setting.  People referred to treatment by their friends or family were almost twice as likely (OR 1.908, 95% CI: 1.412-2.580) </w:t>
      </w:r>
      <w:r>
        <w:t>as</w:t>
      </w:r>
      <w:r w:rsidRPr="00E03F3E">
        <w:t xml:space="preserve"> self-referrals, while referrals from court/probation</w:t>
      </w:r>
      <w:r>
        <w:t xml:space="preserve"> service</w:t>
      </w:r>
      <w:r w:rsidRPr="00E03F3E">
        <w:t>/police were 1.634 times (95% CI: 1.163-2.297) more likely to complete treatment than self-referrals.</w:t>
      </w:r>
      <w:r>
        <w:t xml:space="preserve"> </w:t>
      </w:r>
    </w:p>
    <w:p w:rsidR="003B0DEE" w:rsidRDefault="003B0DEE" w:rsidP="000D5D90">
      <w:pPr>
        <w:pStyle w:val="BodyText"/>
      </w:pPr>
      <w:r w:rsidRPr="00E03F3E">
        <w:t xml:space="preserve">People who were </w:t>
      </w:r>
      <w:r>
        <w:t xml:space="preserve">classified as </w:t>
      </w:r>
      <w:r w:rsidRPr="00E03F3E">
        <w:t xml:space="preserve">unemployed were </w:t>
      </w:r>
      <w:r>
        <w:t xml:space="preserve">37% </w:t>
      </w:r>
      <w:r w:rsidRPr="00E03F3E">
        <w:t xml:space="preserve">less likely to complete treatment than those who were in employment (OR 0.630, 95% CI: 0.467-0.850).  Compared to people who lived alone, living with parents/family (OR 0.645, 95% CI: 0.486-0.857), with children (OR 0.628, 95% CI: 0.455-0.867), or with friends (OR 0.464, 95% CI: 0.243-0.885) were less likely to complete treatment.  The use of benzodiazepines was a risk factor for treatment completion; people using benzodiazepines </w:t>
      </w:r>
      <w:r>
        <w:t xml:space="preserve">were </w:t>
      </w:r>
      <w:r w:rsidRPr="00E03F3E">
        <w:t>less likely to complete treatment than those who didn’t use benzodiazepines (OR 0.633, 95% CI: 0.531-0.779).  Location was an important predictor of treatment completion</w:t>
      </w:r>
      <w:r>
        <w:t>;</w:t>
      </w:r>
      <w:r w:rsidRPr="00E03F3E">
        <w:t xml:space="preserve"> residents of </w:t>
      </w:r>
      <w:r>
        <w:t>Dublin</w:t>
      </w:r>
      <w:r w:rsidRPr="00E03F3E">
        <w:t xml:space="preserve"> </w:t>
      </w:r>
      <w:r>
        <w:t>city and</w:t>
      </w:r>
      <w:r w:rsidRPr="00E03F3E">
        <w:t xml:space="preserve"> county were less likely to complete treatment (OR 0.657, 95% CI: 0.053-0.814) than people who lived outside Dublin.</w:t>
      </w:r>
      <w:r>
        <w:t xml:space="preserve">  </w:t>
      </w:r>
    </w:p>
    <w:p w:rsidR="003B0DEE" w:rsidRPr="00726BB3" w:rsidRDefault="003B0DEE" w:rsidP="000D5D90">
      <w:pPr>
        <w:pStyle w:val="BodyText"/>
        <w:spacing w:line="240" w:lineRule="auto"/>
        <w:rPr>
          <w:b/>
        </w:rPr>
      </w:pPr>
      <w:r>
        <w:t xml:space="preserve"> </w:t>
      </w:r>
      <w:r>
        <w:rPr>
          <w:b/>
        </w:rPr>
        <w:br w:type="page"/>
      </w:r>
      <w:bookmarkStart w:id="114" w:name="_Toc15332009"/>
      <w:r w:rsidRPr="00726BB3">
        <w:rPr>
          <w:b/>
        </w:rPr>
        <w:lastRenderedPageBreak/>
        <w:t xml:space="preserve">Table </w:t>
      </w:r>
      <w:r>
        <w:rPr>
          <w:b/>
        </w:rPr>
        <w:fldChar w:fldCharType="begin"/>
      </w:r>
      <w:r>
        <w:rPr>
          <w:b/>
        </w:rPr>
        <w:instrText xml:space="preserve"> STYLEREF 1 \s </w:instrText>
      </w:r>
      <w:r>
        <w:rPr>
          <w:b/>
        </w:rPr>
        <w:fldChar w:fldCharType="separate"/>
      </w:r>
      <w:r>
        <w:rPr>
          <w:b/>
          <w:noProof/>
        </w:rPr>
        <w:t>6</w:t>
      </w:r>
      <w:r>
        <w:rPr>
          <w:b/>
        </w:rPr>
        <w:fldChar w:fldCharType="end"/>
      </w:r>
      <w:r>
        <w:rPr>
          <w:b/>
        </w:rPr>
        <w:noBreakHyphen/>
      </w:r>
      <w:r>
        <w:rPr>
          <w:b/>
        </w:rPr>
        <w:fldChar w:fldCharType="begin"/>
      </w:r>
      <w:r>
        <w:rPr>
          <w:b/>
        </w:rPr>
        <w:instrText xml:space="preserve"> SEQ Table \* ARABIC \s 1 </w:instrText>
      </w:r>
      <w:r>
        <w:rPr>
          <w:b/>
        </w:rPr>
        <w:fldChar w:fldCharType="separate"/>
      </w:r>
      <w:r>
        <w:rPr>
          <w:b/>
          <w:noProof/>
        </w:rPr>
        <w:t>5</w:t>
      </w:r>
      <w:r>
        <w:rPr>
          <w:b/>
        </w:rPr>
        <w:fldChar w:fldCharType="end"/>
      </w:r>
      <w:r>
        <w:t xml:space="preserve">  </w:t>
      </w:r>
      <w:r w:rsidRPr="00726BB3">
        <w:t>Results of the logistic regression model to predict treatment completion: odds ratios, confidence interval and level of significance</w:t>
      </w:r>
      <w:bookmarkEnd w:id="114"/>
    </w:p>
    <w:tbl>
      <w:tblPr>
        <w:tblW w:w="0" w:type="auto"/>
        <w:tblBorders>
          <w:top w:val="single" w:sz="8" w:space="0" w:color="000000"/>
          <w:bottom w:val="single" w:sz="8" w:space="0" w:color="000000"/>
        </w:tblBorders>
        <w:shd w:val="clear" w:color="auto" w:fill="FFFFFF"/>
        <w:tblLayout w:type="fixed"/>
        <w:tblLook w:val="04A0" w:firstRow="1" w:lastRow="0" w:firstColumn="1" w:lastColumn="0" w:noHBand="0" w:noVBand="1"/>
      </w:tblPr>
      <w:tblGrid>
        <w:gridCol w:w="2258"/>
        <w:gridCol w:w="2825"/>
        <w:gridCol w:w="2626"/>
        <w:gridCol w:w="1131"/>
      </w:tblGrid>
      <w:tr w:rsidR="003B0DEE" w:rsidRPr="000806DA" w:rsidTr="000D5D90">
        <w:trPr>
          <w:trHeight w:val="20"/>
        </w:trPr>
        <w:tc>
          <w:tcPr>
            <w:tcW w:w="2258" w:type="dxa"/>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Variable</w:t>
            </w:r>
          </w:p>
        </w:tc>
        <w:tc>
          <w:tcPr>
            <w:tcW w:w="2825" w:type="dxa"/>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Values</w:t>
            </w:r>
          </w:p>
        </w:tc>
        <w:tc>
          <w:tcPr>
            <w:tcW w:w="3757" w:type="dxa"/>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Logistic regression model</w:t>
            </w:r>
          </w:p>
        </w:tc>
      </w:tr>
      <w:tr w:rsidR="003B0DEE" w:rsidRPr="000806DA" w:rsidTr="000D5D90">
        <w:trPr>
          <w:trHeight w:val="20"/>
        </w:trPr>
        <w:tc>
          <w:tcPr>
            <w:tcW w:w="2258" w:type="dxa"/>
            <w:tcBorders>
              <w:left w:val="nil"/>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p>
        </w:tc>
        <w:tc>
          <w:tcPr>
            <w:tcW w:w="2825" w:type="dxa"/>
            <w:tcBorders>
              <w:left w:val="nil"/>
              <w:right w:val="nil"/>
            </w:tcBorders>
            <w:shd w:val="clear" w:color="auto" w:fill="F2F2F2"/>
          </w:tcPr>
          <w:p w:rsidR="003B0DEE" w:rsidRPr="000806DA" w:rsidRDefault="003B0DEE" w:rsidP="000D5D90">
            <w:pPr>
              <w:spacing w:line="360" w:lineRule="auto"/>
              <w:jc w:val="left"/>
              <w:rPr>
                <w:rFonts w:ascii="Arial" w:hAnsi="Arial" w:cs="Arial"/>
                <w:color w:val="000000"/>
                <w:sz w:val="19"/>
                <w:szCs w:val="19"/>
                <w:lang w:eastAsia="en-US"/>
              </w:rPr>
            </w:pPr>
          </w:p>
        </w:tc>
        <w:tc>
          <w:tcPr>
            <w:tcW w:w="2626" w:type="dxa"/>
            <w:tcBorders>
              <w:left w:val="nil"/>
              <w:right w:val="nil"/>
            </w:tcBorders>
            <w:shd w:val="clear" w:color="auto" w:fill="FFFFFF"/>
          </w:tcPr>
          <w:p w:rsidR="003B0DEE" w:rsidRPr="000806DA" w:rsidRDefault="003B0DEE" w:rsidP="000D5D90">
            <w:pPr>
              <w:spacing w:line="36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Odds ratio</w:t>
            </w:r>
          </w:p>
          <w:p w:rsidR="003B0DEE" w:rsidRPr="000806DA" w:rsidRDefault="003B0DEE" w:rsidP="000D5D90">
            <w:pPr>
              <w:spacing w:line="36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 xml:space="preserve"> (95% CI for Odds ratio)</w:t>
            </w:r>
          </w:p>
        </w:tc>
        <w:tc>
          <w:tcPr>
            <w:tcW w:w="1131" w:type="dxa"/>
            <w:tcBorders>
              <w:top w:val="nil"/>
              <w:left w:val="nil"/>
              <w:right w:val="nil"/>
            </w:tcBorders>
            <w:shd w:val="clear" w:color="auto" w:fill="FFFFFF"/>
          </w:tcPr>
          <w:p w:rsidR="003B0DEE" w:rsidRPr="000806DA" w:rsidRDefault="003B0DEE" w:rsidP="000D5D90">
            <w:pPr>
              <w:spacing w:line="36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p</w:t>
            </w:r>
          </w:p>
        </w:tc>
      </w:tr>
      <w:tr w:rsidR="003B0DEE" w:rsidRPr="000806DA" w:rsidTr="000D5D90">
        <w:trPr>
          <w:trHeight w:val="48"/>
        </w:trPr>
        <w:tc>
          <w:tcPr>
            <w:tcW w:w="2258"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Time lag between first use of opioids and seeking treatment</w:t>
            </w:r>
          </w:p>
        </w:tc>
        <w:tc>
          <w:tcPr>
            <w:tcW w:w="2825" w:type="dxa"/>
            <w:tcBorders>
              <w:top w:val="single" w:sz="8" w:space="0" w:color="000000"/>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p>
        </w:tc>
        <w:tc>
          <w:tcPr>
            <w:tcW w:w="2626"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1.035 (1.021-1.049)</w:t>
            </w:r>
          </w:p>
        </w:tc>
        <w:tc>
          <w:tcPr>
            <w:tcW w:w="1131"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Employment status</w:t>
            </w:r>
          </w:p>
        </w:tc>
        <w:tc>
          <w:tcPr>
            <w:tcW w:w="2825" w:type="dxa"/>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Regular employment</w:t>
            </w:r>
          </w:p>
        </w:tc>
        <w:tc>
          <w:tcPr>
            <w:tcW w:w="2626" w:type="dxa"/>
            <w:tcBorders>
              <w:top w:val="single" w:sz="8" w:space="0" w:color="000000"/>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8" w:space="0" w:color="000000"/>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Student</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1.200 (0.511-2.818)</w:t>
            </w:r>
          </w:p>
        </w:tc>
        <w:tc>
          <w:tcPr>
            <w:tcW w:w="1131" w:type="dxa"/>
            <w:tcBorders>
              <w:top w:val="nil"/>
              <w:bottom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Retired/disability/at home</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1.072 (0.693-1.658)</w:t>
            </w:r>
          </w:p>
        </w:tc>
        <w:tc>
          <w:tcPr>
            <w:tcW w:w="1131" w:type="dxa"/>
            <w:tcBorders>
              <w:top w:val="nil"/>
              <w:left w:val="nil"/>
              <w:bottom w:val="nil"/>
              <w:right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Unemployed</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0.630 (0.467-0.85)</w:t>
            </w:r>
          </w:p>
        </w:tc>
        <w:tc>
          <w:tcPr>
            <w:tcW w:w="1131" w:type="dxa"/>
            <w:tcBorders>
              <w:top w:val="nil"/>
              <w:bottom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.002</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Other</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1.053 (0.563-1.97)</w:t>
            </w:r>
          </w:p>
        </w:tc>
        <w:tc>
          <w:tcPr>
            <w:tcW w:w="1131" w:type="dxa"/>
            <w:tcBorders>
              <w:top w:val="nil"/>
              <w:left w:val="nil"/>
              <w:bottom w:val="nil"/>
              <w:right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Unknown</w:t>
            </w:r>
          </w:p>
        </w:tc>
        <w:tc>
          <w:tcPr>
            <w:tcW w:w="2626" w:type="dxa"/>
            <w:tcBorders>
              <w:top w:val="nil"/>
              <w:bottom w:val="single" w:sz="8" w:space="0" w:color="000000"/>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0.143 (0.017-1.176)</w:t>
            </w:r>
          </w:p>
        </w:tc>
        <w:tc>
          <w:tcPr>
            <w:tcW w:w="1131" w:type="dxa"/>
            <w:tcBorders>
              <w:top w:val="nil"/>
              <w:bottom w:val="single" w:sz="8" w:space="0" w:color="000000"/>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Living arrangements</w:t>
            </w:r>
          </w:p>
        </w:tc>
        <w:tc>
          <w:tcPr>
            <w:tcW w:w="2825" w:type="dxa"/>
            <w:tcBorders>
              <w:top w:val="single" w:sz="8" w:space="0" w:color="000000"/>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Alone</w:t>
            </w:r>
          </w:p>
        </w:tc>
        <w:tc>
          <w:tcPr>
            <w:tcW w:w="2626" w:type="dxa"/>
            <w:tcBorders>
              <w:top w:val="single" w:sz="8" w:space="0" w:color="000000"/>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8" w:space="0" w:color="000000"/>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Parents or family</w:t>
            </w:r>
          </w:p>
        </w:tc>
        <w:tc>
          <w:tcPr>
            <w:tcW w:w="2626" w:type="dxa"/>
            <w:tcBorders>
              <w:top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0.645 (0.486-0.857)</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.002</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sidRPr="000806DA">
              <w:rPr>
                <w:rFonts w:ascii="Arial" w:hAnsi="Arial" w:cs="Arial"/>
                <w:sz w:val="19"/>
                <w:szCs w:val="19"/>
                <w:lang w:eastAsia="en-US"/>
              </w:rPr>
              <w:t>Alone with child/</w:t>
            </w:r>
          </w:p>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partner and child</w:t>
            </w:r>
          </w:p>
        </w:tc>
        <w:tc>
          <w:tcPr>
            <w:tcW w:w="2626" w:type="dxa"/>
            <w:tcBorders>
              <w:top w:val="nil"/>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0.628 (0.455-0.867)</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.005</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With partner</w:t>
            </w:r>
          </w:p>
        </w:tc>
        <w:tc>
          <w:tcPr>
            <w:tcW w:w="2626" w:type="dxa"/>
            <w:tcBorders>
              <w:top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0.746 (0.516-1.079)</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Friends</w:t>
            </w:r>
          </w:p>
        </w:tc>
        <w:tc>
          <w:tcPr>
            <w:tcW w:w="2626" w:type="dxa"/>
            <w:tcBorders>
              <w:top w:val="nil"/>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0.464 (0.243-0.885)</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.020</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Other</w:t>
            </w:r>
          </w:p>
        </w:tc>
        <w:tc>
          <w:tcPr>
            <w:tcW w:w="2626" w:type="dxa"/>
            <w:tcBorders>
              <w:top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0.717 (0.407-1.264)</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sz w:val="19"/>
                <w:szCs w:val="19"/>
                <w:lang w:eastAsia="en-US"/>
              </w:rPr>
              <w:t>Unknown</w:t>
            </w:r>
          </w:p>
        </w:tc>
        <w:tc>
          <w:tcPr>
            <w:tcW w:w="2626" w:type="dxa"/>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0.611 (0.169-2.212)</w:t>
            </w:r>
          </w:p>
        </w:tc>
        <w:tc>
          <w:tcPr>
            <w:tcW w:w="1131" w:type="dxa"/>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Left before age 16 years</w:t>
            </w:r>
          </w:p>
        </w:tc>
        <w:tc>
          <w:tcPr>
            <w:tcW w:w="2825" w:type="dxa"/>
            <w:tcBorders>
              <w:top w:val="single" w:sz="8" w:space="0" w:color="000000"/>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2626" w:type="dxa"/>
            <w:tcBorders>
              <w:top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1.549 (1.293-1.855)</w:t>
            </w:r>
          </w:p>
        </w:tc>
        <w:tc>
          <w:tcPr>
            <w:tcW w:w="1131" w:type="dxa"/>
            <w:tcBorders>
              <w:top w:val="single" w:sz="8" w:space="0" w:color="000000"/>
              <w:bottom w:val="nil"/>
            </w:tcBorders>
            <w:shd w:val="clear" w:color="auto" w:fill="FFFFFF"/>
          </w:tcPr>
          <w:p w:rsidR="003B0DEE" w:rsidRPr="000806DA" w:rsidRDefault="003B0DEE" w:rsidP="000D5D90">
            <w:pPr>
              <w:tabs>
                <w:tab w:val="center" w:pos="457"/>
              </w:tabs>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ab/>
              <w:t>&lt;0.001</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2626" w:type="dxa"/>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c>
          <w:tcPr>
            <w:tcW w:w="1131" w:type="dxa"/>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Resident in</w:t>
            </w:r>
          </w:p>
        </w:tc>
        <w:tc>
          <w:tcPr>
            <w:tcW w:w="2825" w:type="dxa"/>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Dublin</w:t>
            </w:r>
          </w:p>
        </w:tc>
        <w:tc>
          <w:tcPr>
            <w:tcW w:w="2626" w:type="dxa"/>
            <w:tcBorders>
              <w:top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0.657 (0.53-0.814)</w:t>
            </w:r>
          </w:p>
        </w:tc>
        <w:tc>
          <w:tcPr>
            <w:tcW w:w="1131" w:type="dxa"/>
            <w:tcBorders>
              <w:top w:val="single" w:sz="8" w:space="0" w:color="000000"/>
              <w:bottom w:val="nil"/>
            </w:tcBorders>
            <w:shd w:val="clear" w:color="auto" w:fill="FFFFFF"/>
          </w:tcPr>
          <w:p w:rsidR="003B0DEE" w:rsidRPr="000806DA" w:rsidRDefault="003B0DEE" w:rsidP="000D5D90">
            <w:pPr>
              <w:tabs>
                <w:tab w:val="center" w:pos="457"/>
              </w:tabs>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Outside Dublin</w:t>
            </w:r>
          </w:p>
        </w:tc>
        <w:tc>
          <w:tcPr>
            <w:tcW w:w="2626" w:type="dxa"/>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c>
          <w:tcPr>
            <w:tcW w:w="1131" w:type="dxa"/>
            <w:tcBorders>
              <w:top w:val="nil"/>
              <w:left w:val="nil"/>
              <w:bottom w:val="single" w:sz="8" w:space="0" w:color="000000"/>
              <w:right w:val="nil"/>
            </w:tcBorders>
            <w:shd w:val="clear" w:color="auto" w:fill="FFFFFF"/>
          </w:tcPr>
          <w:p w:rsidR="003B0DEE" w:rsidRPr="000806DA" w:rsidRDefault="003B0DEE" w:rsidP="000D5D90">
            <w:pPr>
              <w:tabs>
                <w:tab w:val="center" w:pos="457"/>
              </w:tabs>
              <w:spacing w:line="240" w:lineRule="auto"/>
              <w:rPr>
                <w:rFonts w:ascii="Arial" w:hAnsi="Arial" w:cs="Arial"/>
                <w:color w:val="000000"/>
                <w:sz w:val="19"/>
                <w:szCs w:val="19"/>
                <w:lang w:eastAsia="en-US"/>
              </w:rPr>
            </w:pPr>
          </w:p>
        </w:tc>
      </w:tr>
      <w:tr w:rsidR="003B0DEE" w:rsidRPr="000806DA" w:rsidTr="000D5D90">
        <w:trPr>
          <w:trHeight w:val="20"/>
        </w:trPr>
        <w:tc>
          <w:tcPr>
            <w:tcW w:w="2258"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 xml:space="preserve">Route of opioid administration </w:t>
            </w:r>
          </w:p>
        </w:tc>
        <w:tc>
          <w:tcPr>
            <w:tcW w:w="2825" w:type="dxa"/>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Inject</w:t>
            </w:r>
          </w:p>
        </w:tc>
        <w:tc>
          <w:tcPr>
            <w:tcW w:w="2626" w:type="dxa"/>
            <w:tcBorders>
              <w:top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8" w:space="0" w:color="000000"/>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Smoke</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0.871 (0.712-1.066)</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Eat or drink</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1.284 (0.932-1.768)</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68"/>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Other</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2.016 (0.172-23.624)</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Not recorded</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0.884 (0.372-2.103)</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Frequency of opioid use in month prior to treatment</w:t>
            </w:r>
          </w:p>
        </w:tc>
        <w:tc>
          <w:tcPr>
            <w:tcW w:w="2825" w:type="dxa"/>
            <w:tcBorders>
              <w:top w:val="single" w:sz="4" w:space="0" w:color="auto"/>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No use in the past month</w:t>
            </w:r>
          </w:p>
        </w:tc>
        <w:tc>
          <w:tcPr>
            <w:tcW w:w="2626" w:type="dxa"/>
            <w:tcBorders>
              <w:top w:val="single" w:sz="4" w:space="0" w:color="auto"/>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4" w:space="0" w:color="auto"/>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Once a week or less</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0.704 (0.466-1.065)</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2-6 days per week</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1.000 (0.752-1.33)</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Daily</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0.832 (0.662-1.044)</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sz w:val="19"/>
                <w:szCs w:val="19"/>
                <w:lang w:eastAsia="en-US"/>
              </w:rPr>
              <w:t>Unknown</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0.602 (0.392-0.925)</w:t>
            </w:r>
          </w:p>
        </w:tc>
        <w:tc>
          <w:tcPr>
            <w:tcW w:w="1131" w:type="dxa"/>
            <w:tcBorders>
              <w:top w:val="nil"/>
              <w:left w:val="nil"/>
              <w:bottom w:val="nil"/>
              <w:right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.021</w:t>
            </w:r>
          </w:p>
        </w:tc>
      </w:tr>
      <w:tr w:rsidR="003B0DEE" w:rsidRPr="000806DA" w:rsidTr="000D5D90">
        <w:trPr>
          <w:trHeight w:val="20"/>
        </w:trPr>
        <w:tc>
          <w:tcPr>
            <w:tcW w:w="2258"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Pr>
                <w:rFonts w:ascii="Arial" w:hAnsi="Arial" w:cs="Arial"/>
                <w:b/>
                <w:bCs/>
                <w:color w:val="000000"/>
                <w:sz w:val="19"/>
                <w:szCs w:val="19"/>
                <w:lang w:eastAsia="en-US"/>
              </w:rPr>
              <w:t>Type of additional problem substance</w:t>
            </w:r>
            <w:r w:rsidRPr="000806DA">
              <w:rPr>
                <w:rFonts w:ascii="Arial" w:hAnsi="Arial" w:cs="Arial"/>
                <w:b/>
                <w:bCs/>
                <w:color w:val="000000"/>
                <w:sz w:val="19"/>
                <w:szCs w:val="19"/>
                <w:lang w:eastAsia="en-US"/>
              </w:rPr>
              <w:t xml:space="preserve"> = Benzodiazepines</w:t>
            </w:r>
          </w:p>
        </w:tc>
        <w:tc>
          <w:tcPr>
            <w:tcW w:w="2825" w:type="dxa"/>
            <w:tcBorders>
              <w:top w:val="single" w:sz="8" w:space="0" w:color="000000"/>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p>
        </w:tc>
        <w:tc>
          <w:tcPr>
            <w:tcW w:w="2626" w:type="dxa"/>
            <w:tcBorders>
              <w:top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0.633 (0.513-0.779)</w:t>
            </w:r>
          </w:p>
        </w:tc>
        <w:tc>
          <w:tcPr>
            <w:tcW w:w="1131" w:type="dxa"/>
            <w:tcBorders>
              <w:top w:val="single" w:sz="8" w:space="0" w:color="000000"/>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Treatment setting</w:t>
            </w:r>
          </w:p>
          <w:p w:rsidR="003B0DEE" w:rsidRPr="000806DA" w:rsidRDefault="003B0DEE" w:rsidP="000D5D90">
            <w:pPr>
              <w:spacing w:line="240" w:lineRule="auto"/>
              <w:jc w:val="left"/>
              <w:rPr>
                <w:rFonts w:ascii="Arial" w:hAnsi="Arial" w:cs="Arial"/>
                <w:b/>
                <w:bCs/>
                <w:color w:val="000000"/>
                <w:sz w:val="19"/>
                <w:szCs w:val="19"/>
                <w:lang w:eastAsia="en-US"/>
              </w:rPr>
            </w:pPr>
          </w:p>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Outpatient</w:t>
            </w:r>
          </w:p>
        </w:tc>
        <w:tc>
          <w:tcPr>
            <w:tcW w:w="2626" w:type="dxa"/>
            <w:tcBorders>
              <w:top w:val="single" w:sz="8" w:space="0" w:color="000000"/>
              <w:left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8" w:space="0" w:color="000000"/>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shd w:val="clear" w:color="auto" w:fill="FFFFFF"/>
            <w:vAlign w:val="center"/>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Inpatient</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4.115 (3.305-5.123)</w:t>
            </w:r>
          </w:p>
        </w:tc>
        <w:tc>
          <w:tcPr>
            <w:tcW w:w="1131" w:type="dxa"/>
            <w:tcBorders>
              <w:top w:val="nil"/>
              <w:bottom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Low threshold</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1.013 (0.726-1.415)</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General practitioner</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0.339 (0.076-1.516)</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Prison</w:t>
            </w:r>
          </w:p>
        </w:tc>
        <w:tc>
          <w:tcPr>
            <w:tcW w:w="2626" w:type="dxa"/>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7.292 (3.876-13.722)</w:t>
            </w:r>
          </w:p>
        </w:tc>
        <w:tc>
          <w:tcPr>
            <w:tcW w:w="1131" w:type="dxa"/>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Referral source</w:t>
            </w:r>
          </w:p>
        </w:tc>
        <w:tc>
          <w:tcPr>
            <w:tcW w:w="2825" w:type="dxa"/>
            <w:tcBorders>
              <w:top w:val="single" w:sz="8" w:space="0" w:color="000000"/>
              <w:bottom w:val="nil"/>
            </w:tcBorders>
            <w:shd w:val="clear" w:color="auto" w:fill="F2F2F2"/>
            <w:vAlign w:val="center"/>
          </w:tcPr>
          <w:p w:rsidR="003B0DEE" w:rsidRPr="000806DA" w:rsidRDefault="003B0DEE" w:rsidP="000D5D90">
            <w:pPr>
              <w:spacing w:line="240" w:lineRule="auto"/>
              <w:jc w:val="left"/>
              <w:rPr>
                <w:rFonts w:ascii="Arial" w:hAnsi="Arial" w:cs="Arial"/>
                <w:b/>
                <w:color w:val="000000"/>
                <w:sz w:val="19"/>
                <w:szCs w:val="19"/>
                <w:lang w:eastAsia="en-US"/>
              </w:rPr>
            </w:pPr>
            <w:r w:rsidRPr="000806DA">
              <w:rPr>
                <w:rFonts w:ascii="Arial" w:hAnsi="Arial" w:cs="Arial"/>
                <w:color w:val="000000"/>
                <w:sz w:val="19"/>
                <w:szCs w:val="19"/>
                <w:lang w:eastAsia="en-US"/>
              </w:rPr>
              <w:t>Self</w:t>
            </w:r>
          </w:p>
        </w:tc>
        <w:tc>
          <w:tcPr>
            <w:tcW w:w="2626" w:type="dxa"/>
            <w:tcBorders>
              <w:top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w:t>
            </w:r>
          </w:p>
        </w:tc>
        <w:tc>
          <w:tcPr>
            <w:tcW w:w="1131" w:type="dxa"/>
            <w:tcBorders>
              <w:top w:val="single" w:sz="8" w:space="0" w:color="000000"/>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p>
        </w:tc>
      </w:tr>
      <w:tr w:rsidR="003B0DEE" w:rsidRPr="000806DA" w:rsidTr="000D5D90">
        <w:trPr>
          <w:trHeight w:val="20"/>
        </w:trPr>
        <w:tc>
          <w:tcPr>
            <w:tcW w:w="2258" w:type="dxa"/>
            <w:vMerge/>
            <w:tcBorders>
              <w:left w:val="nil"/>
              <w:right w:val="nil"/>
            </w:tcBorders>
            <w:shd w:val="clear" w:color="auto" w:fill="FFFFFF"/>
            <w:vAlign w:val="center"/>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Family/friends</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1.908 (1.412-2.580)</w:t>
            </w:r>
          </w:p>
        </w:tc>
        <w:tc>
          <w:tcPr>
            <w:tcW w:w="1131" w:type="dxa"/>
            <w:tcBorders>
              <w:top w:val="nil"/>
              <w:left w:val="nil"/>
              <w:bottom w:val="nil"/>
              <w:right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&lt;0.001</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Other drug treatment centre</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0.964 (0.697-1.333)</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General practitioner</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1.373 (0.971-1.941)</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Hospital/other medical source</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1.071 (0.727-1.579)</w:t>
            </w:r>
          </w:p>
        </w:tc>
        <w:tc>
          <w:tcPr>
            <w:tcW w:w="1131" w:type="dxa"/>
            <w:tcBorders>
              <w:top w:val="nil"/>
              <w:bottom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Social services</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1.262 (0.953-1.673)</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Court/probation</w:t>
            </w:r>
            <w:r>
              <w:rPr>
                <w:rFonts w:ascii="Arial" w:hAnsi="Arial" w:cs="Arial"/>
                <w:color w:val="000000"/>
                <w:sz w:val="19"/>
                <w:szCs w:val="19"/>
                <w:lang w:eastAsia="en-US"/>
              </w:rPr>
              <w:t xml:space="preserve"> service</w:t>
            </w:r>
            <w:r w:rsidRPr="000806DA">
              <w:rPr>
                <w:rFonts w:ascii="Arial" w:hAnsi="Arial" w:cs="Arial"/>
                <w:color w:val="000000"/>
                <w:sz w:val="19"/>
                <w:szCs w:val="19"/>
                <w:lang w:eastAsia="en-US"/>
              </w:rPr>
              <w:t>/police</w:t>
            </w:r>
          </w:p>
        </w:tc>
        <w:tc>
          <w:tcPr>
            <w:tcW w:w="2626" w:type="dxa"/>
            <w:tcBorders>
              <w:top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1.634 (1.163-2.297)</w:t>
            </w:r>
          </w:p>
        </w:tc>
        <w:tc>
          <w:tcPr>
            <w:tcW w:w="1131" w:type="dxa"/>
            <w:tcBorders>
              <w:top w:val="nil"/>
              <w:bottom w:val="nil"/>
            </w:tcBorders>
            <w:shd w:val="clear" w:color="auto" w:fill="FFFFFF"/>
            <w:vAlign w:val="center"/>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.005</w:t>
            </w:r>
          </w:p>
        </w:tc>
      </w:tr>
      <w:tr w:rsidR="003B0DEE" w:rsidRPr="000806DA" w:rsidTr="000D5D90">
        <w:trPr>
          <w:trHeight w:val="20"/>
        </w:trPr>
        <w:tc>
          <w:tcPr>
            <w:tcW w:w="2258" w:type="dxa"/>
            <w:vMerge/>
            <w:tcBorders>
              <w:left w:val="nil"/>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Other</w:t>
            </w:r>
          </w:p>
        </w:tc>
        <w:tc>
          <w:tcPr>
            <w:tcW w:w="2626" w:type="dxa"/>
            <w:tcBorders>
              <w:top w:val="nil"/>
              <w:left w:val="nil"/>
              <w:right w:val="nil"/>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1.101 (0.725-1.674)</w:t>
            </w:r>
          </w:p>
        </w:tc>
        <w:tc>
          <w:tcPr>
            <w:tcW w:w="1131" w:type="dxa"/>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2258" w:type="dxa"/>
            <w:vMerge/>
            <w:tcBorders>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p>
        </w:tc>
        <w:tc>
          <w:tcPr>
            <w:tcW w:w="2825" w:type="dxa"/>
            <w:tcBorders>
              <w:top w:val="nil"/>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color w:val="000000"/>
                <w:sz w:val="19"/>
                <w:szCs w:val="19"/>
                <w:lang w:eastAsia="en-US"/>
              </w:rPr>
              <w:t>Unknown</w:t>
            </w:r>
          </w:p>
        </w:tc>
        <w:tc>
          <w:tcPr>
            <w:tcW w:w="2626" w:type="dxa"/>
            <w:tcBorders>
              <w:top w:val="nil"/>
              <w:bottom w:val="single" w:sz="8" w:space="0" w:color="000000"/>
            </w:tcBorders>
            <w:shd w:val="clear" w:color="auto" w:fill="FFFFFF"/>
            <w:vAlign w:val="bottom"/>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0.944 (0.41-2.171)</w:t>
            </w:r>
          </w:p>
        </w:tc>
        <w:tc>
          <w:tcPr>
            <w:tcW w:w="1131" w:type="dxa"/>
            <w:tcBorders>
              <w:top w:val="nil"/>
              <w:bottom w:val="single" w:sz="8" w:space="0" w:color="000000"/>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NS</w:t>
            </w:r>
          </w:p>
        </w:tc>
      </w:tr>
    </w:tbl>
    <w:p w:rsidR="003B0DEE" w:rsidRPr="00307FA2" w:rsidRDefault="003B0DEE" w:rsidP="000D5D90">
      <w:pPr>
        <w:spacing w:after="200" w:line="276" w:lineRule="auto"/>
        <w:rPr>
          <w:b/>
          <w:bCs/>
          <w:kern w:val="32"/>
          <w:sz w:val="26"/>
          <w:szCs w:val="26"/>
        </w:rPr>
      </w:pPr>
    </w:p>
    <w:p w:rsidR="003B0DEE" w:rsidRDefault="003B0DEE" w:rsidP="000D5D90">
      <w:pPr>
        <w:pStyle w:val="Heading2"/>
      </w:pPr>
      <w:bookmarkStart w:id="115" w:name="_Toc15331717"/>
      <w:r>
        <w:t>Survival analysis</w:t>
      </w:r>
      <w:bookmarkEnd w:id="115"/>
    </w:p>
    <w:p w:rsidR="003B0DEE" w:rsidRPr="00EC295B" w:rsidRDefault="003B0DEE" w:rsidP="000D5D90">
      <w:pPr>
        <w:pStyle w:val="BodyText"/>
      </w:pPr>
      <w:r w:rsidRPr="00E42AC9">
        <w:t xml:space="preserve">A total of </w:t>
      </w:r>
      <w:r w:rsidRPr="00454539">
        <w:t xml:space="preserve">7,933 </w:t>
      </w:r>
      <w:r w:rsidRPr="00E42AC9">
        <w:t xml:space="preserve">new individuals entered treatment for problem opioid use between 2009 and 2015.  </w:t>
      </w:r>
      <w:r>
        <w:t xml:space="preserve">Survival analysis is based upon discharge records for 4,722 people (2,516 people who dropped out of treatment and 2,206 people who completed their treatment or were transferred to another </w:t>
      </w:r>
      <w:r>
        <w:lastRenderedPageBreak/>
        <w:t xml:space="preserve">treatment provider (i.e. censored records)).  The characteristics of people included in the survival analysis are </w:t>
      </w:r>
      <w:r w:rsidRPr="00304372">
        <w:t>presented in Tables A6.1, A6.2 and A6.3.  People in th</w:t>
      </w:r>
      <w:r w:rsidRPr="00BD7153">
        <w:t xml:space="preserve">e cohort received a median of </w:t>
      </w:r>
      <w:r>
        <w:t>85 days</w:t>
      </w:r>
      <w:r w:rsidRPr="00BD7153">
        <w:t xml:space="preserve"> of treatment</w:t>
      </w:r>
      <w:r>
        <w:t xml:space="preserve"> </w:t>
      </w:r>
      <w:r w:rsidRPr="00BD7153">
        <w:t xml:space="preserve">(IQR </w:t>
      </w:r>
      <w:r>
        <w:t>31</w:t>
      </w:r>
      <w:r w:rsidRPr="00BD7153">
        <w:t>–</w:t>
      </w:r>
      <w:r>
        <w:t>179</w:t>
      </w:r>
      <w:r w:rsidRPr="00BD7153">
        <w:t xml:space="preserve">) and </w:t>
      </w:r>
      <w:r>
        <w:t>1,262</w:t>
      </w:r>
      <w:r w:rsidRPr="00BD7153">
        <w:t xml:space="preserve"> (</w:t>
      </w:r>
      <w:r>
        <w:t>26.7</w:t>
      </w:r>
      <w:r w:rsidRPr="00BD7153">
        <w:t>%) successfully completed their</w:t>
      </w:r>
      <w:r>
        <w:t xml:space="preserve"> treatment episode</w:t>
      </w:r>
      <w:r w:rsidRPr="00BD7153">
        <w:t>.</w:t>
      </w:r>
    </w:p>
    <w:p w:rsidR="003B0DEE" w:rsidRDefault="003B0DEE" w:rsidP="000D5D90">
      <w:pPr>
        <w:pStyle w:val="BodyText"/>
      </w:pPr>
      <w:r>
        <w:t>The Kaplan Meier curve is presented in Figure 6-2</w:t>
      </w:r>
      <w:r w:rsidRPr="00304372">
        <w:t>.</w:t>
      </w:r>
      <w:r>
        <w:t xml:space="preserve">  The results of the Kaplan Meier analysis estimate the probability of dropout.  </w:t>
      </w:r>
      <w:r w:rsidRPr="00466922">
        <w:t xml:space="preserve">After treatment start, 84.6% of the </w:t>
      </w:r>
      <w:proofErr w:type="gramStart"/>
      <w:r w:rsidRPr="00466922">
        <w:t>cohort were</w:t>
      </w:r>
      <w:proofErr w:type="gramEnd"/>
      <w:r w:rsidRPr="00466922">
        <w:t xml:space="preserve"> retained in treatment beyond day one, whereas 15.4% dropped out after their first session.  Retention in continuous treatment for a minimum of 30 days after treatment start was 73.7%, whereas 26.3% dropped out within 30 days.  The six-month and one-year retention rates were 43.8% and 23.8% respectively.  There </w:t>
      </w:r>
      <w:proofErr w:type="gramStart"/>
      <w:r w:rsidRPr="00466922">
        <w:t>were</w:t>
      </w:r>
      <w:proofErr w:type="gramEnd"/>
      <w:r w:rsidRPr="00466922">
        <w:t xml:space="preserve"> no significant gender difference between people who dropped out of the first treatment episode compared to those who stayed in treatment</w:t>
      </w:r>
      <w:r>
        <w:t xml:space="preserve"> (Table 6-</w:t>
      </w:r>
      <w:r w:rsidRPr="00304372">
        <w:t>6).</w:t>
      </w:r>
      <w:r>
        <w:t xml:space="preserve">  </w:t>
      </w:r>
    </w:p>
    <w:p w:rsidR="003B0DEE" w:rsidRDefault="003B0DEE" w:rsidP="000D5D90">
      <w:pPr>
        <w:pStyle w:val="BodyText"/>
      </w:pPr>
    </w:p>
    <w:p w:rsidR="003B0DEE" w:rsidRDefault="003B0DEE" w:rsidP="000D5D90">
      <w:pPr>
        <w:spacing w:line="240" w:lineRule="auto"/>
        <w:rPr>
          <w:b/>
        </w:rPr>
      </w:pPr>
    </w:p>
    <w:p w:rsidR="003B0DEE" w:rsidRPr="00726BB3" w:rsidRDefault="003B0DEE" w:rsidP="000D5D90">
      <w:pPr>
        <w:spacing w:line="240" w:lineRule="auto"/>
        <w:jc w:val="left"/>
        <w:rPr>
          <w:rFonts w:ascii="Arial" w:hAnsi="Arial" w:cs="Arial"/>
          <w:b/>
          <w:sz w:val="20"/>
        </w:rPr>
      </w:pPr>
      <w:bookmarkStart w:id="116" w:name="_Toc15331955"/>
      <w:r w:rsidRPr="00726BB3">
        <w:rPr>
          <w:rFonts w:ascii="Arial" w:hAnsi="Arial" w:cs="Arial"/>
          <w:b/>
          <w:sz w:val="20"/>
        </w:rPr>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2</w:t>
      </w:r>
      <w:r>
        <w:rPr>
          <w:rFonts w:ascii="Arial" w:hAnsi="Arial" w:cs="Arial"/>
          <w:b/>
          <w:sz w:val="20"/>
        </w:rPr>
        <w:fldChar w:fldCharType="end"/>
      </w:r>
      <w:r w:rsidRPr="00726BB3">
        <w:rPr>
          <w:rFonts w:ascii="Arial" w:hAnsi="Arial" w:cs="Arial"/>
          <w:sz w:val="20"/>
        </w:rPr>
        <w:t xml:space="preserve"> </w:t>
      </w:r>
      <w:r>
        <w:rPr>
          <w:rFonts w:ascii="Arial" w:hAnsi="Arial" w:cs="Arial"/>
          <w:sz w:val="20"/>
        </w:rPr>
        <w:t xml:space="preserve"> </w:t>
      </w:r>
      <w:r w:rsidRPr="00726BB3">
        <w:rPr>
          <w:rFonts w:ascii="Arial" w:hAnsi="Arial" w:cs="Arial"/>
          <w:b/>
          <w:sz w:val="20"/>
        </w:rPr>
        <w:t>Survival sample:</w:t>
      </w:r>
      <w:r w:rsidRPr="00726BB3">
        <w:rPr>
          <w:rFonts w:ascii="Arial" w:hAnsi="Arial" w:cs="Arial"/>
          <w:sz w:val="20"/>
        </w:rPr>
        <w:t xml:space="preserve"> Kaplan Meier plot of the cumulative probability of treatment retention in opioid </w:t>
      </w:r>
      <w:r>
        <w:rPr>
          <w:rFonts w:ascii="Arial" w:hAnsi="Arial" w:cs="Arial"/>
          <w:sz w:val="20"/>
        </w:rPr>
        <w:t>treatment</w:t>
      </w:r>
      <w:bookmarkEnd w:id="116"/>
    </w:p>
    <w:p w:rsidR="003B0DEE" w:rsidRDefault="003B0DEE" w:rsidP="000D5D90">
      <w:pPr>
        <w:spacing w:after="200" w:line="276" w:lineRule="auto"/>
        <w:rPr>
          <w:rFonts w:cs="Arial"/>
          <w:b/>
          <w:noProof/>
          <w:sz w:val="20"/>
        </w:rPr>
      </w:pPr>
      <w:r>
        <w:rPr>
          <w:rFonts w:cs="Arial"/>
          <w:b/>
          <w:noProof/>
          <w:sz w:val="20"/>
        </w:rPr>
        <w:drawing>
          <wp:inline distT="0" distB="0" distL="0" distR="0" wp14:anchorId="0DAAA523" wp14:editId="668DF073">
            <wp:extent cx="4785360" cy="3825240"/>
            <wp:effectExtent l="0" t="0" r="0" b="381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Pr="00F5419D" w:rsidRDefault="003B0DEE" w:rsidP="000D5D90">
      <w:pPr>
        <w:pStyle w:val="Caption"/>
        <w:spacing w:line="240" w:lineRule="auto"/>
        <w:rPr>
          <w:rFonts w:cs="Arial"/>
          <w:b w:val="0"/>
        </w:rPr>
      </w:pPr>
      <w:r>
        <w:rPr>
          <w:b w:val="0"/>
          <w:noProof/>
        </w:rPr>
        <w:br w:type="page"/>
      </w:r>
      <w:bookmarkStart w:id="117" w:name="_Toc15331956"/>
      <w:r>
        <w:lastRenderedPageBreak/>
        <w:t xml:space="preserve">Figure </w:t>
      </w:r>
      <w:fldSimple w:instr=" STYLEREF 1 \s ">
        <w:r>
          <w:rPr>
            <w:noProof/>
          </w:rPr>
          <w:t>6</w:t>
        </w:r>
      </w:fldSimple>
      <w:r>
        <w:noBreakHyphen/>
      </w:r>
      <w:fldSimple w:instr=" SEQ Figure \* ARABIC \s 1 ">
        <w:r>
          <w:rPr>
            <w:noProof/>
          </w:rPr>
          <w:t>3</w:t>
        </w:r>
      </w:fldSimple>
      <w:r>
        <w:t xml:space="preserve">  </w:t>
      </w:r>
      <w:r w:rsidRPr="00F5419D">
        <w:rPr>
          <w:rFonts w:cs="Arial"/>
        </w:rPr>
        <w:t xml:space="preserve">Survival sample: </w:t>
      </w:r>
      <w:r w:rsidRPr="00F5419D">
        <w:rPr>
          <w:rFonts w:cs="Arial"/>
          <w:b w:val="0"/>
        </w:rPr>
        <w:t xml:space="preserve">Kaplan Meier plot of the cumulative probability of treatment retention in opioid </w:t>
      </w:r>
      <w:r>
        <w:rPr>
          <w:rFonts w:cs="Arial"/>
          <w:b w:val="0"/>
        </w:rPr>
        <w:t>treatment</w:t>
      </w:r>
      <w:r w:rsidRPr="00F5419D">
        <w:rPr>
          <w:rFonts w:cs="Arial"/>
          <w:b w:val="0"/>
        </w:rPr>
        <w:t xml:space="preserve"> within the first year</w:t>
      </w:r>
      <w:bookmarkEnd w:id="117"/>
      <w:r w:rsidRPr="00F5419D">
        <w:rPr>
          <w:rFonts w:cs="Arial"/>
          <w:b w:val="0"/>
        </w:rPr>
        <w:t xml:space="preserve"> </w:t>
      </w:r>
    </w:p>
    <w:p w:rsidR="003B0DEE" w:rsidRDefault="003B0DEE" w:rsidP="000D5D90">
      <w:pPr>
        <w:spacing w:line="240" w:lineRule="auto"/>
        <w:jc w:val="left"/>
        <w:rPr>
          <w:sz w:val="20"/>
        </w:rPr>
      </w:pPr>
      <w:r w:rsidRPr="00E03F3E">
        <w:rPr>
          <w:sz w:val="20"/>
        </w:rPr>
        <w:t xml:space="preserve"> </w:t>
      </w:r>
    </w:p>
    <w:p w:rsidR="003B0DEE" w:rsidRPr="0014722B" w:rsidRDefault="003B0DEE" w:rsidP="000D5D90">
      <w:pPr>
        <w:spacing w:line="240" w:lineRule="auto"/>
        <w:jc w:val="left"/>
      </w:pPr>
      <w:r>
        <w:rPr>
          <w:noProof/>
        </w:rPr>
        <w:drawing>
          <wp:inline distT="0" distB="0" distL="0" distR="0" wp14:anchorId="6E4E6994" wp14:editId="513551FE">
            <wp:extent cx="4785360" cy="3825240"/>
            <wp:effectExtent l="0" t="0" r="0" b="381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Pr="0014722B" w:rsidRDefault="003B0DEE" w:rsidP="000D5D90">
      <w:pPr>
        <w:pStyle w:val="Caption"/>
        <w:keepNext/>
        <w:spacing w:line="240" w:lineRule="auto"/>
        <w:rPr>
          <w:b w:val="0"/>
        </w:rPr>
      </w:pPr>
      <w:bookmarkStart w:id="118" w:name="_Toc15332010"/>
      <w:r>
        <w:t xml:space="preserve">Table </w:t>
      </w:r>
      <w:fldSimple w:instr=" STYLEREF 1 \s ">
        <w:r>
          <w:rPr>
            <w:noProof/>
          </w:rPr>
          <w:t>6</w:t>
        </w:r>
      </w:fldSimple>
      <w:r>
        <w:noBreakHyphen/>
      </w:r>
      <w:fldSimple w:instr=" SEQ Table \* ARABIC \s 1 ">
        <w:r>
          <w:rPr>
            <w:noProof/>
          </w:rPr>
          <w:t>6</w:t>
        </w:r>
      </w:fldSimple>
      <w:r>
        <w:t xml:space="preserve">  </w:t>
      </w:r>
      <w:r w:rsidRPr="0014722B">
        <w:t>Survival sample</w:t>
      </w:r>
      <w:r w:rsidRPr="00F62500">
        <w:rPr>
          <w:b w:val="0"/>
        </w:rPr>
        <w:t>:</w:t>
      </w:r>
      <w:r>
        <w:t xml:space="preserve"> </w:t>
      </w:r>
      <w:r w:rsidRPr="0014722B">
        <w:rPr>
          <w:b w:val="0"/>
        </w:rPr>
        <w:t xml:space="preserve">Selected cumulative probabilities for treatment </w:t>
      </w:r>
      <w:r>
        <w:rPr>
          <w:b w:val="0"/>
        </w:rPr>
        <w:t>retention</w:t>
      </w:r>
      <w:bookmarkEnd w:id="118"/>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584"/>
        <w:gridCol w:w="1208"/>
        <w:gridCol w:w="1178"/>
        <w:gridCol w:w="1181"/>
        <w:gridCol w:w="1250"/>
        <w:gridCol w:w="1761"/>
        <w:gridCol w:w="1842"/>
      </w:tblGrid>
      <w:tr w:rsidR="003B0DEE" w:rsidRPr="008A0D01" w:rsidTr="000D5D90">
        <w:trPr>
          <w:trHeight w:val="20"/>
        </w:trPr>
        <w:tc>
          <w:tcPr>
            <w:tcW w:w="32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color w:val="000000"/>
                <w:sz w:val="20"/>
                <w:lang w:eastAsia="en-US"/>
              </w:rPr>
            </w:pPr>
            <w:r w:rsidRPr="008A0D01">
              <w:rPr>
                <w:rFonts w:ascii="Arial" w:hAnsi="Arial" w:cs="Arial"/>
                <w:b/>
                <w:bCs/>
                <w:sz w:val="20"/>
                <w:lang w:eastAsia="en-US"/>
              </w:rPr>
              <w:t>Day</w:t>
            </w:r>
          </w:p>
        </w:tc>
        <w:tc>
          <w:tcPr>
            <w:tcW w:w="671"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people entering interval</w:t>
            </w:r>
          </w:p>
        </w:tc>
        <w:tc>
          <w:tcPr>
            <w:tcW w:w="65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censored</w:t>
            </w:r>
          </w:p>
        </w:tc>
        <w:tc>
          <w:tcPr>
            <w:tcW w:w="656"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exposed to risk</w:t>
            </w:r>
          </w:p>
        </w:tc>
        <w:tc>
          <w:tcPr>
            <w:tcW w:w="69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Pr>
                <w:rFonts w:ascii="Arial" w:hAnsi="Arial" w:cs="Arial"/>
                <w:b/>
                <w:bCs/>
                <w:sz w:val="20"/>
                <w:lang w:eastAsia="en-US"/>
              </w:rPr>
              <w:t xml:space="preserve">Number dropping </w:t>
            </w:r>
            <w:r w:rsidRPr="008A0D01">
              <w:rPr>
                <w:rFonts w:ascii="Arial" w:hAnsi="Arial" w:cs="Arial"/>
                <w:b/>
                <w:bCs/>
                <w:sz w:val="20"/>
                <w:lang w:eastAsia="en-US"/>
              </w:rPr>
              <w:t>out</w:t>
            </w:r>
          </w:p>
        </w:tc>
        <w:tc>
          <w:tcPr>
            <w:tcW w:w="978"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Cumulative proportion remaining in treatment at end of interval (%)</w:t>
            </w:r>
          </w:p>
        </w:tc>
        <w:tc>
          <w:tcPr>
            <w:tcW w:w="1023"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Std. Error of cumulative proportion remaining in treatment at end of interval (%)</w:t>
            </w:r>
          </w:p>
        </w:tc>
      </w:tr>
      <w:tr w:rsidR="003B0DEE" w:rsidRPr="008A0D01" w:rsidTr="000D5D90">
        <w:trPr>
          <w:trHeight w:val="48"/>
        </w:trPr>
        <w:tc>
          <w:tcPr>
            <w:tcW w:w="324" w:type="pct"/>
            <w:tcBorders>
              <w:top w:val="single" w:sz="8" w:space="0" w:color="000000"/>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0</w:t>
            </w:r>
          </w:p>
        </w:tc>
        <w:tc>
          <w:tcPr>
            <w:tcW w:w="671"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4722</w:t>
            </w:r>
          </w:p>
        </w:tc>
        <w:tc>
          <w:tcPr>
            <w:tcW w:w="65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436</w:t>
            </w:r>
          </w:p>
        </w:tc>
        <w:tc>
          <w:tcPr>
            <w:tcW w:w="656"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4504</w:t>
            </w:r>
          </w:p>
        </w:tc>
        <w:tc>
          <w:tcPr>
            <w:tcW w:w="69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693</w:t>
            </w:r>
          </w:p>
        </w:tc>
        <w:tc>
          <w:tcPr>
            <w:tcW w:w="978"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84.6%</w:t>
            </w:r>
          </w:p>
        </w:tc>
        <w:tc>
          <w:tcPr>
            <w:tcW w:w="1023"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0.5%</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3593</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352</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3417</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439</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73.7%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0.7%</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60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2802</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203</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2701</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296</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65.7%</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0.7%</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90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2303</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176</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2215</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270</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57.7%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0.8%</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120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1857</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232</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1741</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160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52.4%</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0.8%</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150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1465</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162</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1384</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124</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47.7%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0.9%</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180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1179</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92</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1133</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93</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43.8%</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0.9%</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270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716</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41</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696</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42</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35.1%</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0.9%</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365</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463</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161</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283</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143</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23.8%</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bCs/>
                <w:color w:val="000000"/>
                <w:sz w:val="20"/>
                <w:lang w:eastAsia="en-US"/>
              </w:rPr>
              <w:t>1.1%</w:t>
            </w:r>
          </w:p>
        </w:tc>
      </w:tr>
      <w:tr w:rsidR="003B0DEE" w:rsidRPr="008A0D01" w:rsidTr="000D5D90">
        <w:trPr>
          <w:trHeight w:val="48"/>
        </w:trPr>
        <w:tc>
          <w:tcPr>
            <w:tcW w:w="324" w:type="pct"/>
            <w:tcBorders>
              <w:top w:val="nil"/>
              <w:bottom w:val="single" w:sz="8" w:space="0" w:color="000000"/>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730</w:t>
            </w:r>
          </w:p>
        </w:tc>
        <w:tc>
          <w:tcPr>
            <w:tcW w:w="671"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159</w:t>
            </w:r>
          </w:p>
        </w:tc>
        <w:tc>
          <w:tcPr>
            <w:tcW w:w="65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76</w:t>
            </w:r>
          </w:p>
        </w:tc>
        <w:tc>
          <w:tcPr>
            <w:tcW w:w="656"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121</w:t>
            </w:r>
          </w:p>
        </w:tc>
        <w:tc>
          <w:tcPr>
            <w:tcW w:w="69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27</w:t>
            </w:r>
          </w:p>
        </w:tc>
        <w:tc>
          <w:tcPr>
            <w:tcW w:w="978"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18.5%</w:t>
            </w:r>
          </w:p>
        </w:tc>
        <w:tc>
          <w:tcPr>
            <w:tcW w:w="1023"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1.2%</w:t>
            </w:r>
          </w:p>
        </w:tc>
      </w:tr>
    </w:tbl>
    <w:p w:rsidR="003B0DEE" w:rsidRDefault="003B0DEE" w:rsidP="000D5D90">
      <w:pPr>
        <w:spacing w:line="360" w:lineRule="auto"/>
        <w:rPr>
          <w:sz w:val="20"/>
        </w:rPr>
      </w:pPr>
    </w:p>
    <w:p w:rsidR="003B0DEE" w:rsidRDefault="003B0DEE" w:rsidP="000D5D90">
      <w:pPr>
        <w:pStyle w:val="Heading3"/>
      </w:pPr>
      <w:r>
        <w:br w:type="page"/>
      </w:r>
      <w:bookmarkStart w:id="119" w:name="_Toc15331718"/>
      <w:r>
        <w:lastRenderedPageBreak/>
        <w:t>Treatment modalities</w:t>
      </w:r>
      <w:bookmarkEnd w:id="119"/>
      <w:r>
        <w:t xml:space="preserve"> </w:t>
      </w:r>
    </w:p>
    <w:p w:rsidR="003B0DEE" w:rsidRPr="00726BB3" w:rsidRDefault="003B0DEE" w:rsidP="000D5D90">
      <w:pPr>
        <w:spacing w:line="360" w:lineRule="auto"/>
        <w:jc w:val="left"/>
        <w:rPr>
          <w:rFonts w:ascii="Arial" w:hAnsi="Arial" w:cs="Arial"/>
          <w:sz w:val="20"/>
        </w:rPr>
      </w:pPr>
      <w:r w:rsidRPr="00726BB3">
        <w:rPr>
          <w:rFonts w:ascii="Arial" w:hAnsi="Arial" w:cs="Arial"/>
          <w:sz w:val="20"/>
        </w:rPr>
        <w:t>As me</w:t>
      </w:r>
      <w:r>
        <w:rPr>
          <w:rFonts w:ascii="Arial" w:hAnsi="Arial" w:cs="Arial"/>
          <w:sz w:val="20"/>
        </w:rPr>
        <w:t xml:space="preserve">ntioned previously in Chapter 3, </w:t>
      </w:r>
      <w:r w:rsidRPr="00726BB3">
        <w:rPr>
          <w:rFonts w:ascii="Arial" w:hAnsi="Arial" w:cs="Arial"/>
          <w:sz w:val="20"/>
        </w:rPr>
        <w:t>treatment interventions were classified into four modalities</w:t>
      </w:r>
      <w:r>
        <w:rPr>
          <w:rFonts w:ascii="Arial" w:hAnsi="Arial" w:cs="Arial"/>
          <w:sz w:val="20"/>
        </w:rPr>
        <w:t xml:space="preserve">.  Modalities were required for a number of reasons: </w:t>
      </w:r>
      <w:r w:rsidRPr="00EB1B9A">
        <w:rPr>
          <w:rFonts w:ascii="Arial" w:hAnsi="Arial" w:cs="Arial"/>
          <w:sz w:val="20"/>
        </w:rPr>
        <w:t>(1) the broad spectrum of treatment interventions available in Ireland, (2) the variation in treatment programmes and typical treatment durations of across programmes/interventions, and (3) previous research indicating that people in opioid maintenance treatment differ in the nature and duration of their treatment engagement (Bell et al. 2006)</w:t>
      </w:r>
      <w:r>
        <w:rPr>
          <w:rFonts w:ascii="Arial" w:hAnsi="Arial" w:cs="Arial"/>
          <w:sz w:val="20"/>
        </w:rPr>
        <w:t xml:space="preserve">.  </w:t>
      </w:r>
      <w:r w:rsidRPr="00726BB3">
        <w:rPr>
          <w:rFonts w:ascii="Arial" w:hAnsi="Arial" w:cs="Arial"/>
          <w:sz w:val="20"/>
        </w:rPr>
        <w:t xml:space="preserve">Each individual was assigned to one treatment modality and a separate analysis of survival was conducted for each modality.  </w:t>
      </w:r>
      <w:r>
        <w:rPr>
          <w:rFonts w:ascii="Arial" w:hAnsi="Arial" w:cs="Arial"/>
          <w:sz w:val="20"/>
        </w:rPr>
        <w:t>T</w:t>
      </w:r>
      <w:r w:rsidRPr="00B764AD">
        <w:rPr>
          <w:rFonts w:ascii="Arial" w:hAnsi="Arial" w:cs="Arial"/>
          <w:sz w:val="20"/>
        </w:rPr>
        <w:t xml:space="preserve">he </w:t>
      </w:r>
      <w:r>
        <w:rPr>
          <w:rFonts w:ascii="Arial" w:hAnsi="Arial" w:cs="Arial"/>
          <w:sz w:val="20"/>
        </w:rPr>
        <w:t xml:space="preserve">criterion for determining modalities was based solely upon the treatment intervention(s) delivered.  The </w:t>
      </w:r>
      <w:r w:rsidRPr="00B764AD">
        <w:rPr>
          <w:rFonts w:ascii="Arial" w:hAnsi="Arial" w:cs="Arial"/>
          <w:sz w:val="20"/>
        </w:rPr>
        <w:t xml:space="preserve">data </w:t>
      </w:r>
      <w:r>
        <w:rPr>
          <w:rFonts w:ascii="Arial" w:hAnsi="Arial" w:cs="Arial"/>
          <w:sz w:val="20"/>
        </w:rPr>
        <w:t>and corresponding modalities relate</w:t>
      </w:r>
      <w:r w:rsidRPr="00B764AD">
        <w:rPr>
          <w:rFonts w:ascii="Arial" w:hAnsi="Arial" w:cs="Arial"/>
          <w:sz w:val="20"/>
        </w:rPr>
        <w:t xml:space="preserve"> to treatment actually delivered</w:t>
      </w:r>
      <w:r>
        <w:rPr>
          <w:rFonts w:ascii="Arial" w:hAnsi="Arial" w:cs="Arial"/>
          <w:sz w:val="20"/>
        </w:rPr>
        <w:t xml:space="preserve"> rather than intention to treat.  </w:t>
      </w:r>
      <w:r w:rsidRPr="00726BB3">
        <w:rPr>
          <w:rFonts w:ascii="Arial" w:hAnsi="Arial" w:cs="Arial"/>
          <w:sz w:val="20"/>
        </w:rPr>
        <w:t>The four modalities were:</w:t>
      </w:r>
    </w:p>
    <w:p w:rsidR="003B0DEE" w:rsidRPr="00726BB3" w:rsidRDefault="003B0DEE" w:rsidP="000D5D90">
      <w:pPr>
        <w:spacing w:line="360" w:lineRule="auto"/>
        <w:jc w:val="left"/>
        <w:rPr>
          <w:rFonts w:ascii="Arial" w:hAnsi="Arial" w:cs="Arial"/>
          <w:sz w:val="20"/>
        </w:rPr>
      </w:pPr>
      <w:r w:rsidRPr="00726BB3">
        <w:rPr>
          <w:rFonts w:ascii="Arial" w:hAnsi="Arial" w:cs="Arial"/>
          <w:sz w:val="20"/>
        </w:rPr>
        <w:t xml:space="preserve">(1) </w:t>
      </w:r>
      <w:proofErr w:type="gramStart"/>
      <w:r w:rsidRPr="00726BB3">
        <w:rPr>
          <w:rFonts w:ascii="Arial" w:hAnsi="Arial" w:cs="Arial"/>
          <w:b/>
          <w:sz w:val="20"/>
        </w:rPr>
        <w:t>opioid</w:t>
      </w:r>
      <w:proofErr w:type="gramEnd"/>
      <w:r w:rsidRPr="00726BB3">
        <w:rPr>
          <w:rFonts w:ascii="Arial" w:hAnsi="Arial" w:cs="Arial"/>
          <w:b/>
          <w:sz w:val="20"/>
        </w:rPr>
        <w:t xml:space="preserve"> substitution</w:t>
      </w:r>
      <w:r w:rsidRPr="00726BB3">
        <w:rPr>
          <w:rFonts w:ascii="Arial" w:hAnsi="Arial" w:cs="Arial"/>
          <w:sz w:val="20"/>
        </w:rPr>
        <w:t xml:space="preserve"> (n=613, 13.0%) including methadone substitution or buprenorphine/naloxone substitution, provided either alone or in combination with other interventions </w:t>
      </w:r>
    </w:p>
    <w:p w:rsidR="003B0DEE" w:rsidRPr="00726BB3" w:rsidRDefault="003B0DEE" w:rsidP="000D5D90">
      <w:pPr>
        <w:spacing w:line="360" w:lineRule="auto"/>
        <w:jc w:val="left"/>
        <w:rPr>
          <w:rFonts w:ascii="Arial" w:hAnsi="Arial" w:cs="Arial"/>
          <w:sz w:val="20"/>
        </w:rPr>
      </w:pPr>
      <w:r w:rsidRPr="00726BB3">
        <w:rPr>
          <w:rFonts w:ascii="Arial" w:hAnsi="Arial" w:cs="Arial"/>
          <w:sz w:val="20"/>
        </w:rPr>
        <w:t xml:space="preserve">(2) </w:t>
      </w:r>
      <w:proofErr w:type="gramStart"/>
      <w:r w:rsidRPr="00726BB3">
        <w:rPr>
          <w:rFonts w:ascii="Arial" w:hAnsi="Arial" w:cs="Arial"/>
          <w:b/>
          <w:sz w:val="20"/>
        </w:rPr>
        <w:t>structured</w:t>
      </w:r>
      <w:proofErr w:type="gramEnd"/>
      <w:r w:rsidRPr="00726BB3">
        <w:rPr>
          <w:rFonts w:ascii="Arial" w:hAnsi="Arial" w:cs="Arial"/>
          <w:b/>
          <w:sz w:val="20"/>
        </w:rPr>
        <w:t xml:space="preserve"> detoxification</w:t>
      </w:r>
      <w:r w:rsidRPr="00726BB3">
        <w:rPr>
          <w:rFonts w:ascii="Arial" w:hAnsi="Arial" w:cs="Arial"/>
          <w:sz w:val="20"/>
        </w:rPr>
        <w:t xml:space="preserve"> (n=108, 2.3%) whereby treatment included the combination of a detoxification and additional structured interventions, such as a me</w:t>
      </w:r>
      <w:r>
        <w:rPr>
          <w:rFonts w:ascii="Arial" w:hAnsi="Arial" w:cs="Arial"/>
          <w:sz w:val="20"/>
        </w:rPr>
        <w:t>dication free therapy programme</w:t>
      </w:r>
      <w:r w:rsidRPr="00726BB3">
        <w:rPr>
          <w:rFonts w:ascii="Arial" w:hAnsi="Arial" w:cs="Arial"/>
          <w:sz w:val="20"/>
        </w:rPr>
        <w:t xml:space="preserve"> </w:t>
      </w:r>
    </w:p>
    <w:p w:rsidR="003B0DEE" w:rsidRPr="00726BB3" w:rsidRDefault="003B0DEE" w:rsidP="000D5D90">
      <w:pPr>
        <w:spacing w:line="360" w:lineRule="auto"/>
        <w:jc w:val="left"/>
        <w:rPr>
          <w:rFonts w:ascii="Arial" w:hAnsi="Arial" w:cs="Arial"/>
          <w:sz w:val="20"/>
        </w:rPr>
      </w:pPr>
      <w:r w:rsidRPr="00726BB3">
        <w:rPr>
          <w:rFonts w:ascii="Arial" w:hAnsi="Arial" w:cs="Arial"/>
          <w:sz w:val="20"/>
        </w:rPr>
        <w:t xml:space="preserve">(3) </w:t>
      </w:r>
      <w:proofErr w:type="gramStart"/>
      <w:r w:rsidRPr="00726BB3">
        <w:rPr>
          <w:rFonts w:ascii="Arial" w:hAnsi="Arial" w:cs="Arial"/>
          <w:b/>
          <w:sz w:val="20"/>
        </w:rPr>
        <w:t>counselling</w:t>
      </w:r>
      <w:proofErr w:type="gramEnd"/>
      <w:r w:rsidRPr="00726BB3">
        <w:rPr>
          <w:rFonts w:ascii="Arial" w:hAnsi="Arial" w:cs="Arial"/>
          <w:b/>
          <w:sz w:val="20"/>
        </w:rPr>
        <w:t xml:space="preserve"> only</w:t>
      </w:r>
      <w:r w:rsidRPr="00726BB3">
        <w:rPr>
          <w:rFonts w:ascii="Arial" w:hAnsi="Arial" w:cs="Arial"/>
          <w:sz w:val="20"/>
        </w:rPr>
        <w:t xml:space="preserve"> (n=2514</w:t>
      </w:r>
      <w:r>
        <w:rPr>
          <w:rFonts w:ascii="Arial" w:hAnsi="Arial" w:cs="Arial"/>
          <w:sz w:val="20"/>
        </w:rPr>
        <w:t>,</w:t>
      </w:r>
      <w:r w:rsidRPr="00726BB3">
        <w:rPr>
          <w:rFonts w:ascii="Arial" w:hAnsi="Arial" w:cs="Arial"/>
          <w:sz w:val="20"/>
        </w:rPr>
        <w:t xml:space="preserve"> 53.2%), counselling alone was provided as a form of treatment, and </w:t>
      </w:r>
    </w:p>
    <w:p w:rsidR="003B0DEE" w:rsidRDefault="003B0DEE" w:rsidP="000D5D90">
      <w:pPr>
        <w:spacing w:line="360" w:lineRule="auto"/>
        <w:jc w:val="left"/>
        <w:rPr>
          <w:rFonts w:ascii="Arial" w:hAnsi="Arial" w:cs="Arial"/>
          <w:sz w:val="20"/>
        </w:rPr>
      </w:pPr>
      <w:r w:rsidRPr="00726BB3">
        <w:rPr>
          <w:rFonts w:ascii="Arial" w:hAnsi="Arial" w:cs="Arial"/>
          <w:sz w:val="20"/>
        </w:rPr>
        <w:t xml:space="preserve">(4) </w:t>
      </w:r>
      <w:proofErr w:type="gramStart"/>
      <w:r w:rsidRPr="00726BB3">
        <w:rPr>
          <w:rFonts w:ascii="Arial" w:hAnsi="Arial" w:cs="Arial"/>
          <w:b/>
          <w:sz w:val="20"/>
        </w:rPr>
        <w:t>other</w:t>
      </w:r>
      <w:proofErr w:type="gramEnd"/>
      <w:r w:rsidRPr="00726BB3">
        <w:rPr>
          <w:rFonts w:ascii="Arial" w:hAnsi="Arial" w:cs="Arial"/>
          <w:b/>
          <w:sz w:val="20"/>
        </w:rPr>
        <w:t xml:space="preserve"> psychosocial interventions</w:t>
      </w:r>
      <w:r w:rsidRPr="00726BB3">
        <w:rPr>
          <w:rFonts w:ascii="Arial" w:hAnsi="Arial" w:cs="Arial"/>
          <w:sz w:val="20"/>
        </w:rPr>
        <w:t xml:space="preserve"> (n=1487, 31.5%), such as medication free therapy, education/awareness programmes or complementary therapies.  </w:t>
      </w:r>
    </w:p>
    <w:p w:rsidR="003B0DEE" w:rsidRDefault="003B0DEE" w:rsidP="000D5D90">
      <w:pPr>
        <w:spacing w:line="360" w:lineRule="auto"/>
        <w:jc w:val="left"/>
        <w:rPr>
          <w:rFonts w:ascii="Arial" w:hAnsi="Arial" w:cs="Arial"/>
          <w:sz w:val="20"/>
        </w:rPr>
      </w:pPr>
    </w:p>
    <w:p w:rsidR="003B0DEE" w:rsidRPr="00A22847" w:rsidRDefault="003B0DEE" w:rsidP="000D5D90">
      <w:pPr>
        <w:pStyle w:val="BodyText"/>
      </w:pPr>
      <w:r w:rsidRPr="00F236DD">
        <w:rPr>
          <w:rFonts w:eastAsia="Times New Roman"/>
          <w:szCs w:val="20"/>
          <w:lang w:val="en-IE" w:eastAsia="en-IE"/>
        </w:rPr>
        <w:t>Tables 6</w:t>
      </w:r>
      <w:r>
        <w:rPr>
          <w:rFonts w:eastAsia="Times New Roman"/>
          <w:szCs w:val="20"/>
          <w:lang w:val="en-IE" w:eastAsia="en-IE"/>
        </w:rPr>
        <w:t>-</w:t>
      </w:r>
      <w:r w:rsidRPr="00F236DD">
        <w:rPr>
          <w:rFonts w:eastAsia="Times New Roman"/>
          <w:szCs w:val="20"/>
          <w:lang w:val="en-IE" w:eastAsia="en-IE"/>
        </w:rPr>
        <w:t>7 and 6</w:t>
      </w:r>
      <w:r>
        <w:rPr>
          <w:rFonts w:eastAsia="Times New Roman"/>
          <w:szCs w:val="20"/>
          <w:lang w:val="en-IE" w:eastAsia="en-IE"/>
        </w:rPr>
        <w:t>-</w:t>
      </w:r>
      <w:r w:rsidRPr="00F236DD">
        <w:rPr>
          <w:rFonts w:eastAsia="Times New Roman"/>
          <w:szCs w:val="20"/>
          <w:lang w:val="en-IE" w:eastAsia="en-IE"/>
        </w:rPr>
        <w:t xml:space="preserve">8 summarise treatment exposure and the risk and protective factors for each modality.  Results for </w:t>
      </w:r>
      <w:r>
        <w:rPr>
          <w:rFonts w:eastAsia="Times New Roman"/>
          <w:szCs w:val="20"/>
          <w:lang w:val="en-IE" w:eastAsia="en-IE"/>
        </w:rPr>
        <w:t>the individual</w:t>
      </w:r>
      <w:r w:rsidRPr="00F236DD">
        <w:rPr>
          <w:rFonts w:eastAsia="Times New Roman"/>
          <w:szCs w:val="20"/>
          <w:lang w:val="en-IE" w:eastAsia="en-IE"/>
        </w:rPr>
        <w:t xml:space="preserve"> modalit</w:t>
      </w:r>
      <w:r>
        <w:rPr>
          <w:rFonts w:eastAsia="Times New Roman"/>
          <w:szCs w:val="20"/>
          <w:lang w:val="en-IE" w:eastAsia="en-IE"/>
        </w:rPr>
        <w:t>ies</w:t>
      </w:r>
      <w:r w:rsidRPr="00F236DD">
        <w:rPr>
          <w:rFonts w:eastAsia="Times New Roman"/>
          <w:szCs w:val="20"/>
          <w:lang w:val="en-IE" w:eastAsia="en-IE"/>
        </w:rPr>
        <w:t xml:space="preserve"> are presented separately in </w:t>
      </w:r>
      <w:r>
        <w:rPr>
          <w:rFonts w:eastAsia="Times New Roman"/>
          <w:szCs w:val="20"/>
          <w:lang w:val="en-IE" w:eastAsia="en-IE"/>
        </w:rPr>
        <w:t>S</w:t>
      </w:r>
      <w:r w:rsidRPr="00F236DD">
        <w:rPr>
          <w:rFonts w:eastAsia="Times New Roman"/>
          <w:szCs w:val="20"/>
          <w:lang w:val="en-IE" w:eastAsia="en-IE"/>
        </w:rPr>
        <w:t xml:space="preserve">ections 6.5.2, 6.5.3, 6.5.4, and 6.5.5.  The percentage </w:t>
      </w:r>
      <w:r>
        <w:rPr>
          <w:rFonts w:eastAsia="Times New Roman"/>
          <w:szCs w:val="20"/>
          <w:lang w:val="en-IE" w:eastAsia="en-IE"/>
        </w:rPr>
        <w:t xml:space="preserve">of people who </w:t>
      </w:r>
      <w:r w:rsidRPr="00F236DD">
        <w:rPr>
          <w:rFonts w:eastAsia="Times New Roman"/>
          <w:szCs w:val="20"/>
          <w:lang w:val="en-IE" w:eastAsia="en-IE"/>
        </w:rPr>
        <w:t>dropp</w:t>
      </w:r>
      <w:r>
        <w:rPr>
          <w:rFonts w:eastAsia="Times New Roman"/>
          <w:szCs w:val="20"/>
          <w:lang w:val="en-IE" w:eastAsia="en-IE"/>
        </w:rPr>
        <w:t>ed</w:t>
      </w:r>
      <w:r w:rsidRPr="00F236DD">
        <w:rPr>
          <w:rFonts w:eastAsia="Times New Roman"/>
          <w:szCs w:val="20"/>
          <w:lang w:val="en-IE" w:eastAsia="en-IE"/>
        </w:rPr>
        <w:t xml:space="preserve"> out of treatment varied by treatment modality and ranged between 37.5</w:t>
      </w:r>
      <w:r>
        <w:rPr>
          <w:rFonts w:eastAsia="Times New Roman"/>
          <w:szCs w:val="20"/>
          <w:lang w:val="en-IE" w:eastAsia="en-IE"/>
        </w:rPr>
        <w:t>% (opioid substitution) and</w:t>
      </w:r>
      <w:r w:rsidRPr="00F236DD">
        <w:rPr>
          <w:rFonts w:eastAsia="Times New Roman"/>
          <w:szCs w:val="20"/>
          <w:lang w:val="en-IE" w:eastAsia="en-IE"/>
        </w:rPr>
        <w:t xml:space="preserve"> 59.9%</w:t>
      </w:r>
      <w:r>
        <w:rPr>
          <w:rFonts w:eastAsia="Times New Roman"/>
          <w:szCs w:val="20"/>
          <w:lang w:val="en-IE" w:eastAsia="en-IE"/>
        </w:rPr>
        <w:t xml:space="preserve"> (other psychosocial interventions)</w:t>
      </w:r>
      <w:r w:rsidRPr="00F236DD">
        <w:rPr>
          <w:rFonts w:eastAsia="Times New Roman"/>
          <w:szCs w:val="20"/>
          <w:lang w:val="en-IE" w:eastAsia="en-IE"/>
        </w:rPr>
        <w:t xml:space="preserve">.  </w:t>
      </w:r>
      <w:r>
        <w:rPr>
          <w:rFonts w:eastAsia="Times New Roman"/>
          <w:szCs w:val="20"/>
          <w:lang w:val="en-IE" w:eastAsia="en-IE"/>
        </w:rPr>
        <w:t>F</w:t>
      </w:r>
      <w:r w:rsidRPr="00A22847">
        <w:rPr>
          <w:rFonts w:eastAsia="Times New Roman"/>
          <w:szCs w:val="20"/>
          <w:lang w:val="en-IE" w:eastAsia="en-IE"/>
        </w:rPr>
        <w:t>ive protective factors and six risk factors were associated with treatment retention, and</w:t>
      </w:r>
      <w:r w:rsidRPr="00A22847">
        <w:t xml:space="preserve"> these factors also varied by treatment modality.  These factors consisted of three domains: </w:t>
      </w:r>
    </w:p>
    <w:p w:rsidR="003B0DEE" w:rsidRPr="00A22847" w:rsidRDefault="003B0DEE" w:rsidP="003B0DEE">
      <w:pPr>
        <w:pStyle w:val="BodyText"/>
        <w:numPr>
          <w:ilvl w:val="0"/>
          <w:numId w:val="15"/>
        </w:numPr>
      </w:pPr>
      <w:r w:rsidRPr="00A22847">
        <w:t xml:space="preserve">sociodemographic factors (age entering treatment, remaining in school until at least 16 years of age, employment status, location of residence), </w:t>
      </w:r>
    </w:p>
    <w:p w:rsidR="003B0DEE" w:rsidRPr="00A22847" w:rsidRDefault="003B0DEE" w:rsidP="003B0DEE">
      <w:pPr>
        <w:pStyle w:val="BodyText"/>
        <w:numPr>
          <w:ilvl w:val="0"/>
          <w:numId w:val="15"/>
        </w:numPr>
      </w:pPr>
      <w:r w:rsidRPr="00A22847">
        <w:t xml:space="preserve">pre-treatment drug use factors (frequency of opioid use in the month prior to treatment, route of opioid administration, and injecting status at treatment entry), and </w:t>
      </w:r>
    </w:p>
    <w:p w:rsidR="003B0DEE" w:rsidRPr="00A22847" w:rsidRDefault="003B0DEE" w:rsidP="003B0DEE">
      <w:pPr>
        <w:pStyle w:val="BodyText"/>
        <w:numPr>
          <w:ilvl w:val="0"/>
          <w:numId w:val="15"/>
        </w:numPr>
      </w:pPr>
      <w:proofErr w:type="gramStart"/>
      <w:r w:rsidRPr="00A22847">
        <w:t>treatment</w:t>
      </w:r>
      <w:proofErr w:type="gramEnd"/>
      <w:r w:rsidRPr="00A22847">
        <w:t xml:space="preserve"> factors (treatment setting, year commenced treatment and referral source). </w:t>
      </w:r>
    </w:p>
    <w:p w:rsidR="003B0DEE" w:rsidRDefault="003B0DEE" w:rsidP="000D5D90">
      <w:pPr>
        <w:pStyle w:val="BodyText"/>
      </w:pPr>
    </w:p>
    <w:p w:rsidR="003B0DEE" w:rsidRDefault="003B0DEE" w:rsidP="000D5D90">
      <w:pPr>
        <w:pStyle w:val="BodyText"/>
      </w:pPr>
      <w:r w:rsidRPr="00A22847">
        <w:t xml:space="preserve">Treatment setting was the most common factor linked with all four modalities and setting </w:t>
      </w:r>
      <w:r>
        <w:t>acted</w:t>
      </w:r>
      <w:r w:rsidRPr="00A22847">
        <w:t xml:space="preserve"> as both a protective and risk factor.  Structured detoxification was the only modality affected by just one domain (treatment factors), whereby referral to treatment by family/friends acted as a protective factor for treatment retention, while receiving treatment in an inpatient setting was the only risk factor for treatment dropout.  The remaining three treatment modalities were </w:t>
      </w:r>
      <w:r>
        <w:t xml:space="preserve">all </w:t>
      </w:r>
      <w:r w:rsidRPr="00A22847">
        <w:t xml:space="preserve">affected by sociodemographic factors, </w:t>
      </w:r>
      <w:r>
        <w:t xml:space="preserve">which </w:t>
      </w:r>
      <w:r w:rsidRPr="00A22847">
        <w:t>act</w:t>
      </w:r>
      <w:r>
        <w:t xml:space="preserve">ed </w:t>
      </w:r>
      <w:r w:rsidRPr="00A22847">
        <w:t>as both risk (</w:t>
      </w:r>
      <w:r>
        <w:t>being un</w:t>
      </w:r>
      <w:r w:rsidRPr="00A22847">
        <w:t xml:space="preserve">employment and </w:t>
      </w:r>
      <w:r>
        <w:t>residing in Dublin</w:t>
      </w:r>
      <w:r w:rsidRPr="00A22847">
        <w:t xml:space="preserve">) and protective factors (age entering treatment and remaining in school until at least 16 years of age).  Among the psychosocial treatment modalities (counselling only and other </w:t>
      </w:r>
      <w:r w:rsidRPr="00295C5A">
        <w:t xml:space="preserve">psychosocial interventions), pre-treatment drug use factors increased the likelihood of treatment </w:t>
      </w:r>
      <w:r w:rsidRPr="00295C5A">
        <w:lastRenderedPageBreak/>
        <w:t>dropout.  The treatment factors, year commenced treatment and referral source were protective factors and applied to three of the four modalities</w:t>
      </w:r>
      <w:r>
        <w:t xml:space="preserve"> (except</w:t>
      </w:r>
      <w:r w:rsidRPr="00295C5A">
        <w:t xml:space="preserve"> structured detoxification).  </w:t>
      </w:r>
      <w:r>
        <w:t xml:space="preserve">Detailed </w:t>
      </w:r>
      <w:r w:rsidRPr="00F236DD">
        <w:rPr>
          <w:rFonts w:eastAsia="Times New Roman"/>
          <w:szCs w:val="20"/>
          <w:lang w:val="en-IE" w:eastAsia="en-IE"/>
        </w:rPr>
        <w:t xml:space="preserve">results for </w:t>
      </w:r>
      <w:r>
        <w:rPr>
          <w:rFonts w:eastAsia="Times New Roman"/>
          <w:szCs w:val="20"/>
          <w:lang w:val="en-IE" w:eastAsia="en-IE"/>
        </w:rPr>
        <w:t xml:space="preserve">each </w:t>
      </w:r>
      <w:r w:rsidRPr="00F236DD">
        <w:rPr>
          <w:rFonts w:eastAsia="Times New Roman"/>
          <w:szCs w:val="20"/>
          <w:lang w:val="en-IE" w:eastAsia="en-IE"/>
        </w:rPr>
        <w:t>modalit</w:t>
      </w:r>
      <w:r>
        <w:rPr>
          <w:rFonts w:eastAsia="Times New Roman"/>
          <w:szCs w:val="20"/>
          <w:lang w:val="en-IE" w:eastAsia="en-IE"/>
        </w:rPr>
        <w:t>y</w:t>
      </w:r>
      <w:r w:rsidRPr="00F236DD">
        <w:rPr>
          <w:rFonts w:eastAsia="Times New Roman"/>
          <w:szCs w:val="20"/>
          <w:lang w:val="en-IE" w:eastAsia="en-IE"/>
        </w:rPr>
        <w:t xml:space="preserve"> are </w:t>
      </w:r>
      <w:r>
        <w:rPr>
          <w:rFonts w:eastAsia="Times New Roman"/>
          <w:szCs w:val="20"/>
          <w:lang w:val="en-IE" w:eastAsia="en-IE"/>
        </w:rPr>
        <w:t>given</w:t>
      </w:r>
      <w:r w:rsidRPr="00F236DD">
        <w:rPr>
          <w:rFonts w:eastAsia="Times New Roman"/>
          <w:szCs w:val="20"/>
          <w:lang w:val="en-IE" w:eastAsia="en-IE"/>
        </w:rPr>
        <w:t xml:space="preserve"> in </w:t>
      </w:r>
      <w:r>
        <w:rPr>
          <w:rFonts w:eastAsia="Times New Roman"/>
          <w:szCs w:val="20"/>
          <w:lang w:val="en-IE" w:eastAsia="en-IE"/>
        </w:rPr>
        <w:t>S</w:t>
      </w:r>
      <w:r w:rsidRPr="00F236DD">
        <w:rPr>
          <w:rFonts w:eastAsia="Times New Roman"/>
          <w:szCs w:val="20"/>
          <w:lang w:val="en-IE" w:eastAsia="en-IE"/>
        </w:rPr>
        <w:t xml:space="preserve">ections 6.5.2, 6.5.3, 6.5.4, and 6.5.5.  </w:t>
      </w:r>
    </w:p>
    <w:p w:rsidR="003B0DEE" w:rsidRDefault="003B0DEE" w:rsidP="000D5D90">
      <w:pPr>
        <w:pStyle w:val="Caption"/>
        <w:keepNext/>
        <w:spacing w:line="240" w:lineRule="auto"/>
        <w:rPr>
          <w:b w:val="0"/>
        </w:rPr>
      </w:pPr>
      <w:bookmarkStart w:id="120" w:name="_Toc15332011"/>
      <w:r>
        <w:t xml:space="preserve">Table </w:t>
      </w:r>
      <w:fldSimple w:instr=" STYLEREF 1 \s ">
        <w:r>
          <w:rPr>
            <w:noProof/>
          </w:rPr>
          <w:t>6</w:t>
        </w:r>
      </w:fldSimple>
      <w:r>
        <w:noBreakHyphen/>
      </w:r>
      <w:r>
        <w:fldChar w:fldCharType="begin"/>
      </w:r>
      <w:r>
        <w:instrText xml:space="preserve"> SEQ Table \* ARABIC \s 1 </w:instrText>
      </w:r>
      <w:r>
        <w:fldChar w:fldCharType="separate"/>
      </w:r>
      <w:proofErr w:type="gramStart"/>
      <w:r>
        <w:rPr>
          <w:noProof/>
        </w:rPr>
        <w:t>7</w:t>
      </w:r>
      <w:r>
        <w:rPr>
          <w:noProof/>
        </w:rPr>
        <w:fldChar w:fldCharType="end"/>
      </w:r>
      <w:r>
        <w:t xml:space="preserve">  Treatment modality</w:t>
      </w:r>
      <w:proofErr w:type="gramEnd"/>
      <w:r w:rsidRPr="00F62500">
        <w:rPr>
          <w:b w:val="0"/>
        </w:rPr>
        <w:t>:</w:t>
      </w:r>
      <w:r>
        <w:t xml:space="preserve"> </w:t>
      </w:r>
      <w:r>
        <w:rPr>
          <w:b w:val="0"/>
        </w:rPr>
        <w:t>f</w:t>
      </w:r>
      <w:r w:rsidRPr="0014722B">
        <w:rPr>
          <w:b w:val="0"/>
        </w:rPr>
        <w:t>requencies, p</w:t>
      </w:r>
      <w:r>
        <w:rPr>
          <w:b w:val="0"/>
        </w:rPr>
        <w:t xml:space="preserve">ercentages censored or dropping </w:t>
      </w:r>
      <w:r w:rsidRPr="0014722B">
        <w:rPr>
          <w:b w:val="0"/>
        </w:rPr>
        <w:t>out of treatment,</w:t>
      </w:r>
      <w:r>
        <w:rPr>
          <w:b w:val="0"/>
        </w:rPr>
        <w:t xml:space="preserve"> and treatment durations by modality.</w:t>
      </w:r>
      <w:bookmarkEnd w:id="120"/>
      <w:r>
        <w:rPr>
          <w:b w:val="0"/>
        </w:rPr>
        <w:t xml:space="preserve"> </w:t>
      </w:r>
    </w:p>
    <w:tbl>
      <w:tblPr>
        <w:tblW w:w="4406" w:type="pct"/>
        <w:tblBorders>
          <w:top w:val="single" w:sz="8" w:space="0" w:color="000000"/>
          <w:bottom w:val="single" w:sz="8" w:space="0" w:color="000000"/>
        </w:tblBorders>
        <w:shd w:val="clear" w:color="auto" w:fill="FFFFFF"/>
        <w:tblLook w:val="04A0" w:firstRow="1" w:lastRow="0" w:firstColumn="1" w:lastColumn="0" w:noHBand="0" w:noVBand="1"/>
      </w:tblPr>
      <w:tblGrid>
        <w:gridCol w:w="4017"/>
        <w:gridCol w:w="662"/>
        <w:gridCol w:w="717"/>
        <w:gridCol w:w="662"/>
        <w:gridCol w:w="608"/>
        <w:gridCol w:w="662"/>
        <w:gridCol w:w="606"/>
      </w:tblGrid>
      <w:tr w:rsidR="003B0DEE" w:rsidRPr="000806DA" w:rsidTr="000D5D90">
        <w:trPr>
          <w:trHeight w:val="20"/>
        </w:trPr>
        <w:tc>
          <w:tcPr>
            <w:tcW w:w="253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Modality</w:t>
            </w:r>
          </w:p>
        </w:tc>
        <w:tc>
          <w:tcPr>
            <w:tcW w:w="869"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Survival Sample</w:t>
            </w:r>
          </w:p>
        </w:tc>
        <w:tc>
          <w:tcPr>
            <w:tcW w:w="800"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Censored</w:t>
            </w:r>
          </w:p>
        </w:tc>
        <w:tc>
          <w:tcPr>
            <w:tcW w:w="799"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Treatment dropout</w:t>
            </w:r>
          </w:p>
        </w:tc>
      </w:tr>
      <w:tr w:rsidR="003B0DEE" w:rsidRPr="000806DA" w:rsidTr="000D5D90">
        <w:trPr>
          <w:trHeight w:val="48"/>
        </w:trPr>
        <w:tc>
          <w:tcPr>
            <w:tcW w:w="253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417"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45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417"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383"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c>
          <w:tcPr>
            <w:tcW w:w="417"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N</w:t>
            </w:r>
          </w:p>
        </w:tc>
        <w:tc>
          <w:tcPr>
            <w:tcW w:w="382"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20"/>
                <w:lang w:eastAsia="en-US"/>
              </w:rPr>
            </w:pPr>
            <w:r w:rsidRPr="000806DA">
              <w:rPr>
                <w:rFonts w:ascii="Arial" w:hAnsi="Arial" w:cs="Arial"/>
                <w:b/>
                <w:color w:val="000000"/>
                <w:sz w:val="20"/>
                <w:lang w:eastAsia="en-US"/>
              </w:rPr>
              <w:t>%</w:t>
            </w:r>
          </w:p>
        </w:tc>
      </w:tr>
      <w:tr w:rsidR="003B0DEE" w:rsidRPr="000806DA" w:rsidTr="000D5D90">
        <w:trPr>
          <w:trHeight w:val="48"/>
        </w:trPr>
        <w:tc>
          <w:tcPr>
            <w:tcW w:w="2532" w:type="pct"/>
            <w:tcBorders>
              <w:top w:val="single" w:sz="8" w:space="0" w:color="000000"/>
            </w:tcBorders>
            <w:shd w:val="clear" w:color="auto" w:fill="FFFFFF"/>
          </w:tcPr>
          <w:p w:rsidR="003B0DEE" w:rsidRPr="008C76D7" w:rsidRDefault="003B0DEE" w:rsidP="000D5D90">
            <w:pPr>
              <w:spacing w:line="240" w:lineRule="auto"/>
              <w:jc w:val="left"/>
              <w:rPr>
                <w:rFonts w:ascii="Arial" w:hAnsi="Arial" w:cs="Arial"/>
                <w:bCs/>
                <w:color w:val="000000"/>
                <w:sz w:val="20"/>
                <w:lang w:eastAsia="en-US"/>
              </w:rPr>
            </w:pPr>
            <w:r w:rsidRPr="008C76D7">
              <w:rPr>
                <w:rFonts w:ascii="Arial" w:hAnsi="Arial" w:cs="Arial"/>
                <w:bCs/>
                <w:color w:val="000000"/>
                <w:sz w:val="20"/>
                <w:lang w:eastAsia="en-US"/>
              </w:rPr>
              <w:t>Opioid substitution modality</w:t>
            </w:r>
          </w:p>
        </w:tc>
        <w:tc>
          <w:tcPr>
            <w:tcW w:w="417"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613</w:t>
            </w:r>
          </w:p>
        </w:tc>
        <w:tc>
          <w:tcPr>
            <w:tcW w:w="452"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100.0</w:t>
            </w:r>
          </w:p>
        </w:tc>
        <w:tc>
          <w:tcPr>
            <w:tcW w:w="417" w:type="pct"/>
            <w:tcBorders>
              <w:top w:val="single" w:sz="8" w:space="0" w:color="000000"/>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383</w:t>
            </w:r>
          </w:p>
        </w:tc>
        <w:tc>
          <w:tcPr>
            <w:tcW w:w="383"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62.5</w:t>
            </w:r>
          </w:p>
        </w:tc>
        <w:tc>
          <w:tcPr>
            <w:tcW w:w="417" w:type="pct"/>
            <w:tcBorders>
              <w:top w:val="single" w:sz="8" w:space="0" w:color="000000"/>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230</w:t>
            </w:r>
          </w:p>
        </w:tc>
        <w:tc>
          <w:tcPr>
            <w:tcW w:w="382" w:type="pct"/>
            <w:tcBorders>
              <w:top w:val="single" w:sz="8" w:space="0" w:color="000000"/>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37.5</w:t>
            </w:r>
          </w:p>
        </w:tc>
      </w:tr>
      <w:tr w:rsidR="003B0DEE" w:rsidRPr="000806DA" w:rsidTr="000D5D90">
        <w:trPr>
          <w:trHeight w:val="48"/>
        </w:trPr>
        <w:tc>
          <w:tcPr>
            <w:tcW w:w="2532" w:type="pct"/>
            <w:tcBorders>
              <w:top w:val="nil"/>
              <w:left w:val="nil"/>
              <w:right w:val="nil"/>
            </w:tcBorders>
            <w:shd w:val="clear" w:color="auto" w:fill="FFFFFF"/>
          </w:tcPr>
          <w:p w:rsidR="003B0DEE" w:rsidRPr="008C76D7" w:rsidRDefault="003B0DEE" w:rsidP="000D5D90">
            <w:pPr>
              <w:spacing w:line="240" w:lineRule="auto"/>
              <w:jc w:val="left"/>
              <w:rPr>
                <w:rFonts w:ascii="Arial" w:hAnsi="Arial" w:cs="Arial"/>
                <w:bCs/>
                <w:color w:val="000000"/>
                <w:sz w:val="20"/>
                <w:lang w:eastAsia="en-US"/>
              </w:rPr>
            </w:pPr>
            <w:r w:rsidRPr="008C76D7">
              <w:rPr>
                <w:rFonts w:ascii="Arial" w:hAnsi="Arial" w:cs="Arial"/>
                <w:bCs/>
                <w:color w:val="000000"/>
                <w:sz w:val="20"/>
                <w:lang w:eastAsia="en-US"/>
              </w:rPr>
              <w:t>Structured detoxification modality</w:t>
            </w:r>
          </w:p>
        </w:tc>
        <w:tc>
          <w:tcPr>
            <w:tcW w:w="41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108</w:t>
            </w:r>
          </w:p>
        </w:tc>
        <w:tc>
          <w:tcPr>
            <w:tcW w:w="452"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100.0</w:t>
            </w:r>
          </w:p>
        </w:tc>
        <w:tc>
          <w:tcPr>
            <w:tcW w:w="417" w:type="pct"/>
            <w:tcBorders>
              <w:top w:val="nil"/>
              <w:left w:val="nil"/>
              <w:bottom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58</w:t>
            </w:r>
          </w:p>
        </w:tc>
        <w:tc>
          <w:tcPr>
            <w:tcW w:w="383"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53.7</w:t>
            </w:r>
          </w:p>
        </w:tc>
        <w:tc>
          <w:tcPr>
            <w:tcW w:w="417" w:type="pct"/>
            <w:tcBorders>
              <w:top w:val="nil"/>
              <w:left w:val="nil"/>
              <w:bottom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50</w:t>
            </w:r>
          </w:p>
        </w:tc>
        <w:tc>
          <w:tcPr>
            <w:tcW w:w="382" w:type="pct"/>
            <w:tcBorders>
              <w:top w:val="nil"/>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46.3</w:t>
            </w:r>
          </w:p>
        </w:tc>
      </w:tr>
      <w:tr w:rsidR="003B0DEE" w:rsidRPr="000806DA" w:rsidTr="000D5D90">
        <w:trPr>
          <w:trHeight w:val="48"/>
        </w:trPr>
        <w:tc>
          <w:tcPr>
            <w:tcW w:w="2532" w:type="pct"/>
            <w:tcBorders>
              <w:top w:val="nil"/>
            </w:tcBorders>
            <w:shd w:val="clear" w:color="auto" w:fill="FFFFFF"/>
          </w:tcPr>
          <w:p w:rsidR="003B0DEE" w:rsidRPr="008C76D7" w:rsidRDefault="003B0DEE" w:rsidP="000D5D90">
            <w:pPr>
              <w:spacing w:line="240" w:lineRule="auto"/>
              <w:jc w:val="left"/>
              <w:rPr>
                <w:rFonts w:ascii="Arial" w:hAnsi="Arial" w:cs="Arial"/>
                <w:bCs/>
                <w:color w:val="000000"/>
                <w:sz w:val="20"/>
                <w:lang w:eastAsia="en-US"/>
              </w:rPr>
            </w:pPr>
            <w:r w:rsidRPr="008C76D7">
              <w:rPr>
                <w:rFonts w:ascii="Arial" w:hAnsi="Arial" w:cs="Arial"/>
                <w:bCs/>
                <w:color w:val="000000"/>
                <w:sz w:val="20"/>
                <w:lang w:eastAsia="en-US"/>
              </w:rPr>
              <w:t>Counselling only modality</w:t>
            </w:r>
          </w:p>
        </w:tc>
        <w:tc>
          <w:tcPr>
            <w:tcW w:w="41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2514</w:t>
            </w:r>
          </w:p>
        </w:tc>
        <w:tc>
          <w:tcPr>
            <w:tcW w:w="452"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100.0</w:t>
            </w:r>
          </w:p>
        </w:tc>
        <w:tc>
          <w:tcPr>
            <w:tcW w:w="417" w:type="pct"/>
            <w:tcBorders>
              <w:top w:val="nil"/>
              <w:bottom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1168</w:t>
            </w:r>
          </w:p>
        </w:tc>
        <w:tc>
          <w:tcPr>
            <w:tcW w:w="383"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46.5</w:t>
            </w:r>
          </w:p>
        </w:tc>
        <w:tc>
          <w:tcPr>
            <w:tcW w:w="417" w:type="pct"/>
            <w:tcBorders>
              <w:top w:val="nil"/>
              <w:bottom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1346</w:t>
            </w:r>
          </w:p>
        </w:tc>
        <w:tc>
          <w:tcPr>
            <w:tcW w:w="382" w:type="pct"/>
            <w:tcBorders>
              <w:top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53.5</w:t>
            </w:r>
          </w:p>
        </w:tc>
      </w:tr>
      <w:tr w:rsidR="003B0DEE" w:rsidRPr="000806DA" w:rsidTr="000D5D90">
        <w:trPr>
          <w:trHeight w:val="48"/>
        </w:trPr>
        <w:tc>
          <w:tcPr>
            <w:tcW w:w="2532" w:type="pct"/>
            <w:tcBorders>
              <w:top w:val="nil"/>
              <w:left w:val="nil"/>
              <w:bottom w:val="single" w:sz="8" w:space="0" w:color="000000"/>
              <w:right w:val="nil"/>
            </w:tcBorders>
            <w:shd w:val="clear" w:color="auto" w:fill="FFFFFF"/>
          </w:tcPr>
          <w:p w:rsidR="003B0DEE" w:rsidRPr="008C76D7" w:rsidRDefault="003B0DEE" w:rsidP="000D5D90">
            <w:pPr>
              <w:spacing w:line="240" w:lineRule="auto"/>
              <w:jc w:val="left"/>
              <w:rPr>
                <w:rFonts w:ascii="Arial" w:hAnsi="Arial" w:cs="Arial"/>
                <w:bCs/>
                <w:color w:val="000000"/>
                <w:sz w:val="20"/>
                <w:lang w:eastAsia="en-US"/>
              </w:rPr>
            </w:pPr>
            <w:r w:rsidRPr="008C76D7">
              <w:rPr>
                <w:rFonts w:ascii="Arial" w:hAnsi="Arial" w:cs="Arial"/>
                <w:bCs/>
                <w:color w:val="000000"/>
                <w:sz w:val="20"/>
                <w:lang w:eastAsia="en-US"/>
              </w:rPr>
              <w:t>Other psychosocial interventions modality</w:t>
            </w:r>
          </w:p>
        </w:tc>
        <w:tc>
          <w:tcPr>
            <w:tcW w:w="41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1487</w:t>
            </w:r>
          </w:p>
        </w:tc>
        <w:tc>
          <w:tcPr>
            <w:tcW w:w="452"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100.0</w:t>
            </w:r>
          </w:p>
        </w:tc>
        <w:tc>
          <w:tcPr>
            <w:tcW w:w="417"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597</w:t>
            </w:r>
          </w:p>
        </w:tc>
        <w:tc>
          <w:tcPr>
            <w:tcW w:w="383"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40.1</w:t>
            </w:r>
          </w:p>
        </w:tc>
        <w:tc>
          <w:tcPr>
            <w:tcW w:w="417"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890</w:t>
            </w:r>
          </w:p>
        </w:tc>
        <w:tc>
          <w:tcPr>
            <w:tcW w:w="382" w:type="pct"/>
            <w:tcBorders>
              <w:top w:val="nil"/>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59.9</w:t>
            </w:r>
          </w:p>
        </w:tc>
      </w:tr>
    </w:tbl>
    <w:p w:rsidR="003B0DEE" w:rsidRPr="00E60AE3" w:rsidRDefault="003B0DEE" w:rsidP="000D5D90">
      <w:pPr>
        <w:pStyle w:val="Caption"/>
        <w:keepNext/>
        <w:spacing w:line="240" w:lineRule="auto"/>
        <w:rPr>
          <w:b w:val="0"/>
          <w:szCs w:val="20"/>
        </w:rPr>
      </w:pPr>
      <w:r>
        <w:br w:type="page"/>
      </w:r>
      <w:bookmarkStart w:id="121" w:name="_Toc15332012"/>
      <w:r w:rsidRPr="00E60AE3">
        <w:rPr>
          <w:szCs w:val="20"/>
        </w:rPr>
        <w:lastRenderedPageBreak/>
        <w:t xml:space="preserve">Table </w:t>
      </w:r>
      <w:r>
        <w:rPr>
          <w:szCs w:val="20"/>
        </w:rPr>
        <w:fldChar w:fldCharType="begin"/>
      </w:r>
      <w:r>
        <w:rPr>
          <w:szCs w:val="20"/>
        </w:rPr>
        <w:instrText xml:space="preserve"> STYLEREF 1 \s </w:instrText>
      </w:r>
      <w:r>
        <w:rPr>
          <w:szCs w:val="20"/>
        </w:rPr>
        <w:fldChar w:fldCharType="separate"/>
      </w:r>
      <w:r>
        <w:rPr>
          <w:noProof/>
          <w:szCs w:val="20"/>
        </w:rPr>
        <w:t>6</w:t>
      </w:r>
      <w:r>
        <w:rPr>
          <w:szCs w:val="20"/>
        </w:rPr>
        <w:fldChar w:fldCharType="end"/>
      </w:r>
      <w:r>
        <w:rPr>
          <w:szCs w:val="20"/>
        </w:rPr>
        <w:noBreakHyphen/>
      </w:r>
      <w:r>
        <w:rPr>
          <w:szCs w:val="20"/>
        </w:rPr>
        <w:fldChar w:fldCharType="begin"/>
      </w:r>
      <w:r>
        <w:rPr>
          <w:szCs w:val="20"/>
        </w:rPr>
        <w:instrText xml:space="preserve"> SEQ Table \* ARABIC \s 1 </w:instrText>
      </w:r>
      <w:r>
        <w:rPr>
          <w:szCs w:val="20"/>
        </w:rPr>
        <w:fldChar w:fldCharType="separate"/>
      </w:r>
      <w:proofErr w:type="gramStart"/>
      <w:r>
        <w:rPr>
          <w:noProof/>
          <w:szCs w:val="20"/>
        </w:rPr>
        <w:t>8</w:t>
      </w:r>
      <w:r>
        <w:rPr>
          <w:szCs w:val="20"/>
        </w:rPr>
        <w:fldChar w:fldCharType="end"/>
      </w:r>
      <w:r>
        <w:rPr>
          <w:szCs w:val="20"/>
        </w:rPr>
        <w:t xml:space="preserve">  </w:t>
      </w:r>
      <w:r w:rsidRPr="00E60AE3">
        <w:rPr>
          <w:szCs w:val="20"/>
        </w:rPr>
        <w:t>Summary of Cox regression analysis</w:t>
      </w:r>
      <w:proofErr w:type="gramEnd"/>
      <w:r w:rsidRPr="00E60AE3">
        <w:rPr>
          <w:szCs w:val="20"/>
        </w:rPr>
        <w:t xml:space="preserve">: </w:t>
      </w:r>
      <w:r w:rsidRPr="00E60AE3">
        <w:rPr>
          <w:b w:val="0"/>
          <w:szCs w:val="20"/>
        </w:rPr>
        <w:t>risk and protective factors by modality</w:t>
      </w:r>
      <w:bookmarkEnd w:id="121"/>
      <w:r w:rsidRPr="00E60AE3">
        <w:rPr>
          <w:b w:val="0"/>
          <w:szCs w:val="20"/>
        </w:rPr>
        <w:t xml:space="preserve"> </w:t>
      </w:r>
    </w:p>
    <w:tbl>
      <w:tblPr>
        <w:tblW w:w="9039" w:type="dxa"/>
        <w:shd w:val="clear" w:color="auto" w:fill="FFFFFF"/>
        <w:tblLayout w:type="fixed"/>
        <w:tblLook w:val="04A0" w:firstRow="1" w:lastRow="0" w:firstColumn="1" w:lastColumn="0" w:noHBand="0" w:noVBand="1"/>
      </w:tblPr>
      <w:tblGrid>
        <w:gridCol w:w="1526"/>
        <w:gridCol w:w="1134"/>
        <w:gridCol w:w="1417"/>
        <w:gridCol w:w="1560"/>
        <w:gridCol w:w="1559"/>
        <w:gridCol w:w="1843"/>
      </w:tblGrid>
      <w:tr w:rsidR="003B0DEE" w:rsidRPr="000806DA" w:rsidTr="000D5D90">
        <w:trPr>
          <w:trHeight w:val="20"/>
        </w:trPr>
        <w:tc>
          <w:tcPr>
            <w:tcW w:w="1526" w:type="dxa"/>
            <w:tcBorders>
              <w:top w:val="single" w:sz="8" w:space="0" w:color="000000"/>
              <w:bottom w:val="single" w:sz="8" w:space="0" w:color="000000"/>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Modality</w:t>
            </w:r>
          </w:p>
        </w:tc>
        <w:tc>
          <w:tcPr>
            <w:tcW w:w="1134" w:type="dxa"/>
            <w:tcBorders>
              <w:top w:val="single" w:sz="8" w:space="0" w:color="000000"/>
              <w:bottom w:val="single" w:sz="8" w:space="0" w:color="000000"/>
            </w:tcBorders>
            <w:shd w:val="clear" w:color="auto" w:fill="FFFFFF"/>
          </w:tcPr>
          <w:p w:rsidR="003B0DEE" w:rsidRDefault="003B0DEE" w:rsidP="000D5D90">
            <w:pPr>
              <w:spacing w:line="360" w:lineRule="auto"/>
              <w:jc w:val="left"/>
              <w:rPr>
                <w:rFonts w:ascii="Arial" w:hAnsi="Arial" w:cs="Arial"/>
                <w:b/>
                <w:bCs/>
                <w:color w:val="000000"/>
                <w:sz w:val="20"/>
                <w:lang w:eastAsia="en-US"/>
              </w:rPr>
            </w:pPr>
            <w:r>
              <w:rPr>
                <w:rFonts w:ascii="Arial" w:hAnsi="Arial" w:cs="Arial"/>
                <w:b/>
                <w:bCs/>
                <w:color w:val="000000"/>
                <w:sz w:val="20"/>
                <w:lang w:eastAsia="en-US"/>
              </w:rPr>
              <w:t xml:space="preserve">Age </w:t>
            </w:r>
            <w:r w:rsidRPr="005D5DC0">
              <w:rPr>
                <w:rFonts w:ascii="Arial" w:hAnsi="Arial" w:cs="Arial"/>
                <w:b/>
                <w:bCs/>
                <w:color w:val="000000"/>
                <w:sz w:val="20"/>
                <w:lang w:eastAsia="en-US"/>
              </w:rPr>
              <w:t>enter</w:t>
            </w:r>
            <w:r>
              <w:rPr>
                <w:rFonts w:ascii="Arial" w:hAnsi="Arial" w:cs="Arial"/>
                <w:b/>
                <w:bCs/>
                <w:color w:val="000000"/>
                <w:sz w:val="20"/>
                <w:lang w:eastAsia="en-US"/>
              </w:rPr>
              <w:t>ing</w:t>
            </w:r>
          </w:p>
          <w:p w:rsidR="003B0DEE" w:rsidRPr="000806DA" w:rsidRDefault="003B0DEE" w:rsidP="000D5D90">
            <w:pPr>
              <w:spacing w:line="360" w:lineRule="auto"/>
              <w:jc w:val="left"/>
              <w:rPr>
                <w:rFonts w:ascii="Arial" w:hAnsi="Arial" w:cs="Arial"/>
                <w:b/>
                <w:bCs/>
                <w:color w:val="000000"/>
                <w:sz w:val="20"/>
                <w:lang w:eastAsia="en-US"/>
              </w:rPr>
            </w:pPr>
            <w:r w:rsidRPr="005D5DC0">
              <w:rPr>
                <w:rFonts w:ascii="Arial" w:hAnsi="Arial" w:cs="Arial"/>
                <w:b/>
                <w:bCs/>
                <w:color w:val="000000"/>
                <w:sz w:val="20"/>
                <w:lang w:eastAsia="en-US"/>
              </w:rPr>
              <w:t>treatment</w:t>
            </w:r>
          </w:p>
        </w:tc>
        <w:tc>
          <w:tcPr>
            <w:tcW w:w="2977" w:type="dxa"/>
            <w:gridSpan w:val="2"/>
            <w:tcBorders>
              <w:top w:val="single" w:sz="8" w:space="0" w:color="000000"/>
              <w:bottom w:val="single" w:sz="8" w:space="0" w:color="000000"/>
            </w:tcBorders>
            <w:shd w:val="clear" w:color="auto" w:fill="FFFFFF"/>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 xml:space="preserve">Protective factors </w:t>
            </w:r>
          </w:p>
        </w:tc>
        <w:tc>
          <w:tcPr>
            <w:tcW w:w="3402" w:type="dxa"/>
            <w:gridSpan w:val="2"/>
            <w:tcBorders>
              <w:top w:val="single" w:sz="8" w:space="0" w:color="000000"/>
              <w:bottom w:val="single" w:sz="8" w:space="0" w:color="000000"/>
            </w:tcBorders>
            <w:shd w:val="clear" w:color="auto" w:fill="F2F2F2"/>
          </w:tcPr>
          <w:p w:rsidR="003B0DEE" w:rsidRPr="000806DA" w:rsidRDefault="003B0DEE" w:rsidP="000D5D90">
            <w:pPr>
              <w:spacing w:line="360" w:lineRule="auto"/>
              <w:jc w:val="center"/>
              <w:rPr>
                <w:rFonts w:ascii="Arial" w:hAnsi="Arial" w:cs="Arial"/>
                <w:b/>
                <w:bCs/>
                <w:color w:val="000000"/>
                <w:sz w:val="20"/>
                <w:lang w:eastAsia="en-US"/>
              </w:rPr>
            </w:pPr>
            <w:r w:rsidRPr="000806DA">
              <w:rPr>
                <w:rFonts w:ascii="Arial" w:hAnsi="Arial" w:cs="Arial"/>
                <w:b/>
                <w:bCs/>
                <w:color w:val="000000"/>
                <w:sz w:val="20"/>
                <w:lang w:eastAsia="en-US"/>
              </w:rPr>
              <w:t xml:space="preserve">Risk factors </w:t>
            </w:r>
          </w:p>
        </w:tc>
      </w:tr>
      <w:tr w:rsidR="003B0DEE" w:rsidRPr="000806DA" w:rsidTr="000D5D90">
        <w:trPr>
          <w:trHeight w:val="20"/>
        </w:trPr>
        <w:tc>
          <w:tcPr>
            <w:tcW w:w="1526"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Opioid substitution modality</w:t>
            </w:r>
          </w:p>
        </w:tc>
        <w:tc>
          <w:tcPr>
            <w:tcW w:w="1134"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Pr>
                <w:rFonts w:ascii="Arial" w:hAnsi="Arial" w:cs="Arial"/>
                <w:color w:val="000000"/>
                <w:sz w:val="20"/>
                <w:lang w:eastAsia="en-US"/>
              </w:rPr>
              <w:t>Protective factor</w:t>
            </w:r>
          </w:p>
        </w:tc>
        <w:tc>
          <w:tcPr>
            <w:tcW w:w="1417"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Age enter</w:t>
            </w:r>
            <w:r>
              <w:rPr>
                <w:rFonts w:ascii="Arial" w:hAnsi="Arial" w:cs="Arial"/>
                <w:color w:val="000000"/>
                <w:sz w:val="20"/>
                <w:lang w:eastAsia="en-US"/>
              </w:rPr>
              <w:t>ing</w:t>
            </w:r>
            <w:r w:rsidRPr="000806DA">
              <w:rPr>
                <w:rFonts w:ascii="Arial" w:hAnsi="Arial" w:cs="Arial"/>
                <w:color w:val="000000"/>
                <w:sz w:val="20"/>
                <w:lang w:eastAsia="en-US"/>
              </w:rPr>
              <w:t xml:space="preserve"> treatment</w:t>
            </w:r>
          </w:p>
        </w:tc>
        <w:tc>
          <w:tcPr>
            <w:tcW w:w="1560"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HR=0.97</w:t>
            </w:r>
            <w:r>
              <w:rPr>
                <w:rFonts w:ascii="Arial" w:hAnsi="Arial" w:cs="Arial"/>
                <w:color w:val="000000"/>
                <w:sz w:val="20"/>
                <w:lang w:eastAsia="en-US"/>
              </w:rPr>
              <w:t>6</w:t>
            </w:r>
            <w:r w:rsidRPr="000806DA">
              <w:rPr>
                <w:rFonts w:ascii="Arial" w:hAnsi="Arial" w:cs="Arial"/>
                <w:color w:val="000000"/>
                <w:sz w:val="20"/>
                <w:lang w:eastAsia="en-US"/>
              </w:rPr>
              <w:t xml:space="preserve">, </w:t>
            </w:r>
            <w:r>
              <w:rPr>
                <w:rFonts w:ascii="Arial" w:hAnsi="Arial" w:cs="Arial"/>
                <w:color w:val="000000"/>
                <w:sz w:val="20"/>
                <w:lang w:eastAsia="en-US"/>
              </w:rPr>
              <w:t>95% CI</w:t>
            </w:r>
            <w:r w:rsidRPr="000806DA">
              <w:rPr>
                <w:rFonts w:ascii="Arial" w:hAnsi="Arial" w:cs="Arial"/>
                <w:color w:val="000000"/>
                <w:sz w:val="20"/>
                <w:lang w:eastAsia="en-US"/>
              </w:rPr>
              <w:t>=0.9</w:t>
            </w:r>
            <w:r>
              <w:rPr>
                <w:rFonts w:ascii="Arial" w:hAnsi="Arial" w:cs="Arial"/>
                <w:color w:val="000000"/>
                <w:sz w:val="20"/>
                <w:lang w:eastAsia="en-US"/>
              </w:rPr>
              <w:t>58</w:t>
            </w:r>
            <w:r w:rsidRPr="000806DA">
              <w:rPr>
                <w:rFonts w:ascii="Arial" w:hAnsi="Arial" w:cs="Arial"/>
                <w:color w:val="000000"/>
                <w:sz w:val="20"/>
                <w:lang w:eastAsia="en-US"/>
              </w:rPr>
              <w:t>-0.99</w:t>
            </w:r>
            <w:r>
              <w:rPr>
                <w:rFonts w:ascii="Arial" w:hAnsi="Arial" w:cs="Arial"/>
                <w:color w:val="000000"/>
                <w:sz w:val="20"/>
                <w:lang w:eastAsia="en-US"/>
              </w:rPr>
              <w:t>4</w:t>
            </w:r>
            <w:r w:rsidRPr="000806DA">
              <w:rPr>
                <w:rFonts w:ascii="Arial" w:hAnsi="Arial" w:cs="Arial"/>
                <w:color w:val="000000"/>
                <w:sz w:val="20"/>
                <w:lang w:eastAsia="en-US"/>
              </w:rPr>
              <w:t>, p=0.0</w:t>
            </w:r>
            <w:r>
              <w:rPr>
                <w:rFonts w:ascii="Arial" w:hAnsi="Arial" w:cs="Arial"/>
                <w:color w:val="000000"/>
                <w:sz w:val="20"/>
                <w:lang w:eastAsia="en-US"/>
              </w:rPr>
              <w:t>08</w:t>
            </w:r>
          </w:p>
          <w:p w:rsidR="003B0DEE" w:rsidRPr="000806DA" w:rsidRDefault="003B0DEE" w:rsidP="000D5D90">
            <w:pPr>
              <w:spacing w:line="240" w:lineRule="auto"/>
              <w:rPr>
                <w:rFonts w:ascii="Arial" w:hAnsi="Arial" w:cs="Arial"/>
                <w:color w:val="000000"/>
                <w:sz w:val="20"/>
                <w:lang w:eastAsia="en-US"/>
              </w:rPr>
            </w:pPr>
          </w:p>
        </w:tc>
        <w:tc>
          <w:tcPr>
            <w:tcW w:w="1559"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Inpatient setting</w:t>
            </w:r>
          </w:p>
        </w:tc>
        <w:tc>
          <w:tcPr>
            <w:tcW w:w="1843"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HR=1</w:t>
            </w:r>
            <w:r>
              <w:rPr>
                <w:rFonts w:ascii="Arial" w:hAnsi="Arial" w:cs="Arial"/>
                <w:color w:val="000000"/>
                <w:sz w:val="20"/>
                <w:lang w:eastAsia="en-US"/>
              </w:rPr>
              <w:t>6</w:t>
            </w:r>
            <w:r w:rsidRPr="000806DA">
              <w:rPr>
                <w:rFonts w:ascii="Arial" w:hAnsi="Arial" w:cs="Arial"/>
                <w:color w:val="000000"/>
                <w:sz w:val="20"/>
                <w:lang w:eastAsia="en-US"/>
              </w:rPr>
              <w:t>.3</w:t>
            </w:r>
            <w:r>
              <w:rPr>
                <w:rFonts w:ascii="Arial" w:hAnsi="Arial" w:cs="Arial"/>
                <w:color w:val="000000"/>
                <w:sz w:val="20"/>
                <w:lang w:eastAsia="en-US"/>
              </w:rPr>
              <w:t>34</w:t>
            </w:r>
            <w:r w:rsidRPr="000806DA">
              <w:rPr>
                <w:rFonts w:ascii="Arial" w:hAnsi="Arial" w:cs="Arial"/>
                <w:color w:val="000000"/>
                <w:sz w:val="20"/>
                <w:lang w:eastAsia="en-US"/>
              </w:rPr>
              <w:t>, 95% CI=</w:t>
            </w:r>
            <w:r>
              <w:rPr>
                <w:rFonts w:ascii="Arial" w:hAnsi="Arial" w:cs="Arial"/>
                <w:color w:val="000000"/>
                <w:sz w:val="20"/>
                <w:lang w:eastAsia="en-US"/>
              </w:rPr>
              <w:t>8.465</w:t>
            </w:r>
            <w:r w:rsidRPr="000806DA">
              <w:rPr>
                <w:rFonts w:ascii="Arial" w:hAnsi="Arial" w:cs="Arial"/>
                <w:color w:val="000000"/>
                <w:sz w:val="20"/>
                <w:lang w:eastAsia="en-US"/>
              </w:rPr>
              <w:t>-</w:t>
            </w:r>
            <w:r>
              <w:rPr>
                <w:rFonts w:ascii="Arial" w:hAnsi="Arial" w:cs="Arial"/>
                <w:color w:val="000000"/>
                <w:sz w:val="20"/>
                <w:lang w:eastAsia="en-US"/>
              </w:rPr>
              <w:t>31.518</w:t>
            </w:r>
            <w:r w:rsidRPr="000806DA">
              <w:rPr>
                <w:rFonts w:ascii="Arial" w:hAnsi="Arial" w:cs="Arial"/>
                <w:color w:val="000000"/>
                <w:sz w:val="20"/>
                <w:lang w:eastAsia="en-US"/>
              </w:rPr>
              <w:t>, p&lt;0.001</w:t>
            </w:r>
          </w:p>
        </w:tc>
      </w:tr>
      <w:tr w:rsidR="003B0DEE" w:rsidRPr="000806DA" w:rsidTr="000D5D90">
        <w:trPr>
          <w:trHeight w:val="20"/>
        </w:trPr>
        <w:tc>
          <w:tcPr>
            <w:tcW w:w="1526" w:type="dxa"/>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417"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General practice setting</w:t>
            </w:r>
          </w:p>
        </w:tc>
        <w:tc>
          <w:tcPr>
            <w:tcW w:w="1560"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HR=0.</w:t>
            </w:r>
            <w:r>
              <w:rPr>
                <w:rFonts w:ascii="Arial" w:hAnsi="Arial" w:cs="Arial"/>
                <w:color w:val="000000"/>
                <w:sz w:val="20"/>
                <w:lang w:eastAsia="en-US"/>
              </w:rPr>
              <w:t>614</w:t>
            </w:r>
            <w:r w:rsidRPr="000806DA">
              <w:rPr>
                <w:rFonts w:ascii="Arial" w:hAnsi="Arial" w:cs="Arial"/>
                <w:color w:val="000000"/>
                <w:sz w:val="20"/>
                <w:lang w:eastAsia="en-US"/>
              </w:rPr>
              <w:t xml:space="preserve">, </w:t>
            </w:r>
            <w:r>
              <w:rPr>
                <w:rFonts w:ascii="Arial" w:hAnsi="Arial" w:cs="Arial"/>
                <w:color w:val="000000"/>
                <w:sz w:val="20"/>
                <w:lang w:eastAsia="en-US"/>
              </w:rPr>
              <w:t>95% CI</w:t>
            </w:r>
            <w:r w:rsidRPr="000806DA">
              <w:rPr>
                <w:rFonts w:ascii="Arial" w:hAnsi="Arial" w:cs="Arial"/>
                <w:color w:val="000000"/>
                <w:sz w:val="20"/>
                <w:lang w:eastAsia="en-US"/>
              </w:rPr>
              <w:t>=0.</w:t>
            </w:r>
            <w:r>
              <w:rPr>
                <w:rFonts w:ascii="Arial" w:hAnsi="Arial" w:cs="Arial"/>
                <w:color w:val="000000"/>
                <w:sz w:val="20"/>
                <w:lang w:eastAsia="en-US"/>
              </w:rPr>
              <w:t>397</w:t>
            </w:r>
            <w:r w:rsidRPr="000806DA">
              <w:rPr>
                <w:rFonts w:ascii="Arial" w:hAnsi="Arial" w:cs="Arial"/>
                <w:color w:val="000000"/>
                <w:sz w:val="20"/>
                <w:lang w:eastAsia="en-US"/>
              </w:rPr>
              <w:t>-0.</w:t>
            </w:r>
            <w:r>
              <w:rPr>
                <w:rFonts w:ascii="Arial" w:hAnsi="Arial" w:cs="Arial"/>
                <w:color w:val="000000"/>
                <w:sz w:val="20"/>
                <w:lang w:eastAsia="en-US"/>
              </w:rPr>
              <w:t>950</w:t>
            </w:r>
            <w:r w:rsidRPr="000806DA">
              <w:rPr>
                <w:rFonts w:ascii="Arial" w:hAnsi="Arial" w:cs="Arial"/>
                <w:color w:val="000000"/>
                <w:sz w:val="20"/>
                <w:lang w:eastAsia="en-US"/>
              </w:rPr>
              <w:t>, p=0.0</w:t>
            </w:r>
            <w:r>
              <w:rPr>
                <w:rFonts w:ascii="Arial" w:hAnsi="Arial" w:cs="Arial"/>
                <w:color w:val="000000"/>
                <w:sz w:val="20"/>
                <w:lang w:eastAsia="en-US"/>
              </w:rPr>
              <w:t>28</w:t>
            </w:r>
          </w:p>
          <w:p w:rsidR="003B0DEE" w:rsidRPr="000806DA" w:rsidRDefault="003B0DEE" w:rsidP="000D5D90">
            <w:pPr>
              <w:spacing w:line="240" w:lineRule="auto"/>
              <w:rPr>
                <w:rFonts w:ascii="Arial" w:hAnsi="Arial" w:cs="Arial"/>
                <w:color w:val="000000"/>
                <w:sz w:val="20"/>
                <w:lang w:eastAsia="en-US"/>
              </w:rPr>
            </w:pPr>
          </w:p>
        </w:tc>
        <w:tc>
          <w:tcPr>
            <w:tcW w:w="1559"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1843"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r>
      <w:tr w:rsidR="003B0DEE" w:rsidRPr="000806DA" w:rsidTr="000D5D90">
        <w:trPr>
          <w:trHeight w:val="20"/>
        </w:trPr>
        <w:tc>
          <w:tcPr>
            <w:tcW w:w="1526" w:type="dxa"/>
            <w:vMerge/>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417"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Year commenced treatment</w:t>
            </w:r>
          </w:p>
        </w:tc>
        <w:tc>
          <w:tcPr>
            <w:tcW w:w="1560"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2015: HR=0.2</w:t>
            </w:r>
            <w:r>
              <w:rPr>
                <w:rFonts w:ascii="Arial" w:hAnsi="Arial" w:cs="Arial"/>
                <w:color w:val="000000"/>
                <w:sz w:val="20"/>
                <w:lang w:eastAsia="en-US"/>
              </w:rPr>
              <w:t>61</w:t>
            </w:r>
            <w:r w:rsidRPr="000806DA">
              <w:rPr>
                <w:rFonts w:ascii="Arial" w:hAnsi="Arial" w:cs="Arial"/>
                <w:color w:val="000000"/>
                <w:sz w:val="20"/>
                <w:lang w:eastAsia="en-US"/>
              </w:rPr>
              <w:t xml:space="preserve">, </w:t>
            </w:r>
            <w:r>
              <w:rPr>
                <w:rFonts w:ascii="Arial" w:hAnsi="Arial" w:cs="Arial"/>
                <w:color w:val="000000"/>
                <w:sz w:val="20"/>
                <w:lang w:eastAsia="en-US"/>
              </w:rPr>
              <w:t>95% CI</w:t>
            </w:r>
            <w:r w:rsidRPr="000806DA">
              <w:rPr>
                <w:rFonts w:ascii="Arial" w:hAnsi="Arial" w:cs="Arial"/>
                <w:color w:val="000000"/>
                <w:sz w:val="20"/>
                <w:lang w:eastAsia="en-US"/>
              </w:rPr>
              <w:t>=0.1</w:t>
            </w:r>
            <w:r>
              <w:rPr>
                <w:rFonts w:ascii="Arial" w:hAnsi="Arial" w:cs="Arial"/>
                <w:color w:val="000000"/>
                <w:sz w:val="20"/>
                <w:lang w:eastAsia="en-US"/>
              </w:rPr>
              <w:t>48</w:t>
            </w:r>
            <w:r w:rsidRPr="000806DA">
              <w:rPr>
                <w:rFonts w:ascii="Arial" w:hAnsi="Arial" w:cs="Arial"/>
                <w:color w:val="000000"/>
                <w:sz w:val="20"/>
                <w:lang w:eastAsia="en-US"/>
              </w:rPr>
              <w:t>-0.</w:t>
            </w:r>
            <w:r>
              <w:rPr>
                <w:rFonts w:ascii="Arial" w:hAnsi="Arial" w:cs="Arial"/>
                <w:color w:val="000000"/>
                <w:sz w:val="20"/>
                <w:lang w:eastAsia="en-US"/>
              </w:rPr>
              <w:t>459</w:t>
            </w:r>
            <w:r w:rsidRPr="000806DA">
              <w:rPr>
                <w:rFonts w:ascii="Arial" w:hAnsi="Arial" w:cs="Arial"/>
                <w:color w:val="000000"/>
                <w:sz w:val="20"/>
                <w:lang w:eastAsia="en-US"/>
              </w:rPr>
              <w:t>, p&lt;0.001</w:t>
            </w:r>
          </w:p>
        </w:tc>
        <w:tc>
          <w:tcPr>
            <w:tcW w:w="1559"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1843"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r>
      <w:tr w:rsidR="003B0DEE" w:rsidRPr="000806DA" w:rsidTr="000D5D90">
        <w:trPr>
          <w:trHeight w:val="20"/>
        </w:trPr>
        <w:tc>
          <w:tcPr>
            <w:tcW w:w="1526"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Structured detoxification modality</w:t>
            </w:r>
          </w:p>
        </w:tc>
        <w:tc>
          <w:tcPr>
            <w:tcW w:w="1134"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Pr>
                <w:rFonts w:ascii="Arial" w:hAnsi="Arial" w:cs="Arial"/>
                <w:color w:val="000000"/>
                <w:sz w:val="20"/>
                <w:lang w:eastAsia="en-US"/>
              </w:rPr>
              <w:t>NS</w:t>
            </w:r>
          </w:p>
        </w:tc>
        <w:tc>
          <w:tcPr>
            <w:tcW w:w="1417" w:type="dxa"/>
            <w:tcBorders>
              <w:top w:val="single" w:sz="8" w:space="0" w:color="000000"/>
              <w:bottom w:val="single" w:sz="8" w:space="0" w:color="000000"/>
            </w:tcBorders>
            <w:shd w:val="clear" w:color="auto" w:fill="FFFFFF"/>
          </w:tcPr>
          <w:p w:rsidR="003B0DEE"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Referral by family/</w:t>
            </w:r>
          </w:p>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friends</w:t>
            </w:r>
          </w:p>
        </w:tc>
        <w:tc>
          <w:tcPr>
            <w:tcW w:w="1560" w:type="dxa"/>
            <w:tcBorders>
              <w:top w:val="single" w:sz="8" w:space="0" w:color="000000"/>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HR=0.304, </w:t>
            </w:r>
            <w:r>
              <w:rPr>
                <w:rFonts w:ascii="Arial" w:hAnsi="Arial" w:cs="Arial"/>
                <w:color w:val="000000"/>
                <w:sz w:val="20"/>
                <w:lang w:eastAsia="en-US"/>
              </w:rPr>
              <w:t>95% CI</w:t>
            </w:r>
            <w:r w:rsidRPr="000806DA">
              <w:rPr>
                <w:rFonts w:ascii="Arial" w:hAnsi="Arial" w:cs="Arial"/>
                <w:color w:val="000000"/>
                <w:sz w:val="20"/>
                <w:lang w:eastAsia="en-US"/>
              </w:rPr>
              <w:t>=0.119-0.778, p=0.013</w:t>
            </w:r>
          </w:p>
        </w:tc>
        <w:tc>
          <w:tcPr>
            <w:tcW w:w="1559" w:type="dxa"/>
            <w:tcBorders>
              <w:top w:val="single" w:sz="8" w:space="0" w:color="000000"/>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Inpatient setting</w:t>
            </w:r>
          </w:p>
        </w:tc>
        <w:tc>
          <w:tcPr>
            <w:tcW w:w="1843" w:type="dxa"/>
            <w:tcBorders>
              <w:top w:val="single" w:sz="8" w:space="0" w:color="000000"/>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HR=10.093, 95% CI=4.625-22.025, p&lt;0.001</w:t>
            </w:r>
          </w:p>
        </w:tc>
      </w:tr>
      <w:tr w:rsidR="003B0DEE" w:rsidRPr="000806DA" w:rsidTr="000D5D90">
        <w:trPr>
          <w:trHeight w:val="20"/>
        </w:trPr>
        <w:tc>
          <w:tcPr>
            <w:tcW w:w="1526"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Counselling only modality</w:t>
            </w:r>
          </w:p>
        </w:tc>
        <w:tc>
          <w:tcPr>
            <w:tcW w:w="1134"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Pr>
                <w:rFonts w:ascii="Arial" w:hAnsi="Arial" w:cs="Arial"/>
                <w:color w:val="000000"/>
                <w:sz w:val="20"/>
                <w:lang w:eastAsia="en-US"/>
              </w:rPr>
              <w:t>Protective factor</w:t>
            </w:r>
          </w:p>
        </w:tc>
        <w:tc>
          <w:tcPr>
            <w:tcW w:w="1417"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Age enter</w:t>
            </w:r>
            <w:r>
              <w:rPr>
                <w:rFonts w:ascii="Arial" w:hAnsi="Arial" w:cs="Arial"/>
                <w:color w:val="000000"/>
                <w:sz w:val="20"/>
                <w:lang w:eastAsia="en-US"/>
              </w:rPr>
              <w:t>ing</w:t>
            </w:r>
            <w:r w:rsidRPr="000806DA">
              <w:rPr>
                <w:rFonts w:ascii="Arial" w:hAnsi="Arial" w:cs="Arial"/>
                <w:color w:val="000000"/>
                <w:sz w:val="20"/>
                <w:lang w:eastAsia="en-US"/>
              </w:rPr>
              <w:t xml:space="preserve"> treatment</w:t>
            </w:r>
          </w:p>
        </w:tc>
        <w:tc>
          <w:tcPr>
            <w:tcW w:w="1560"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HR=0.985, </w:t>
            </w:r>
            <w:r>
              <w:rPr>
                <w:rFonts w:ascii="Arial" w:hAnsi="Arial" w:cs="Arial"/>
                <w:color w:val="000000"/>
                <w:sz w:val="20"/>
                <w:lang w:eastAsia="en-US"/>
              </w:rPr>
              <w:t>95% CI</w:t>
            </w:r>
            <w:r w:rsidRPr="000806DA">
              <w:rPr>
                <w:rFonts w:ascii="Arial" w:hAnsi="Arial" w:cs="Arial"/>
                <w:color w:val="000000"/>
                <w:sz w:val="20"/>
                <w:lang w:eastAsia="en-US"/>
              </w:rPr>
              <w:t>=0.977-0.992, p&lt;0.001</w:t>
            </w:r>
          </w:p>
          <w:p w:rsidR="003B0DEE" w:rsidRPr="000806DA" w:rsidRDefault="003B0DEE" w:rsidP="000D5D90">
            <w:pPr>
              <w:spacing w:line="240" w:lineRule="auto"/>
              <w:rPr>
                <w:rFonts w:ascii="Arial" w:hAnsi="Arial" w:cs="Arial"/>
                <w:color w:val="000000"/>
                <w:sz w:val="20"/>
                <w:lang w:eastAsia="en-US"/>
              </w:rPr>
            </w:pPr>
          </w:p>
        </w:tc>
        <w:tc>
          <w:tcPr>
            <w:tcW w:w="1559"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Being unemployed</w:t>
            </w:r>
          </w:p>
        </w:tc>
        <w:tc>
          <w:tcPr>
            <w:tcW w:w="1843"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HR=1.514, </w:t>
            </w:r>
            <w:r>
              <w:rPr>
                <w:rFonts w:ascii="Arial" w:hAnsi="Arial" w:cs="Arial"/>
                <w:color w:val="000000"/>
                <w:sz w:val="20"/>
                <w:lang w:eastAsia="en-US"/>
              </w:rPr>
              <w:t>95% CI</w:t>
            </w:r>
            <w:r w:rsidRPr="000806DA">
              <w:rPr>
                <w:rFonts w:ascii="Arial" w:hAnsi="Arial" w:cs="Arial"/>
                <w:color w:val="000000"/>
                <w:sz w:val="20"/>
                <w:lang w:eastAsia="en-US"/>
              </w:rPr>
              <w:t>=1.229-1.865, p&lt;0.001</w:t>
            </w:r>
          </w:p>
        </w:tc>
      </w:tr>
      <w:tr w:rsidR="003B0DEE" w:rsidRPr="000806DA" w:rsidTr="000D5D90">
        <w:trPr>
          <w:trHeight w:val="20"/>
        </w:trPr>
        <w:tc>
          <w:tcPr>
            <w:tcW w:w="1526" w:type="dxa"/>
            <w:vMerge/>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417"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Prison setting</w:t>
            </w:r>
          </w:p>
        </w:tc>
        <w:tc>
          <w:tcPr>
            <w:tcW w:w="1560"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HR=0.558, </w:t>
            </w:r>
            <w:r>
              <w:rPr>
                <w:rFonts w:ascii="Arial" w:hAnsi="Arial" w:cs="Arial"/>
                <w:color w:val="000000"/>
                <w:sz w:val="20"/>
                <w:lang w:eastAsia="en-US"/>
              </w:rPr>
              <w:t>95% CI</w:t>
            </w:r>
            <w:r w:rsidRPr="000806DA">
              <w:rPr>
                <w:rFonts w:ascii="Arial" w:hAnsi="Arial" w:cs="Arial"/>
                <w:color w:val="000000"/>
                <w:sz w:val="20"/>
                <w:lang w:eastAsia="en-US"/>
              </w:rPr>
              <w:t>=0.400-0.778, p=0.001</w:t>
            </w:r>
          </w:p>
        </w:tc>
        <w:tc>
          <w:tcPr>
            <w:tcW w:w="1559"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Route of opioid administration</w:t>
            </w:r>
          </w:p>
        </w:tc>
        <w:tc>
          <w:tcPr>
            <w:tcW w:w="1843"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Smoking opioids: HR=1.229, </w:t>
            </w:r>
            <w:r>
              <w:rPr>
                <w:rFonts w:ascii="Arial" w:hAnsi="Arial" w:cs="Arial"/>
                <w:color w:val="000000"/>
                <w:sz w:val="20"/>
                <w:lang w:eastAsia="en-US"/>
              </w:rPr>
              <w:t>95% CI</w:t>
            </w:r>
            <w:r w:rsidRPr="000806DA">
              <w:rPr>
                <w:rFonts w:ascii="Arial" w:hAnsi="Arial" w:cs="Arial"/>
                <w:color w:val="000000"/>
                <w:sz w:val="20"/>
                <w:lang w:eastAsia="en-US"/>
              </w:rPr>
              <w:t>=1.073-1.407, p=0.003</w:t>
            </w:r>
          </w:p>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Consuming opioids orally: HR=1.399, </w:t>
            </w:r>
            <w:r>
              <w:rPr>
                <w:rFonts w:ascii="Arial" w:hAnsi="Arial" w:cs="Arial"/>
                <w:color w:val="000000"/>
                <w:sz w:val="20"/>
                <w:lang w:eastAsia="en-US"/>
              </w:rPr>
              <w:t>95% CI</w:t>
            </w:r>
            <w:r w:rsidRPr="000806DA">
              <w:rPr>
                <w:rFonts w:ascii="Arial" w:hAnsi="Arial" w:cs="Arial"/>
                <w:color w:val="000000"/>
                <w:sz w:val="20"/>
                <w:lang w:eastAsia="en-US"/>
              </w:rPr>
              <w:t>=1.148-1.705, p=0.001</w:t>
            </w:r>
          </w:p>
          <w:p w:rsidR="003B0DEE" w:rsidRPr="000806DA" w:rsidRDefault="003B0DEE" w:rsidP="000D5D90">
            <w:pPr>
              <w:spacing w:line="240" w:lineRule="auto"/>
              <w:jc w:val="left"/>
              <w:rPr>
                <w:rFonts w:ascii="Arial" w:hAnsi="Arial" w:cs="Arial"/>
                <w:color w:val="000000"/>
                <w:sz w:val="20"/>
                <w:lang w:eastAsia="en-US"/>
              </w:rPr>
            </w:pPr>
          </w:p>
        </w:tc>
      </w:tr>
      <w:tr w:rsidR="003B0DEE" w:rsidRPr="000806DA" w:rsidTr="000D5D90">
        <w:trPr>
          <w:trHeight w:val="20"/>
        </w:trPr>
        <w:tc>
          <w:tcPr>
            <w:tcW w:w="1526" w:type="dxa"/>
            <w:vMerge/>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417"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560"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559"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Inpatient setting</w:t>
            </w:r>
          </w:p>
        </w:tc>
        <w:tc>
          <w:tcPr>
            <w:tcW w:w="1843"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 xml:space="preserve">HR=1.479, </w:t>
            </w:r>
            <w:r>
              <w:rPr>
                <w:rFonts w:ascii="Arial" w:hAnsi="Arial" w:cs="Arial"/>
                <w:color w:val="000000"/>
                <w:sz w:val="20"/>
                <w:lang w:eastAsia="en-US"/>
              </w:rPr>
              <w:t>95% CI</w:t>
            </w:r>
            <w:r w:rsidRPr="000806DA">
              <w:rPr>
                <w:rFonts w:ascii="Arial" w:hAnsi="Arial" w:cs="Arial"/>
                <w:color w:val="000000"/>
                <w:sz w:val="20"/>
                <w:lang w:eastAsia="en-US"/>
              </w:rPr>
              <w:t>=1.288-1.698, p&lt;0.001</w:t>
            </w:r>
          </w:p>
        </w:tc>
      </w:tr>
      <w:tr w:rsidR="003B0DEE" w:rsidRPr="000806DA" w:rsidTr="000D5D90">
        <w:trPr>
          <w:trHeight w:val="20"/>
        </w:trPr>
        <w:tc>
          <w:tcPr>
            <w:tcW w:w="1526" w:type="dxa"/>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Other psychosocial interventions modality</w:t>
            </w:r>
          </w:p>
        </w:tc>
        <w:tc>
          <w:tcPr>
            <w:tcW w:w="1134"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sz w:val="20"/>
                <w:lang w:eastAsia="en-US"/>
              </w:rPr>
            </w:pPr>
            <w:r>
              <w:rPr>
                <w:rFonts w:ascii="Arial" w:hAnsi="Arial" w:cs="Arial"/>
                <w:sz w:val="20"/>
                <w:lang w:eastAsia="en-US"/>
              </w:rPr>
              <w:t>NS</w:t>
            </w:r>
          </w:p>
        </w:tc>
        <w:tc>
          <w:tcPr>
            <w:tcW w:w="1417" w:type="dxa"/>
            <w:tcBorders>
              <w:top w:val="single" w:sz="8" w:space="0" w:color="000000"/>
            </w:tcBorders>
            <w:shd w:val="clear" w:color="auto" w:fill="FFFFFF"/>
          </w:tcPr>
          <w:p w:rsidR="003B0DEE" w:rsidRDefault="003B0DEE" w:rsidP="000D5D90">
            <w:pPr>
              <w:spacing w:line="240" w:lineRule="auto"/>
              <w:jc w:val="left"/>
              <w:rPr>
                <w:rFonts w:ascii="Arial" w:hAnsi="Arial" w:cs="Arial"/>
                <w:sz w:val="20"/>
                <w:lang w:eastAsia="en-US"/>
              </w:rPr>
            </w:pPr>
            <w:r w:rsidRPr="000806DA">
              <w:rPr>
                <w:rFonts w:ascii="Arial" w:hAnsi="Arial" w:cs="Arial"/>
                <w:sz w:val="20"/>
                <w:lang w:eastAsia="en-US"/>
              </w:rPr>
              <w:t>Remaining in school until at least 16 years</w:t>
            </w:r>
          </w:p>
          <w:p w:rsidR="003B0DEE" w:rsidRPr="000806DA" w:rsidRDefault="003B0DEE" w:rsidP="000D5D90">
            <w:pPr>
              <w:spacing w:line="240" w:lineRule="auto"/>
              <w:jc w:val="left"/>
              <w:rPr>
                <w:rFonts w:ascii="Arial" w:hAnsi="Arial" w:cs="Arial"/>
                <w:color w:val="000000"/>
                <w:sz w:val="20"/>
                <w:lang w:eastAsia="en-US"/>
              </w:rPr>
            </w:pPr>
          </w:p>
        </w:tc>
        <w:tc>
          <w:tcPr>
            <w:tcW w:w="1560" w:type="dxa"/>
            <w:tcBorders>
              <w:top w:val="single" w:sz="8" w:space="0" w:color="000000"/>
            </w:tcBorders>
            <w:shd w:val="clear" w:color="auto" w:fill="FFFFFF"/>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 xml:space="preserve">HR=0.803, </w:t>
            </w:r>
            <w:r>
              <w:rPr>
                <w:rFonts w:ascii="Arial" w:hAnsi="Arial" w:cs="Arial"/>
                <w:sz w:val="20"/>
                <w:lang w:eastAsia="en-US"/>
              </w:rPr>
              <w:t>95% CI</w:t>
            </w:r>
            <w:r w:rsidRPr="000806DA">
              <w:rPr>
                <w:rFonts w:ascii="Arial" w:hAnsi="Arial" w:cs="Arial"/>
                <w:sz w:val="20"/>
                <w:lang w:eastAsia="en-US"/>
              </w:rPr>
              <w:t>=0.69-0.935, p=0.005</w:t>
            </w:r>
          </w:p>
          <w:p w:rsidR="003B0DEE" w:rsidRPr="000806DA" w:rsidRDefault="003B0DEE" w:rsidP="000D5D90">
            <w:pPr>
              <w:spacing w:line="240" w:lineRule="auto"/>
              <w:jc w:val="left"/>
              <w:rPr>
                <w:rFonts w:ascii="Arial" w:hAnsi="Arial" w:cs="Arial"/>
                <w:color w:val="000000"/>
                <w:sz w:val="20"/>
                <w:lang w:eastAsia="en-US"/>
              </w:rPr>
            </w:pPr>
          </w:p>
        </w:tc>
        <w:tc>
          <w:tcPr>
            <w:tcW w:w="1559"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Residing in Dublin</w:t>
            </w:r>
          </w:p>
        </w:tc>
        <w:tc>
          <w:tcPr>
            <w:tcW w:w="1843" w:type="dxa"/>
            <w:tcBorders>
              <w:top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 xml:space="preserve">HR=1.279, </w:t>
            </w:r>
            <w:r>
              <w:rPr>
                <w:rFonts w:ascii="Arial" w:hAnsi="Arial" w:cs="Arial"/>
                <w:sz w:val="20"/>
                <w:lang w:eastAsia="en-US"/>
              </w:rPr>
              <w:t>95% CI</w:t>
            </w:r>
            <w:r w:rsidRPr="000806DA">
              <w:rPr>
                <w:rFonts w:ascii="Arial" w:hAnsi="Arial" w:cs="Arial"/>
                <w:sz w:val="20"/>
                <w:lang w:eastAsia="en-US"/>
              </w:rPr>
              <w:t>=1.061-1.543, p=0.01</w:t>
            </w:r>
          </w:p>
        </w:tc>
      </w:tr>
      <w:tr w:rsidR="003B0DEE" w:rsidRPr="000806DA" w:rsidTr="000D5D90">
        <w:trPr>
          <w:trHeight w:val="20"/>
        </w:trPr>
        <w:tc>
          <w:tcPr>
            <w:tcW w:w="1526"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shd w:val="clear" w:color="auto" w:fill="FFFFFF"/>
          </w:tcPr>
          <w:p w:rsidR="003B0DEE" w:rsidRPr="000806DA" w:rsidRDefault="003B0DEE" w:rsidP="000D5D90">
            <w:pPr>
              <w:spacing w:line="240" w:lineRule="auto"/>
              <w:jc w:val="left"/>
              <w:rPr>
                <w:rFonts w:ascii="Arial" w:hAnsi="Arial" w:cs="Arial"/>
                <w:sz w:val="20"/>
                <w:lang w:eastAsia="en-US"/>
              </w:rPr>
            </w:pPr>
          </w:p>
        </w:tc>
        <w:tc>
          <w:tcPr>
            <w:tcW w:w="1417"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Low threshold setting</w:t>
            </w:r>
          </w:p>
        </w:tc>
        <w:tc>
          <w:tcPr>
            <w:tcW w:w="1560"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 xml:space="preserve">HR=0.752, </w:t>
            </w:r>
            <w:r>
              <w:rPr>
                <w:rFonts w:ascii="Arial" w:hAnsi="Arial" w:cs="Arial"/>
                <w:sz w:val="20"/>
                <w:lang w:eastAsia="en-US"/>
              </w:rPr>
              <w:t>95% CI</w:t>
            </w:r>
            <w:r w:rsidRPr="000806DA">
              <w:rPr>
                <w:rFonts w:ascii="Arial" w:hAnsi="Arial" w:cs="Arial"/>
                <w:sz w:val="20"/>
                <w:lang w:eastAsia="en-US"/>
              </w:rPr>
              <w:t>=0.622-0.908, p=0.00</w:t>
            </w:r>
            <w:r w:rsidRPr="000806DA">
              <w:rPr>
                <w:rFonts w:ascii="Arial" w:hAnsi="Arial" w:cs="Arial"/>
                <w:color w:val="000000"/>
                <w:sz w:val="20"/>
                <w:lang w:eastAsia="en-US"/>
              </w:rPr>
              <w:t>3</w:t>
            </w:r>
          </w:p>
        </w:tc>
        <w:tc>
          <w:tcPr>
            <w:tcW w:w="1559"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 xml:space="preserve">Frequent </w:t>
            </w:r>
            <w:r w:rsidRPr="000806DA">
              <w:rPr>
                <w:rFonts w:ascii="Arial" w:hAnsi="Arial" w:cs="Arial"/>
                <w:color w:val="000000"/>
                <w:sz w:val="20"/>
                <w:lang w:eastAsia="en-US"/>
              </w:rPr>
              <w:t xml:space="preserve">of opioid </w:t>
            </w:r>
            <w:r w:rsidRPr="000806DA">
              <w:rPr>
                <w:rFonts w:ascii="Arial" w:hAnsi="Arial" w:cs="Arial"/>
                <w:sz w:val="20"/>
                <w:lang w:eastAsia="en-US"/>
              </w:rPr>
              <w:t>use in the month prior to treatment</w:t>
            </w:r>
          </w:p>
        </w:tc>
        <w:tc>
          <w:tcPr>
            <w:tcW w:w="1843" w:type="dxa"/>
            <w:shd w:val="clear" w:color="auto" w:fill="F2F2F2"/>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 xml:space="preserve">Daily use: HR=1.453, </w:t>
            </w:r>
            <w:r>
              <w:rPr>
                <w:rFonts w:ascii="Arial" w:hAnsi="Arial" w:cs="Arial"/>
                <w:sz w:val="20"/>
                <w:lang w:eastAsia="en-US"/>
              </w:rPr>
              <w:t>95% CI</w:t>
            </w:r>
            <w:r w:rsidRPr="000806DA">
              <w:rPr>
                <w:rFonts w:ascii="Arial" w:hAnsi="Arial" w:cs="Arial"/>
                <w:sz w:val="20"/>
                <w:lang w:eastAsia="en-US"/>
              </w:rPr>
              <w:t xml:space="preserve">=1.172-1.801, p=0.001, </w:t>
            </w:r>
          </w:p>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 xml:space="preserve">Use 2-6 days per week: HR=1.424, </w:t>
            </w:r>
            <w:r>
              <w:rPr>
                <w:rFonts w:ascii="Arial" w:hAnsi="Arial" w:cs="Arial"/>
                <w:sz w:val="20"/>
                <w:lang w:eastAsia="en-US"/>
              </w:rPr>
              <w:t>95% CI</w:t>
            </w:r>
            <w:r w:rsidRPr="000806DA">
              <w:rPr>
                <w:rFonts w:ascii="Arial" w:hAnsi="Arial" w:cs="Arial"/>
                <w:sz w:val="20"/>
                <w:lang w:eastAsia="en-US"/>
              </w:rPr>
              <w:t>=1.101-1.841, p=0.007</w:t>
            </w:r>
          </w:p>
          <w:p w:rsidR="003B0DEE" w:rsidRPr="000806DA" w:rsidRDefault="003B0DEE" w:rsidP="000D5D90">
            <w:pPr>
              <w:spacing w:line="240" w:lineRule="auto"/>
              <w:jc w:val="left"/>
              <w:rPr>
                <w:rFonts w:ascii="Arial" w:hAnsi="Arial" w:cs="Arial"/>
                <w:color w:val="000000"/>
                <w:sz w:val="20"/>
                <w:lang w:eastAsia="en-US"/>
              </w:rPr>
            </w:pPr>
          </w:p>
        </w:tc>
      </w:tr>
      <w:tr w:rsidR="003B0DEE" w:rsidRPr="000806DA" w:rsidTr="000D5D90">
        <w:trPr>
          <w:trHeight w:val="20"/>
        </w:trPr>
        <w:tc>
          <w:tcPr>
            <w:tcW w:w="1526" w:type="dxa"/>
            <w:vMerge/>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shd w:val="clear" w:color="auto" w:fill="FFFFFF"/>
          </w:tcPr>
          <w:p w:rsidR="003B0DEE" w:rsidRPr="000806DA" w:rsidRDefault="003B0DEE" w:rsidP="000D5D90">
            <w:pPr>
              <w:spacing w:line="240" w:lineRule="auto"/>
              <w:jc w:val="left"/>
              <w:rPr>
                <w:rFonts w:ascii="Arial" w:hAnsi="Arial" w:cs="Arial"/>
                <w:sz w:val="20"/>
                <w:lang w:eastAsia="en-US"/>
              </w:rPr>
            </w:pPr>
          </w:p>
        </w:tc>
        <w:tc>
          <w:tcPr>
            <w:tcW w:w="1417" w:type="dxa"/>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Prison setting</w:t>
            </w:r>
          </w:p>
        </w:tc>
        <w:tc>
          <w:tcPr>
            <w:tcW w:w="1560" w:type="dxa"/>
            <w:shd w:val="clear" w:color="auto" w:fill="FFFFFF"/>
          </w:tcPr>
          <w:p w:rsidR="003B0DEE" w:rsidRPr="000806DA" w:rsidRDefault="003B0DEE" w:rsidP="000D5D90">
            <w:pPr>
              <w:spacing w:line="240" w:lineRule="auto"/>
              <w:jc w:val="left"/>
              <w:rPr>
                <w:rFonts w:ascii="Arial" w:hAnsi="Arial" w:cs="Arial"/>
                <w:sz w:val="20"/>
                <w:lang w:eastAsia="en-US"/>
              </w:rPr>
            </w:pPr>
            <w:r w:rsidRPr="000806DA">
              <w:rPr>
                <w:rFonts w:ascii="Arial" w:hAnsi="Arial" w:cs="Arial"/>
                <w:sz w:val="20"/>
                <w:lang w:eastAsia="en-US"/>
              </w:rPr>
              <w:t xml:space="preserve">HR=0.584, </w:t>
            </w:r>
            <w:r>
              <w:rPr>
                <w:rFonts w:ascii="Arial" w:hAnsi="Arial" w:cs="Arial"/>
                <w:sz w:val="20"/>
                <w:lang w:eastAsia="en-US"/>
              </w:rPr>
              <w:t>95% CI</w:t>
            </w:r>
            <w:r w:rsidRPr="000806DA">
              <w:rPr>
                <w:rFonts w:ascii="Arial" w:hAnsi="Arial" w:cs="Arial"/>
                <w:sz w:val="20"/>
                <w:lang w:eastAsia="en-US"/>
              </w:rPr>
              <w:t>=0.361-0.943, p=0.028</w:t>
            </w:r>
          </w:p>
          <w:p w:rsidR="003B0DEE" w:rsidRPr="000806DA" w:rsidRDefault="003B0DEE" w:rsidP="000D5D90">
            <w:pPr>
              <w:spacing w:line="240" w:lineRule="auto"/>
              <w:jc w:val="left"/>
              <w:rPr>
                <w:rFonts w:ascii="Arial" w:hAnsi="Arial" w:cs="Arial"/>
                <w:color w:val="000000"/>
                <w:sz w:val="20"/>
                <w:lang w:eastAsia="en-US"/>
              </w:rPr>
            </w:pPr>
          </w:p>
        </w:tc>
        <w:tc>
          <w:tcPr>
            <w:tcW w:w="1559"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Not injecting at the point of treatment entry</w:t>
            </w:r>
          </w:p>
        </w:tc>
        <w:tc>
          <w:tcPr>
            <w:tcW w:w="1843" w:type="dxa"/>
            <w:shd w:val="clear" w:color="auto" w:fill="F2F2F2"/>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sz w:val="20"/>
                <w:lang w:eastAsia="en-US"/>
              </w:rPr>
              <w:t xml:space="preserve">HR=1.311, </w:t>
            </w:r>
            <w:r>
              <w:rPr>
                <w:rFonts w:ascii="Arial" w:hAnsi="Arial" w:cs="Arial"/>
                <w:sz w:val="20"/>
                <w:lang w:eastAsia="en-US"/>
              </w:rPr>
              <w:t>95% CI</w:t>
            </w:r>
            <w:r w:rsidRPr="000806DA">
              <w:rPr>
                <w:rFonts w:ascii="Arial" w:hAnsi="Arial" w:cs="Arial"/>
                <w:sz w:val="20"/>
                <w:lang w:eastAsia="en-US"/>
              </w:rPr>
              <w:t>=1.082-1.588, p&lt;0.006</w:t>
            </w:r>
          </w:p>
        </w:tc>
      </w:tr>
      <w:tr w:rsidR="003B0DEE" w:rsidRPr="000806DA" w:rsidTr="000D5D90">
        <w:trPr>
          <w:trHeight w:val="20"/>
        </w:trPr>
        <w:tc>
          <w:tcPr>
            <w:tcW w:w="1526" w:type="dxa"/>
            <w:vMerge/>
            <w:tcBorders>
              <w:bottom w:val="single" w:sz="8" w:space="0" w:color="000000"/>
            </w:tcBorders>
            <w:shd w:val="clear" w:color="auto" w:fill="FFFFFF"/>
            <w:vAlign w:val="bottom"/>
          </w:tcPr>
          <w:p w:rsidR="003B0DEE" w:rsidRPr="000806DA" w:rsidRDefault="003B0DEE" w:rsidP="000D5D90">
            <w:pPr>
              <w:spacing w:line="240" w:lineRule="auto"/>
              <w:jc w:val="left"/>
              <w:rPr>
                <w:rFonts w:ascii="Arial" w:hAnsi="Arial" w:cs="Arial"/>
                <w:b/>
                <w:bCs/>
                <w:color w:val="000000"/>
                <w:sz w:val="20"/>
                <w:lang w:eastAsia="en-US"/>
              </w:rPr>
            </w:pPr>
          </w:p>
        </w:tc>
        <w:tc>
          <w:tcPr>
            <w:tcW w:w="1134"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p>
        </w:tc>
        <w:tc>
          <w:tcPr>
            <w:tcW w:w="1417"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sidRPr="000806DA">
              <w:rPr>
                <w:rFonts w:ascii="Arial" w:hAnsi="Arial" w:cs="Arial"/>
                <w:color w:val="000000"/>
                <w:sz w:val="20"/>
                <w:lang w:eastAsia="en-US"/>
              </w:rPr>
              <w:t>Year commenced treatment</w:t>
            </w:r>
          </w:p>
        </w:tc>
        <w:tc>
          <w:tcPr>
            <w:tcW w:w="1560" w:type="dxa"/>
            <w:tcBorders>
              <w:bottom w:val="single" w:sz="8" w:space="0" w:color="000000"/>
            </w:tcBorders>
            <w:shd w:val="clear" w:color="auto" w:fill="FFFFFF"/>
          </w:tcPr>
          <w:p w:rsidR="003B0DEE" w:rsidRPr="000806DA" w:rsidRDefault="003B0DEE" w:rsidP="000D5D90">
            <w:pPr>
              <w:spacing w:line="240" w:lineRule="auto"/>
              <w:jc w:val="left"/>
              <w:rPr>
                <w:rFonts w:ascii="Arial" w:hAnsi="Arial" w:cs="Arial"/>
                <w:color w:val="000000"/>
                <w:sz w:val="20"/>
                <w:lang w:eastAsia="en-US"/>
              </w:rPr>
            </w:pPr>
            <w:r>
              <w:rPr>
                <w:rFonts w:ascii="Arial" w:hAnsi="Arial" w:cs="Arial"/>
                <w:color w:val="000000"/>
                <w:sz w:val="20"/>
                <w:lang w:eastAsia="en-US"/>
              </w:rPr>
              <w:t xml:space="preserve">2015: </w:t>
            </w:r>
            <w:r w:rsidRPr="000806DA">
              <w:rPr>
                <w:rFonts w:ascii="Arial" w:hAnsi="Arial" w:cs="Arial"/>
                <w:sz w:val="20"/>
                <w:lang w:eastAsia="en-US"/>
              </w:rPr>
              <w:t>HR=</w:t>
            </w:r>
            <w:r w:rsidRPr="000806DA">
              <w:rPr>
                <w:rFonts w:ascii="Arial" w:hAnsi="Arial" w:cs="Arial"/>
                <w:color w:val="000000"/>
                <w:sz w:val="20"/>
                <w:lang w:eastAsia="en-US"/>
              </w:rPr>
              <w:t>0.505</w:t>
            </w:r>
            <w:r w:rsidRPr="000806DA">
              <w:rPr>
                <w:rFonts w:ascii="Arial" w:hAnsi="Arial" w:cs="Arial"/>
                <w:sz w:val="20"/>
                <w:lang w:eastAsia="en-US"/>
              </w:rPr>
              <w:t xml:space="preserve">, </w:t>
            </w:r>
            <w:r>
              <w:rPr>
                <w:rFonts w:ascii="Arial" w:hAnsi="Arial" w:cs="Arial"/>
                <w:sz w:val="20"/>
                <w:lang w:eastAsia="en-US"/>
              </w:rPr>
              <w:t>95% CI</w:t>
            </w:r>
            <w:r w:rsidRPr="000806DA">
              <w:rPr>
                <w:rFonts w:ascii="Arial" w:hAnsi="Arial" w:cs="Arial"/>
                <w:sz w:val="20"/>
                <w:lang w:eastAsia="en-US"/>
              </w:rPr>
              <w:t>=0.3</w:t>
            </w:r>
            <w:r w:rsidRPr="000806DA">
              <w:rPr>
                <w:rFonts w:ascii="Arial" w:hAnsi="Arial" w:cs="Arial"/>
                <w:color w:val="000000"/>
                <w:sz w:val="20"/>
                <w:lang w:eastAsia="en-US"/>
              </w:rPr>
              <w:t>70</w:t>
            </w:r>
            <w:r w:rsidRPr="000806DA">
              <w:rPr>
                <w:rFonts w:ascii="Arial" w:hAnsi="Arial" w:cs="Arial"/>
                <w:sz w:val="20"/>
                <w:lang w:eastAsia="en-US"/>
              </w:rPr>
              <w:t>-0.</w:t>
            </w:r>
            <w:r w:rsidRPr="000806DA">
              <w:rPr>
                <w:rFonts w:ascii="Arial" w:hAnsi="Arial" w:cs="Arial"/>
                <w:color w:val="000000"/>
                <w:sz w:val="20"/>
                <w:lang w:eastAsia="en-US"/>
              </w:rPr>
              <w:t>689</w:t>
            </w:r>
            <w:r w:rsidRPr="000806DA">
              <w:rPr>
                <w:rFonts w:ascii="Arial" w:hAnsi="Arial" w:cs="Arial"/>
                <w:sz w:val="20"/>
                <w:lang w:eastAsia="en-US"/>
              </w:rPr>
              <w:t>, p</w:t>
            </w:r>
            <w:r w:rsidRPr="000806DA">
              <w:rPr>
                <w:rFonts w:ascii="Arial" w:hAnsi="Arial" w:cs="Arial"/>
                <w:color w:val="000000"/>
                <w:sz w:val="20"/>
                <w:lang w:eastAsia="en-US"/>
              </w:rPr>
              <w:t>&lt;0.001</w:t>
            </w:r>
          </w:p>
        </w:tc>
        <w:tc>
          <w:tcPr>
            <w:tcW w:w="1559"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c>
          <w:tcPr>
            <w:tcW w:w="1843" w:type="dxa"/>
            <w:tcBorders>
              <w:bottom w:val="single" w:sz="8" w:space="0" w:color="000000"/>
            </w:tcBorders>
            <w:shd w:val="clear" w:color="auto" w:fill="F2F2F2"/>
          </w:tcPr>
          <w:p w:rsidR="003B0DEE" w:rsidRPr="000806DA" w:rsidRDefault="003B0DEE" w:rsidP="000D5D90">
            <w:pPr>
              <w:spacing w:line="240" w:lineRule="auto"/>
              <w:jc w:val="left"/>
              <w:rPr>
                <w:rFonts w:ascii="Arial" w:hAnsi="Arial" w:cs="Arial"/>
                <w:color w:val="000000"/>
                <w:sz w:val="20"/>
                <w:lang w:eastAsia="en-US"/>
              </w:rPr>
            </w:pPr>
          </w:p>
        </w:tc>
      </w:tr>
    </w:tbl>
    <w:p w:rsidR="003B0DEE" w:rsidRPr="00A842D7" w:rsidRDefault="003B0DEE" w:rsidP="000D5D90">
      <w:pPr>
        <w:pStyle w:val="Heading3"/>
      </w:pPr>
      <w:r w:rsidRPr="00307FA2">
        <w:rPr>
          <w:b w:val="0"/>
          <w:bCs w:val="0"/>
          <w:kern w:val="32"/>
          <w:sz w:val="26"/>
        </w:rPr>
        <w:br w:type="page"/>
      </w:r>
      <w:bookmarkStart w:id="122" w:name="_Toc15331719"/>
      <w:r w:rsidRPr="00A842D7">
        <w:lastRenderedPageBreak/>
        <w:t>Opioid substitution modality</w:t>
      </w:r>
      <w:bookmarkEnd w:id="122"/>
    </w:p>
    <w:p w:rsidR="003B0DEE" w:rsidRDefault="003B0DEE" w:rsidP="000D5D90">
      <w:pPr>
        <w:pStyle w:val="BodyText"/>
      </w:pPr>
      <w:r>
        <w:t xml:space="preserve">The survival analysis for people in the opioid substitution modality is based upon discharge records for 613 people (230 people who dropped out of treatment and 383 people who completed their treatment or were transferred to another treatment provider (i.e. censored records)).  The Kaplan Meier curve for the opioid substitution </w:t>
      </w:r>
      <w:r w:rsidRPr="007D2A97">
        <w:t>mo</w:t>
      </w:r>
      <w:r>
        <w:t>dality is presented in Figure 6-</w:t>
      </w:r>
      <w:r w:rsidRPr="007D2A97">
        <w:t>4.  At 30 days after treatment initiation, the cumulative probability of a person remaining in treatment was 92.0%, after 60 days it was 88.0% and after</w:t>
      </w:r>
      <w:r>
        <w:t xml:space="preserve"> 120 days it was 81.6%, and at one year post treatment initiation it was 50.9%(Table 6-</w:t>
      </w:r>
      <w:r w:rsidRPr="007D2A97">
        <w:t>9).</w:t>
      </w:r>
      <w:r>
        <w:t xml:space="preserve">  </w:t>
      </w:r>
    </w:p>
    <w:p w:rsidR="003B0DEE" w:rsidRDefault="003B0DEE" w:rsidP="000D5D90">
      <w:pPr>
        <w:spacing w:line="240" w:lineRule="auto"/>
        <w:jc w:val="left"/>
        <w:rPr>
          <w:b/>
        </w:rPr>
      </w:pPr>
    </w:p>
    <w:p w:rsidR="003B0DEE" w:rsidRPr="00E60AE3" w:rsidRDefault="003B0DEE" w:rsidP="000D5D90">
      <w:pPr>
        <w:spacing w:line="276" w:lineRule="auto"/>
        <w:jc w:val="left"/>
        <w:rPr>
          <w:rFonts w:ascii="Arial" w:hAnsi="Arial" w:cs="Arial"/>
          <w:sz w:val="20"/>
          <w:lang w:eastAsia="en-US"/>
        </w:rPr>
      </w:pPr>
      <w:bookmarkStart w:id="123" w:name="_Toc15331957"/>
      <w:r w:rsidRPr="00E60AE3">
        <w:rPr>
          <w:rFonts w:ascii="Arial" w:hAnsi="Arial" w:cs="Arial"/>
          <w:b/>
          <w:sz w:val="20"/>
        </w:rPr>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4</w:t>
      </w:r>
      <w:r>
        <w:rPr>
          <w:rFonts w:ascii="Arial" w:hAnsi="Arial" w:cs="Arial"/>
          <w:b/>
          <w:sz w:val="20"/>
        </w:rPr>
        <w:fldChar w:fldCharType="end"/>
      </w:r>
      <w:r w:rsidRPr="00E60AE3">
        <w:rPr>
          <w:rFonts w:ascii="Arial" w:hAnsi="Arial" w:cs="Arial"/>
          <w:sz w:val="20"/>
        </w:rPr>
        <w:t xml:space="preserve"> </w:t>
      </w:r>
      <w:r>
        <w:rPr>
          <w:rFonts w:ascii="Arial" w:hAnsi="Arial" w:cs="Arial"/>
          <w:sz w:val="20"/>
        </w:rPr>
        <w:t xml:space="preserve"> </w:t>
      </w:r>
      <w:r w:rsidRPr="00E60AE3">
        <w:rPr>
          <w:rFonts w:ascii="Arial" w:hAnsi="Arial" w:cs="Arial"/>
          <w:b/>
          <w:sz w:val="20"/>
        </w:rPr>
        <w:t>Opioid substitution modality:</w:t>
      </w:r>
      <w:r w:rsidRPr="00E60AE3">
        <w:rPr>
          <w:rFonts w:ascii="Arial" w:hAnsi="Arial" w:cs="Arial"/>
          <w:sz w:val="20"/>
        </w:rPr>
        <w:t xml:space="preserve"> Kaplan Meier plot of the cumulative probability of treatment retention</w:t>
      </w:r>
      <w:bookmarkEnd w:id="123"/>
      <w:r w:rsidRPr="00E60AE3">
        <w:rPr>
          <w:rFonts w:ascii="Arial" w:hAnsi="Arial" w:cs="Arial"/>
          <w:sz w:val="20"/>
        </w:rPr>
        <w:t xml:space="preserve"> </w:t>
      </w:r>
    </w:p>
    <w:p w:rsidR="003B0DEE" w:rsidRDefault="003B0DEE" w:rsidP="000D5D90">
      <w:pPr>
        <w:autoSpaceDE w:val="0"/>
        <w:autoSpaceDN w:val="0"/>
        <w:adjustRightInd w:val="0"/>
        <w:spacing w:line="400" w:lineRule="atLeast"/>
        <w:jc w:val="left"/>
        <w:rPr>
          <w:rFonts w:ascii="Times New Roman" w:hAnsi="Times New Roman"/>
          <w:sz w:val="24"/>
          <w:szCs w:val="24"/>
          <w:lang w:eastAsia="en-US"/>
        </w:rPr>
      </w:pPr>
      <w:r>
        <w:rPr>
          <w:rFonts w:ascii="Times New Roman" w:hAnsi="Times New Roman"/>
          <w:noProof/>
          <w:sz w:val="24"/>
          <w:szCs w:val="24"/>
        </w:rPr>
        <w:drawing>
          <wp:inline distT="0" distB="0" distL="0" distR="0" wp14:anchorId="69794C04" wp14:editId="6D661296">
            <wp:extent cx="4785360" cy="3825240"/>
            <wp:effectExtent l="0" t="0" r="0" b="381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pStyle w:val="Caption"/>
        <w:keepNext/>
        <w:spacing w:line="240" w:lineRule="auto"/>
        <w:rPr>
          <w:rFonts w:cs="Arial"/>
        </w:rPr>
      </w:pPr>
      <w:bookmarkStart w:id="124" w:name="_Toc15331958"/>
      <w:r>
        <w:lastRenderedPageBreak/>
        <w:t xml:space="preserve">Figure </w:t>
      </w:r>
      <w:fldSimple w:instr=" STYLEREF 1 \s ">
        <w:r>
          <w:rPr>
            <w:noProof/>
          </w:rPr>
          <w:t>6</w:t>
        </w:r>
      </w:fldSimple>
      <w:r>
        <w:noBreakHyphen/>
      </w:r>
      <w:fldSimple w:instr=" SEQ Figure \* ARABIC \s 1 ">
        <w:r>
          <w:rPr>
            <w:noProof/>
          </w:rPr>
          <w:t>5</w:t>
        </w:r>
      </w:fldSimple>
      <w:r>
        <w:t xml:space="preserve">  </w:t>
      </w:r>
      <w:r w:rsidRPr="007247E0">
        <w:rPr>
          <w:rFonts w:cs="Arial"/>
        </w:rPr>
        <w:t xml:space="preserve">Opioid substitution modality: </w:t>
      </w:r>
      <w:r w:rsidRPr="007247E0">
        <w:rPr>
          <w:rFonts w:cs="Arial"/>
          <w:b w:val="0"/>
        </w:rPr>
        <w:t>Kaplan Meier plot of the cumulative probability of treatment retention within the first year of treatment</w:t>
      </w:r>
      <w:bookmarkEnd w:id="124"/>
      <w:r w:rsidRPr="007247E0">
        <w:rPr>
          <w:rFonts w:cs="Arial"/>
        </w:rPr>
        <w:t xml:space="preserve"> </w:t>
      </w:r>
    </w:p>
    <w:p w:rsidR="003B0DEE" w:rsidRPr="00F62500" w:rsidRDefault="003B0DEE" w:rsidP="000D5D90">
      <w:pPr>
        <w:spacing w:line="240" w:lineRule="auto"/>
        <w:jc w:val="left"/>
        <w:rPr>
          <w:rFonts w:cs="Arial"/>
        </w:rPr>
      </w:pPr>
      <w:r>
        <w:rPr>
          <w:rFonts w:cs="Arial"/>
          <w:noProof/>
        </w:rPr>
        <w:drawing>
          <wp:inline distT="0" distB="0" distL="0" distR="0" wp14:anchorId="7FE3FC39" wp14:editId="685020F3">
            <wp:extent cx="4785360" cy="3825240"/>
            <wp:effectExtent l="0" t="0" r="0" b="381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spacing w:line="240" w:lineRule="auto"/>
        <w:jc w:val="left"/>
        <w:rPr>
          <w:rFonts w:cs="Arial"/>
        </w:rPr>
      </w:pPr>
    </w:p>
    <w:p w:rsidR="003B0DEE" w:rsidRPr="00E60AE3" w:rsidRDefault="003B0DEE" w:rsidP="000D5D90">
      <w:pPr>
        <w:pStyle w:val="Caption"/>
        <w:keepNext/>
        <w:spacing w:line="240" w:lineRule="auto"/>
        <w:rPr>
          <w:rFonts w:cs="Arial"/>
          <w:bCs w:val="0"/>
          <w:szCs w:val="20"/>
        </w:rPr>
      </w:pPr>
      <w:bookmarkStart w:id="125" w:name="_Toc15332013"/>
      <w:r w:rsidRPr="00E60AE3">
        <w:rPr>
          <w:rFonts w:cs="Arial"/>
          <w:bCs w:val="0"/>
          <w:szCs w:val="20"/>
        </w:rPr>
        <w:t xml:space="preserve">Table </w:t>
      </w:r>
      <w:r>
        <w:rPr>
          <w:rFonts w:cs="Arial"/>
          <w:bCs w:val="0"/>
          <w:szCs w:val="20"/>
        </w:rPr>
        <w:fldChar w:fldCharType="begin"/>
      </w:r>
      <w:r>
        <w:rPr>
          <w:rFonts w:cs="Arial"/>
          <w:bCs w:val="0"/>
          <w:szCs w:val="20"/>
        </w:rPr>
        <w:instrText xml:space="preserve"> STYLEREF 1 \s </w:instrText>
      </w:r>
      <w:r>
        <w:rPr>
          <w:rFonts w:cs="Arial"/>
          <w:bCs w:val="0"/>
          <w:szCs w:val="20"/>
        </w:rPr>
        <w:fldChar w:fldCharType="separate"/>
      </w:r>
      <w:r>
        <w:rPr>
          <w:rFonts w:cs="Arial"/>
          <w:bCs w:val="0"/>
          <w:noProof/>
          <w:szCs w:val="20"/>
        </w:rPr>
        <w:t>6</w:t>
      </w:r>
      <w:r>
        <w:rPr>
          <w:rFonts w:cs="Arial"/>
          <w:bCs w:val="0"/>
          <w:szCs w:val="20"/>
        </w:rPr>
        <w:fldChar w:fldCharType="end"/>
      </w:r>
      <w:r>
        <w:rPr>
          <w:rFonts w:cs="Arial"/>
          <w:bCs w:val="0"/>
          <w:szCs w:val="20"/>
        </w:rPr>
        <w:noBreakHyphen/>
      </w:r>
      <w:r>
        <w:rPr>
          <w:rFonts w:cs="Arial"/>
          <w:bCs w:val="0"/>
          <w:szCs w:val="20"/>
        </w:rPr>
        <w:fldChar w:fldCharType="begin"/>
      </w:r>
      <w:r>
        <w:rPr>
          <w:rFonts w:cs="Arial"/>
          <w:bCs w:val="0"/>
          <w:szCs w:val="20"/>
        </w:rPr>
        <w:instrText xml:space="preserve"> SEQ Table \* ARABIC \s 1 </w:instrText>
      </w:r>
      <w:r>
        <w:rPr>
          <w:rFonts w:cs="Arial"/>
          <w:bCs w:val="0"/>
          <w:szCs w:val="20"/>
        </w:rPr>
        <w:fldChar w:fldCharType="separate"/>
      </w:r>
      <w:r>
        <w:rPr>
          <w:rFonts w:cs="Arial"/>
          <w:bCs w:val="0"/>
          <w:noProof/>
          <w:szCs w:val="20"/>
        </w:rPr>
        <w:t>9</w:t>
      </w:r>
      <w:r>
        <w:rPr>
          <w:rFonts w:cs="Arial"/>
          <w:bCs w:val="0"/>
          <w:szCs w:val="20"/>
        </w:rPr>
        <w:fldChar w:fldCharType="end"/>
      </w:r>
      <w:r>
        <w:rPr>
          <w:rFonts w:cs="Arial"/>
          <w:bCs w:val="0"/>
          <w:szCs w:val="20"/>
        </w:rPr>
        <w:t xml:space="preserve">  </w:t>
      </w:r>
      <w:r w:rsidRPr="00E60AE3">
        <w:rPr>
          <w:rFonts w:cs="Arial"/>
          <w:bCs w:val="0"/>
          <w:szCs w:val="20"/>
        </w:rPr>
        <w:t xml:space="preserve">Opioid substitution modality: </w:t>
      </w:r>
      <w:r w:rsidRPr="00E60AE3">
        <w:rPr>
          <w:rFonts w:cs="Arial"/>
          <w:b w:val="0"/>
          <w:bCs w:val="0"/>
          <w:szCs w:val="20"/>
        </w:rPr>
        <w:t>selected cumulative probabilities for treatment retention</w:t>
      </w:r>
      <w:bookmarkEnd w:id="125"/>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584"/>
        <w:gridCol w:w="1208"/>
        <w:gridCol w:w="1178"/>
        <w:gridCol w:w="1181"/>
        <w:gridCol w:w="1250"/>
        <w:gridCol w:w="1761"/>
        <w:gridCol w:w="1842"/>
      </w:tblGrid>
      <w:tr w:rsidR="003B0DEE" w:rsidRPr="000806DA" w:rsidTr="000D5D90">
        <w:trPr>
          <w:trHeight w:val="20"/>
        </w:trPr>
        <w:tc>
          <w:tcPr>
            <w:tcW w:w="324"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20"/>
                <w:lang w:eastAsia="en-US"/>
              </w:rPr>
            </w:pPr>
            <w:r w:rsidRPr="000806DA">
              <w:rPr>
                <w:rFonts w:ascii="Arial" w:hAnsi="Arial" w:cs="Arial"/>
                <w:b/>
                <w:bCs/>
                <w:sz w:val="20"/>
                <w:lang w:eastAsia="en-US"/>
              </w:rPr>
              <w:t>Day</w:t>
            </w:r>
          </w:p>
        </w:tc>
        <w:tc>
          <w:tcPr>
            <w:tcW w:w="671"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sidRPr="000806DA">
              <w:rPr>
                <w:rFonts w:ascii="Arial" w:hAnsi="Arial" w:cs="Arial"/>
                <w:b/>
                <w:bCs/>
                <w:sz w:val="20"/>
                <w:lang w:eastAsia="en-US"/>
              </w:rPr>
              <w:t>Number people entering interval</w:t>
            </w:r>
          </w:p>
        </w:tc>
        <w:tc>
          <w:tcPr>
            <w:tcW w:w="654"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sidRPr="000806DA">
              <w:rPr>
                <w:rFonts w:ascii="Arial" w:hAnsi="Arial" w:cs="Arial"/>
                <w:b/>
                <w:bCs/>
                <w:sz w:val="20"/>
                <w:lang w:eastAsia="en-US"/>
              </w:rPr>
              <w:t>Number censored</w:t>
            </w:r>
          </w:p>
        </w:tc>
        <w:tc>
          <w:tcPr>
            <w:tcW w:w="656"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sidRPr="000806DA">
              <w:rPr>
                <w:rFonts w:ascii="Arial" w:hAnsi="Arial" w:cs="Arial"/>
                <w:b/>
                <w:bCs/>
                <w:sz w:val="20"/>
                <w:lang w:eastAsia="en-US"/>
              </w:rPr>
              <w:t>Number exposed to risk</w:t>
            </w:r>
          </w:p>
        </w:tc>
        <w:tc>
          <w:tcPr>
            <w:tcW w:w="694"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Pr>
                <w:rFonts w:ascii="Arial" w:hAnsi="Arial" w:cs="Arial"/>
                <w:b/>
                <w:bCs/>
                <w:sz w:val="20"/>
                <w:lang w:eastAsia="en-US"/>
              </w:rPr>
              <w:t xml:space="preserve">Number dropping </w:t>
            </w:r>
            <w:r w:rsidRPr="000806DA">
              <w:rPr>
                <w:rFonts w:ascii="Arial" w:hAnsi="Arial" w:cs="Arial"/>
                <w:b/>
                <w:bCs/>
                <w:sz w:val="20"/>
                <w:lang w:eastAsia="en-US"/>
              </w:rPr>
              <w:t>out</w:t>
            </w:r>
          </w:p>
        </w:tc>
        <w:tc>
          <w:tcPr>
            <w:tcW w:w="978"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sidRPr="000806DA">
              <w:rPr>
                <w:rFonts w:ascii="Arial" w:hAnsi="Arial" w:cs="Arial"/>
                <w:b/>
                <w:bCs/>
                <w:sz w:val="20"/>
                <w:lang w:eastAsia="en-US"/>
              </w:rPr>
              <w:t>Cumulative proportion remaining in treatment at end of interval (%)</w:t>
            </w:r>
          </w:p>
        </w:tc>
        <w:tc>
          <w:tcPr>
            <w:tcW w:w="1023"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right"/>
              <w:rPr>
                <w:rFonts w:ascii="Arial" w:hAnsi="Arial" w:cs="Arial"/>
                <w:b/>
                <w:bCs/>
                <w:sz w:val="20"/>
                <w:lang w:eastAsia="en-US"/>
              </w:rPr>
            </w:pPr>
            <w:r w:rsidRPr="000806DA">
              <w:rPr>
                <w:rFonts w:ascii="Arial" w:hAnsi="Arial" w:cs="Arial"/>
                <w:b/>
                <w:bCs/>
                <w:sz w:val="20"/>
                <w:lang w:eastAsia="en-US"/>
              </w:rPr>
              <w:t>Std. Error of cumulative proportion remaining in treatment at end of interval (%)</w:t>
            </w:r>
          </w:p>
        </w:tc>
      </w:tr>
      <w:tr w:rsidR="003B0DEE" w:rsidRPr="000806DA" w:rsidTr="000D5D90">
        <w:trPr>
          <w:trHeight w:val="48"/>
        </w:trPr>
        <w:tc>
          <w:tcPr>
            <w:tcW w:w="324" w:type="pc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0</w:t>
            </w:r>
          </w:p>
        </w:tc>
        <w:tc>
          <w:tcPr>
            <w:tcW w:w="671"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613</w:t>
            </w:r>
          </w:p>
        </w:tc>
        <w:tc>
          <w:tcPr>
            <w:tcW w:w="654"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32</w:t>
            </w:r>
          </w:p>
        </w:tc>
        <w:tc>
          <w:tcPr>
            <w:tcW w:w="656"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597</w:t>
            </w:r>
          </w:p>
        </w:tc>
        <w:tc>
          <w:tcPr>
            <w:tcW w:w="694"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w:t>
            </w:r>
          </w:p>
        </w:tc>
        <w:tc>
          <w:tcPr>
            <w:tcW w:w="978"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94.8%</w:t>
            </w:r>
          </w:p>
        </w:tc>
        <w:tc>
          <w:tcPr>
            <w:tcW w:w="1023"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0.9%</w:t>
            </w:r>
          </w:p>
        </w:tc>
      </w:tr>
      <w:tr w:rsidR="003B0DEE" w:rsidRPr="000806DA" w:rsidTr="000D5D90">
        <w:trPr>
          <w:trHeight w:val="48"/>
        </w:trPr>
        <w:tc>
          <w:tcPr>
            <w:tcW w:w="324" w:type="pct"/>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30</w:t>
            </w:r>
          </w:p>
        </w:tc>
        <w:tc>
          <w:tcPr>
            <w:tcW w:w="671"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550</w:t>
            </w:r>
          </w:p>
        </w:tc>
        <w:tc>
          <w:tcPr>
            <w:tcW w:w="65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w:t>
            </w:r>
          </w:p>
        </w:tc>
        <w:tc>
          <w:tcPr>
            <w:tcW w:w="65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540</w:t>
            </w:r>
          </w:p>
        </w:tc>
        <w:tc>
          <w:tcPr>
            <w:tcW w:w="69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16</w:t>
            </w:r>
          </w:p>
        </w:tc>
        <w:tc>
          <w:tcPr>
            <w:tcW w:w="9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92.0%</w:t>
            </w:r>
          </w:p>
        </w:tc>
        <w:tc>
          <w:tcPr>
            <w:tcW w:w="102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1.1%</w:t>
            </w:r>
          </w:p>
        </w:tc>
      </w:tr>
      <w:tr w:rsidR="003B0DEE" w:rsidRPr="000806DA" w:rsidTr="000D5D90">
        <w:trPr>
          <w:trHeight w:val="48"/>
        </w:trPr>
        <w:tc>
          <w:tcPr>
            <w:tcW w:w="324" w:type="pct"/>
            <w:tcBorders>
              <w:top w:val="nil"/>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60</w:t>
            </w:r>
          </w:p>
        </w:tc>
        <w:tc>
          <w:tcPr>
            <w:tcW w:w="671"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513</w:t>
            </w:r>
          </w:p>
        </w:tc>
        <w:tc>
          <w:tcPr>
            <w:tcW w:w="65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24</w:t>
            </w:r>
          </w:p>
        </w:tc>
        <w:tc>
          <w:tcPr>
            <w:tcW w:w="65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501</w:t>
            </w:r>
          </w:p>
        </w:tc>
        <w:tc>
          <w:tcPr>
            <w:tcW w:w="69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w:t>
            </w:r>
          </w:p>
        </w:tc>
        <w:tc>
          <w:tcPr>
            <w:tcW w:w="9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88.0%</w:t>
            </w:r>
          </w:p>
        </w:tc>
        <w:tc>
          <w:tcPr>
            <w:tcW w:w="102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1.4%</w:t>
            </w:r>
          </w:p>
        </w:tc>
      </w:tr>
      <w:tr w:rsidR="003B0DEE" w:rsidRPr="000806DA" w:rsidTr="000D5D90">
        <w:trPr>
          <w:trHeight w:val="48"/>
        </w:trPr>
        <w:tc>
          <w:tcPr>
            <w:tcW w:w="324" w:type="pct"/>
            <w:tcBorders>
              <w:top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90</w:t>
            </w:r>
          </w:p>
        </w:tc>
        <w:tc>
          <w:tcPr>
            <w:tcW w:w="671"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467</w:t>
            </w:r>
          </w:p>
        </w:tc>
        <w:tc>
          <w:tcPr>
            <w:tcW w:w="65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w:t>
            </w:r>
          </w:p>
        </w:tc>
        <w:tc>
          <w:tcPr>
            <w:tcW w:w="65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456</w:t>
            </w:r>
          </w:p>
        </w:tc>
        <w:tc>
          <w:tcPr>
            <w:tcW w:w="69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w:t>
            </w:r>
          </w:p>
        </w:tc>
        <w:tc>
          <w:tcPr>
            <w:tcW w:w="9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84.7%</w:t>
            </w:r>
          </w:p>
        </w:tc>
        <w:tc>
          <w:tcPr>
            <w:tcW w:w="102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w:t>
            </w:r>
          </w:p>
        </w:tc>
      </w:tr>
      <w:tr w:rsidR="003B0DEE" w:rsidRPr="000806DA" w:rsidTr="000D5D90">
        <w:trPr>
          <w:trHeight w:val="48"/>
        </w:trPr>
        <w:tc>
          <w:tcPr>
            <w:tcW w:w="324" w:type="pct"/>
            <w:tcBorders>
              <w:top w:val="nil"/>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20"/>
                <w:lang w:eastAsia="en-US"/>
              </w:rPr>
            </w:pPr>
            <w:r w:rsidRPr="000806DA">
              <w:rPr>
                <w:rFonts w:ascii="Arial" w:hAnsi="Arial" w:cs="Arial"/>
                <w:b/>
                <w:bCs/>
                <w:color w:val="000000"/>
                <w:sz w:val="20"/>
                <w:lang w:eastAsia="en-US"/>
              </w:rPr>
              <w:t>120</w:t>
            </w:r>
          </w:p>
        </w:tc>
        <w:tc>
          <w:tcPr>
            <w:tcW w:w="671"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428</w:t>
            </w:r>
          </w:p>
        </w:tc>
        <w:tc>
          <w:tcPr>
            <w:tcW w:w="65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19</w:t>
            </w:r>
          </w:p>
        </w:tc>
        <w:tc>
          <w:tcPr>
            <w:tcW w:w="65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419</w:t>
            </w:r>
          </w:p>
        </w:tc>
        <w:tc>
          <w:tcPr>
            <w:tcW w:w="69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w:t>
            </w:r>
          </w:p>
        </w:tc>
        <w:tc>
          <w:tcPr>
            <w:tcW w:w="9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81.6%</w:t>
            </w:r>
          </w:p>
        </w:tc>
        <w:tc>
          <w:tcPr>
            <w:tcW w:w="102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w:t>
            </w:r>
          </w:p>
        </w:tc>
      </w:tr>
      <w:tr w:rsidR="003B0DEE" w:rsidRPr="000806DA" w:rsidTr="000D5D90">
        <w:trPr>
          <w:trHeight w:val="48"/>
        </w:trPr>
        <w:tc>
          <w:tcPr>
            <w:tcW w:w="324" w:type="pct"/>
            <w:tcBorders>
              <w:top w:val="nil"/>
            </w:tcBorders>
            <w:shd w:val="clear" w:color="auto" w:fill="FFFFFF"/>
          </w:tcPr>
          <w:p w:rsidR="003B0DEE" w:rsidRPr="000806DA" w:rsidRDefault="003B0DEE" w:rsidP="000D5D90">
            <w:pPr>
              <w:spacing w:line="240" w:lineRule="auto"/>
              <w:rPr>
                <w:rFonts w:ascii="Arial" w:hAnsi="Arial" w:cs="Arial"/>
                <w:b/>
                <w:bCs/>
                <w:color w:val="000000"/>
                <w:sz w:val="20"/>
                <w:lang w:eastAsia="en-US"/>
              </w:rPr>
            </w:pPr>
            <w:r w:rsidRPr="000806DA">
              <w:rPr>
                <w:rFonts w:ascii="Arial" w:hAnsi="Arial" w:cs="Arial"/>
                <w:b/>
                <w:bCs/>
                <w:color w:val="000000"/>
                <w:sz w:val="20"/>
                <w:lang w:eastAsia="en-US"/>
              </w:rPr>
              <w:t>150</w:t>
            </w:r>
          </w:p>
        </w:tc>
        <w:tc>
          <w:tcPr>
            <w:tcW w:w="671"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394</w:t>
            </w:r>
          </w:p>
        </w:tc>
        <w:tc>
          <w:tcPr>
            <w:tcW w:w="65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19</w:t>
            </w:r>
          </w:p>
        </w:tc>
        <w:tc>
          <w:tcPr>
            <w:tcW w:w="65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385</w:t>
            </w:r>
          </w:p>
        </w:tc>
        <w:tc>
          <w:tcPr>
            <w:tcW w:w="69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12</w:t>
            </w:r>
          </w:p>
        </w:tc>
        <w:tc>
          <w:tcPr>
            <w:tcW w:w="9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79.1%</w:t>
            </w:r>
          </w:p>
        </w:tc>
        <w:tc>
          <w:tcPr>
            <w:tcW w:w="102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w:t>
            </w:r>
          </w:p>
        </w:tc>
      </w:tr>
      <w:tr w:rsidR="003B0DEE" w:rsidRPr="000806DA" w:rsidTr="000D5D90">
        <w:trPr>
          <w:trHeight w:val="48"/>
        </w:trPr>
        <w:tc>
          <w:tcPr>
            <w:tcW w:w="324" w:type="pct"/>
            <w:tcBorders>
              <w:top w:val="nil"/>
              <w:left w:val="nil"/>
              <w:right w:val="nil"/>
            </w:tcBorders>
            <w:shd w:val="clear" w:color="auto" w:fill="FFFFFF"/>
          </w:tcPr>
          <w:p w:rsidR="003B0DEE" w:rsidRPr="000806DA" w:rsidRDefault="003B0DEE" w:rsidP="000D5D90">
            <w:pPr>
              <w:spacing w:line="240" w:lineRule="auto"/>
              <w:rPr>
                <w:rFonts w:ascii="Arial" w:hAnsi="Arial" w:cs="Arial"/>
                <w:b/>
                <w:bCs/>
                <w:color w:val="000000"/>
                <w:sz w:val="20"/>
                <w:lang w:eastAsia="en-US"/>
              </w:rPr>
            </w:pPr>
            <w:r w:rsidRPr="000806DA">
              <w:rPr>
                <w:rFonts w:ascii="Arial" w:hAnsi="Arial" w:cs="Arial"/>
                <w:b/>
                <w:bCs/>
                <w:color w:val="000000"/>
                <w:sz w:val="20"/>
                <w:lang w:eastAsia="en-US"/>
              </w:rPr>
              <w:t>180</w:t>
            </w:r>
          </w:p>
        </w:tc>
        <w:tc>
          <w:tcPr>
            <w:tcW w:w="671"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363</w:t>
            </w:r>
          </w:p>
        </w:tc>
        <w:tc>
          <w:tcPr>
            <w:tcW w:w="65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18</w:t>
            </w:r>
          </w:p>
        </w:tc>
        <w:tc>
          <w:tcPr>
            <w:tcW w:w="65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354</w:t>
            </w:r>
          </w:p>
        </w:tc>
        <w:tc>
          <w:tcPr>
            <w:tcW w:w="69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w:t>
            </w:r>
          </w:p>
        </w:tc>
        <w:tc>
          <w:tcPr>
            <w:tcW w:w="9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76.9%</w:t>
            </w:r>
          </w:p>
        </w:tc>
        <w:tc>
          <w:tcPr>
            <w:tcW w:w="102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1.9%</w:t>
            </w:r>
          </w:p>
        </w:tc>
      </w:tr>
      <w:tr w:rsidR="003B0DEE" w:rsidRPr="000806DA" w:rsidTr="000D5D90">
        <w:trPr>
          <w:trHeight w:val="48"/>
        </w:trPr>
        <w:tc>
          <w:tcPr>
            <w:tcW w:w="324" w:type="pct"/>
            <w:tcBorders>
              <w:top w:val="nil"/>
            </w:tcBorders>
            <w:shd w:val="clear" w:color="auto" w:fill="FFFFFF"/>
          </w:tcPr>
          <w:p w:rsidR="003B0DEE" w:rsidRPr="000806DA" w:rsidRDefault="003B0DEE" w:rsidP="000D5D90">
            <w:pPr>
              <w:spacing w:line="240" w:lineRule="auto"/>
              <w:rPr>
                <w:rFonts w:ascii="Arial" w:hAnsi="Arial" w:cs="Arial"/>
                <w:b/>
                <w:bCs/>
                <w:color w:val="000000"/>
                <w:sz w:val="20"/>
                <w:lang w:eastAsia="en-US"/>
              </w:rPr>
            </w:pPr>
            <w:r w:rsidRPr="000806DA">
              <w:rPr>
                <w:rFonts w:ascii="Arial" w:hAnsi="Arial" w:cs="Arial"/>
                <w:b/>
                <w:bCs/>
                <w:color w:val="000000"/>
                <w:sz w:val="20"/>
                <w:lang w:eastAsia="en-US"/>
              </w:rPr>
              <w:t>270</w:t>
            </w:r>
          </w:p>
        </w:tc>
        <w:tc>
          <w:tcPr>
            <w:tcW w:w="671"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269</w:t>
            </w:r>
          </w:p>
        </w:tc>
        <w:tc>
          <w:tcPr>
            <w:tcW w:w="65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w:t>
            </w:r>
          </w:p>
        </w:tc>
        <w:tc>
          <w:tcPr>
            <w:tcW w:w="65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265</w:t>
            </w:r>
          </w:p>
        </w:tc>
        <w:tc>
          <w:tcPr>
            <w:tcW w:w="69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9</w:t>
            </w:r>
          </w:p>
        </w:tc>
        <w:tc>
          <w:tcPr>
            <w:tcW w:w="978"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68.3%</w:t>
            </w:r>
          </w:p>
        </w:tc>
        <w:tc>
          <w:tcPr>
            <w:tcW w:w="102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2.2%</w:t>
            </w:r>
          </w:p>
        </w:tc>
      </w:tr>
      <w:tr w:rsidR="003B0DEE" w:rsidRPr="000806DA" w:rsidTr="000D5D90">
        <w:trPr>
          <w:trHeight w:val="48"/>
        </w:trPr>
        <w:tc>
          <w:tcPr>
            <w:tcW w:w="324" w:type="pct"/>
            <w:tcBorders>
              <w:top w:val="nil"/>
              <w:left w:val="nil"/>
              <w:right w:val="nil"/>
            </w:tcBorders>
            <w:shd w:val="clear" w:color="auto" w:fill="FFFFFF"/>
          </w:tcPr>
          <w:p w:rsidR="003B0DEE" w:rsidRPr="000806DA" w:rsidRDefault="003B0DEE" w:rsidP="000D5D90">
            <w:pPr>
              <w:spacing w:line="240" w:lineRule="auto"/>
              <w:rPr>
                <w:rFonts w:ascii="Arial" w:hAnsi="Arial" w:cs="Arial"/>
                <w:b/>
                <w:bCs/>
                <w:sz w:val="20"/>
                <w:lang w:eastAsia="en-US"/>
              </w:rPr>
            </w:pPr>
            <w:r w:rsidRPr="000806DA">
              <w:rPr>
                <w:rFonts w:ascii="Arial" w:hAnsi="Arial" w:cs="Arial"/>
                <w:b/>
                <w:bCs/>
                <w:sz w:val="20"/>
                <w:lang w:eastAsia="en-US"/>
              </w:rPr>
              <w:t>365</w:t>
            </w:r>
          </w:p>
        </w:tc>
        <w:tc>
          <w:tcPr>
            <w:tcW w:w="671"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212</w:t>
            </w:r>
          </w:p>
        </w:tc>
        <w:tc>
          <w:tcPr>
            <w:tcW w:w="65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71</w:t>
            </w:r>
          </w:p>
        </w:tc>
        <w:tc>
          <w:tcPr>
            <w:tcW w:w="65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177</w:t>
            </w:r>
          </w:p>
        </w:tc>
        <w:tc>
          <w:tcPr>
            <w:tcW w:w="694"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40</w:t>
            </w:r>
          </w:p>
        </w:tc>
        <w:tc>
          <w:tcPr>
            <w:tcW w:w="978"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50.9%</w:t>
            </w:r>
          </w:p>
        </w:tc>
        <w:tc>
          <w:tcPr>
            <w:tcW w:w="102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2.6%</w:t>
            </w:r>
          </w:p>
        </w:tc>
      </w:tr>
      <w:tr w:rsidR="003B0DEE" w:rsidRPr="000806DA" w:rsidTr="000D5D90">
        <w:trPr>
          <w:trHeight w:val="48"/>
        </w:trPr>
        <w:tc>
          <w:tcPr>
            <w:tcW w:w="324" w:type="pct"/>
            <w:tcBorders>
              <w:top w:val="nil"/>
              <w:bottom w:val="single" w:sz="8" w:space="0" w:color="000000"/>
            </w:tcBorders>
            <w:shd w:val="clear" w:color="auto" w:fill="FFFFFF"/>
          </w:tcPr>
          <w:p w:rsidR="003B0DEE" w:rsidRPr="000806DA" w:rsidRDefault="003B0DEE" w:rsidP="000D5D90">
            <w:pPr>
              <w:spacing w:line="240" w:lineRule="auto"/>
              <w:rPr>
                <w:rFonts w:ascii="Arial" w:hAnsi="Arial" w:cs="Arial"/>
                <w:b/>
                <w:bCs/>
                <w:sz w:val="20"/>
                <w:lang w:eastAsia="en-US"/>
              </w:rPr>
            </w:pPr>
            <w:r w:rsidRPr="000806DA">
              <w:rPr>
                <w:rFonts w:ascii="Arial" w:hAnsi="Arial" w:cs="Arial"/>
                <w:b/>
                <w:bCs/>
                <w:sz w:val="20"/>
                <w:lang w:eastAsia="en-US"/>
              </w:rPr>
              <w:t>730</w:t>
            </w:r>
          </w:p>
        </w:tc>
        <w:tc>
          <w:tcPr>
            <w:tcW w:w="671"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101</w:t>
            </w:r>
          </w:p>
        </w:tc>
        <w:tc>
          <w:tcPr>
            <w:tcW w:w="65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46</w:t>
            </w:r>
          </w:p>
        </w:tc>
        <w:tc>
          <w:tcPr>
            <w:tcW w:w="65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78</w:t>
            </w:r>
          </w:p>
        </w:tc>
        <w:tc>
          <w:tcPr>
            <w:tcW w:w="69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15</w:t>
            </w:r>
          </w:p>
        </w:tc>
        <w:tc>
          <w:tcPr>
            <w:tcW w:w="978"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41.1%</w:t>
            </w:r>
          </w:p>
        </w:tc>
        <w:tc>
          <w:tcPr>
            <w:tcW w:w="1023"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20"/>
                <w:lang w:eastAsia="en-US"/>
              </w:rPr>
            </w:pPr>
            <w:r w:rsidRPr="000806DA">
              <w:rPr>
                <w:rFonts w:ascii="Arial" w:hAnsi="Arial" w:cs="Arial"/>
                <w:color w:val="000000"/>
                <w:sz w:val="20"/>
                <w:lang w:eastAsia="en-US"/>
              </w:rPr>
              <w:t>3.1%</w:t>
            </w:r>
          </w:p>
        </w:tc>
      </w:tr>
    </w:tbl>
    <w:p w:rsidR="003B0DEE" w:rsidRDefault="003B0DEE" w:rsidP="000D5D90">
      <w:pPr>
        <w:spacing w:line="360" w:lineRule="auto"/>
        <w:rPr>
          <w:sz w:val="20"/>
        </w:rPr>
      </w:pPr>
    </w:p>
    <w:p w:rsidR="003B0DEE" w:rsidRPr="00726BB3" w:rsidRDefault="003B0DEE" w:rsidP="000D5D90">
      <w:pPr>
        <w:pStyle w:val="Heading4"/>
        <w:rPr>
          <w:sz w:val="24"/>
        </w:rPr>
      </w:pPr>
      <w:r w:rsidRPr="00726BB3">
        <w:rPr>
          <w:sz w:val="24"/>
        </w:rPr>
        <w:t>Predictors of dropout from opioid substitution</w:t>
      </w:r>
    </w:p>
    <w:p w:rsidR="003B0DEE" w:rsidRPr="004F40F2" w:rsidRDefault="003B0DEE" w:rsidP="000D5D90">
      <w:pPr>
        <w:pStyle w:val="BodyText"/>
      </w:pPr>
      <w:r>
        <w:t>Time to dropout had a significant univariate association with age entering treatment, age when first used opioids, type of living arrangements, region of residence (Dublin/outside Dublin), type of treatment setting, referral source and year in which treatment commenced (Appendix Table A4-</w:t>
      </w:r>
      <w:r w:rsidRPr="007D2A97">
        <w:t>4).  The multivariable</w:t>
      </w:r>
      <w:r w:rsidRPr="004F40F2">
        <w:t xml:space="preserve"> Cox regression model</w:t>
      </w:r>
      <w:r>
        <w:t xml:space="preserve"> for the opioid substitution modality</w:t>
      </w:r>
      <w:r w:rsidRPr="005B6A5A">
        <w:t xml:space="preserve"> was statistically </w:t>
      </w:r>
      <w:r w:rsidRPr="005B6A5A">
        <w:lastRenderedPageBreak/>
        <w:t xml:space="preserve">significant, </w:t>
      </w:r>
      <w:r>
        <w:t>χ</w:t>
      </w:r>
      <w:r w:rsidRPr="00AC67A9">
        <w:rPr>
          <w:vertAlign w:val="superscript"/>
        </w:rPr>
        <w:t>2</w:t>
      </w:r>
      <w:r w:rsidRPr="005B6A5A">
        <w:t xml:space="preserve"> (</w:t>
      </w:r>
      <w:r>
        <w:t>10</w:t>
      </w:r>
      <w:r w:rsidRPr="005B6A5A">
        <w:t xml:space="preserve">) = </w:t>
      </w:r>
      <w:r>
        <w:t>169</w:t>
      </w:r>
      <w:r w:rsidRPr="005B6A5A">
        <w:t>.</w:t>
      </w:r>
      <w:r>
        <w:t>236</w:t>
      </w:r>
      <w:r w:rsidRPr="005B6A5A">
        <w:t>, p&lt;0.001</w:t>
      </w:r>
      <w:r>
        <w:t>)</w:t>
      </w:r>
      <w:r w:rsidRPr="005B6A5A">
        <w:t xml:space="preserve">.  </w:t>
      </w:r>
      <w:r>
        <w:t xml:space="preserve">When other factors were held constant, age entering treatment, type of treatment setting, and year in which treatment commenced were associated with time to dropout.  </w:t>
      </w:r>
      <w:r w:rsidRPr="00CC6520">
        <w:t>Protective factors for treatment retention were age when entering treatment (HR=0.97</w:t>
      </w:r>
      <w:r>
        <w:t>6</w:t>
      </w:r>
      <w:r w:rsidRPr="00CC6520">
        <w:t xml:space="preserve">, </w:t>
      </w:r>
      <w:r>
        <w:t>95% CI</w:t>
      </w:r>
      <w:r w:rsidRPr="00CC6520">
        <w:t>=0.9</w:t>
      </w:r>
      <w:r>
        <w:t>58</w:t>
      </w:r>
      <w:r w:rsidRPr="00CC6520">
        <w:t>-0.99</w:t>
      </w:r>
      <w:r>
        <w:t>4</w:t>
      </w:r>
      <w:r w:rsidRPr="00CC6520">
        <w:t>, p=0.0</w:t>
      </w:r>
      <w:r>
        <w:t>08</w:t>
      </w:r>
      <w:r w:rsidRPr="00CC6520">
        <w:t xml:space="preserve">), </w:t>
      </w:r>
      <w:r>
        <w:t>receiving</w:t>
      </w:r>
      <w:r w:rsidRPr="00CC6520">
        <w:t xml:space="preserve"> treatment in </w:t>
      </w:r>
      <w:r>
        <w:t xml:space="preserve">a general practice </w:t>
      </w:r>
      <w:r w:rsidRPr="00CC6520">
        <w:t>setting (HR=0.</w:t>
      </w:r>
      <w:r>
        <w:t>614</w:t>
      </w:r>
      <w:r w:rsidRPr="00CC6520">
        <w:t xml:space="preserve">, </w:t>
      </w:r>
      <w:r>
        <w:t>95% CI</w:t>
      </w:r>
      <w:r w:rsidRPr="00CC6520">
        <w:t>=0.</w:t>
      </w:r>
      <w:r>
        <w:t>3.97</w:t>
      </w:r>
      <w:r w:rsidRPr="00CC6520">
        <w:t>-0.</w:t>
      </w:r>
      <w:r>
        <w:t>950</w:t>
      </w:r>
      <w:r w:rsidRPr="00CC6520">
        <w:t>, p=0.02</w:t>
      </w:r>
      <w:r>
        <w:t>8</w:t>
      </w:r>
      <w:r w:rsidRPr="00CC6520">
        <w:t>)</w:t>
      </w:r>
      <w:r>
        <w:t xml:space="preserve">, commencing treatment in more recent years </w:t>
      </w:r>
      <w:r w:rsidRPr="00CC6520">
        <w:t>(</w:t>
      </w:r>
      <w:r>
        <w:t xml:space="preserve">e.g. 2015: </w:t>
      </w:r>
      <w:r w:rsidRPr="00CC6520">
        <w:t>HR=0.</w:t>
      </w:r>
      <w:r>
        <w:t>261</w:t>
      </w:r>
      <w:r w:rsidRPr="00CC6520">
        <w:t xml:space="preserve">, </w:t>
      </w:r>
      <w:r>
        <w:t>95% CI</w:t>
      </w:r>
      <w:r w:rsidRPr="00CC6520">
        <w:t>=0.</w:t>
      </w:r>
      <w:r>
        <w:t>148</w:t>
      </w:r>
      <w:r w:rsidRPr="00CC6520">
        <w:t>-0.</w:t>
      </w:r>
      <w:r>
        <w:t>495</w:t>
      </w:r>
      <w:r w:rsidRPr="00CC6520">
        <w:t xml:space="preserve">, </w:t>
      </w:r>
      <w:r w:rsidRPr="00AC747F">
        <w:t xml:space="preserve">p&lt;0.001). </w:t>
      </w:r>
      <w:r>
        <w:t xml:space="preserve"> There was a single risk factor</w:t>
      </w:r>
      <w:r w:rsidRPr="00AC747F">
        <w:t xml:space="preserve"> for treatment </w:t>
      </w:r>
      <w:r>
        <w:t>dropout</w:t>
      </w:r>
      <w:r w:rsidRPr="00AC747F">
        <w:t xml:space="preserve"> in an inpatient setting (HR=</w:t>
      </w:r>
      <w:r>
        <w:t>16.334</w:t>
      </w:r>
      <w:r w:rsidRPr="00AC747F">
        <w:t>, 95% CI=</w:t>
      </w:r>
      <w:r>
        <w:t>8.465</w:t>
      </w:r>
      <w:r w:rsidRPr="00CC6520">
        <w:t>-</w:t>
      </w:r>
      <w:r>
        <w:t>31.518</w:t>
      </w:r>
      <w:r w:rsidRPr="00AC747F">
        <w:t>, p&lt;0.001</w:t>
      </w:r>
      <w:r>
        <w:t>)</w:t>
      </w:r>
      <w:r w:rsidRPr="00AC747F">
        <w:t>.</w:t>
      </w:r>
    </w:p>
    <w:p w:rsidR="003B0DEE" w:rsidRPr="00A61D1D" w:rsidRDefault="003B0DEE" w:rsidP="000D5D90">
      <w:pPr>
        <w:pStyle w:val="Heading3"/>
      </w:pPr>
      <w:bookmarkStart w:id="126" w:name="_Toc15331720"/>
      <w:r w:rsidRPr="004A22C2">
        <w:t>Structured detoxification</w:t>
      </w:r>
      <w:r>
        <w:t xml:space="preserve"> </w:t>
      </w:r>
      <w:r w:rsidRPr="004A22C2">
        <w:t>modality</w:t>
      </w:r>
      <w:bookmarkEnd w:id="126"/>
    </w:p>
    <w:p w:rsidR="003B0DEE" w:rsidRDefault="003B0DEE" w:rsidP="000D5D90">
      <w:pPr>
        <w:pStyle w:val="BodyText"/>
      </w:pPr>
      <w:r>
        <w:t>The survival analysis for people in the s</w:t>
      </w:r>
      <w:r w:rsidRPr="00BA2996">
        <w:t>tructured detoxification modality</w:t>
      </w:r>
      <w:r>
        <w:t xml:space="preserve"> is based upon discharge records for 108 people (50 people who dropped out of treatment and 58 people who completed their treatment or were transferred to another treatment provider (i.e. censored records)).  The Kaplan Meier curve for the opioid substitution modality is presented in Figure 6-6.  </w:t>
      </w:r>
      <w:r w:rsidRPr="007D2A97">
        <w:t>At 10 days after treatment initiation, the cumulative probability of a person remaining in treatment was 80.7%, after 20 days it was 66.9% and afte</w:t>
      </w:r>
      <w:r>
        <w:t>r 30 days it was 65.7% (Table 6-</w:t>
      </w:r>
      <w:r w:rsidRPr="007D2A97">
        <w:t>10).</w:t>
      </w:r>
      <w:r>
        <w:t xml:space="preserve">  </w:t>
      </w:r>
    </w:p>
    <w:p w:rsidR="003B0DEE" w:rsidRDefault="003B0DEE" w:rsidP="000D5D90">
      <w:pPr>
        <w:spacing w:line="240" w:lineRule="auto"/>
        <w:rPr>
          <w:b/>
        </w:rPr>
      </w:pPr>
    </w:p>
    <w:p w:rsidR="003B0DEE" w:rsidRDefault="003B0DEE" w:rsidP="000D5D90">
      <w:pPr>
        <w:spacing w:line="240" w:lineRule="auto"/>
        <w:jc w:val="left"/>
        <w:rPr>
          <w:rFonts w:ascii="Times New Roman" w:hAnsi="Times New Roman"/>
          <w:noProof/>
          <w:sz w:val="24"/>
          <w:szCs w:val="24"/>
        </w:rPr>
      </w:pPr>
      <w:bookmarkStart w:id="127" w:name="_Toc15331959"/>
      <w:r w:rsidRPr="00E60AE3">
        <w:rPr>
          <w:rFonts w:ascii="Arial" w:hAnsi="Arial" w:cs="Arial"/>
          <w:b/>
          <w:sz w:val="20"/>
          <w:szCs w:val="18"/>
        </w:rPr>
        <w:t xml:space="preserve">Figure </w:t>
      </w:r>
      <w:r>
        <w:rPr>
          <w:rFonts w:ascii="Arial" w:hAnsi="Arial" w:cs="Arial"/>
          <w:b/>
          <w:sz w:val="20"/>
          <w:szCs w:val="18"/>
        </w:rPr>
        <w:fldChar w:fldCharType="begin"/>
      </w:r>
      <w:r>
        <w:rPr>
          <w:rFonts w:ascii="Arial" w:hAnsi="Arial" w:cs="Arial"/>
          <w:b/>
          <w:sz w:val="20"/>
          <w:szCs w:val="18"/>
        </w:rPr>
        <w:instrText xml:space="preserve"> STYLEREF 1 \s </w:instrText>
      </w:r>
      <w:r>
        <w:rPr>
          <w:rFonts w:ascii="Arial" w:hAnsi="Arial" w:cs="Arial"/>
          <w:b/>
          <w:sz w:val="20"/>
          <w:szCs w:val="18"/>
        </w:rPr>
        <w:fldChar w:fldCharType="separate"/>
      </w:r>
      <w:r>
        <w:rPr>
          <w:rFonts w:ascii="Arial" w:hAnsi="Arial" w:cs="Arial"/>
          <w:b/>
          <w:noProof/>
          <w:sz w:val="20"/>
          <w:szCs w:val="18"/>
        </w:rPr>
        <w:t>6</w:t>
      </w:r>
      <w:r>
        <w:rPr>
          <w:rFonts w:ascii="Arial" w:hAnsi="Arial" w:cs="Arial"/>
          <w:b/>
          <w:sz w:val="20"/>
          <w:szCs w:val="18"/>
        </w:rPr>
        <w:fldChar w:fldCharType="end"/>
      </w:r>
      <w:r>
        <w:rPr>
          <w:rFonts w:ascii="Arial" w:hAnsi="Arial" w:cs="Arial"/>
          <w:b/>
          <w:sz w:val="20"/>
          <w:szCs w:val="18"/>
        </w:rPr>
        <w:noBreakHyphen/>
      </w:r>
      <w:r>
        <w:rPr>
          <w:rFonts w:ascii="Arial" w:hAnsi="Arial" w:cs="Arial"/>
          <w:b/>
          <w:sz w:val="20"/>
          <w:szCs w:val="18"/>
        </w:rPr>
        <w:fldChar w:fldCharType="begin"/>
      </w:r>
      <w:r>
        <w:rPr>
          <w:rFonts w:ascii="Arial" w:hAnsi="Arial" w:cs="Arial"/>
          <w:b/>
          <w:sz w:val="20"/>
          <w:szCs w:val="18"/>
        </w:rPr>
        <w:instrText xml:space="preserve"> SEQ Figure \* ARABIC \s 1 </w:instrText>
      </w:r>
      <w:r>
        <w:rPr>
          <w:rFonts w:ascii="Arial" w:hAnsi="Arial" w:cs="Arial"/>
          <w:b/>
          <w:sz w:val="20"/>
          <w:szCs w:val="18"/>
        </w:rPr>
        <w:fldChar w:fldCharType="separate"/>
      </w:r>
      <w:r>
        <w:rPr>
          <w:rFonts w:ascii="Arial" w:hAnsi="Arial" w:cs="Arial"/>
          <w:b/>
          <w:noProof/>
          <w:sz w:val="20"/>
          <w:szCs w:val="18"/>
        </w:rPr>
        <w:t>6</w:t>
      </w:r>
      <w:r>
        <w:rPr>
          <w:rFonts w:ascii="Arial" w:hAnsi="Arial" w:cs="Arial"/>
          <w:b/>
          <w:sz w:val="20"/>
          <w:szCs w:val="18"/>
        </w:rPr>
        <w:fldChar w:fldCharType="end"/>
      </w:r>
      <w:r>
        <w:rPr>
          <w:rFonts w:ascii="Arial" w:hAnsi="Arial" w:cs="Arial"/>
          <w:sz w:val="20"/>
          <w:szCs w:val="18"/>
        </w:rPr>
        <w:t xml:space="preserve">  </w:t>
      </w:r>
      <w:proofErr w:type="gramStart"/>
      <w:r w:rsidRPr="00E60AE3">
        <w:rPr>
          <w:rFonts w:ascii="Arial" w:hAnsi="Arial" w:cs="Arial"/>
          <w:b/>
          <w:sz w:val="20"/>
          <w:szCs w:val="18"/>
        </w:rPr>
        <w:t>Structured</w:t>
      </w:r>
      <w:proofErr w:type="gramEnd"/>
      <w:r w:rsidRPr="00E60AE3">
        <w:rPr>
          <w:rFonts w:ascii="Arial" w:hAnsi="Arial" w:cs="Arial"/>
          <w:b/>
          <w:sz w:val="20"/>
          <w:szCs w:val="18"/>
        </w:rPr>
        <w:t xml:space="preserve"> detoxification modality:</w:t>
      </w:r>
      <w:r w:rsidRPr="00E60AE3">
        <w:rPr>
          <w:rFonts w:ascii="Arial" w:hAnsi="Arial" w:cs="Arial"/>
          <w:sz w:val="20"/>
          <w:szCs w:val="18"/>
        </w:rPr>
        <w:t xml:space="preserve"> Kaplan Meier plot of the cumulative probability of treatment retention</w:t>
      </w:r>
      <w:bookmarkEnd w:id="127"/>
      <w:r w:rsidRPr="00E60AE3">
        <w:rPr>
          <w:rFonts w:ascii="Arial" w:hAnsi="Arial" w:cs="Arial"/>
          <w:sz w:val="20"/>
          <w:szCs w:val="18"/>
        </w:rPr>
        <w:t xml:space="preserve"> </w:t>
      </w:r>
    </w:p>
    <w:p w:rsidR="003B0DEE" w:rsidRDefault="003B0DEE" w:rsidP="000D5D90">
      <w:pPr>
        <w:spacing w:line="240" w:lineRule="auto"/>
        <w:jc w:val="left"/>
        <w:rPr>
          <w:rFonts w:ascii="Times New Roman" w:hAnsi="Times New Roman"/>
          <w:sz w:val="24"/>
          <w:szCs w:val="24"/>
          <w:lang w:eastAsia="en-US"/>
        </w:rPr>
      </w:pPr>
      <w:r>
        <w:rPr>
          <w:rFonts w:ascii="Times New Roman" w:hAnsi="Times New Roman"/>
          <w:noProof/>
          <w:sz w:val="24"/>
          <w:szCs w:val="24"/>
        </w:rPr>
        <w:drawing>
          <wp:inline distT="0" distB="0" distL="0" distR="0" wp14:anchorId="650CE90F" wp14:editId="3B55DC09">
            <wp:extent cx="4785360" cy="3825240"/>
            <wp:effectExtent l="0" t="0" r="0" b="381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pStyle w:val="Caption"/>
        <w:keepNext/>
        <w:spacing w:line="240" w:lineRule="auto"/>
        <w:rPr>
          <w:rFonts w:cs="Arial"/>
        </w:rPr>
      </w:pPr>
      <w:bookmarkStart w:id="128" w:name="_Toc15331960"/>
      <w:r>
        <w:lastRenderedPageBreak/>
        <w:t xml:space="preserve">Figure </w:t>
      </w:r>
      <w:fldSimple w:instr=" STYLEREF 1 \s ">
        <w:r>
          <w:rPr>
            <w:noProof/>
          </w:rPr>
          <w:t>6</w:t>
        </w:r>
      </w:fldSimple>
      <w:r>
        <w:noBreakHyphen/>
      </w:r>
      <w:fldSimple w:instr=" SEQ Figure \* ARABIC \s 1 ">
        <w:r>
          <w:rPr>
            <w:noProof/>
          </w:rPr>
          <w:t>7</w:t>
        </w:r>
      </w:fldSimple>
      <w:r>
        <w:t xml:space="preserve">  </w:t>
      </w:r>
      <w:proofErr w:type="gramStart"/>
      <w:r w:rsidRPr="007247E0">
        <w:rPr>
          <w:rFonts w:cs="Arial"/>
        </w:rPr>
        <w:t>Structured</w:t>
      </w:r>
      <w:proofErr w:type="gramEnd"/>
      <w:r w:rsidRPr="007247E0">
        <w:rPr>
          <w:rFonts w:cs="Arial"/>
        </w:rPr>
        <w:t xml:space="preserve"> detoxification modality: </w:t>
      </w:r>
      <w:r w:rsidRPr="007247E0">
        <w:rPr>
          <w:rFonts w:cs="Arial"/>
          <w:b w:val="0"/>
        </w:rPr>
        <w:t>Kaplan Meier plot of the cumulative probability of treatment retention within the first year of treatment</w:t>
      </w:r>
      <w:bookmarkEnd w:id="128"/>
      <w:r w:rsidRPr="007247E0">
        <w:rPr>
          <w:rFonts w:cs="Arial"/>
          <w:b w:val="0"/>
        </w:rPr>
        <w:t xml:space="preserve"> </w:t>
      </w:r>
    </w:p>
    <w:p w:rsidR="003B0DEE" w:rsidRDefault="003B0DEE" w:rsidP="000D5D90">
      <w:pPr>
        <w:spacing w:line="240" w:lineRule="auto"/>
        <w:jc w:val="left"/>
        <w:rPr>
          <w:rFonts w:ascii="Times New Roman" w:hAnsi="Times New Roman"/>
          <w:sz w:val="24"/>
          <w:szCs w:val="24"/>
          <w:lang w:eastAsia="en-US"/>
        </w:rPr>
      </w:pPr>
      <w:r>
        <w:rPr>
          <w:rFonts w:ascii="Times New Roman" w:hAnsi="Times New Roman"/>
          <w:noProof/>
          <w:sz w:val="24"/>
          <w:szCs w:val="24"/>
        </w:rPr>
        <w:drawing>
          <wp:inline distT="0" distB="0" distL="0" distR="0" wp14:anchorId="67E71B36" wp14:editId="280BCD92">
            <wp:extent cx="4785360" cy="3825240"/>
            <wp:effectExtent l="0" t="0" r="0" b="381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autoSpaceDE w:val="0"/>
        <w:autoSpaceDN w:val="0"/>
        <w:adjustRightInd w:val="0"/>
        <w:spacing w:line="240" w:lineRule="auto"/>
        <w:rPr>
          <w:rFonts w:ascii="Times New Roman" w:hAnsi="Times New Roman"/>
          <w:sz w:val="24"/>
          <w:szCs w:val="24"/>
          <w:lang w:eastAsia="en-US"/>
        </w:rPr>
      </w:pPr>
    </w:p>
    <w:p w:rsidR="003B0DEE" w:rsidRPr="00E60AE3" w:rsidRDefault="003B0DEE" w:rsidP="000D5D90">
      <w:pPr>
        <w:spacing w:line="240" w:lineRule="auto"/>
        <w:jc w:val="left"/>
        <w:rPr>
          <w:rFonts w:ascii="Arial" w:hAnsi="Arial" w:cs="Arial"/>
          <w:sz w:val="20"/>
        </w:rPr>
      </w:pPr>
      <w:bookmarkStart w:id="129" w:name="_Toc15332014"/>
      <w:r w:rsidRPr="00E60AE3">
        <w:rPr>
          <w:rFonts w:ascii="Arial" w:hAnsi="Arial" w:cs="Arial"/>
          <w:b/>
          <w:sz w:val="20"/>
        </w:rPr>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10</w:t>
      </w:r>
      <w:r>
        <w:rPr>
          <w:rFonts w:ascii="Arial" w:hAnsi="Arial" w:cs="Arial"/>
          <w:b/>
          <w:sz w:val="20"/>
        </w:rPr>
        <w:fldChar w:fldCharType="end"/>
      </w:r>
      <w:r>
        <w:rPr>
          <w:rFonts w:ascii="Arial" w:hAnsi="Arial" w:cs="Arial"/>
          <w:b/>
          <w:sz w:val="20"/>
        </w:rPr>
        <w:t xml:space="preserve">  </w:t>
      </w:r>
      <w:proofErr w:type="gramStart"/>
      <w:r w:rsidRPr="00E60AE3">
        <w:rPr>
          <w:rFonts w:ascii="Arial" w:hAnsi="Arial" w:cs="Arial"/>
          <w:b/>
          <w:sz w:val="20"/>
        </w:rPr>
        <w:t>Structured</w:t>
      </w:r>
      <w:proofErr w:type="gramEnd"/>
      <w:r w:rsidRPr="00E60AE3">
        <w:rPr>
          <w:rFonts w:ascii="Arial" w:hAnsi="Arial" w:cs="Arial"/>
          <w:b/>
          <w:sz w:val="20"/>
        </w:rPr>
        <w:t xml:space="preserve"> detoxification modality: </w:t>
      </w:r>
      <w:r w:rsidRPr="00E60AE3">
        <w:rPr>
          <w:rFonts w:ascii="Arial" w:hAnsi="Arial" w:cs="Arial"/>
          <w:sz w:val="20"/>
        </w:rPr>
        <w:t>selected cumulative probabilities for treatment retention</w:t>
      </w:r>
      <w:bookmarkEnd w:id="129"/>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584"/>
        <w:gridCol w:w="1208"/>
        <w:gridCol w:w="1178"/>
        <w:gridCol w:w="1181"/>
        <w:gridCol w:w="1250"/>
        <w:gridCol w:w="1761"/>
        <w:gridCol w:w="1842"/>
      </w:tblGrid>
      <w:tr w:rsidR="003B0DEE" w:rsidRPr="008A0D01" w:rsidTr="000D5D90">
        <w:trPr>
          <w:trHeight w:val="20"/>
        </w:trPr>
        <w:tc>
          <w:tcPr>
            <w:tcW w:w="32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left"/>
              <w:rPr>
                <w:rFonts w:ascii="Arial" w:hAnsi="Arial" w:cs="Arial"/>
                <w:b/>
                <w:bCs/>
                <w:color w:val="000000"/>
                <w:sz w:val="20"/>
                <w:lang w:eastAsia="en-US"/>
              </w:rPr>
            </w:pPr>
            <w:r w:rsidRPr="008A0D01">
              <w:rPr>
                <w:rFonts w:ascii="Arial" w:hAnsi="Arial" w:cs="Arial"/>
                <w:b/>
                <w:bCs/>
                <w:sz w:val="20"/>
                <w:lang w:eastAsia="en-US"/>
              </w:rPr>
              <w:t>Day</w:t>
            </w:r>
          </w:p>
        </w:tc>
        <w:tc>
          <w:tcPr>
            <w:tcW w:w="671"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people entering interval</w:t>
            </w:r>
          </w:p>
        </w:tc>
        <w:tc>
          <w:tcPr>
            <w:tcW w:w="65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censored</w:t>
            </w:r>
          </w:p>
        </w:tc>
        <w:tc>
          <w:tcPr>
            <w:tcW w:w="656"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exposed to risk</w:t>
            </w:r>
          </w:p>
        </w:tc>
        <w:tc>
          <w:tcPr>
            <w:tcW w:w="69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 xml:space="preserve">Number </w:t>
            </w:r>
            <w:r>
              <w:rPr>
                <w:rFonts w:ascii="Arial" w:hAnsi="Arial" w:cs="Arial"/>
                <w:b/>
                <w:bCs/>
                <w:sz w:val="20"/>
                <w:lang w:eastAsia="en-US"/>
              </w:rPr>
              <w:t>dropping out</w:t>
            </w:r>
          </w:p>
        </w:tc>
        <w:tc>
          <w:tcPr>
            <w:tcW w:w="978"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Cumulative proportion remaining in treatment at end of interval (%)</w:t>
            </w:r>
          </w:p>
        </w:tc>
        <w:tc>
          <w:tcPr>
            <w:tcW w:w="1023"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Std. Error of cumulative proportion remaining in treatment at end of interval (%)</w:t>
            </w:r>
          </w:p>
        </w:tc>
      </w:tr>
      <w:tr w:rsidR="003B0DEE" w:rsidRPr="008A0D01" w:rsidTr="000D5D90">
        <w:trPr>
          <w:trHeight w:val="48"/>
        </w:trPr>
        <w:tc>
          <w:tcPr>
            <w:tcW w:w="324" w:type="pct"/>
            <w:tcBorders>
              <w:top w:val="single" w:sz="8" w:space="0" w:color="000000"/>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0</w:t>
            </w:r>
          </w:p>
        </w:tc>
        <w:tc>
          <w:tcPr>
            <w:tcW w:w="671"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108</w:t>
            </w:r>
          </w:p>
        </w:tc>
        <w:tc>
          <w:tcPr>
            <w:tcW w:w="65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w:t>
            </w:r>
          </w:p>
        </w:tc>
        <w:tc>
          <w:tcPr>
            <w:tcW w:w="656"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105</w:t>
            </w:r>
          </w:p>
        </w:tc>
        <w:tc>
          <w:tcPr>
            <w:tcW w:w="69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c>
          <w:tcPr>
            <w:tcW w:w="978"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85.7%</w:t>
            </w:r>
          </w:p>
        </w:tc>
        <w:tc>
          <w:tcPr>
            <w:tcW w:w="1023"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3.4%</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87</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86</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80.7%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3.9%</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20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79</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76</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13</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66.9%</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4.7%</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60</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58</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65.7%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4.8%</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60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47</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42</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57.2%</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5.2%</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90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35</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33</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57.2%</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5.2%</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120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30</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28</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48.9%</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5.9%</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150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21</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18</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48.9%</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5.9%</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180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48.9%</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5.9%</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270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10</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10</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37.0%</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7.5%</w:t>
            </w:r>
          </w:p>
        </w:tc>
      </w:tr>
      <w:tr w:rsidR="003B0DEE" w:rsidRPr="008A0D01" w:rsidTr="000D5D90">
        <w:trPr>
          <w:trHeight w:val="48"/>
        </w:trPr>
        <w:tc>
          <w:tcPr>
            <w:tcW w:w="324" w:type="pct"/>
            <w:tcBorders>
              <w:top w:val="nil"/>
              <w:left w:val="nil"/>
              <w:bottom w:val="single" w:sz="8" w:space="0" w:color="000000"/>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360</w:t>
            </w:r>
          </w:p>
        </w:tc>
        <w:tc>
          <w:tcPr>
            <w:tcW w:w="671"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w:t>
            </w:r>
          </w:p>
        </w:tc>
        <w:tc>
          <w:tcPr>
            <w:tcW w:w="654"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w:t>
            </w:r>
          </w:p>
        </w:tc>
        <w:tc>
          <w:tcPr>
            <w:tcW w:w="656"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w:t>
            </w:r>
          </w:p>
        </w:tc>
        <w:tc>
          <w:tcPr>
            <w:tcW w:w="694"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w:t>
            </w:r>
          </w:p>
        </w:tc>
        <w:tc>
          <w:tcPr>
            <w:tcW w:w="978"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28.8%</w:t>
            </w:r>
          </w:p>
        </w:tc>
        <w:tc>
          <w:tcPr>
            <w:tcW w:w="1023" w:type="pct"/>
            <w:tcBorders>
              <w:top w:val="nil"/>
              <w:left w:val="nil"/>
              <w:bottom w:val="single" w:sz="8" w:space="0" w:color="000000"/>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9.3%</w:t>
            </w:r>
          </w:p>
        </w:tc>
      </w:tr>
    </w:tbl>
    <w:p w:rsidR="003B0DEE" w:rsidRDefault="003B0DEE" w:rsidP="000D5D90">
      <w:pPr>
        <w:spacing w:line="360" w:lineRule="auto"/>
        <w:rPr>
          <w:rFonts w:cs="Arial"/>
          <w:b/>
          <w:sz w:val="20"/>
        </w:rPr>
      </w:pPr>
    </w:p>
    <w:p w:rsidR="003B0DEE" w:rsidRPr="00726BB3" w:rsidRDefault="003B0DEE" w:rsidP="000D5D90">
      <w:pPr>
        <w:pStyle w:val="Heading4"/>
        <w:rPr>
          <w:sz w:val="24"/>
        </w:rPr>
      </w:pPr>
      <w:r w:rsidRPr="00726BB3">
        <w:rPr>
          <w:sz w:val="24"/>
        </w:rPr>
        <w:t>Predictors of dropout from structured detoxification</w:t>
      </w:r>
    </w:p>
    <w:p w:rsidR="003B0DEE" w:rsidRPr="007D2A97" w:rsidRDefault="003B0DEE" w:rsidP="000D5D90">
      <w:pPr>
        <w:pStyle w:val="BodyText"/>
        <w:rPr>
          <w:color w:val="FF0000"/>
        </w:rPr>
      </w:pPr>
      <w:r w:rsidRPr="00613FBE">
        <w:t xml:space="preserve">Time to </w:t>
      </w:r>
      <w:r>
        <w:t>dropout</w:t>
      </w:r>
      <w:r w:rsidRPr="00613FBE">
        <w:t xml:space="preserve"> had a </w:t>
      </w:r>
      <w:r w:rsidRPr="00307FA2">
        <w:t xml:space="preserve">significant univariate association with </w:t>
      </w:r>
      <w:r>
        <w:t>age entering treatment</w:t>
      </w:r>
      <w:r w:rsidRPr="00307FA2">
        <w:t xml:space="preserve">, age when first used opioids, type of living arrangements, type of main problem opioid, problem use of more than one substance, additional use of benzodiazepines, cannabis, and other opioids, injecting at the </w:t>
      </w:r>
      <w:r w:rsidRPr="00307FA2">
        <w:lastRenderedPageBreak/>
        <w:t>time of treatment entry, type of treatment setting, referral source, year in which treatment commenced, and cluster group assignment (</w:t>
      </w:r>
      <w:r>
        <w:t>Appendix Table A4-</w:t>
      </w:r>
      <w:r w:rsidRPr="00307FA2">
        <w:t>5).  The multivariable Cox regression model for the structured detoxification modality was statistically significant, χ</w:t>
      </w:r>
      <w:r w:rsidRPr="00AC67A9">
        <w:rPr>
          <w:vertAlign w:val="superscript"/>
        </w:rPr>
        <w:t>2</w:t>
      </w:r>
      <w:r w:rsidRPr="00307FA2">
        <w:t xml:space="preserve"> (10) = 57.112, p&lt;0.001.  When other factors were held constant, type of treatment setting, and source of treatment referral were the only factors associated with time to dropout.  The only protective factor for treatment retention was being referred to treatment by family/friends (HR=0.304, </w:t>
      </w:r>
      <w:r>
        <w:t>95% CI</w:t>
      </w:r>
      <w:r w:rsidRPr="00307FA2">
        <w:t>=0.119-0.778, p=0.013.  The only risk factor for treatment dropout were treatment in an inpatient setting (HR=10.093, 95% CI=4.625-22.025, p&lt;0.001).</w:t>
      </w:r>
      <w:r>
        <w:t xml:space="preserve">  Age was </w:t>
      </w:r>
      <w:r w:rsidRPr="00F80C3E">
        <w:t xml:space="preserve">associated with time to </w:t>
      </w:r>
      <w:r>
        <w:t>dropout.</w:t>
      </w:r>
    </w:p>
    <w:p w:rsidR="003B0DEE" w:rsidRPr="007D2A97" w:rsidRDefault="003B0DEE" w:rsidP="000D5D90">
      <w:pPr>
        <w:pStyle w:val="Heading3"/>
      </w:pPr>
      <w:bookmarkStart w:id="130" w:name="_Toc15331721"/>
      <w:r w:rsidRPr="007D2A97">
        <w:t>Counselling only modality</w:t>
      </w:r>
      <w:bookmarkEnd w:id="130"/>
    </w:p>
    <w:p w:rsidR="003B0DEE" w:rsidRDefault="003B0DEE" w:rsidP="000D5D90">
      <w:pPr>
        <w:pStyle w:val="BodyText"/>
      </w:pPr>
      <w:r w:rsidRPr="007D2A97">
        <w:t>The survival analysis for people in the counselling only modality is based upon discharge records for 2,514 people (1,346 people who dropped out of treatment</w:t>
      </w:r>
      <w:r>
        <w:t xml:space="preserve"> and 1,168 people who completed their treatment or were transferred to another treatment provider (i.e. censored records)).  The Kaplan Meier curve for the counselling only modality is presented in Figure 6-8.  </w:t>
      </w:r>
      <w:r w:rsidRPr="007D2A97">
        <w:t>At 30 days after treatment initiation, the cumulative probability of a person remaining in treatment was 76.5%, after 60 days it was 67.8% and after</w:t>
      </w:r>
      <w:r>
        <w:t xml:space="preserve"> 120 days it was 53.2% (Table 6-</w:t>
      </w:r>
      <w:r w:rsidRPr="007D2A97">
        <w:t>11).</w:t>
      </w:r>
      <w:r>
        <w:t xml:space="preserve">  </w:t>
      </w:r>
    </w:p>
    <w:p w:rsidR="003B0DEE" w:rsidRPr="002B778C" w:rsidRDefault="003B0DEE" w:rsidP="000D5D90">
      <w:pPr>
        <w:autoSpaceDE w:val="0"/>
        <w:autoSpaceDN w:val="0"/>
        <w:adjustRightInd w:val="0"/>
        <w:spacing w:line="240" w:lineRule="auto"/>
        <w:rPr>
          <w:rFonts w:ascii="Times New Roman" w:hAnsi="Times New Roman"/>
          <w:sz w:val="24"/>
          <w:szCs w:val="24"/>
          <w:lang w:eastAsia="en-US"/>
        </w:rPr>
      </w:pPr>
    </w:p>
    <w:p w:rsidR="003B0DEE" w:rsidRPr="00E60AE3" w:rsidRDefault="003B0DEE" w:rsidP="000D5D90">
      <w:pPr>
        <w:spacing w:line="240" w:lineRule="auto"/>
        <w:jc w:val="left"/>
        <w:rPr>
          <w:rFonts w:ascii="Arial" w:hAnsi="Arial" w:cs="Arial"/>
          <w:noProof/>
          <w:szCs w:val="24"/>
        </w:rPr>
      </w:pPr>
      <w:bookmarkStart w:id="131" w:name="_Toc15331961"/>
      <w:r w:rsidRPr="00E60AE3">
        <w:rPr>
          <w:rFonts w:ascii="Arial" w:hAnsi="Arial" w:cs="Arial"/>
          <w:b/>
          <w:sz w:val="20"/>
        </w:rPr>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8</w:t>
      </w:r>
      <w:r>
        <w:rPr>
          <w:rFonts w:ascii="Arial" w:hAnsi="Arial" w:cs="Arial"/>
          <w:b/>
          <w:sz w:val="20"/>
        </w:rPr>
        <w:fldChar w:fldCharType="end"/>
      </w:r>
      <w:r>
        <w:rPr>
          <w:rFonts w:ascii="Arial" w:hAnsi="Arial" w:cs="Arial"/>
          <w:sz w:val="20"/>
        </w:rPr>
        <w:t xml:space="preserve">  </w:t>
      </w:r>
      <w:proofErr w:type="gramStart"/>
      <w:r w:rsidRPr="00E60AE3">
        <w:rPr>
          <w:rFonts w:ascii="Arial" w:hAnsi="Arial" w:cs="Arial"/>
          <w:b/>
          <w:sz w:val="20"/>
        </w:rPr>
        <w:t>Counselling</w:t>
      </w:r>
      <w:proofErr w:type="gramEnd"/>
      <w:r w:rsidRPr="00E60AE3">
        <w:rPr>
          <w:rFonts w:ascii="Arial" w:hAnsi="Arial" w:cs="Arial"/>
          <w:b/>
          <w:sz w:val="20"/>
        </w:rPr>
        <w:t xml:space="preserve"> only modality:</w:t>
      </w:r>
      <w:r w:rsidRPr="00E60AE3">
        <w:rPr>
          <w:rFonts w:ascii="Arial" w:hAnsi="Arial" w:cs="Arial"/>
          <w:sz w:val="20"/>
        </w:rPr>
        <w:t xml:space="preserve"> Kaplan Meier plot of the cumulative probability of treatment retention</w:t>
      </w:r>
      <w:bookmarkEnd w:id="131"/>
      <w:r w:rsidRPr="00E60AE3">
        <w:rPr>
          <w:rFonts w:ascii="Arial" w:hAnsi="Arial" w:cs="Arial"/>
          <w:sz w:val="20"/>
        </w:rPr>
        <w:t xml:space="preserve"> </w:t>
      </w:r>
    </w:p>
    <w:p w:rsidR="003B0DEE" w:rsidRPr="002B778C" w:rsidRDefault="003B0DEE" w:rsidP="000D5D90">
      <w:pPr>
        <w:spacing w:line="240" w:lineRule="auto"/>
        <w:rPr>
          <w:rFonts w:ascii="Times New Roman" w:hAnsi="Times New Roman"/>
          <w:sz w:val="24"/>
          <w:szCs w:val="24"/>
          <w:lang w:eastAsia="en-US"/>
        </w:rPr>
      </w:pPr>
      <w:r>
        <w:rPr>
          <w:rFonts w:ascii="Times New Roman" w:hAnsi="Times New Roman"/>
          <w:noProof/>
          <w:sz w:val="24"/>
          <w:szCs w:val="24"/>
        </w:rPr>
        <w:drawing>
          <wp:inline distT="0" distB="0" distL="0" distR="0" wp14:anchorId="67DA238B" wp14:editId="36926C9B">
            <wp:extent cx="4785360" cy="3825240"/>
            <wp:effectExtent l="0" t="0" r="0" b="3810"/>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pStyle w:val="Caption"/>
        <w:keepNext/>
        <w:spacing w:line="240" w:lineRule="auto"/>
        <w:rPr>
          <w:b w:val="0"/>
        </w:rPr>
      </w:pPr>
      <w:bookmarkStart w:id="132" w:name="_Toc15331962"/>
      <w:r>
        <w:lastRenderedPageBreak/>
        <w:t xml:space="preserve">Figure </w:t>
      </w:r>
      <w:fldSimple w:instr=" STYLEREF 1 \s ">
        <w:r>
          <w:rPr>
            <w:noProof/>
          </w:rPr>
          <w:t>6</w:t>
        </w:r>
      </w:fldSimple>
      <w:r>
        <w:noBreakHyphen/>
      </w:r>
      <w:fldSimple w:instr=" SEQ Figure \* ARABIC \s 1 ">
        <w:r>
          <w:rPr>
            <w:noProof/>
          </w:rPr>
          <w:t>9</w:t>
        </w:r>
      </w:fldSimple>
      <w:r>
        <w:t xml:space="preserve">  </w:t>
      </w:r>
      <w:proofErr w:type="gramStart"/>
      <w:r w:rsidRPr="007247E0">
        <w:rPr>
          <w:rFonts w:cs="Arial"/>
        </w:rPr>
        <w:t>Counselling</w:t>
      </w:r>
      <w:proofErr w:type="gramEnd"/>
      <w:r w:rsidRPr="007247E0">
        <w:rPr>
          <w:rFonts w:cs="Arial"/>
        </w:rPr>
        <w:t xml:space="preserve"> only modality:</w:t>
      </w:r>
      <w:r w:rsidRPr="007247E0">
        <w:rPr>
          <w:rFonts w:cs="Arial"/>
          <w:b w:val="0"/>
        </w:rPr>
        <w:t xml:space="preserve"> Kaplan Meier plot of the cumulative probability of treatment retention within the first year of treatment</w:t>
      </w:r>
      <w:bookmarkEnd w:id="132"/>
      <w:r w:rsidRPr="007247E0">
        <w:rPr>
          <w:b w:val="0"/>
        </w:rPr>
        <w:t xml:space="preserve"> </w:t>
      </w:r>
    </w:p>
    <w:p w:rsidR="003B0DEE" w:rsidRDefault="003B0DEE" w:rsidP="000D5D90">
      <w:pPr>
        <w:pStyle w:val="Caption"/>
        <w:keepNext/>
        <w:spacing w:line="240" w:lineRule="auto"/>
        <w:rPr>
          <w:rFonts w:ascii="Times New Roman" w:hAnsi="Times New Roman"/>
          <w:sz w:val="24"/>
          <w:szCs w:val="24"/>
          <w:lang w:eastAsia="en-US"/>
        </w:rPr>
      </w:pPr>
      <w:r>
        <w:rPr>
          <w:rFonts w:ascii="Times New Roman" w:hAnsi="Times New Roman"/>
          <w:noProof/>
          <w:sz w:val="24"/>
          <w:szCs w:val="24"/>
        </w:rPr>
        <w:drawing>
          <wp:inline distT="0" distB="0" distL="0" distR="0" wp14:anchorId="2A5D395F" wp14:editId="556EBACA">
            <wp:extent cx="4785360" cy="3825240"/>
            <wp:effectExtent l="0" t="0" r="0" b="381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autoSpaceDE w:val="0"/>
        <w:autoSpaceDN w:val="0"/>
        <w:adjustRightInd w:val="0"/>
        <w:spacing w:line="240" w:lineRule="auto"/>
        <w:rPr>
          <w:rFonts w:ascii="Times New Roman" w:hAnsi="Times New Roman"/>
          <w:sz w:val="24"/>
          <w:szCs w:val="24"/>
          <w:lang w:eastAsia="en-US"/>
        </w:rPr>
      </w:pPr>
    </w:p>
    <w:p w:rsidR="003B0DEE" w:rsidRDefault="003B0DEE" w:rsidP="000D5D90">
      <w:pPr>
        <w:spacing w:line="240" w:lineRule="auto"/>
        <w:jc w:val="left"/>
        <w:rPr>
          <w:rFonts w:ascii="Arial" w:hAnsi="Arial" w:cs="Arial"/>
          <w:sz w:val="20"/>
        </w:rPr>
      </w:pPr>
      <w:bookmarkStart w:id="133" w:name="_Toc15332015"/>
      <w:r w:rsidRPr="00E60AE3">
        <w:rPr>
          <w:rFonts w:ascii="Arial" w:hAnsi="Arial" w:cs="Arial"/>
          <w:b/>
          <w:sz w:val="20"/>
        </w:rPr>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11</w:t>
      </w:r>
      <w:r>
        <w:rPr>
          <w:rFonts w:ascii="Arial" w:hAnsi="Arial" w:cs="Arial"/>
          <w:b/>
          <w:sz w:val="20"/>
        </w:rPr>
        <w:fldChar w:fldCharType="end"/>
      </w:r>
      <w:r>
        <w:rPr>
          <w:rFonts w:ascii="Arial" w:hAnsi="Arial" w:cs="Arial"/>
          <w:b/>
          <w:sz w:val="20"/>
        </w:rPr>
        <w:t xml:space="preserve">  </w:t>
      </w:r>
      <w:proofErr w:type="gramStart"/>
      <w:r w:rsidRPr="00E60AE3">
        <w:rPr>
          <w:rFonts w:ascii="Arial" w:hAnsi="Arial" w:cs="Arial"/>
          <w:b/>
          <w:sz w:val="20"/>
        </w:rPr>
        <w:t>Counselling</w:t>
      </w:r>
      <w:proofErr w:type="gramEnd"/>
      <w:r w:rsidRPr="00E60AE3">
        <w:rPr>
          <w:rFonts w:ascii="Arial" w:hAnsi="Arial" w:cs="Arial"/>
          <w:b/>
          <w:sz w:val="20"/>
        </w:rPr>
        <w:t xml:space="preserve"> only modality: </w:t>
      </w:r>
      <w:r w:rsidRPr="00E60AE3">
        <w:rPr>
          <w:rFonts w:ascii="Arial" w:hAnsi="Arial" w:cs="Arial"/>
          <w:sz w:val="20"/>
        </w:rPr>
        <w:t>selected cumulative probabilities for treatment retention</w:t>
      </w:r>
      <w:bookmarkEnd w:id="133"/>
    </w:p>
    <w:p w:rsidR="003B0DEE" w:rsidRPr="00E60AE3" w:rsidRDefault="003B0DEE" w:rsidP="000D5D90">
      <w:pPr>
        <w:spacing w:line="240" w:lineRule="auto"/>
        <w:jc w:val="left"/>
        <w:rPr>
          <w:rFonts w:ascii="Arial" w:hAnsi="Arial" w:cs="Arial"/>
          <w:sz w:val="20"/>
        </w:rPr>
      </w:pPr>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584"/>
        <w:gridCol w:w="1208"/>
        <w:gridCol w:w="1178"/>
        <w:gridCol w:w="1181"/>
        <w:gridCol w:w="1250"/>
        <w:gridCol w:w="1761"/>
        <w:gridCol w:w="1842"/>
      </w:tblGrid>
      <w:tr w:rsidR="003B0DEE" w:rsidRPr="008A0D01" w:rsidTr="000D5D90">
        <w:trPr>
          <w:trHeight w:val="20"/>
        </w:trPr>
        <w:tc>
          <w:tcPr>
            <w:tcW w:w="32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left"/>
              <w:rPr>
                <w:rFonts w:ascii="Arial" w:hAnsi="Arial" w:cs="Arial"/>
                <w:b/>
                <w:bCs/>
                <w:color w:val="000000"/>
                <w:sz w:val="20"/>
                <w:lang w:eastAsia="en-US"/>
              </w:rPr>
            </w:pPr>
            <w:r w:rsidRPr="008A0D01">
              <w:rPr>
                <w:rFonts w:ascii="Arial" w:hAnsi="Arial" w:cs="Arial"/>
                <w:b/>
                <w:bCs/>
                <w:sz w:val="20"/>
                <w:lang w:eastAsia="en-US"/>
              </w:rPr>
              <w:t>Day</w:t>
            </w:r>
          </w:p>
        </w:tc>
        <w:tc>
          <w:tcPr>
            <w:tcW w:w="671"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people entering interval</w:t>
            </w:r>
          </w:p>
        </w:tc>
        <w:tc>
          <w:tcPr>
            <w:tcW w:w="65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censored</w:t>
            </w:r>
          </w:p>
        </w:tc>
        <w:tc>
          <w:tcPr>
            <w:tcW w:w="656"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exposed to risk</w:t>
            </w:r>
          </w:p>
        </w:tc>
        <w:tc>
          <w:tcPr>
            <w:tcW w:w="69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 xml:space="preserve">Number </w:t>
            </w:r>
            <w:r>
              <w:rPr>
                <w:rFonts w:ascii="Arial" w:hAnsi="Arial" w:cs="Arial"/>
                <w:b/>
                <w:bCs/>
                <w:sz w:val="20"/>
                <w:lang w:eastAsia="en-US"/>
              </w:rPr>
              <w:t>dropping out</w:t>
            </w:r>
          </w:p>
        </w:tc>
        <w:tc>
          <w:tcPr>
            <w:tcW w:w="978"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Cumulative proportion remaining in treatment at end of interval (%)</w:t>
            </w:r>
          </w:p>
        </w:tc>
        <w:tc>
          <w:tcPr>
            <w:tcW w:w="1023"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Std. Error of cumulative proportion remaining in treatment at end of interval (%)</w:t>
            </w:r>
          </w:p>
        </w:tc>
      </w:tr>
      <w:tr w:rsidR="003B0DEE" w:rsidRPr="008A0D01" w:rsidTr="000D5D90">
        <w:trPr>
          <w:trHeight w:val="48"/>
        </w:trPr>
        <w:tc>
          <w:tcPr>
            <w:tcW w:w="324" w:type="pct"/>
            <w:tcBorders>
              <w:top w:val="single" w:sz="8" w:space="0" w:color="000000"/>
              <w:left w:val="nil"/>
              <w:right w:val="nil"/>
            </w:tcBorders>
            <w:shd w:val="clear" w:color="auto" w:fill="FFFFFF"/>
          </w:tcPr>
          <w:p w:rsidR="003B0DEE" w:rsidRPr="008A0D01" w:rsidRDefault="003B0DEE" w:rsidP="000D5D90">
            <w:pPr>
              <w:spacing w:line="240" w:lineRule="auto"/>
              <w:jc w:val="left"/>
              <w:rPr>
                <w:rFonts w:ascii="Arial" w:hAnsi="Arial" w:cs="Arial"/>
                <w:b/>
                <w:bCs/>
                <w:color w:val="000000"/>
                <w:sz w:val="20"/>
                <w:lang w:eastAsia="en-US"/>
              </w:rPr>
            </w:pPr>
            <w:r w:rsidRPr="008A0D01">
              <w:rPr>
                <w:rFonts w:ascii="Arial" w:hAnsi="Arial" w:cs="Arial"/>
                <w:b/>
                <w:bCs/>
                <w:color w:val="000000"/>
                <w:sz w:val="20"/>
                <w:lang w:eastAsia="en-US"/>
              </w:rPr>
              <w:t>0</w:t>
            </w:r>
          </w:p>
        </w:tc>
        <w:tc>
          <w:tcPr>
            <w:tcW w:w="671"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2514</w:t>
            </w:r>
          </w:p>
        </w:tc>
        <w:tc>
          <w:tcPr>
            <w:tcW w:w="65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183</w:t>
            </w:r>
          </w:p>
        </w:tc>
        <w:tc>
          <w:tcPr>
            <w:tcW w:w="656"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2423</w:t>
            </w:r>
          </w:p>
        </w:tc>
        <w:tc>
          <w:tcPr>
            <w:tcW w:w="69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296</w:t>
            </w:r>
          </w:p>
        </w:tc>
        <w:tc>
          <w:tcPr>
            <w:tcW w:w="978"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87.8%</w:t>
            </w:r>
          </w:p>
        </w:tc>
        <w:tc>
          <w:tcPr>
            <w:tcW w:w="1023"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0.7%</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jc w:val="left"/>
              <w:rPr>
                <w:rFonts w:ascii="Arial" w:hAnsi="Arial" w:cs="Arial"/>
                <w:b/>
                <w:bCs/>
                <w:color w:val="000000"/>
                <w:sz w:val="20"/>
                <w:lang w:eastAsia="en-US"/>
              </w:rPr>
            </w:pPr>
            <w:r w:rsidRPr="008A0D01">
              <w:rPr>
                <w:rFonts w:ascii="Arial" w:hAnsi="Arial" w:cs="Arial"/>
                <w:b/>
                <w:bCs/>
                <w:color w:val="000000"/>
                <w:sz w:val="20"/>
                <w:lang w:eastAsia="en-US"/>
              </w:rPr>
              <w:t>30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2035</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207</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1932</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249</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76.5%</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0.9%</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jc w:val="left"/>
              <w:rPr>
                <w:rFonts w:ascii="Arial" w:hAnsi="Arial" w:cs="Arial"/>
                <w:b/>
                <w:bCs/>
                <w:color w:val="000000"/>
                <w:sz w:val="20"/>
                <w:lang w:eastAsia="en-US"/>
              </w:rPr>
            </w:pPr>
            <w:r w:rsidRPr="008A0D01">
              <w:rPr>
                <w:rFonts w:ascii="Arial" w:hAnsi="Arial" w:cs="Arial"/>
                <w:b/>
                <w:bCs/>
                <w:color w:val="000000"/>
                <w:sz w:val="20"/>
                <w:lang w:eastAsia="en-US"/>
              </w:rPr>
              <w:t>60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1579</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115</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1522</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172</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67.8%</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jc w:val="left"/>
              <w:rPr>
                <w:rFonts w:ascii="Arial" w:hAnsi="Arial" w:cs="Arial"/>
                <w:b/>
                <w:bCs/>
                <w:color w:val="000000"/>
                <w:sz w:val="20"/>
                <w:lang w:eastAsia="en-US"/>
              </w:rPr>
            </w:pPr>
            <w:r w:rsidRPr="008A0D01">
              <w:rPr>
                <w:rFonts w:ascii="Arial" w:hAnsi="Arial" w:cs="Arial"/>
                <w:b/>
                <w:bCs/>
                <w:color w:val="000000"/>
                <w:sz w:val="20"/>
                <w:lang w:eastAsia="en-US"/>
              </w:rPr>
              <w:t>90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1292</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102</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1241</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154</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59.4%</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1.1%</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120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1036</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154</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959</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53.2%</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150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782</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109</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728</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75</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47.7%</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1.2%</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180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598</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59</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569</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42.7%</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1.2%</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270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327</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24</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315</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24</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32.5%</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1.3%</w:t>
            </w:r>
          </w:p>
        </w:tc>
      </w:tr>
      <w:tr w:rsidR="003B0DEE" w:rsidRPr="008A0D01" w:rsidTr="000D5D90">
        <w:trPr>
          <w:trHeight w:val="92"/>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365</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186</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68</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152</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18.7%</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1.6%</w:t>
            </w:r>
          </w:p>
        </w:tc>
      </w:tr>
      <w:tr w:rsidR="003B0DEE" w:rsidRPr="008A0D01" w:rsidTr="000D5D90">
        <w:trPr>
          <w:trHeight w:val="48"/>
        </w:trPr>
        <w:tc>
          <w:tcPr>
            <w:tcW w:w="324" w:type="pct"/>
            <w:tcBorders>
              <w:top w:val="nil"/>
              <w:bottom w:val="single" w:sz="8" w:space="0" w:color="000000"/>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730</w:t>
            </w:r>
          </w:p>
        </w:tc>
        <w:tc>
          <w:tcPr>
            <w:tcW w:w="671"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44</w:t>
            </w:r>
          </w:p>
        </w:tc>
        <w:tc>
          <w:tcPr>
            <w:tcW w:w="65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23</w:t>
            </w:r>
          </w:p>
        </w:tc>
        <w:tc>
          <w:tcPr>
            <w:tcW w:w="656"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33</w:t>
            </w:r>
          </w:p>
        </w:tc>
        <w:tc>
          <w:tcPr>
            <w:tcW w:w="69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w:t>
            </w:r>
          </w:p>
        </w:tc>
        <w:tc>
          <w:tcPr>
            <w:tcW w:w="978"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13.0%</w:t>
            </w:r>
          </w:p>
        </w:tc>
        <w:tc>
          <w:tcPr>
            <w:tcW w:w="1023"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1.9%</w:t>
            </w:r>
          </w:p>
        </w:tc>
      </w:tr>
    </w:tbl>
    <w:p w:rsidR="003B0DEE" w:rsidRDefault="003B0DEE" w:rsidP="000D5D90">
      <w:pPr>
        <w:spacing w:line="360" w:lineRule="auto"/>
        <w:rPr>
          <w:sz w:val="20"/>
        </w:rPr>
      </w:pPr>
    </w:p>
    <w:p w:rsidR="003B0DEE" w:rsidRPr="00726BB3" w:rsidRDefault="003B0DEE" w:rsidP="000D5D90">
      <w:pPr>
        <w:pStyle w:val="Heading4"/>
        <w:rPr>
          <w:sz w:val="24"/>
        </w:rPr>
      </w:pPr>
      <w:r w:rsidRPr="00726BB3">
        <w:rPr>
          <w:sz w:val="24"/>
        </w:rPr>
        <w:t>Predictors of dropout from counselling only</w:t>
      </w:r>
    </w:p>
    <w:p w:rsidR="003B0DEE" w:rsidRPr="003B4758" w:rsidRDefault="003B0DEE" w:rsidP="000D5D90">
      <w:pPr>
        <w:pStyle w:val="BodyText"/>
        <w:rPr>
          <w:color w:val="FF0000"/>
        </w:rPr>
      </w:pPr>
      <w:r w:rsidRPr="00DF1ECE">
        <w:t xml:space="preserve">Time to </w:t>
      </w:r>
      <w:r>
        <w:t>dropout</w:t>
      </w:r>
      <w:r w:rsidRPr="00DF1ECE">
        <w:t xml:space="preserve"> had a significant univariate association with </w:t>
      </w:r>
      <w:r>
        <w:t>age entering treatment</w:t>
      </w:r>
      <w:r w:rsidRPr="00DF1ECE">
        <w:t xml:space="preserve">, gender, employment status, type of living arrangements, route of opioid </w:t>
      </w:r>
      <w:r>
        <w:t>administration</w:t>
      </w:r>
      <w:r w:rsidRPr="00DF1ECE">
        <w:t xml:space="preserve">, frequency of opioid use in the month prior to entering treatment, additional use of cocaine and other opioids, injecting status, type of </w:t>
      </w:r>
      <w:r w:rsidRPr="002A78BF">
        <w:t xml:space="preserve">treatment setting, referral source and the time lag between first use of opioids and </w:t>
      </w:r>
      <w:r w:rsidRPr="002A78BF">
        <w:lastRenderedPageBreak/>
        <w:t xml:space="preserve">entering </w:t>
      </w:r>
      <w:r w:rsidRPr="007D2A97">
        <w:t>treatment (</w:t>
      </w:r>
      <w:r>
        <w:t>Appendix Table A4-</w:t>
      </w:r>
      <w:r w:rsidRPr="007D2A97">
        <w:t>6).  The multivariable</w:t>
      </w:r>
      <w:r w:rsidRPr="00DF1ECE">
        <w:t xml:space="preserve"> Cox regression model was statistically significant, χ</w:t>
      </w:r>
      <w:r w:rsidRPr="00AC67A9">
        <w:rPr>
          <w:vertAlign w:val="superscript"/>
        </w:rPr>
        <w:t xml:space="preserve">2 </w:t>
      </w:r>
      <w:r w:rsidRPr="00DF1ECE">
        <w:t xml:space="preserve">(18) = 214.812, p&lt;0.001.  When other factors were held constant, </w:t>
      </w:r>
      <w:r>
        <w:t>age at treatment entry</w:t>
      </w:r>
      <w:r w:rsidRPr="00DF1ECE">
        <w:t xml:space="preserve">, employment status, </w:t>
      </w:r>
      <w:r>
        <w:t xml:space="preserve">route of opioid administration, frequency of opioid use in </w:t>
      </w:r>
      <w:r w:rsidRPr="00DF1ECE">
        <w:t xml:space="preserve">the month prior to treatment, and type of treatment setting were associated with time to </w:t>
      </w:r>
      <w:r>
        <w:t>dropout</w:t>
      </w:r>
      <w:r w:rsidRPr="00DF1ECE">
        <w:t xml:space="preserve">.  </w:t>
      </w:r>
      <w:r w:rsidRPr="00F55EDB">
        <w:t xml:space="preserve">There were two protective factors for treatment retention: age at treatment entry (HR=0.985, </w:t>
      </w:r>
      <w:r>
        <w:t>95% CI</w:t>
      </w:r>
      <w:r w:rsidRPr="00F55EDB">
        <w:t xml:space="preserve">=0.977-0.992, p&lt;0.001), and treatment in a prison setting (HR=0.558, </w:t>
      </w:r>
      <w:r>
        <w:t>95% CI</w:t>
      </w:r>
      <w:r w:rsidRPr="00F55EDB">
        <w:t>=0.400-0.778, p=0.001)</w:t>
      </w:r>
      <w:r>
        <w:t>.  Four</w:t>
      </w:r>
      <w:r w:rsidRPr="00F55EDB">
        <w:t xml:space="preserve"> risk factors for treatment </w:t>
      </w:r>
      <w:r>
        <w:t>dropout were identified</w:t>
      </w:r>
      <w:r w:rsidRPr="00F55EDB">
        <w:t xml:space="preserve">:  </w:t>
      </w:r>
      <w:r>
        <w:t xml:space="preserve">being </w:t>
      </w:r>
      <w:r w:rsidRPr="00F55EDB">
        <w:t>unemploy</w:t>
      </w:r>
      <w:r>
        <w:t>ed</w:t>
      </w:r>
      <w:r w:rsidRPr="00F55EDB">
        <w:t xml:space="preserve"> (HR=1.514, </w:t>
      </w:r>
      <w:r>
        <w:t>95% CI</w:t>
      </w:r>
      <w:r w:rsidRPr="00F55EDB">
        <w:t>=1.229-1.865, p</w:t>
      </w:r>
      <w:r>
        <w:t>&lt;</w:t>
      </w:r>
      <w:r w:rsidRPr="00F55EDB">
        <w:t>0.001)</w:t>
      </w:r>
      <w:r>
        <w:t xml:space="preserve">, </w:t>
      </w:r>
      <w:r w:rsidRPr="00F55EDB">
        <w:t xml:space="preserve">smoking opioids (HR=1.229, </w:t>
      </w:r>
      <w:r>
        <w:t>95% CI</w:t>
      </w:r>
      <w:r w:rsidRPr="00F55EDB">
        <w:t>=1.073-1.407, p</w:t>
      </w:r>
      <w:r>
        <w:t>=</w:t>
      </w:r>
      <w:r w:rsidRPr="00F55EDB">
        <w:t>0.00</w:t>
      </w:r>
      <w:r>
        <w:t>3</w:t>
      </w:r>
      <w:r w:rsidRPr="00F55EDB">
        <w:t>)</w:t>
      </w:r>
      <w:r>
        <w:t>,</w:t>
      </w:r>
      <w:r w:rsidRPr="00F55EDB">
        <w:t xml:space="preserve"> consuming opioids orally (HR=1.399, </w:t>
      </w:r>
      <w:r>
        <w:t>95% CI</w:t>
      </w:r>
      <w:r w:rsidRPr="00F55EDB">
        <w:t>=1.148-1.705, p</w:t>
      </w:r>
      <w:r>
        <w:t>=</w:t>
      </w:r>
      <w:r w:rsidRPr="00F55EDB">
        <w:t>0.00</w:t>
      </w:r>
      <w:r>
        <w:t>1</w:t>
      </w:r>
      <w:r w:rsidRPr="00F55EDB">
        <w:t>)</w:t>
      </w:r>
      <w:r>
        <w:t xml:space="preserve">, and receiving treatment in an inpatient setting </w:t>
      </w:r>
      <w:r w:rsidRPr="00F55EDB">
        <w:t xml:space="preserve">(HR=1.479, </w:t>
      </w:r>
      <w:r>
        <w:t>95% CI</w:t>
      </w:r>
      <w:r w:rsidRPr="00F55EDB">
        <w:t>=1.288-1.698, p</w:t>
      </w:r>
      <w:r>
        <w:t>&lt;</w:t>
      </w:r>
      <w:r w:rsidRPr="00F55EDB">
        <w:t>0.00</w:t>
      </w:r>
      <w:r>
        <w:t>1</w:t>
      </w:r>
      <w:r w:rsidRPr="00F55EDB">
        <w:t>)</w:t>
      </w:r>
      <w:r>
        <w:t>.</w:t>
      </w:r>
    </w:p>
    <w:p w:rsidR="003B0DEE" w:rsidRPr="00A61D1D" w:rsidRDefault="003B0DEE" w:rsidP="000D5D90">
      <w:pPr>
        <w:pStyle w:val="Heading3"/>
      </w:pPr>
      <w:bookmarkStart w:id="134" w:name="_Toc15331722"/>
      <w:r>
        <w:t>O</w:t>
      </w:r>
      <w:r w:rsidRPr="009F4816">
        <w:t>ther psychosocial interventions</w:t>
      </w:r>
      <w:r>
        <w:t xml:space="preserve"> </w:t>
      </w:r>
      <w:r w:rsidRPr="004A22C2">
        <w:t>modality</w:t>
      </w:r>
      <w:bookmarkEnd w:id="134"/>
    </w:p>
    <w:p w:rsidR="003B0DEE" w:rsidRDefault="003B0DEE" w:rsidP="000D5D90">
      <w:pPr>
        <w:pStyle w:val="BodyText"/>
      </w:pPr>
      <w:r>
        <w:t>The survival analysis for people in the other psychosocial intervention</w:t>
      </w:r>
      <w:r w:rsidRPr="00BA2996">
        <w:t xml:space="preserve"> modality</w:t>
      </w:r>
      <w:r>
        <w:t xml:space="preserve"> is based upon discharge records for 1,487 people (890 people who dropped out of </w:t>
      </w:r>
      <w:r w:rsidRPr="007D2A97">
        <w:t xml:space="preserve">treatment and 597 people who completed their treatment or were transferred to another treatment provider (i.e. censored records)).  The Kaplan Meier curve for the </w:t>
      </w:r>
      <w:r>
        <w:t>other psychosocial intervention</w:t>
      </w:r>
      <w:r w:rsidRPr="00BA2996">
        <w:t xml:space="preserve"> </w:t>
      </w:r>
      <w:r w:rsidRPr="007D2A97">
        <w:t xml:space="preserve">modality is presented </w:t>
      </w:r>
      <w:r>
        <w:t>in Figure 6-</w:t>
      </w:r>
      <w:r w:rsidRPr="007D2A97">
        <w:t>10.  At 30 days after treatment initiation, the cumulative probability of a person remaining in treatment was 61.6%, after 60 days it was 51.9% and after</w:t>
      </w:r>
      <w:r>
        <w:t xml:space="preserve"> 120 days it was 36.3% (Table 6-</w:t>
      </w:r>
      <w:r w:rsidRPr="007D2A97">
        <w:t>12).</w:t>
      </w:r>
      <w:r>
        <w:t xml:space="preserve">  </w:t>
      </w:r>
    </w:p>
    <w:p w:rsidR="003B0DEE" w:rsidRPr="009F4816" w:rsidRDefault="003B0DEE" w:rsidP="000D5D90">
      <w:pPr>
        <w:autoSpaceDE w:val="0"/>
        <w:autoSpaceDN w:val="0"/>
        <w:adjustRightInd w:val="0"/>
        <w:spacing w:line="240" w:lineRule="auto"/>
        <w:rPr>
          <w:b/>
        </w:rPr>
      </w:pPr>
    </w:p>
    <w:p w:rsidR="003B0DEE" w:rsidRPr="00E60AE3" w:rsidRDefault="003B0DEE" w:rsidP="000D5D90">
      <w:pPr>
        <w:autoSpaceDE w:val="0"/>
        <w:autoSpaceDN w:val="0"/>
        <w:adjustRightInd w:val="0"/>
        <w:spacing w:line="240" w:lineRule="auto"/>
        <w:jc w:val="left"/>
        <w:rPr>
          <w:rFonts w:ascii="Arial" w:hAnsi="Arial" w:cs="Arial"/>
          <w:sz w:val="20"/>
        </w:rPr>
      </w:pPr>
      <w:r>
        <w:rPr>
          <w:rFonts w:ascii="Arial" w:hAnsi="Arial" w:cs="Arial"/>
          <w:b/>
          <w:sz w:val="20"/>
        </w:rPr>
        <w:br w:type="page"/>
      </w:r>
      <w:bookmarkStart w:id="135" w:name="_Toc15331963"/>
      <w:r w:rsidRPr="00E60AE3">
        <w:rPr>
          <w:rFonts w:ascii="Arial" w:hAnsi="Arial" w:cs="Arial"/>
          <w:b/>
          <w:sz w:val="20"/>
        </w:rPr>
        <w:lastRenderedPageBreak/>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10</w:t>
      </w:r>
      <w:r>
        <w:rPr>
          <w:rFonts w:ascii="Arial" w:hAnsi="Arial" w:cs="Arial"/>
          <w:b/>
          <w:sz w:val="20"/>
        </w:rPr>
        <w:fldChar w:fldCharType="end"/>
      </w:r>
      <w:r w:rsidRPr="00E60AE3">
        <w:rPr>
          <w:rFonts w:ascii="Arial" w:hAnsi="Arial" w:cs="Arial"/>
          <w:sz w:val="20"/>
        </w:rPr>
        <w:t xml:space="preserve"> </w:t>
      </w:r>
      <w:r>
        <w:rPr>
          <w:rFonts w:ascii="Arial" w:hAnsi="Arial" w:cs="Arial"/>
          <w:sz w:val="20"/>
        </w:rPr>
        <w:t xml:space="preserve"> </w:t>
      </w:r>
      <w:proofErr w:type="gramStart"/>
      <w:r w:rsidRPr="00E60AE3">
        <w:rPr>
          <w:rFonts w:ascii="Arial" w:hAnsi="Arial" w:cs="Arial"/>
          <w:b/>
          <w:sz w:val="20"/>
        </w:rPr>
        <w:t>Other</w:t>
      </w:r>
      <w:proofErr w:type="gramEnd"/>
      <w:r w:rsidRPr="00E60AE3">
        <w:rPr>
          <w:rFonts w:ascii="Arial" w:hAnsi="Arial" w:cs="Arial"/>
          <w:b/>
          <w:sz w:val="20"/>
        </w:rPr>
        <w:t xml:space="preserve"> psychosocial interventions modality:</w:t>
      </w:r>
      <w:r w:rsidRPr="00E60AE3">
        <w:rPr>
          <w:rFonts w:ascii="Arial" w:hAnsi="Arial" w:cs="Arial"/>
          <w:sz w:val="20"/>
        </w:rPr>
        <w:t xml:space="preserve"> Kaplan Meier plot of the cumulative probability of treatment retention</w:t>
      </w:r>
      <w:bookmarkEnd w:id="135"/>
      <w:r w:rsidRPr="00E60AE3">
        <w:rPr>
          <w:rFonts w:ascii="Arial" w:hAnsi="Arial" w:cs="Arial"/>
          <w:sz w:val="20"/>
        </w:rPr>
        <w:t xml:space="preserve"> </w:t>
      </w:r>
    </w:p>
    <w:p w:rsidR="003B0DEE" w:rsidRDefault="003B0DEE" w:rsidP="000D5D90">
      <w:pPr>
        <w:autoSpaceDE w:val="0"/>
        <w:autoSpaceDN w:val="0"/>
        <w:adjustRightInd w:val="0"/>
        <w:spacing w:line="240" w:lineRule="auto"/>
        <w:rPr>
          <w:rFonts w:ascii="Times New Roman" w:hAnsi="Times New Roman"/>
          <w:sz w:val="24"/>
          <w:szCs w:val="24"/>
          <w:lang w:eastAsia="en-US"/>
        </w:rPr>
      </w:pPr>
      <w:r>
        <w:rPr>
          <w:rFonts w:ascii="Times New Roman" w:hAnsi="Times New Roman"/>
          <w:noProof/>
          <w:sz w:val="24"/>
          <w:szCs w:val="24"/>
        </w:rPr>
        <w:drawing>
          <wp:inline distT="0" distB="0" distL="0" distR="0" wp14:anchorId="1400C9F4" wp14:editId="7D503EB3">
            <wp:extent cx="4785360" cy="3825240"/>
            <wp:effectExtent l="0" t="0" r="0" b="381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spacing w:line="240" w:lineRule="auto"/>
        <w:jc w:val="left"/>
        <w:rPr>
          <w:rFonts w:ascii="Arial" w:hAnsi="Arial" w:cs="Arial"/>
          <w:b/>
          <w:sz w:val="20"/>
        </w:rPr>
      </w:pPr>
    </w:p>
    <w:p w:rsidR="003B0DEE" w:rsidRDefault="003B0DEE" w:rsidP="000D5D90">
      <w:pPr>
        <w:spacing w:line="240" w:lineRule="auto"/>
        <w:jc w:val="left"/>
        <w:rPr>
          <w:sz w:val="20"/>
        </w:rPr>
      </w:pPr>
      <w:bookmarkStart w:id="136" w:name="_Toc15331964"/>
      <w:r w:rsidRPr="00E60AE3">
        <w:rPr>
          <w:rFonts w:ascii="Arial" w:hAnsi="Arial" w:cs="Arial"/>
          <w:b/>
          <w:sz w:val="20"/>
        </w:rPr>
        <w:t xml:space="preserve">Figure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Figure \* ARABIC \s 1 </w:instrText>
      </w:r>
      <w:r>
        <w:rPr>
          <w:rFonts w:ascii="Arial" w:hAnsi="Arial" w:cs="Arial"/>
          <w:b/>
          <w:sz w:val="20"/>
        </w:rPr>
        <w:fldChar w:fldCharType="separate"/>
      </w:r>
      <w:r>
        <w:rPr>
          <w:rFonts w:ascii="Arial" w:hAnsi="Arial" w:cs="Arial"/>
          <w:b/>
          <w:noProof/>
          <w:sz w:val="20"/>
        </w:rPr>
        <w:t>11</w:t>
      </w:r>
      <w:r>
        <w:rPr>
          <w:rFonts w:ascii="Arial" w:hAnsi="Arial" w:cs="Arial"/>
          <w:b/>
          <w:sz w:val="20"/>
        </w:rPr>
        <w:fldChar w:fldCharType="end"/>
      </w:r>
      <w:r>
        <w:rPr>
          <w:rFonts w:ascii="Arial" w:hAnsi="Arial" w:cs="Arial"/>
          <w:sz w:val="20"/>
        </w:rPr>
        <w:t xml:space="preserve">  </w:t>
      </w:r>
      <w:proofErr w:type="gramStart"/>
      <w:r w:rsidRPr="00E60AE3">
        <w:rPr>
          <w:rFonts w:ascii="Arial" w:hAnsi="Arial" w:cs="Arial"/>
          <w:b/>
          <w:sz w:val="20"/>
        </w:rPr>
        <w:t>Other</w:t>
      </w:r>
      <w:proofErr w:type="gramEnd"/>
      <w:r w:rsidRPr="00E60AE3">
        <w:rPr>
          <w:rFonts w:ascii="Arial" w:hAnsi="Arial" w:cs="Arial"/>
          <w:b/>
          <w:sz w:val="20"/>
        </w:rPr>
        <w:t xml:space="preserve"> psychosocial interventions modality:</w:t>
      </w:r>
      <w:r w:rsidRPr="00E60AE3">
        <w:rPr>
          <w:rFonts w:ascii="Arial" w:hAnsi="Arial" w:cs="Arial"/>
          <w:sz w:val="20"/>
        </w:rPr>
        <w:t xml:space="preserve"> Kaplan Meier plot of the cumulative probability of treatment retention within the first year of treatment</w:t>
      </w:r>
      <w:bookmarkEnd w:id="136"/>
      <w:r w:rsidRPr="00E60AE3">
        <w:rPr>
          <w:sz w:val="20"/>
        </w:rPr>
        <w:t xml:space="preserve"> </w:t>
      </w:r>
    </w:p>
    <w:p w:rsidR="003B0DEE" w:rsidRDefault="003B0DEE" w:rsidP="000D5D90">
      <w:pPr>
        <w:spacing w:line="240" w:lineRule="auto"/>
        <w:jc w:val="left"/>
      </w:pPr>
      <w:r>
        <w:rPr>
          <w:rFonts w:ascii="Times New Roman" w:hAnsi="Times New Roman"/>
          <w:noProof/>
          <w:sz w:val="24"/>
          <w:szCs w:val="24"/>
        </w:rPr>
        <w:drawing>
          <wp:inline distT="0" distB="0" distL="0" distR="0" wp14:anchorId="0A82478D" wp14:editId="42FF9CB4">
            <wp:extent cx="4785360" cy="3825240"/>
            <wp:effectExtent l="0" t="0" r="0" b="381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85360" cy="3825240"/>
                    </a:xfrm>
                    <a:prstGeom prst="rect">
                      <a:avLst/>
                    </a:prstGeom>
                    <a:noFill/>
                    <a:ln>
                      <a:noFill/>
                    </a:ln>
                  </pic:spPr>
                </pic:pic>
              </a:graphicData>
            </a:graphic>
          </wp:inline>
        </w:drawing>
      </w:r>
    </w:p>
    <w:p w:rsidR="003B0DEE" w:rsidRDefault="003B0DEE" w:rsidP="000D5D90">
      <w:pPr>
        <w:spacing w:line="240" w:lineRule="auto"/>
      </w:pPr>
    </w:p>
    <w:p w:rsidR="003B0DEE" w:rsidRPr="00E60AE3" w:rsidRDefault="003B0DEE" w:rsidP="000D5D90">
      <w:pPr>
        <w:spacing w:line="240" w:lineRule="auto"/>
        <w:jc w:val="left"/>
        <w:rPr>
          <w:rFonts w:ascii="Arial" w:hAnsi="Arial" w:cs="Arial"/>
          <w:sz w:val="20"/>
        </w:rPr>
      </w:pPr>
      <w:r>
        <w:rPr>
          <w:rFonts w:ascii="Arial" w:hAnsi="Arial" w:cs="Arial"/>
          <w:b/>
          <w:sz w:val="20"/>
        </w:rPr>
        <w:br w:type="page"/>
      </w:r>
      <w:bookmarkStart w:id="137" w:name="_Toc15332016"/>
      <w:r w:rsidRPr="00E60AE3">
        <w:rPr>
          <w:rFonts w:ascii="Arial" w:hAnsi="Arial" w:cs="Arial"/>
          <w:b/>
          <w:sz w:val="20"/>
        </w:rPr>
        <w:lastRenderedPageBreak/>
        <w:t xml:space="preserve">Table </w:t>
      </w:r>
      <w:r>
        <w:rPr>
          <w:rFonts w:ascii="Arial" w:hAnsi="Arial" w:cs="Arial"/>
          <w:b/>
          <w:sz w:val="20"/>
        </w:rPr>
        <w:fldChar w:fldCharType="begin"/>
      </w:r>
      <w:r>
        <w:rPr>
          <w:rFonts w:ascii="Arial" w:hAnsi="Arial" w:cs="Arial"/>
          <w:b/>
          <w:sz w:val="20"/>
        </w:rPr>
        <w:instrText xml:space="preserve"> STYLEREF 1 \s </w:instrText>
      </w:r>
      <w:r>
        <w:rPr>
          <w:rFonts w:ascii="Arial" w:hAnsi="Arial" w:cs="Arial"/>
          <w:b/>
          <w:sz w:val="20"/>
        </w:rPr>
        <w:fldChar w:fldCharType="separate"/>
      </w:r>
      <w:r>
        <w:rPr>
          <w:rFonts w:ascii="Arial" w:hAnsi="Arial" w:cs="Arial"/>
          <w:b/>
          <w:noProof/>
          <w:sz w:val="20"/>
        </w:rPr>
        <w:t>6</w:t>
      </w:r>
      <w:r>
        <w:rPr>
          <w:rFonts w:ascii="Arial" w:hAnsi="Arial" w:cs="Arial"/>
          <w:b/>
          <w:sz w:val="20"/>
        </w:rPr>
        <w:fldChar w:fldCharType="end"/>
      </w:r>
      <w:r>
        <w:rPr>
          <w:rFonts w:ascii="Arial" w:hAnsi="Arial" w:cs="Arial"/>
          <w:b/>
          <w:sz w:val="20"/>
        </w:rPr>
        <w:noBreakHyphen/>
      </w:r>
      <w:r>
        <w:rPr>
          <w:rFonts w:ascii="Arial" w:hAnsi="Arial" w:cs="Arial"/>
          <w:b/>
          <w:sz w:val="20"/>
        </w:rPr>
        <w:fldChar w:fldCharType="begin"/>
      </w:r>
      <w:r>
        <w:rPr>
          <w:rFonts w:ascii="Arial" w:hAnsi="Arial" w:cs="Arial"/>
          <w:b/>
          <w:sz w:val="20"/>
        </w:rPr>
        <w:instrText xml:space="preserve"> SEQ Table \* ARABIC \s 1 </w:instrText>
      </w:r>
      <w:r>
        <w:rPr>
          <w:rFonts w:ascii="Arial" w:hAnsi="Arial" w:cs="Arial"/>
          <w:b/>
          <w:sz w:val="20"/>
        </w:rPr>
        <w:fldChar w:fldCharType="separate"/>
      </w:r>
      <w:r>
        <w:rPr>
          <w:rFonts w:ascii="Arial" w:hAnsi="Arial" w:cs="Arial"/>
          <w:b/>
          <w:noProof/>
          <w:sz w:val="20"/>
        </w:rPr>
        <w:t>12</w:t>
      </w:r>
      <w:r>
        <w:rPr>
          <w:rFonts w:ascii="Arial" w:hAnsi="Arial" w:cs="Arial"/>
          <w:b/>
          <w:sz w:val="20"/>
        </w:rPr>
        <w:fldChar w:fldCharType="end"/>
      </w:r>
      <w:r>
        <w:rPr>
          <w:rFonts w:ascii="Arial" w:hAnsi="Arial" w:cs="Arial"/>
          <w:b/>
          <w:sz w:val="20"/>
        </w:rPr>
        <w:t xml:space="preserve">  </w:t>
      </w:r>
      <w:proofErr w:type="gramStart"/>
      <w:r w:rsidRPr="00E60AE3">
        <w:rPr>
          <w:rFonts w:ascii="Arial" w:hAnsi="Arial" w:cs="Arial"/>
          <w:b/>
          <w:sz w:val="20"/>
        </w:rPr>
        <w:t>Other</w:t>
      </w:r>
      <w:proofErr w:type="gramEnd"/>
      <w:r w:rsidRPr="00E60AE3">
        <w:rPr>
          <w:rFonts w:ascii="Arial" w:hAnsi="Arial" w:cs="Arial"/>
          <w:b/>
          <w:sz w:val="20"/>
        </w:rPr>
        <w:t xml:space="preserve"> psychosocial interventions modality: </w:t>
      </w:r>
      <w:r w:rsidRPr="00E60AE3">
        <w:rPr>
          <w:rFonts w:ascii="Arial" w:hAnsi="Arial" w:cs="Arial"/>
          <w:sz w:val="20"/>
        </w:rPr>
        <w:t>selected cumulative probabilities for treatment retention</w:t>
      </w:r>
      <w:bookmarkEnd w:id="137"/>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584"/>
        <w:gridCol w:w="1208"/>
        <w:gridCol w:w="1178"/>
        <w:gridCol w:w="1181"/>
        <w:gridCol w:w="1250"/>
        <w:gridCol w:w="1761"/>
        <w:gridCol w:w="1842"/>
      </w:tblGrid>
      <w:tr w:rsidR="003B0DEE" w:rsidRPr="008A0D01" w:rsidTr="000D5D90">
        <w:trPr>
          <w:trHeight w:val="20"/>
        </w:trPr>
        <w:tc>
          <w:tcPr>
            <w:tcW w:w="32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left"/>
              <w:rPr>
                <w:rFonts w:ascii="Arial" w:hAnsi="Arial" w:cs="Arial"/>
                <w:b/>
                <w:bCs/>
                <w:color w:val="000000"/>
                <w:sz w:val="20"/>
                <w:lang w:eastAsia="en-US"/>
              </w:rPr>
            </w:pPr>
            <w:r w:rsidRPr="008A0D01">
              <w:rPr>
                <w:rFonts w:ascii="Arial" w:hAnsi="Arial" w:cs="Arial"/>
                <w:b/>
                <w:bCs/>
                <w:sz w:val="20"/>
                <w:lang w:eastAsia="en-US"/>
              </w:rPr>
              <w:t>Day</w:t>
            </w:r>
          </w:p>
        </w:tc>
        <w:tc>
          <w:tcPr>
            <w:tcW w:w="671"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people entering interval</w:t>
            </w:r>
          </w:p>
        </w:tc>
        <w:tc>
          <w:tcPr>
            <w:tcW w:w="65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censored</w:t>
            </w:r>
          </w:p>
        </w:tc>
        <w:tc>
          <w:tcPr>
            <w:tcW w:w="656"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Number exposed to risk</w:t>
            </w:r>
          </w:p>
        </w:tc>
        <w:tc>
          <w:tcPr>
            <w:tcW w:w="694"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 xml:space="preserve">Number </w:t>
            </w:r>
            <w:r>
              <w:rPr>
                <w:rFonts w:ascii="Arial" w:hAnsi="Arial" w:cs="Arial"/>
                <w:b/>
                <w:bCs/>
                <w:sz w:val="20"/>
                <w:lang w:eastAsia="en-US"/>
              </w:rPr>
              <w:t>dropping out</w:t>
            </w:r>
          </w:p>
        </w:tc>
        <w:tc>
          <w:tcPr>
            <w:tcW w:w="978"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Cumulative proportion remaining in treatment at end of interval (%)</w:t>
            </w:r>
          </w:p>
        </w:tc>
        <w:tc>
          <w:tcPr>
            <w:tcW w:w="1023" w:type="pct"/>
            <w:tcBorders>
              <w:top w:val="single" w:sz="8" w:space="0" w:color="000000"/>
              <w:left w:val="nil"/>
              <w:bottom w:val="single" w:sz="8" w:space="0" w:color="000000"/>
              <w:right w:val="nil"/>
            </w:tcBorders>
            <w:shd w:val="clear" w:color="auto" w:fill="FFFFFF"/>
          </w:tcPr>
          <w:p w:rsidR="003B0DEE" w:rsidRPr="008A0D01" w:rsidRDefault="003B0DEE" w:rsidP="000D5D90">
            <w:pPr>
              <w:spacing w:line="360" w:lineRule="auto"/>
              <w:jc w:val="right"/>
              <w:rPr>
                <w:rFonts w:ascii="Arial" w:hAnsi="Arial" w:cs="Arial"/>
                <w:b/>
                <w:bCs/>
                <w:sz w:val="20"/>
                <w:lang w:eastAsia="en-US"/>
              </w:rPr>
            </w:pPr>
            <w:r w:rsidRPr="008A0D01">
              <w:rPr>
                <w:rFonts w:ascii="Arial" w:hAnsi="Arial" w:cs="Arial"/>
                <w:b/>
                <w:bCs/>
                <w:sz w:val="20"/>
                <w:lang w:eastAsia="en-US"/>
              </w:rPr>
              <w:t>Std. Error of cumulative proportion remaining in treatment at end of interval (%)</w:t>
            </w:r>
          </w:p>
        </w:tc>
      </w:tr>
      <w:tr w:rsidR="003B0DEE" w:rsidRPr="008A0D01" w:rsidTr="000D5D90">
        <w:trPr>
          <w:trHeight w:val="48"/>
        </w:trPr>
        <w:tc>
          <w:tcPr>
            <w:tcW w:w="324" w:type="pct"/>
            <w:tcBorders>
              <w:top w:val="single" w:sz="8" w:space="0" w:color="000000"/>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0</w:t>
            </w:r>
          </w:p>
        </w:tc>
        <w:tc>
          <w:tcPr>
            <w:tcW w:w="671"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1487</w:t>
            </w:r>
          </w:p>
        </w:tc>
        <w:tc>
          <w:tcPr>
            <w:tcW w:w="65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206</w:t>
            </w:r>
          </w:p>
        </w:tc>
        <w:tc>
          <w:tcPr>
            <w:tcW w:w="656"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1384</w:t>
            </w:r>
          </w:p>
        </w:tc>
        <w:tc>
          <w:tcPr>
            <w:tcW w:w="694"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333</w:t>
            </w:r>
          </w:p>
        </w:tc>
        <w:tc>
          <w:tcPr>
            <w:tcW w:w="978" w:type="pct"/>
            <w:tcBorders>
              <w:top w:val="single" w:sz="8" w:space="0" w:color="000000"/>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75.9%</w:t>
            </w:r>
          </w:p>
        </w:tc>
        <w:tc>
          <w:tcPr>
            <w:tcW w:w="1023" w:type="pct"/>
            <w:tcBorders>
              <w:top w:val="single" w:sz="8" w:space="0" w:color="000000"/>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948</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117</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890</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168</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61.6%</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1.4%</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60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663</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54</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636</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100</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51.9%</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90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509</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47</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486</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99</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41.3%</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120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363</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54</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336</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41</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36.3%</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150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268</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28</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254</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37</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31.0%</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180</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203</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196</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23</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27.4%</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270</w:t>
            </w:r>
          </w:p>
        </w:tc>
        <w:tc>
          <w:tcPr>
            <w:tcW w:w="671"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110</w:t>
            </w:r>
          </w:p>
        </w:tc>
        <w:tc>
          <w:tcPr>
            <w:tcW w:w="65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7</w:t>
            </w:r>
          </w:p>
        </w:tc>
        <w:tc>
          <w:tcPr>
            <w:tcW w:w="656"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107</w:t>
            </w:r>
          </w:p>
        </w:tc>
        <w:tc>
          <w:tcPr>
            <w:tcW w:w="694"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8</w:t>
            </w:r>
          </w:p>
        </w:tc>
        <w:tc>
          <w:tcPr>
            <w:tcW w:w="978" w:type="pct"/>
            <w:tcBorders>
              <w:top w:val="nil"/>
              <w:bottom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20.2%</w:t>
            </w:r>
          </w:p>
        </w:tc>
        <w:tc>
          <w:tcPr>
            <w:tcW w:w="1023" w:type="pct"/>
            <w:tcBorders>
              <w:top w:val="nil"/>
            </w:tcBorders>
            <w:shd w:val="clear" w:color="auto" w:fill="FFFFFF"/>
            <w:vAlign w:val="center"/>
          </w:tcPr>
          <w:p w:rsidR="003B0DEE" w:rsidRPr="008A0D01" w:rsidRDefault="003B0DEE" w:rsidP="000D5D90">
            <w:pPr>
              <w:spacing w:line="240" w:lineRule="auto"/>
              <w:jc w:val="right"/>
              <w:rPr>
                <w:rFonts w:ascii="Arial" w:hAnsi="Arial" w:cs="Arial"/>
                <w:bCs/>
                <w:color w:val="000000"/>
                <w:sz w:val="20"/>
                <w:lang w:eastAsia="en-US"/>
              </w:rPr>
            </w:pPr>
            <w:r w:rsidRPr="008A0D01">
              <w:rPr>
                <w:rFonts w:ascii="Arial" w:hAnsi="Arial" w:cs="Arial"/>
                <w:color w:val="000000"/>
                <w:sz w:val="20"/>
                <w:lang w:eastAsia="en-US"/>
              </w:rPr>
              <w:t>1.5%</w:t>
            </w:r>
          </w:p>
        </w:tc>
      </w:tr>
      <w:tr w:rsidR="003B0DEE" w:rsidRPr="008A0D01" w:rsidTr="000D5D90">
        <w:trPr>
          <w:trHeight w:val="48"/>
        </w:trPr>
        <w:tc>
          <w:tcPr>
            <w:tcW w:w="324" w:type="pct"/>
            <w:tcBorders>
              <w:top w:val="nil"/>
              <w:left w:val="nil"/>
              <w:right w:val="nil"/>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365</w:t>
            </w:r>
          </w:p>
        </w:tc>
        <w:tc>
          <w:tcPr>
            <w:tcW w:w="671"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61</w:t>
            </w:r>
          </w:p>
        </w:tc>
        <w:tc>
          <w:tcPr>
            <w:tcW w:w="65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20</w:t>
            </w:r>
          </w:p>
        </w:tc>
        <w:tc>
          <w:tcPr>
            <w:tcW w:w="656"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51</w:t>
            </w:r>
          </w:p>
        </w:tc>
        <w:tc>
          <w:tcPr>
            <w:tcW w:w="694"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27</w:t>
            </w:r>
          </w:p>
        </w:tc>
        <w:tc>
          <w:tcPr>
            <w:tcW w:w="978" w:type="pct"/>
            <w:tcBorders>
              <w:top w:val="nil"/>
              <w:left w:val="nil"/>
              <w:bottom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13.5%</w:t>
            </w:r>
          </w:p>
        </w:tc>
        <w:tc>
          <w:tcPr>
            <w:tcW w:w="1023" w:type="pct"/>
            <w:tcBorders>
              <w:top w:val="nil"/>
              <w:left w:val="nil"/>
              <w:right w:val="nil"/>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2.1%</w:t>
            </w:r>
          </w:p>
        </w:tc>
      </w:tr>
      <w:tr w:rsidR="003B0DEE" w:rsidRPr="008A0D01" w:rsidTr="000D5D90">
        <w:trPr>
          <w:trHeight w:val="48"/>
        </w:trPr>
        <w:tc>
          <w:tcPr>
            <w:tcW w:w="324" w:type="pct"/>
            <w:tcBorders>
              <w:top w:val="nil"/>
              <w:bottom w:val="single" w:sz="8" w:space="0" w:color="000000"/>
            </w:tcBorders>
            <w:shd w:val="clear" w:color="auto" w:fill="FFFFFF"/>
          </w:tcPr>
          <w:p w:rsidR="003B0DEE" w:rsidRPr="008A0D01" w:rsidRDefault="003B0DEE" w:rsidP="000D5D90">
            <w:pPr>
              <w:spacing w:line="240" w:lineRule="auto"/>
              <w:rPr>
                <w:rFonts w:ascii="Arial" w:hAnsi="Arial" w:cs="Arial"/>
                <w:b/>
                <w:bCs/>
                <w:color w:val="000000"/>
                <w:sz w:val="20"/>
                <w:lang w:eastAsia="en-US"/>
              </w:rPr>
            </w:pPr>
            <w:r w:rsidRPr="008A0D01">
              <w:rPr>
                <w:rFonts w:ascii="Arial" w:hAnsi="Arial" w:cs="Arial"/>
                <w:b/>
                <w:bCs/>
                <w:color w:val="000000"/>
                <w:sz w:val="20"/>
                <w:lang w:eastAsia="en-US"/>
              </w:rPr>
              <w:t>730</w:t>
            </w:r>
          </w:p>
        </w:tc>
        <w:tc>
          <w:tcPr>
            <w:tcW w:w="671"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14</w:t>
            </w:r>
          </w:p>
        </w:tc>
        <w:tc>
          <w:tcPr>
            <w:tcW w:w="65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7</w:t>
            </w:r>
          </w:p>
        </w:tc>
        <w:tc>
          <w:tcPr>
            <w:tcW w:w="656"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11</w:t>
            </w:r>
          </w:p>
        </w:tc>
        <w:tc>
          <w:tcPr>
            <w:tcW w:w="694"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w:t>
            </w:r>
          </w:p>
        </w:tc>
        <w:tc>
          <w:tcPr>
            <w:tcW w:w="978"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10.9%</w:t>
            </w:r>
          </w:p>
        </w:tc>
        <w:tc>
          <w:tcPr>
            <w:tcW w:w="1023" w:type="pct"/>
            <w:tcBorders>
              <w:top w:val="nil"/>
              <w:bottom w:val="single" w:sz="8" w:space="0" w:color="000000"/>
            </w:tcBorders>
            <w:shd w:val="clear" w:color="auto" w:fill="FFFFFF"/>
            <w:vAlign w:val="center"/>
          </w:tcPr>
          <w:p w:rsidR="003B0DEE" w:rsidRPr="008A0D01" w:rsidRDefault="003B0DEE" w:rsidP="000D5D90">
            <w:pPr>
              <w:spacing w:line="240" w:lineRule="auto"/>
              <w:jc w:val="right"/>
              <w:rPr>
                <w:rFonts w:ascii="Arial" w:hAnsi="Arial" w:cs="Arial"/>
                <w:color w:val="000000"/>
                <w:sz w:val="20"/>
                <w:lang w:eastAsia="en-US"/>
              </w:rPr>
            </w:pPr>
            <w:r w:rsidRPr="008A0D01">
              <w:rPr>
                <w:rFonts w:ascii="Arial" w:hAnsi="Arial" w:cs="Arial"/>
                <w:color w:val="000000"/>
                <w:sz w:val="20"/>
                <w:lang w:eastAsia="en-US"/>
              </w:rPr>
              <w:t>2.4%</w:t>
            </w:r>
          </w:p>
        </w:tc>
      </w:tr>
    </w:tbl>
    <w:p w:rsidR="003B0DEE" w:rsidRDefault="003B0DEE" w:rsidP="000D5D90">
      <w:pPr>
        <w:spacing w:line="360" w:lineRule="auto"/>
        <w:rPr>
          <w:sz w:val="20"/>
        </w:rPr>
      </w:pPr>
    </w:p>
    <w:p w:rsidR="003B0DEE" w:rsidRPr="00726BB3" w:rsidRDefault="003B0DEE" w:rsidP="000D5D90">
      <w:pPr>
        <w:pStyle w:val="Heading4"/>
        <w:rPr>
          <w:sz w:val="24"/>
        </w:rPr>
      </w:pPr>
      <w:r w:rsidRPr="00726BB3">
        <w:rPr>
          <w:sz w:val="24"/>
        </w:rPr>
        <w:t xml:space="preserve">Predictors of dropout from </w:t>
      </w:r>
      <w:r w:rsidRPr="00726BB3">
        <w:t>other psychosocial interventions</w:t>
      </w:r>
    </w:p>
    <w:p w:rsidR="003B0DEE" w:rsidRPr="00F80C3E" w:rsidRDefault="003B0DEE" w:rsidP="000D5D90">
      <w:pPr>
        <w:pStyle w:val="BodyText"/>
      </w:pPr>
      <w:r w:rsidRPr="00F80C3E">
        <w:t xml:space="preserve">Time to </w:t>
      </w:r>
      <w:r>
        <w:t>dropout</w:t>
      </w:r>
      <w:r w:rsidRPr="00F80C3E">
        <w:t xml:space="preserve"> had a significant univariate association with leaving school prior to the age of 16 years, region of residence, the main type of opioid used, route of opioid administration, frequency of opioid use in the month prior to entering treatment, injecting status and injecting at the time </w:t>
      </w:r>
      <w:r w:rsidRPr="007D2A97">
        <w:t>treatment commenced, type of treatment setting, and the year entered treatment (</w:t>
      </w:r>
      <w:r>
        <w:t>Appendix Table A4-</w:t>
      </w:r>
      <w:r w:rsidRPr="007D2A97">
        <w:t>7).</w:t>
      </w:r>
      <w:r w:rsidRPr="00F80C3E">
        <w:t xml:space="preserve">  </w:t>
      </w:r>
    </w:p>
    <w:p w:rsidR="003B0DEE" w:rsidRDefault="003B0DEE" w:rsidP="000D5D90">
      <w:pPr>
        <w:pStyle w:val="BodyText"/>
        <w:rPr>
          <w:color w:val="FF0000"/>
        </w:rPr>
      </w:pPr>
      <w:r w:rsidRPr="00F80C3E">
        <w:t>T</w:t>
      </w:r>
      <w:r>
        <w:t xml:space="preserve">he </w:t>
      </w:r>
      <w:r w:rsidRPr="00F80C3E">
        <w:t>multivariable Cox regression model for the other psychosocial interventions modality was statistically significant, χ</w:t>
      </w:r>
      <w:r w:rsidRPr="00AC67A9">
        <w:rPr>
          <w:vertAlign w:val="superscript"/>
        </w:rPr>
        <w:t xml:space="preserve">2 </w:t>
      </w:r>
      <w:r w:rsidRPr="00F80C3E">
        <w:t>(18) = 106.864, p&lt;0.001.  When other factors were held constan</w:t>
      </w:r>
      <w:r w:rsidRPr="00334FC1">
        <w:t xml:space="preserve">t </w:t>
      </w:r>
      <w:r>
        <w:t xml:space="preserve">the factors </w:t>
      </w:r>
      <w:r w:rsidRPr="00F80C3E">
        <w:t xml:space="preserve">associated with time to </w:t>
      </w:r>
      <w:r>
        <w:t>dropout</w:t>
      </w:r>
      <w:r w:rsidRPr="00F80C3E">
        <w:t xml:space="preserve"> </w:t>
      </w:r>
      <w:r>
        <w:t xml:space="preserve">were,  </w:t>
      </w:r>
      <w:r w:rsidRPr="00F80C3E">
        <w:t>leaving school prior to the age of 16 years, region of residence, frequency of opioid use in the month prior to entering treatment</w:t>
      </w:r>
      <w:r>
        <w:t>,</w:t>
      </w:r>
      <w:r w:rsidRPr="00F80C3E">
        <w:t xml:space="preserve"> injecting at the time treatment commenced, type of treatment setting, and the year entered treatment.  </w:t>
      </w:r>
      <w:r w:rsidRPr="00FE16EA">
        <w:t xml:space="preserve">There were three protective factors for treatment retention: remaining in school until at least 16 years of age (HR=0.803, </w:t>
      </w:r>
      <w:r>
        <w:t>95% CI</w:t>
      </w:r>
      <w:r w:rsidRPr="00FE16EA">
        <w:t xml:space="preserve">=0.69-0.935, p=0.005), treatment in a low threshold (HR=0.752, </w:t>
      </w:r>
      <w:r>
        <w:t>95% CI</w:t>
      </w:r>
      <w:r w:rsidRPr="00FE16EA">
        <w:t>=0.622-0.908, p=0.00</w:t>
      </w:r>
      <w:r>
        <w:t xml:space="preserve">3) </w:t>
      </w:r>
      <w:r w:rsidRPr="00FE16EA">
        <w:t xml:space="preserve">or prison setting (HR=0.584, </w:t>
      </w:r>
      <w:r>
        <w:t>95% CI</w:t>
      </w:r>
      <w:r w:rsidRPr="00FE16EA">
        <w:t>=0.361-0.943, p=0.028)</w:t>
      </w:r>
      <w:r>
        <w:t>, and commencing treatment in more recent years (e.g. 2015:</w:t>
      </w:r>
      <w:r w:rsidRPr="00FE16EA">
        <w:t xml:space="preserve"> HR=</w:t>
      </w:r>
      <w:r>
        <w:t>0.505</w:t>
      </w:r>
      <w:r w:rsidRPr="00FE16EA">
        <w:t xml:space="preserve">, </w:t>
      </w:r>
      <w:r>
        <w:t>95% CI</w:t>
      </w:r>
      <w:r w:rsidRPr="00FE16EA">
        <w:t>=0.3</w:t>
      </w:r>
      <w:r>
        <w:t>70</w:t>
      </w:r>
      <w:r w:rsidRPr="00FE16EA">
        <w:t>-0.</w:t>
      </w:r>
      <w:r>
        <w:t>689</w:t>
      </w:r>
      <w:r w:rsidRPr="00FE16EA">
        <w:t>, p</w:t>
      </w:r>
      <w:r>
        <w:t>&lt;0.001)</w:t>
      </w:r>
      <w:r w:rsidRPr="00FE16EA">
        <w:t xml:space="preserve">.  Three risk factors for treatment </w:t>
      </w:r>
      <w:r>
        <w:t>dropout</w:t>
      </w:r>
      <w:r w:rsidRPr="00FE16EA">
        <w:t xml:space="preserve"> were identified:  residing in Dublin (HR=1.279, </w:t>
      </w:r>
      <w:r>
        <w:t>95% CI</w:t>
      </w:r>
      <w:r w:rsidRPr="00FE16EA">
        <w:t xml:space="preserve">=1.061-1.543, p=0.01), frequent use of opioids in the month prior to treatment (daily use: HR=1.453, </w:t>
      </w:r>
      <w:r>
        <w:t>95% CI</w:t>
      </w:r>
      <w:r w:rsidRPr="00FE16EA">
        <w:t xml:space="preserve">=1.172-1.801, p=0.001, use 2-6 days per week: HR=1.424, </w:t>
      </w:r>
      <w:r>
        <w:t>95% CI</w:t>
      </w:r>
      <w:r w:rsidRPr="00FE16EA">
        <w:t>=1.101-1.841, p=0.007),</w:t>
      </w:r>
      <w:r w:rsidRPr="004C02A8">
        <w:t xml:space="preserve"> and not injecting at the point of treatment entry (HR=1.311, </w:t>
      </w:r>
      <w:r>
        <w:t>95% CI</w:t>
      </w:r>
      <w:r w:rsidRPr="004C02A8">
        <w:t>=1.082-1.588, p&lt;0.006).</w:t>
      </w:r>
      <w:r>
        <w:t xml:space="preserve">  Age at treatment entry was not a significant factor.  </w:t>
      </w:r>
    </w:p>
    <w:p w:rsidR="003B0DEE" w:rsidRPr="00524F43" w:rsidRDefault="003B0DEE" w:rsidP="000D5D90">
      <w:pPr>
        <w:pStyle w:val="Heading2"/>
      </w:pPr>
      <w:bookmarkStart w:id="138" w:name="_Toc15331723"/>
      <w:r w:rsidRPr="00524F43">
        <w:t>Discussion of results</w:t>
      </w:r>
      <w:bookmarkEnd w:id="138"/>
      <w:r w:rsidRPr="00524F43">
        <w:t xml:space="preserve"> </w:t>
      </w:r>
    </w:p>
    <w:p w:rsidR="003B0DEE" w:rsidRDefault="003B0DEE" w:rsidP="000D5D90">
      <w:pPr>
        <w:pStyle w:val="BodyText"/>
      </w:pPr>
      <w:r w:rsidRPr="00EE5C4E">
        <w:t xml:space="preserve">This </w:t>
      </w:r>
      <w:r>
        <w:t xml:space="preserve">component of the study </w:t>
      </w:r>
      <w:r w:rsidRPr="00EE5C4E">
        <w:t xml:space="preserve">is the first national analysis of treatment discharge data for Ireland. </w:t>
      </w:r>
      <w:r>
        <w:t xml:space="preserve"> </w:t>
      </w:r>
      <w:r w:rsidRPr="00EE5C4E">
        <w:t xml:space="preserve">Although treatment discharge data has been collected on a nationwide basis since 2009, the dataset has never been </w:t>
      </w:r>
      <w:r w:rsidRPr="0037630E">
        <w:rPr>
          <w:lang w:val="en-IE"/>
        </w:rPr>
        <w:t>analysed</w:t>
      </w:r>
      <w:r w:rsidRPr="00EE5C4E">
        <w:t>.</w:t>
      </w:r>
      <w:r>
        <w:t xml:space="preserve">  Opioid</w:t>
      </w:r>
      <w:r w:rsidRPr="00C91A9C">
        <w:t xml:space="preserve"> addiction is largely considered </w:t>
      </w:r>
      <w:r>
        <w:t>to be a</w:t>
      </w:r>
      <w:r w:rsidRPr="00C91A9C">
        <w:t xml:space="preserve"> chronic relapsing </w:t>
      </w:r>
      <w:r>
        <w:lastRenderedPageBreak/>
        <w:t xml:space="preserve">condition, </w:t>
      </w:r>
      <w:r w:rsidRPr="00C91A9C">
        <w:t xml:space="preserve">most effectively managed </w:t>
      </w:r>
      <w:r>
        <w:t xml:space="preserve">through </w:t>
      </w:r>
      <w:r w:rsidRPr="00C91A9C">
        <w:t xml:space="preserve">a </w:t>
      </w:r>
      <w:r>
        <w:t xml:space="preserve">model of </w:t>
      </w:r>
      <w:r w:rsidRPr="00C91A9C">
        <w:t xml:space="preserve">continuum </w:t>
      </w:r>
      <w:r>
        <w:t xml:space="preserve">of </w:t>
      </w:r>
      <w:r w:rsidRPr="00C91A9C">
        <w:t>care</w:t>
      </w:r>
      <w:r>
        <w:t xml:space="preserve"> </w:t>
      </w:r>
      <w:r>
        <w:rPr>
          <w:noProof/>
        </w:rPr>
        <w:t>(Dennis &amp; Scott 2007, American Psychiatric Association 2013)</w:t>
      </w:r>
      <w:r>
        <w:t xml:space="preserve">.  </w:t>
      </w:r>
      <w:r w:rsidRPr="00F0062D">
        <w:t xml:space="preserve">Although </w:t>
      </w:r>
      <w:r>
        <w:t xml:space="preserve">continued abstinence has in the past been  considered </w:t>
      </w:r>
      <w:r w:rsidRPr="00F0062D">
        <w:t xml:space="preserve">the “gold standard” successful outcome </w:t>
      </w:r>
      <w:r>
        <w:rPr>
          <w:noProof/>
        </w:rPr>
        <w:t>(Stahler</w:t>
      </w:r>
      <w:r w:rsidRPr="00791A95">
        <w:rPr>
          <w:i/>
          <w:noProof/>
        </w:rPr>
        <w:t xml:space="preserve"> et al.</w:t>
      </w:r>
      <w:r>
        <w:rPr>
          <w:noProof/>
        </w:rPr>
        <w:t xml:space="preserve"> 2016)</w:t>
      </w:r>
      <w:r>
        <w:t>, the</w:t>
      </w:r>
      <w:r w:rsidRPr="00191F93">
        <w:t xml:space="preserve"> </w:t>
      </w:r>
      <w:r w:rsidRPr="00F0062D">
        <w:t>completion of</w:t>
      </w:r>
      <w:r>
        <w:t xml:space="preserve"> </w:t>
      </w:r>
      <w:r w:rsidRPr="00C91A9C">
        <w:t xml:space="preserve">specific </w:t>
      </w:r>
      <w:r w:rsidRPr="00F0062D">
        <w:t>treatment</w:t>
      </w:r>
      <w:r>
        <w:t xml:space="preserve"> </w:t>
      </w:r>
      <w:r w:rsidRPr="00C91A9C">
        <w:t xml:space="preserve">episodes </w:t>
      </w:r>
      <w:r>
        <w:t xml:space="preserve">are an </w:t>
      </w:r>
      <w:r w:rsidRPr="00F0062D">
        <w:t>important therapeutic goal</w:t>
      </w:r>
      <w:r>
        <w:t>,</w:t>
      </w:r>
      <w:r w:rsidRPr="00F0062D">
        <w:t xml:space="preserve"> </w:t>
      </w:r>
      <w:r>
        <w:t>are</w:t>
      </w:r>
      <w:r w:rsidRPr="00F0062D">
        <w:t xml:space="preserve"> key indicator</w:t>
      </w:r>
      <w:r>
        <w:t>s</w:t>
      </w:r>
      <w:r w:rsidRPr="00C91A9C">
        <w:t xml:space="preserve"> of treatment compliance</w:t>
      </w:r>
      <w:r>
        <w:t>,</w:t>
      </w:r>
      <w:r w:rsidRPr="00C91A9C">
        <w:t xml:space="preserve"> and </w:t>
      </w:r>
      <w:r w:rsidRPr="003C5BD8">
        <w:t xml:space="preserve">a robust predictor </w:t>
      </w:r>
      <w:r>
        <w:t xml:space="preserve">of </w:t>
      </w:r>
      <w:r w:rsidRPr="00C91A9C">
        <w:t xml:space="preserve">positive </w:t>
      </w:r>
      <w:r w:rsidRPr="003C5BD8">
        <w:t>post-</w:t>
      </w:r>
      <w:r w:rsidRPr="00C91A9C">
        <w:t>outcomes</w:t>
      </w:r>
      <w:r>
        <w:t xml:space="preserve"> </w:t>
      </w:r>
      <w:r>
        <w:rPr>
          <w:noProof/>
        </w:rPr>
        <w:t>(Brorson</w:t>
      </w:r>
      <w:r w:rsidRPr="00791A95">
        <w:rPr>
          <w:i/>
          <w:noProof/>
        </w:rPr>
        <w:t xml:space="preserve"> et al.</w:t>
      </w:r>
      <w:r>
        <w:rPr>
          <w:noProof/>
        </w:rPr>
        <w:t xml:space="preserve"> 2013, Stahler</w:t>
      </w:r>
      <w:r w:rsidRPr="00791A95">
        <w:rPr>
          <w:i/>
          <w:noProof/>
        </w:rPr>
        <w:t xml:space="preserve"> et al.</w:t>
      </w:r>
      <w:r>
        <w:rPr>
          <w:noProof/>
        </w:rPr>
        <w:t xml:space="preserve"> 2016)</w:t>
      </w:r>
      <w:r w:rsidRPr="00C91A9C">
        <w:t>.</w:t>
      </w:r>
      <w:r>
        <w:t xml:space="preserve">  It is essential </w:t>
      </w:r>
      <w:r w:rsidRPr="00C91A9C">
        <w:t>to recogni</w:t>
      </w:r>
      <w:r>
        <w:t>s</w:t>
      </w:r>
      <w:r w:rsidRPr="00C91A9C">
        <w:t>e the</w:t>
      </w:r>
      <w:r>
        <w:t xml:space="preserve"> </w:t>
      </w:r>
      <w:r w:rsidRPr="00C91A9C">
        <w:t xml:space="preserve">importance of </w:t>
      </w:r>
      <w:r>
        <w:t xml:space="preserve">treatment retention and </w:t>
      </w:r>
      <w:r w:rsidRPr="00C91A9C">
        <w:t>completion for specific episodes of care</w:t>
      </w:r>
      <w:r>
        <w:t xml:space="preserve"> </w:t>
      </w:r>
      <w:r>
        <w:rPr>
          <w:noProof/>
        </w:rPr>
        <w:t>(Brorson</w:t>
      </w:r>
      <w:r w:rsidRPr="00791A95">
        <w:rPr>
          <w:i/>
          <w:noProof/>
        </w:rPr>
        <w:t xml:space="preserve"> et al.</w:t>
      </w:r>
      <w:r>
        <w:rPr>
          <w:noProof/>
        </w:rPr>
        <w:t xml:space="preserve"> 2013, Mennis &amp; Stahler 2016)</w:t>
      </w:r>
      <w:r>
        <w:t xml:space="preserve"> because treatment completion</w:t>
      </w:r>
      <w:r w:rsidRPr="00C91A9C">
        <w:t xml:space="preserve"> is a critical</w:t>
      </w:r>
      <w:r>
        <w:t xml:space="preserve"> </w:t>
      </w:r>
      <w:r w:rsidRPr="00C91A9C">
        <w:t>indicator of positive post-treatment outcomes</w:t>
      </w:r>
      <w:r>
        <w:t>, not only among opioid treatments, but</w:t>
      </w:r>
      <w:r w:rsidRPr="00C91A9C">
        <w:t xml:space="preserve"> for all client</w:t>
      </w:r>
      <w:r>
        <w:t xml:space="preserve"> </w:t>
      </w:r>
      <w:r w:rsidRPr="00C91A9C">
        <w:t xml:space="preserve">groups </w:t>
      </w:r>
      <w:r>
        <w:rPr>
          <w:noProof/>
        </w:rPr>
        <w:t>(Dalsbø</w:t>
      </w:r>
      <w:r w:rsidRPr="00791A95">
        <w:rPr>
          <w:i/>
          <w:noProof/>
        </w:rPr>
        <w:t xml:space="preserve"> et al.</w:t>
      </w:r>
      <w:r>
        <w:rPr>
          <w:noProof/>
        </w:rPr>
        <w:t xml:space="preserve"> 2010, Brorson</w:t>
      </w:r>
      <w:r w:rsidRPr="00791A95">
        <w:rPr>
          <w:i/>
          <w:noProof/>
        </w:rPr>
        <w:t xml:space="preserve"> et al.</w:t>
      </w:r>
      <w:r>
        <w:rPr>
          <w:noProof/>
        </w:rPr>
        <w:t xml:space="preserve"> 2013)</w:t>
      </w:r>
      <w:r w:rsidRPr="00C91A9C">
        <w:t>.</w:t>
      </w:r>
      <w:r>
        <w:t xml:space="preserve">  Several studies indicate that when c</w:t>
      </w:r>
      <w:r w:rsidRPr="00C91A9C">
        <w:t>ompared to non</w:t>
      </w:r>
      <w:r>
        <w:t>-</w:t>
      </w:r>
      <w:r w:rsidRPr="00C91A9C">
        <w:t>completers,</w:t>
      </w:r>
      <w:r>
        <w:t xml:space="preserve"> </w:t>
      </w:r>
      <w:r w:rsidRPr="00C91A9C">
        <w:t>those who complete treatment are more</w:t>
      </w:r>
      <w:r>
        <w:t xml:space="preserve"> </w:t>
      </w:r>
      <w:r w:rsidRPr="00C91A9C">
        <w:t xml:space="preserve">likely to remain abstinent, have fewer relapses, fewer </w:t>
      </w:r>
      <w:r>
        <w:t xml:space="preserve">treatment </w:t>
      </w:r>
      <w:r w:rsidRPr="00C91A9C">
        <w:t>readmissions,</w:t>
      </w:r>
      <w:r>
        <w:t xml:space="preserve"> </w:t>
      </w:r>
      <w:r w:rsidRPr="00C91A9C">
        <w:t xml:space="preserve">less involvement </w:t>
      </w:r>
      <w:r>
        <w:t>in</w:t>
      </w:r>
      <w:r w:rsidRPr="00C91A9C">
        <w:t xml:space="preserve"> crim</w:t>
      </w:r>
      <w:r>
        <w:t>e</w:t>
      </w:r>
      <w:r w:rsidRPr="00C91A9C">
        <w:t>, better h</w:t>
      </w:r>
      <w:r>
        <w:t xml:space="preserve">ealth, and </w:t>
      </w:r>
      <w:r w:rsidRPr="00C91A9C">
        <w:t xml:space="preserve">higher </w:t>
      </w:r>
      <w:r>
        <w:t>rates</w:t>
      </w:r>
      <w:r w:rsidRPr="00C91A9C">
        <w:t xml:space="preserve"> of employment</w:t>
      </w:r>
      <w:r>
        <w:t xml:space="preserve"> </w:t>
      </w:r>
      <w:r w:rsidRPr="00C91A9C">
        <w:t xml:space="preserve">and </w:t>
      </w:r>
      <w:r>
        <w:t xml:space="preserve">income </w:t>
      </w:r>
      <w:r>
        <w:rPr>
          <w:noProof/>
        </w:rPr>
        <w:t>(Stark 1992, Moos</w:t>
      </w:r>
      <w:r w:rsidRPr="00791A95">
        <w:rPr>
          <w:i/>
          <w:noProof/>
        </w:rPr>
        <w:t xml:space="preserve"> et al.</w:t>
      </w:r>
      <w:r>
        <w:rPr>
          <w:noProof/>
        </w:rPr>
        <w:t xml:space="preserve"> 1995, Alterman</w:t>
      </w:r>
      <w:r w:rsidRPr="00791A95">
        <w:rPr>
          <w:i/>
          <w:noProof/>
        </w:rPr>
        <w:t xml:space="preserve"> et al.</w:t>
      </w:r>
      <w:r>
        <w:rPr>
          <w:noProof/>
        </w:rPr>
        <w:t xml:space="preserve"> 1996, Brewer</w:t>
      </w:r>
      <w:r w:rsidRPr="00791A95">
        <w:rPr>
          <w:i/>
          <w:noProof/>
        </w:rPr>
        <w:t xml:space="preserve"> et al.</w:t>
      </w:r>
      <w:r>
        <w:rPr>
          <w:noProof/>
        </w:rPr>
        <w:t xml:space="preserve"> 1998, Messina</w:t>
      </w:r>
      <w:r w:rsidRPr="00791A95">
        <w:rPr>
          <w:i/>
          <w:noProof/>
        </w:rPr>
        <w:t xml:space="preserve"> et al.</w:t>
      </w:r>
      <w:r>
        <w:rPr>
          <w:noProof/>
        </w:rPr>
        <w:t xml:space="preserve"> 2000, Zarkin</w:t>
      </w:r>
      <w:r w:rsidRPr="00791A95">
        <w:rPr>
          <w:i/>
          <w:noProof/>
        </w:rPr>
        <w:t xml:space="preserve"> et al.</w:t>
      </w:r>
      <w:r>
        <w:rPr>
          <w:noProof/>
        </w:rPr>
        <w:t xml:space="preserve"> 2002, The TOPPS-II Interstate Cooperative Study Group 2003, Kleber</w:t>
      </w:r>
      <w:r w:rsidRPr="00791A95">
        <w:rPr>
          <w:i/>
          <w:noProof/>
        </w:rPr>
        <w:t xml:space="preserve"> et al.</w:t>
      </w:r>
      <w:r>
        <w:rPr>
          <w:noProof/>
        </w:rPr>
        <w:t xml:space="preserve"> 2007, Evans</w:t>
      </w:r>
      <w:r w:rsidRPr="00791A95">
        <w:rPr>
          <w:i/>
          <w:noProof/>
        </w:rPr>
        <w:t xml:space="preserve"> et al.</w:t>
      </w:r>
      <w:r>
        <w:rPr>
          <w:noProof/>
        </w:rPr>
        <w:t xml:space="preserve"> 2009, Garnick</w:t>
      </w:r>
      <w:r w:rsidRPr="00791A95">
        <w:rPr>
          <w:i/>
          <w:noProof/>
        </w:rPr>
        <w:t xml:space="preserve"> et al.</w:t>
      </w:r>
      <w:r>
        <w:rPr>
          <w:noProof/>
        </w:rPr>
        <w:t xml:space="preserve"> 2009, Brorson</w:t>
      </w:r>
      <w:r w:rsidRPr="00791A95">
        <w:rPr>
          <w:i/>
          <w:noProof/>
        </w:rPr>
        <w:t xml:space="preserve"> et al.</w:t>
      </w:r>
      <w:r>
        <w:rPr>
          <w:noProof/>
        </w:rPr>
        <w:t xml:space="preserve"> 2013)</w:t>
      </w:r>
      <w:r>
        <w:t xml:space="preserve">.  </w:t>
      </w:r>
      <w:r w:rsidRPr="00A50B7E">
        <w:t xml:space="preserve">In addition, treatment </w:t>
      </w:r>
      <w:r>
        <w:t>dropout</w:t>
      </w:r>
      <w:r w:rsidRPr="00A50B7E">
        <w:t xml:space="preserve"> has been documented as costly to society as it undermines treatment effectiveness</w:t>
      </w:r>
      <w:r>
        <w:t xml:space="preserve"> </w:t>
      </w:r>
      <w:r>
        <w:rPr>
          <w:noProof/>
        </w:rPr>
        <w:t>(Simpson 1979)</w:t>
      </w:r>
      <w:r w:rsidRPr="00A50B7E">
        <w:t xml:space="preserve"> and contributes to crime and </w:t>
      </w:r>
      <w:r>
        <w:t xml:space="preserve">the </w:t>
      </w:r>
      <w:r w:rsidRPr="00A50B7E">
        <w:t>spread</w:t>
      </w:r>
      <w:r>
        <w:t xml:space="preserve"> of</w:t>
      </w:r>
      <w:r w:rsidRPr="00A50B7E">
        <w:t xml:space="preserve"> HIV </w:t>
      </w:r>
      <w:r>
        <w:rPr>
          <w:noProof/>
        </w:rPr>
        <w:t>(United Nations Office on Drugs and Crime 2012)</w:t>
      </w:r>
      <w:r w:rsidRPr="00A50B7E">
        <w:t>.</w:t>
      </w:r>
      <w:r>
        <w:t xml:space="preserve">  </w:t>
      </w:r>
    </w:p>
    <w:p w:rsidR="003B0DEE" w:rsidRPr="009C37EF" w:rsidRDefault="003B0DEE" w:rsidP="000D5D90">
      <w:pPr>
        <w:pStyle w:val="BodyText"/>
      </w:pPr>
      <w:r w:rsidRPr="00607994">
        <w:t xml:space="preserve">In general, treatment compliance for </w:t>
      </w:r>
      <w:r>
        <w:t xml:space="preserve">problem </w:t>
      </w:r>
      <w:r w:rsidRPr="00607994">
        <w:t xml:space="preserve">drug </w:t>
      </w:r>
      <w:r>
        <w:t>use</w:t>
      </w:r>
      <w:r w:rsidRPr="00607994">
        <w:t xml:space="preserve"> is poor</w:t>
      </w:r>
      <w:r>
        <w:t xml:space="preserve"> </w:t>
      </w:r>
      <w:r>
        <w:rPr>
          <w:noProof/>
        </w:rPr>
        <w:t>(Brorson</w:t>
      </w:r>
      <w:r w:rsidRPr="00791A95">
        <w:rPr>
          <w:i/>
          <w:noProof/>
        </w:rPr>
        <w:t xml:space="preserve"> et al.</w:t>
      </w:r>
      <w:r>
        <w:rPr>
          <w:noProof/>
        </w:rPr>
        <w:t xml:space="preserve"> 2013)</w:t>
      </w:r>
      <w:r w:rsidRPr="00607994">
        <w:t>,</w:t>
      </w:r>
      <w:r>
        <w:t xml:space="preserve"> and as i</w:t>
      </w:r>
      <w:r w:rsidRPr="003C5BD8">
        <w:t xml:space="preserve">t is more common for a patient to </w:t>
      </w:r>
      <w:r>
        <w:t>dropout</w:t>
      </w:r>
      <w:r w:rsidRPr="003C5BD8">
        <w:t xml:space="preserve"> than to complete </w:t>
      </w:r>
      <w:r>
        <w:t xml:space="preserve">the treatment, it is important to identify </w:t>
      </w:r>
      <w:r w:rsidRPr="003C5BD8">
        <w:t xml:space="preserve">risk factors </w:t>
      </w:r>
      <w:r>
        <w:t xml:space="preserve">to </w:t>
      </w:r>
      <w:r w:rsidRPr="003C5BD8">
        <w:t xml:space="preserve">prevent </w:t>
      </w:r>
      <w:r>
        <w:t xml:space="preserve">dropout.  </w:t>
      </w:r>
      <w:r w:rsidRPr="009C37EF">
        <w:t xml:space="preserve">A key indicator of success in opioid maintenance treatment is retention </w:t>
      </w:r>
      <w:r>
        <w:rPr>
          <w:noProof/>
        </w:rPr>
        <w:t>(Ball &amp; Ross 1991, Zhang</w:t>
      </w:r>
      <w:r w:rsidRPr="00791A95">
        <w:rPr>
          <w:i/>
          <w:noProof/>
        </w:rPr>
        <w:t xml:space="preserve"> et al.</w:t>
      </w:r>
      <w:r>
        <w:rPr>
          <w:noProof/>
        </w:rPr>
        <w:t xml:space="preserve"> 2003, Bell</w:t>
      </w:r>
      <w:r w:rsidRPr="00791A95">
        <w:rPr>
          <w:i/>
          <w:noProof/>
        </w:rPr>
        <w:t xml:space="preserve"> et al.</w:t>
      </w:r>
      <w:r>
        <w:rPr>
          <w:noProof/>
        </w:rPr>
        <w:t xml:space="preserve"> 2006, Judson</w:t>
      </w:r>
      <w:r w:rsidRPr="00791A95">
        <w:rPr>
          <w:i/>
          <w:noProof/>
        </w:rPr>
        <w:t xml:space="preserve"> et al.</w:t>
      </w:r>
      <w:r>
        <w:rPr>
          <w:noProof/>
        </w:rPr>
        <w:t xml:space="preserve"> 2010)</w:t>
      </w:r>
      <w:r w:rsidRPr="009C37EF">
        <w:t xml:space="preserve">, and </w:t>
      </w:r>
      <w:r>
        <w:t>a</w:t>
      </w:r>
      <w:r w:rsidRPr="00607994">
        <w:t xml:space="preserve">lthough retention rates are normally higher in opioid maintenance treatment than in other forms of substance use treatment, </w:t>
      </w:r>
      <w:r w:rsidRPr="009C37EF">
        <w:t>adequate long-term treatment adherence, both medical and psychosocial, is essential for therapeutic benefits to accrue</w:t>
      </w:r>
      <w:r>
        <w:t xml:space="preserve"> </w:t>
      </w:r>
      <w:r>
        <w:rPr>
          <w:noProof/>
        </w:rPr>
        <w:t>(Brorson</w:t>
      </w:r>
      <w:r w:rsidRPr="00791A95">
        <w:rPr>
          <w:i/>
          <w:noProof/>
        </w:rPr>
        <w:t xml:space="preserve"> et al.</w:t>
      </w:r>
      <w:r>
        <w:rPr>
          <w:noProof/>
        </w:rPr>
        <w:t xml:space="preserve"> 2013)</w:t>
      </w:r>
      <w:r w:rsidRPr="009C37EF">
        <w:t xml:space="preserve">.  </w:t>
      </w:r>
      <w:r>
        <w:t xml:space="preserve">Demographic factors associated with treatment dropout have been previously studied; however little has been done to investigate when dropout is likely to occur, </w:t>
      </w:r>
      <w:r w:rsidRPr="009C37EF">
        <w:t>for whom,</w:t>
      </w:r>
      <w:r w:rsidRPr="003C5BD8">
        <w:t xml:space="preserve"> and under what conditions</w:t>
      </w:r>
      <w:r>
        <w:t xml:space="preserve"> </w:t>
      </w:r>
      <w:r>
        <w:rPr>
          <w:noProof/>
        </w:rPr>
        <w:t>(Brorson</w:t>
      </w:r>
      <w:r w:rsidRPr="00791A95">
        <w:rPr>
          <w:i/>
          <w:noProof/>
        </w:rPr>
        <w:t xml:space="preserve"> et al.</w:t>
      </w:r>
      <w:r>
        <w:rPr>
          <w:noProof/>
        </w:rPr>
        <w:t xml:space="preserve"> 2013)</w:t>
      </w:r>
      <w:r w:rsidRPr="003C5BD8">
        <w:t>.</w:t>
      </w:r>
      <w:r>
        <w:t xml:space="preserve">  </w:t>
      </w:r>
      <w:r w:rsidRPr="009C37EF">
        <w:t xml:space="preserve">Few earlier studies have investigated treatment retention in a complete national </w:t>
      </w:r>
      <w:r>
        <w:t xml:space="preserve">treatment </w:t>
      </w:r>
      <w:r w:rsidRPr="009C37EF">
        <w:t xml:space="preserve">cohort with no </w:t>
      </w:r>
      <w:r>
        <w:t>individuals</w:t>
      </w:r>
      <w:r w:rsidRPr="009C37EF">
        <w:t xml:space="preserve"> lost to follow-up over a longer period.</w:t>
      </w:r>
    </w:p>
    <w:p w:rsidR="003B0DEE" w:rsidRDefault="003B0DEE" w:rsidP="000D5D90">
      <w:pPr>
        <w:pStyle w:val="Heading3"/>
      </w:pPr>
      <w:bookmarkStart w:id="139" w:name="_Toc15331724"/>
      <w:r>
        <w:t>Predictors of treatment completion</w:t>
      </w:r>
      <w:bookmarkEnd w:id="139"/>
    </w:p>
    <w:p w:rsidR="003B0DEE" w:rsidRDefault="003B0DEE" w:rsidP="000D5D90">
      <w:pPr>
        <w:pStyle w:val="BodyText"/>
      </w:pPr>
      <w:r w:rsidRPr="001D064D">
        <w:t xml:space="preserve">A commonly used proxy measure of treatment outcome is the proportion of </w:t>
      </w:r>
      <w:r>
        <w:t>people</w:t>
      </w:r>
      <w:r w:rsidRPr="001D064D">
        <w:t xml:space="preserve"> who complete treatment successfully</w:t>
      </w:r>
      <w:r>
        <w:t xml:space="preserve"> </w:t>
      </w:r>
      <w:r>
        <w:rPr>
          <w:noProof/>
        </w:rPr>
        <w:t>(Alterman</w:t>
      </w:r>
      <w:r w:rsidRPr="00791A95">
        <w:rPr>
          <w:i/>
          <w:noProof/>
        </w:rPr>
        <w:t xml:space="preserve"> et al.</w:t>
      </w:r>
      <w:r>
        <w:rPr>
          <w:noProof/>
        </w:rPr>
        <w:t xml:space="preserve"> 2001)</w:t>
      </w:r>
      <w:r w:rsidRPr="001D064D">
        <w:t xml:space="preserve">. </w:t>
      </w:r>
      <w:r>
        <w:t xml:space="preserve"> The </w:t>
      </w:r>
      <w:r w:rsidRPr="001D064D">
        <w:t xml:space="preserve">proportion of </w:t>
      </w:r>
      <w:r>
        <w:t>people</w:t>
      </w:r>
      <w:r w:rsidRPr="001D064D">
        <w:t xml:space="preserve"> who complete</w:t>
      </w:r>
      <w:r>
        <w:t>d</w:t>
      </w:r>
      <w:r w:rsidRPr="001D064D">
        <w:t xml:space="preserve"> treatment successfully</w:t>
      </w:r>
      <w:r w:rsidRPr="00CC5759">
        <w:t xml:space="preserve"> </w:t>
      </w:r>
      <w:r>
        <w:t xml:space="preserve">in this study was 22.9% and the </w:t>
      </w:r>
      <w:r w:rsidRPr="00CC5759">
        <w:t>study found factors that are associated with higher odds of completing opioid treatment (</w:t>
      </w:r>
      <w:r w:rsidRPr="0041517D">
        <w:t xml:space="preserve">remaining in school until at least 16 years of age; being treated in an inpatient </w:t>
      </w:r>
      <w:r w:rsidRPr="00CC5759">
        <w:t xml:space="preserve">or </w:t>
      </w:r>
      <w:r w:rsidRPr="0041517D">
        <w:t>prison setting</w:t>
      </w:r>
      <w:r w:rsidRPr="00CC5759">
        <w:t xml:space="preserve">; being referred to treatment by </w:t>
      </w:r>
      <w:r w:rsidRPr="0041517D">
        <w:t xml:space="preserve">family/friends </w:t>
      </w:r>
      <w:r w:rsidRPr="00CC5759">
        <w:t xml:space="preserve">or by </w:t>
      </w:r>
      <w:r w:rsidRPr="0041517D">
        <w:t>court/probation</w:t>
      </w:r>
      <w:r>
        <w:t xml:space="preserve"> service</w:t>
      </w:r>
      <w:r w:rsidRPr="0041517D">
        <w:t>/police</w:t>
      </w:r>
      <w:r w:rsidRPr="00CC5759">
        <w:t xml:space="preserve">; and an </w:t>
      </w:r>
      <w:r w:rsidRPr="0041517D">
        <w:t>increased time lag between first using opioids and seeking treatment</w:t>
      </w:r>
      <w:r w:rsidRPr="00CC5759">
        <w:t xml:space="preserve">) and others that are associated with lower odds of completing opioid treatment (being </w:t>
      </w:r>
      <w:r w:rsidRPr="0041517D">
        <w:t>unemployed</w:t>
      </w:r>
      <w:r w:rsidRPr="00CC5759">
        <w:t xml:space="preserve">; </w:t>
      </w:r>
      <w:r w:rsidRPr="0041517D">
        <w:t>living with parents/family</w:t>
      </w:r>
      <w:r w:rsidRPr="00CC5759">
        <w:t xml:space="preserve">, </w:t>
      </w:r>
      <w:r w:rsidRPr="006A7329">
        <w:t>with children, or with friends; residing in Dublin; and using benzodiazepines in addition to opioids).  Many of these findings corroborate previous research findings</w:t>
      </w:r>
      <w:r>
        <w:t>;</w:t>
      </w:r>
      <w:r w:rsidRPr="006A7329">
        <w:t xml:space="preserve"> education </w:t>
      </w:r>
      <w:r>
        <w:rPr>
          <w:noProof/>
        </w:rPr>
        <w:t>(Brorson</w:t>
      </w:r>
      <w:r w:rsidRPr="00EA77AC">
        <w:rPr>
          <w:i/>
          <w:noProof/>
        </w:rPr>
        <w:t xml:space="preserve"> et al.</w:t>
      </w:r>
      <w:r>
        <w:rPr>
          <w:noProof/>
        </w:rPr>
        <w:t xml:space="preserve"> 2013, Liu</w:t>
      </w:r>
      <w:r w:rsidRPr="00EA77AC">
        <w:rPr>
          <w:i/>
          <w:noProof/>
        </w:rPr>
        <w:t xml:space="preserve"> et al.</w:t>
      </w:r>
      <w:r>
        <w:rPr>
          <w:noProof/>
        </w:rPr>
        <w:t xml:space="preserve"> 2017)</w:t>
      </w:r>
      <w:r w:rsidRPr="006A7329">
        <w:t xml:space="preserve">, inpatient setting </w:t>
      </w:r>
      <w:r>
        <w:rPr>
          <w:noProof/>
        </w:rPr>
        <w:t>(Brorson</w:t>
      </w:r>
      <w:r w:rsidRPr="00791A95">
        <w:rPr>
          <w:i/>
          <w:noProof/>
        </w:rPr>
        <w:t xml:space="preserve"> et al.</w:t>
      </w:r>
      <w:r>
        <w:rPr>
          <w:noProof/>
        </w:rPr>
        <w:t xml:space="preserve"> 2013)</w:t>
      </w:r>
      <w:r w:rsidRPr="006A7329">
        <w:t xml:space="preserve">, criminal justice involvement </w:t>
      </w:r>
      <w:r>
        <w:rPr>
          <w:noProof/>
        </w:rPr>
        <w:t>(Evans</w:t>
      </w:r>
      <w:r w:rsidRPr="00791A95">
        <w:rPr>
          <w:i/>
          <w:noProof/>
        </w:rPr>
        <w:t xml:space="preserve"> et al.</w:t>
      </w:r>
      <w:r>
        <w:rPr>
          <w:noProof/>
        </w:rPr>
        <w:t xml:space="preserve"> 2009)</w:t>
      </w:r>
      <w:r w:rsidRPr="006A7329">
        <w:t>, employment status</w:t>
      </w:r>
      <w:r>
        <w:t xml:space="preserve"> </w:t>
      </w:r>
      <w:r>
        <w:rPr>
          <w:noProof/>
        </w:rPr>
        <w:t>(Lang &amp; Belenko 2000, Evans</w:t>
      </w:r>
      <w:r w:rsidRPr="00791A95">
        <w:rPr>
          <w:i/>
          <w:noProof/>
        </w:rPr>
        <w:t xml:space="preserve"> et al.</w:t>
      </w:r>
      <w:r>
        <w:rPr>
          <w:noProof/>
        </w:rPr>
        <w:t xml:space="preserve"> 2009, Eastwood</w:t>
      </w:r>
      <w:r w:rsidRPr="00791A95">
        <w:rPr>
          <w:i/>
          <w:noProof/>
        </w:rPr>
        <w:t xml:space="preserve"> et al.</w:t>
      </w:r>
      <w:r>
        <w:rPr>
          <w:noProof/>
        </w:rPr>
        <w:t xml:space="preserve"> 2017)</w:t>
      </w:r>
      <w:r w:rsidRPr="006A7329">
        <w:t xml:space="preserve">, </w:t>
      </w:r>
      <w:r>
        <w:t xml:space="preserve">and </w:t>
      </w:r>
      <w:r w:rsidRPr="006A7329">
        <w:t xml:space="preserve">living with children </w:t>
      </w:r>
      <w:r>
        <w:rPr>
          <w:noProof/>
        </w:rPr>
        <w:t>(Evans</w:t>
      </w:r>
      <w:r w:rsidRPr="00791A95">
        <w:rPr>
          <w:i/>
          <w:noProof/>
        </w:rPr>
        <w:t xml:space="preserve"> et al.</w:t>
      </w:r>
      <w:r>
        <w:rPr>
          <w:noProof/>
        </w:rPr>
        <w:t xml:space="preserve"> 2009)</w:t>
      </w:r>
      <w:r w:rsidRPr="006A7329">
        <w:t xml:space="preserve">.  The factors </w:t>
      </w:r>
      <w:r w:rsidRPr="006A7329">
        <w:lastRenderedPageBreak/>
        <w:t>identified as</w:t>
      </w:r>
      <w:r w:rsidRPr="003C5BD8">
        <w:t xml:space="preserve"> being associated</w:t>
      </w:r>
      <w:r>
        <w:t xml:space="preserve"> </w:t>
      </w:r>
      <w:r w:rsidRPr="003C5BD8">
        <w:t xml:space="preserve">with lower odds of </w:t>
      </w:r>
      <w:r>
        <w:t>opioid treatment</w:t>
      </w:r>
      <w:r w:rsidRPr="003C5BD8">
        <w:t xml:space="preserve"> completion could be considered</w:t>
      </w:r>
      <w:r>
        <w:t xml:space="preserve"> </w:t>
      </w:r>
      <w:r w:rsidRPr="003C5BD8">
        <w:t xml:space="preserve">in combination to identify </w:t>
      </w:r>
      <w:r>
        <w:t>people</w:t>
      </w:r>
      <w:r w:rsidRPr="003C5BD8">
        <w:t xml:space="preserve"> who </w:t>
      </w:r>
      <w:r>
        <w:t>c</w:t>
      </w:r>
      <w:r w:rsidRPr="003C5BD8">
        <w:t xml:space="preserve">ould </w:t>
      </w:r>
      <w:r>
        <w:t xml:space="preserve">potentially </w:t>
      </w:r>
      <w:r w:rsidRPr="003C5BD8">
        <w:t>benefit from</w:t>
      </w:r>
      <w:r>
        <w:t xml:space="preserve"> </w:t>
      </w:r>
      <w:r w:rsidRPr="003C5BD8">
        <w:t>greater support</w:t>
      </w:r>
      <w:r>
        <w:t>s throughout their treatment journey</w:t>
      </w:r>
      <w:r w:rsidRPr="003C5BD8">
        <w:t>.</w:t>
      </w:r>
      <w:r>
        <w:t xml:space="preserve">  S</w:t>
      </w:r>
      <w:r w:rsidRPr="008B15D9">
        <w:t>uccessful</w:t>
      </w:r>
      <w:r>
        <w:t xml:space="preserve"> treatment </w:t>
      </w:r>
      <w:r w:rsidRPr="008B15D9">
        <w:t>completion</w:t>
      </w:r>
      <w:r>
        <w:t xml:space="preserve"> is somewhat limited as an indicator because it does not </w:t>
      </w:r>
      <w:r w:rsidRPr="008B15D9">
        <w:t xml:space="preserve">capture the degree to which treatment benefit </w:t>
      </w:r>
      <w:r w:rsidRPr="001D064D">
        <w:t xml:space="preserve">endures.  This is important due to the fact that </w:t>
      </w:r>
      <w:proofErr w:type="gramStart"/>
      <w:r w:rsidRPr="001D064D">
        <w:t>relapse</w:t>
      </w:r>
      <w:proofErr w:type="gramEnd"/>
      <w:r w:rsidRPr="001D064D">
        <w:t xml:space="preserve"> is common, with 50–60% of people relapsing within six months post treatment discharge</w:t>
      </w:r>
      <w:r>
        <w:t xml:space="preserve"> </w:t>
      </w:r>
      <w:r>
        <w:rPr>
          <w:noProof/>
        </w:rPr>
        <w:t>(McLellan</w:t>
      </w:r>
      <w:r w:rsidRPr="00791A95">
        <w:rPr>
          <w:i/>
          <w:noProof/>
        </w:rPr>
        <w:t xml:space="preserve"> et al.</w:t>
      </w:r>
      <w:r>
        <w:rPr>
          <w:noProof/>
        </w:rPr>
        <w:t xml:space="preserve"> 2005)</w:t>
      </w:r>
      <w:r w:rsidRPr="001D064D">
        <w:t xml:space="preserve">. </w:t>
      </w:r>
      <w:r>
        <w:t xml:space="preserve"> </w:t>
      </w:r>
      <w:r w:rsidRPr="002105EF">
        <w:t>Several of these factors may be addressed through policy and practice strategies which could enhance treatment outcomes, such as early school leaving, employment/training opportunities, earlier engagement with treatment services, the support/involvement of family and peers, and the use of benzodiazepines in addition to opioids.  As more meaningful results emerged when the analysis was stratified by treatment modality and treatment exposure was examined, opportunities for change will be discussed in more detail in subsequent sections.</w:t>
      </w:r>
      <w:r>
        <w:t xml:space="preserve">  </w:t>
      </w:r>
    </w:p>
    <w:p w:rsidR="003B0DEE" w:rsidRDefault="003B0DEE" w:rsidP="000D5D90">
      <w:pPr>
        <w:pStyle w:val="Heading3"/>
      </w:pPr>
      <w:bookmarkStart w:id="140" w:name="_Toc15331725"/>
      <w:r>
        <w:t>Risk and protective factors for treatment dropout</w:t>
      </w:r>
      <w:bookmarkEnd w:id="140"/>
    </w:p>
    <w:p w:rsidR="003B0DEE" w:rsidRDefault="003B0DEE" w:rsidP="000D5D90">
      <w:pPr>
        <w:pStyle w:val="BodyText"/>
      </w:pPr>
      <w:r w:rsidRPr="004867CE">
        <w:t xml:space="preserve">This study found a total of </w:t>
      </w:r>
      <w:r>
        <w:t>ten</w:t>
      </w:r>
      <w:r w:rsidRPr="004867CE">
        <w:t xml:space="preserve"> risk and protective factors associated with treatment retention</w:t>
      </w:r>
      <w:r>
        <w:t xml:space="preserve"> which varied by treatment modality</w:t>
      </w:r>
      <w:r w:rsidRPr="004867CE">
        <w:t>.  The</w:t>
      </w:r>
      <w:r>
        <w:t>se</w:t>
      </w:r>
      <w:r w:rsidRPr="004867CE">
        <w:t xml:space="preserve"> </w:t>
      </w:r>
      <w:r>
        <w:t>ten</w:t>
      </w:r>
      <w:r w:rsidRPr="004867CE">
        <w:t xml:space="preserve"> factors can be grouped into three categories, sociodemographic factors</w:t>
      </w:r>
      <w:r>
        <w:t xml:space="preserve"> (age, remaining in school until at least 16 years of age, employment status and location of residence)</w:t>
      </w:r>
      <w:r w:rsidRPr="004867CE">
        <w:t xml:space="preserve">, </w:t>
      </w:r>
      <w:r>
        <w:t xml:space="preserve">pre-treatment </w:t>
      </w:r>
      <w:r w:rsidRPr="004867CE">
        <w:t xml:space="preserve">drug use factors </w:t>
      </w:r>
      <w:r>
        <w:t>(</w:t>
      </w:r>
      <w:r w:rsidRPr="0091466A">
        <w:t>frequency of opioid use in the month prior to treatment, route of opioid administration, and injecting status at treatment entry</w:t>
      </w:r>
      <w:r>
        <w:t xml:space="preserve">) </w:t>
      </w:r>
      <w:r w:rsidRPr="004867CE">
        <w:t>and treatment factors</w:t>
      </w:r>
      <w:r>
        <w:t xml:space="preserve"> (</w:t>
      </w:r>
      <w:r w:rsidRPr="0091466A">
        <w:t>treatment setting, year commenced treatment and referral source</w:t>
      </w:r>
      <w:r>
        <w:t xml:space="preserve">).  All pre-treatment </w:t>
      </w:r>
      <w:r w:rsidRPr="004867CE">
        <w:t>drug use factors</w:t>
      </w:r>
      <w:r>
        <w:t xml:space="preserve"> increased the likelihood of treatment dropout and applied to the psychosocial treatment modalities (counselling only and other psychosocial interventions).  Two of the three treatment factors were protective factors (year commenced treatment and referral source) and applied to three of the four modalities.  The remaining treatment factor (treatment setting) was the most common factor linked with all four modalities, and operated as both a protective and risk factor depending on modality, indicating that retention is setting specific.  Two sociodemographic factors were risk factors (employment status and location of residence) while two were protective factors (age entering treatment and remaining in school until at least 16 years of age).  Sociodemographic factors were associated with three treatment modalities.  Interestingly, structured detoxification was the only modality affected by just one domain, treatment factors.  These results highlight that </w:t>
      </w:r>
      <w:r w:rsidRPr="00F0062D">
        <w:t>key indicator</w:t>
      </w:r>
      <w:r>
        <w:t>s</w:t>
      </w:r>
      <w:r w:rsidRPr="00C91A9C">
        <w:t xml:space="preserve"> of treatment compliance</w:t>
      </w:r>
      <w:r>
        <w:t xml:space="preserve"> are not uniform across treatment modalities, and therefore it is important that treatment providers and policy makers are aware of the subtleties within and across modalities to improve </w:t>
      </w:r>
      <w:r w:rsidRPr="003C5BD8">
        <w:t>treatment retention and re-engagement strategies</w:t>
      </w:r>
      <w:r>
        <w:t xml:space="preserve">.  </w:t>
      </w:r>
    </w:p>
    <w:p w:rsidR="003B0DEE" w:rsidRPr="00726BB3" w:rsidRDefault="003B0DEE" w:rsidP="000D5D90">
      <w:pPr>
        <w:pStyle w:val="Heading3"/>
      </w:pPr>
      <w:bookmarkStart w:id="141" w:name="_Toc15331726"/>
      <w:r w:rsidRPr="00726BB3">
        <w:t>Treatment exposure</w:t>
      </w:r>
      <w:bookmarkEnd w:id="141"/>
      <w:r w:rsidRPr="00726BB3">
        <w:t xml:space="preserve"> </w:t>
      </w:r>
    </w:p>
    <w:p w:rsidR="003B0DEE" w:rsidRDefault="003B0DEE" w:rsidP="000D5D90">
      <w:pPr>
        <w:pStyle w:val="BodyText"/>
      </w:pPr>
      <w:r w:rsidRPr="000C4D12">
        <w:t xml:space="preserve">There </w:t>
      </w:r>
      <w:r>
        <w:t>wa</w:t>
      </w:r>
      <w:r w:rsidRPr="000C4D12">
        <w:t>s considerable variation in treatment</w:t>
      </w:r>
      <w:r>
        <w:t xml:space="preserve"> completion rates across modality; therefore it is no surprise that treatment exposure also varied by modality.  </w:t>
      </w:r>
      <w:r w:rsidRPr="003C5BD8">
        <w:t xml:space="preserve">Retention is a key </w:t>
      </w:r>
      <w:r>
        <w:t xml:space="preserve">factor of </w:t>
      </w:r>
      <w:r w:rsidRPr="003C5BD8">
        <w:t>treatment success</w:t>
      </w:r>
      <w:r>
        <w:t xml:space="preserve"> </w:t>
      </w:r>
      <w:r>
        <w:rPr>
          <w:noProof/>
        </w:rPr>
        <w:t>(Hubbard</w:t>
      </w:r>
      <w:r w:rsidRPr="00791A95">
        <w:rPr>
          <w:i/>
          <w:noProof/>
        </w:rPr>
        <w:t xml:space="preserve"> et al.</w:t>
      </w:r>
      <w:r>
        <w:rPr>
          <w:noProof/>
        </w:rPr>
        <w:t xml:space="preserve"> 1989, Simpson</w:t>
      </w:r>
      <w:r w:rsidRPr="00791A95">
        <w:rPr>
          <w:i/>
          <w:noProof/>
        </w:rPr>
        <w:t xml:space="preserve"> et al.</w:t>
      </w:r>
      <w:r>
        <w:rPr>
          <w:noProof/>
        </w:rPr>
        <w:t xml:space="preserve"> 1997, Gossop</w:t>
      </w:r>
      <w:r w:rsidRPr="00791A95">
        <w:rPr>
          <w:i/>
          <w:noProof/>
        </w:rPr>
        <w:t xml:space="preserve"> et al.</w:t>
      </w:r>
      <w:r>
        <w:rPr>
          <w:noProof/>
        </w:rPr>
        <w:t xml:space="preserve"> 1999)</w:t>
      </w:r>
      <w:r w:rsidRPr="003C5BD8">
        <w:t xml:space="preserve">.  </w:t>
      </w:r>
      <w:r>
        <w:t xml:space="preserve">Twelve-month treatment retention in the opioid substitution modality was 50.9% and factors increasing </w:t>
      </w:r>
      <w:r w:rsidRPr="003C5BD8">
        <w:t xml:space="preserve">the likelihood of treatment </w:t>
      </w:r>
      <w:r>
        <w:t xml:space="preserve">retention were older age, general practice setting and year commenced treatment.  Varied retention rates have been reported previously in other opioid </w:t>
      </w:r>
      <w:r w:rsidRPr="00BF735D">
        <w:t xml:space="preserve">maintenance </w:t>
      </w:r>
      <w:r>
        <w:t>studies</w:t>
      </w:r>
      <w:r w:rsidRPr="000C49C6">
        <w:t xml:space="preserve"> </w:t>
      </w:r>
      <w:r>
        <w:t xml:space="preserve">at twelve </w:t>
      </w:r>
      <w:r>
        <w:lastRenderedPageBreak/>
        <w:t>months; 31% (</w:t>
      </w:r>
      <w:r w:rsidRPr="003C5BD8">
        <w:t>USA</w:t>
      </w:r>
      <w:r>
        <w:t xml:space="preserve">, </w:t>
      </w:r>
      <w:r>
        <w:rPr>
          <w:noProof/>
        </w:rPr>
        <w:t>(Ling</w:t>
      </w:r>
      <w:r w:rsidRPr="00791A95">
        <w:rPr>
          <w:i/>
          <w:noProof/>
        </w:rPr>
        <w:t xml:space="preserve"> et al.</w:t>
      </w:r>
      <w:r>
        <w:rPr>
          <w:noProof/>
        </w:rPr>
        <w:t xml:space="preserve"> 1996)</w:t>
      </w:r>
      <w:r>
        <w:t>), 38% (Australia,</w:t>
      </w:r>
      <w:r w:rsidRPr="00395422">
        <w:t xml:space="preserve"> </w:t>
      </w:r>
      <w:r>
        <w:rPr>
          <w:noProof/>
        </w:rPr>
        <w:t>(Bell</w:t>
      </w:r>
      <w:r w:rsidRPr="00791A95">
        <w:rPr>
          <w:i/>
          <w:noProof/>
        </w:rPr>
        <w:t xml:space="preserve"> et al.</w:t>
      </w:r>
      <w:r>
        <w:rPr>
          <w:noProof/>
        </w:rPr>
        <w:t xml:space="preserve"> 2006)</w:t>
      </w:r>
      <w:r>
        <w:t xml:space="preserve">), 50% (Washington, USA, </w:t>
      </w:r>
      <w:r>
        <w:rPr>
          <w:noProof/>
        </w:rPr>
        <w:t>(Amiri</w:t>
      </w:r>
      <w:r w:rsidRPr="00791A95">
        <w:rPr>
          <w:i/>
          <w:noProof/>
        </w:rPr>
        <w:t xml:space="preserve"> et al.</w:t>
      </w:r>
      <w:r>
        <w:rPr>
          <w:noProof/>
        </w:rPr>
        <w:t xml:space="preserve"> 2018)</w:t>
      </w:r>
      <w:r>
        <w:t xml:space="preserve">) 53.0% (China, </w:t>
      </w:r>
      <w:r>
        <w:rPr>
          <w:noProof/>
        </w:rPr>
        <w:t>(Yang</w:t>
      </w:r>
      <w:r w:rsidRPr="00791A95">
        <w:rPr>
          <w:i/>
          <w:noProof/>
        </w:rPr>
        <w:t xml:space="preserve"> et al.</w:t>
      </w:r>
      <w:r>
        <w:rPr>
          <w:noProof/>
        </w:rPr>
        <w:t xml:space="preserve"> 2013)</w:t>
      </w:r>
      <w:r>
        <w:t xml:space="preserve">), 56.2% (China, </w:t>
      </w:r>
      <w:r>
        <w:rPr>
          <w:noProof/>
        </w:rPr>
        <w:t>(Liu</w:t>
      </w:r>
      <w:r w:rsidRPr="00791A95">
        <w:rPr>
          <w:i/>
          <w:noProof/>
        </w:rPr>
        <w:t xml:space="preserve"> et al.</w:t>
      </w:r>
      <w:r>
        <w:rPr>
          <w:noProof/>
        </w:rPr>
        <w:t xml:space="preserve"> 2009)</w:t>
      </w:r>
      <w:r>
        <w:t xml:space="preserve">) </w:t>
      </w:r>
      <w:r w:rsidRPr="003C5BD8">
        <w:t>61%</w:t>
      </w:r>
      <w:r>
        <w:t xml:space="preserve"> (Ireland, </w:t>
      </w:r>
      <w:r>
        <w:rPr>
          <w:noProof/>
        </w:rPr>
        <w:t>(Mullen</w:t>
      </w:r>
      <w:r w:rsidRPr="00791A95">
        <w:rPr>
          <w:i/>
          <w:noProof/>
        </w:rPr>
        <w:t xml:space="preserve"> et al.</w:t>
      </w:r>
      <w:r>
        <w:rPr>
          <w:noProof/>
        </w:rPr>
        <w:t xml:space="preserve"> 2012)</w:t>
      </w:r>
      <w:r>
        <w:t xml:space="preserve">), 61.6% (Las Vegas, </w:t>
      </w:r>
      <w:r>
        <w:rPr>
          <w:noProof/>
        </w:rPr>
        <w:t>(Peles</w:t>
      </w:r>
      <w:r w:rsidRPr="00791A95">
        <w:rPr>
          <w:i/>
          <w:noProof/>
        </w:rPr>
        <w:t xml:space="preserve"> et al.</w:t>
      </w:r>
      <w:r>
        <w:rPr>
          <w:noProof/>
        </w:rPr>
        <w:t xml:space="preserve"> 2008)</w:t>
      </w:r>
      <w:r>
        <w:t xml:space="preserve">) 72.5% (Norway, </w:t>
      </w:r>
      <w:r>
        <w:rPr>
          <w:noProof/>
        </w:rPr>
        <w:t>(Bukten</w:t>
      </w:r>
      <w:r w:rsidRPr="00791A95">
        <w:rPr>
          <w:i/>
          <w:noProof/>
        </w:rPr>
        <w:t xml:space="preserve"> et al.</w:t>
      </w:r>
      <w:r>
        <w:rPr>
          <w:noProof/>
        </w:rPr>
        <w:t xml:space="preserve"> 2014)</w:t>
      </w:r>
      <w:r>
        <w:t xml:space="preserve">), </w:t>
      </w:r>
      <w:r w:rsidRPr="003C5BD8">
        <w:t xml:space="preserve">74.4% </w:t>
      </w:r>
      <w:r>
        <w:t xml:space="preserve">(Israel, </w:t>
      </w:r>
      <w:r>
        <w:rPr>
          <w:noProof/>
        </w:rPr>
        <w:t>(Peles</w:t>
      </w:r>
      <w:r w:rsidRPr="00791A95">
        <w:rPr>
          <w:i/>
          <w:noProof/>
        </w:rPr>
        <w:t xml:space="preserve"> et al.</w:t>
      </w:r>
      <w:r>
        <w:rPr>
          <w:noProof/>
        </w:rPr>
        <w:t xml:space="preserve"> 2006)</w:t>
      </w:r>
      <w:r>
        <w:t xml:space="preserve">) </w:t>
      </w:r>
      <w:r w:rsidRPr="003C5BD8">
        <w:t>84% (</w:t>
      </w:r>
      <w:r>
        <w:t xml:space="preserve">Sweden, </w:t>
      </w:r>
      <w:r>
        <w:rPr>
          <w:noProof/>
        </w:rPr>
        <w:t>(Davstad</w:t>
      </w:r>
      <w:r w:rsidRPr="00791A95">
        <w:rPr>
          <w:i/>
          <w:noProof/>
        </w:rPr>
        <w:t xml:space="preserve"> et al.</w:t>
      </w:r>
      <w:r>
        <w:rPr>
          <w:noProof/>
        </w:rPr>
        <w:t xml:space="preserve"> 2007)</w:t>
      </w:r>
      <w:r w:rsidRPr="003C5BD8">
        <w:t>)</w:t>
      </w:r>
      <w:proofErr w:type="gramStart"/>
      <w:r w:rsidRPr="003C5BD8">
        <w:t>.</w:t>
      </w:r>
      <w:r>
        <w:t xml:space="preserve"> </w:t>
      </w:r>
      <w:proofErr w:type="gramEnd"/>
      <w:r>
        <w:t xml:space="preserve">This is not surprising as </w:t>
      </w:r>
      <w:r w:rsidRPr="003C5BD8">
        <w:t xml:space="preserve">programmes vary </w:t>
      </w:r>
      <w:r>
        <w:t xml:space="preserve">internationally </w:t>
      </w:r>
      <w:r w:rsidRPr="003C5BD8">
        <w:t>both</w:t>
      </w:r>
      <w:r>
        <w:t xml:space="preserve"> </w:t>
      </w:r>
      <w:r w:rsidRPr="003C5BD8">
        <w:t>in structure and ideology</w:t>
      </w:r>
      <w:r>
        <w:t xml:space="preserve"> </w:t>
      </w:r>
      <w:r>
        <w:rPr>
          <w:noProof/>
        </w:rPr>
        <w:t>(Waal 2007, Clausen 2011)</w:t>
      </w:r>
      <w:r>
        <w:t xml:space="preserve">.  Although the Irish study by Mullen et al. reported higher twelve month retention rate (61% versus 50.9%), this study was based on a random sample of patients for the years 1999, 2001 and 2003, and the profile of Irish opioid users has changed in the intervening period </w:t>
      </w:r>
      <w:r>
        <w:rPr>
          <w:noProof/>
        </w:rPr>
        <w:t>(Carew</w:t>
      </w:r>
      <w:r w:rsidRPr="00833639">
        <w:rPr>
          <w:i/>
          <w:noProof/>
        </w:rPr>
        <w:t xml:space="preserve"> et al.</w:t>
      </w:r>
      <w:r>
        <w:rPr>
          <w:noProof/>
        </w:rPr>
        <w:t xml:space="preserve"> 2009, Carew &amp; Comiskey 2018b)</w:t>
      </w:r>
      <w:r>
        <w:t xml:space="preserve">.  Previous studies have found different factors associated with the </w:t>
      </w:r>
      <w:r w:rsidRPr="003C5BD8">
        <w:t>likelihood of treatment retention</w:t>
      </w:r>
      <w:r>
        <w:t xml:space="preserve">, including </w:t>
      </w:r>
      <w:r w:rsidRPr="003C5BD8">
        <w:t xml:space="preserve">ending </w:t>
      </w:r>
      <w:r>
        <w:t>s</w:t>
      </w:r>
      <w:r w:rsidRPr="003C5BD8">
        <w:t>treet opiate and cocaine use</w:t>
      </w:r>
      <w:r>
        <w:t xml:space="preserve"> </w:t>
      </w:r>
      <w:r>
        <w:rPr>
          <w:noProof/>
        </w:rPr>
        <w:t>(Magura</w:t>
      </w:r>
      <w:r w:rsidRPr="00791A95">
        <w:rPr>
          <w:i/>
          <w:noProof/>
        </w:rPr>
        <w:t xml:space="preserve"> et al.</w:t>
      </w:r>
      <w:r>
        <w:rPr>
          <w:noProof/>
        </w:rPr>
        <w:t xml:space="preserve"> 1998)</w:t>
      </w:r>
      <w:r w:rsidRPr="003C5BD8">
        <w:t>, female gende</w:t>
      </w:r>
      <w:r>
        <w:t xml:space="preserve">r </w:t>
      </w:r>
      <w:r>
        <w:rPr>
          <w:noProof/>
        </w:rPr>
        <w:t>(Kelly</w:t>
      </w:r>
      <w:r w:rsidRPr="00791A95">
        <w:rPr>
          <w:i/>
          <w:noProof/>
        </w:rPr>
        <w:t xml:space="preserve"> et al.</w:t>
      </w:r>
      <w:r>
        <w:rPr>
          <w:noProof/>
        </w:rPr>
        <w:t xml:space="preserve"> 2011)</w:t>
      </w:r>
      <w:r>
        <w:t xml:space="preserve">, and being a parent </w:t>
      </w:r>
      <w:r>
        <w:rPr>
          <w:noProof/>
        </w:rPr>
        <w:t>(Peles</w:t>
      </w:r>
      <w:r w:rsidRPr="00791A95">
        <w:rPr>
          <w:i/>
          <w:noProof/>
        </w:rPr>
        <w:t xml:space="preserve"> et al.</w:t>
      </w:r>
      <w:r>
        <w:rPr>
          <w:noProof/>
        </w:rPr>
        <w:t xml:space="preserve"> 2006)</w:t>
      </w:r>
      <w:r>
        <w:t>.  However, these studies are related to a particular programme, a selection of sites or within region, none of which were nationwide studies</w:t>
      </w:r>
      <w:proofErr w:type="gramStart"/>
      <w:r>
        <w:t xml:space="preserve">. </w:t>
      </w:r>
      <w:proofErr w:type="gramEnd"/>
      <w:r>
        <w:t>The fluctuating odds of retention in opioid substitution throughout the study period warrants further investigation, particularly the reduced odds in 2015 compared to the two previous years.</w:t>
      </w:r>
    </w:p>
    <w:p w:rsidR="003B0DEE" w:rsidRDefault="003B0DEE" w:rsidP="000D5D90">
      <w:pPr>
        <w:pStyle w:val="BodyText"/>
      </w:pPr>
      <w:r>
        <w:t xml:space="preserve">Opioid detoxification is associated with high dropout and even successful completers have relapse rates </w:t>
      </w:r>
      <w:r>
        <w:rPr>
          <w:noProof/>
        </w:rPr>
        <w:t>(Vaughn &amp; Kleber 2015)</w:t>
      </w:r>
      <w:proofErr w:type="gramStart"/>
      <w:r>
        <w:t xml:space="preserve">. </w:t>
      </w:r>
      <w:proofErr w:type="gramEnd"/>
      <w:r>
        <w:t xml:space="preserve">Treatment dropout in structured detoxification was 46.3% with thirty day retention rates of 65.7%, and just a single pre-treatment factor increasing </w:t>
      </w:r>
      <w:r w:rsidRPr="003C5BD8">
        <w:t xml:space="preserve">the likelihood of treatment </w:t>
      </w:r>
      <w:r>
        <w:t xml:space="preserve">retention.  Several other studies on </w:t>
      </w:r>
      <w:r w:rsidRPr="009048E4">
        <w:t xml:space="preserve">the topic report </w:t>
      </w:r>
      <w:r>
        <w:t>dropouts</w:t>
      </w:r>
      <w:r w:rsidRPr="009048E4">
        <w:t xml:space="preserve"> ranging from 21.5 to 43% in detoxification </w:t>
      </w:r>
      <w:r>
        <w:rPr>
          <w:noProof/>
        </w:rPr>
        <w:t>(Specka</w:t>
      </w:r>
      <w:r w:rsidRPr="00791A95">
        <w:rPr>
          <w:i/>
          <w:noProof/>
        </w:rPr>
        <w:t xml:space="preserve"> et al.</w:t>
      </w:r>
      <w:r>
        <w:rPr>
          <w:noProof/>
        </w:rPr>
        <w:t xml:space="preserve"> 2011, Gilchrist</w:t>
      </w:r>
      <w:r w:rsidRPr="00791A95">
        <w:rPr>
          <w:i/>
          <w:noProof/>
        </w:rPr>
        <w:t xml:space="preserve"> et al.</w:t>
      </w:r>
      <w:r>
        <w:rPr>
          <w:noProof/>
        </w:rPr>
        <w:t xml:space="preserve"> 2012)</w:t>
      </w:r>
      <w:r>
        <w:t xml:space="preserve">.  </w:t>
      </w:r>
      <w:r w:rsidRPr="00A955E4">
        <w:t>There is considerable variation in the detoxification services provided in residential and non-residential facilities</w:t>
      </w:r>
      <w:r>
        <w:t xml:space="preserve"> </w:t>
      </w:r>
      <w:r>
        <w:rPr>
          <w:noProof/>
        </w:rPr>
        <w:t>(National Institute on Drug Abuse 2018)</w:t>
      </w:r>
      <w:r w:rsidRPr="00A955E4">
        <w:t>.  People who entered detoxification in an inpatient setting had higher odds of dropping out compared to outpatients</w:t>
      </w:r>
      <w:r>
        <w:t xml:space="preserve">.  This finding is not surprising as more complex cases are often referred for inpatient treatment and detoxification setting is also known to impact outcomes </w:t>
      </w:r>
      <w:r>
        <w:rPr>
          <w:noProof/>
        </w:rPr>
        <w:t>(Vaughn &amp; Kleber 2015)</w:t>
      </w:r>
      <w:proofErr w:type="gramStart"/>
      <w:r>
        <w:t xml:space="preserve">. </w:t>
      </w:r>
      <w:proofErr w:type="gramEnd"/>
      <w:r>
        <w:t xml:space="preserve">People entering inpatient treatment may not be adequately prepared for greater levels of supervision, setting limitations, and a greater level of individual commitment is required </w:t>
      </w:r>
      <w:r>
        <w:rPr>
          <w:noProof/>
        </w:rPr>
        <w:t>(Hakansson &amp; Hallén 2014)</w:t>
      </w:r>
      <w:r w:rsidR="009D2A34">
        <w:t xml:space="preserve">.  </w:t>
      </w:r>
      <w:r>
        <w:t xml:space="preserve">Treatment choices should optimise potential outcomes. </w:t>
      </w:r>
    </w:p>
    <w:p w:rsidR="003B0DEE" w:rsidRPr="00457AB8" w:rsidRDefault="003B0DEE" w:rsidP="000D5D90">
      <w:pPr>
        <w:pStyle w:val="BodyText"/>
        <w:rPr>
          <w:b/>
          <w:bCs/>
        </w:rPr>
      </w:pPr>
      <w:r>
        <w:t xml:space="preserve">People in receipt of opioid substitution and detoxification treatments are by far the most researched group.  The most </w:t>
      </w:r>
      <w:r w:rsidRPr="00457AB8">
        <w:t xml:space="preserve">common treatment for </w:t>
      </w:r>
      <w:r>
        <w:t xml:space="preserve">problem </w:t>
      </w:r>
      <w:r w:rsidRPr="00457AB8">
        <w:t xml:space="preserve">opioid </w:t>
      </w:r>
      <w:r>
        <w:t>use</w:t>
      </w:r>
      <w:r w:rsidRPr="00457AB8">
        <w:t xml:space="preserve"> is substitution, usually in conjunction with psychosocial interventions</w:t>
      </w:r>
      <w:r>
        <w:t xml:space="preserve">, and thus much of what is known about psychosocial interventions for people who use opioids is based on cohorts who are already enrolled in either opioid substitution or detoxification </w:t>
      </w:r>
      <w:r>
        <w:rPr>
          <w:noProof/>
        </w:rPr>
        <w:t>(Brorson</w:t>
      </w:r>
      <w:r w:rsidRPr="00791A95">
        <w:rPr>
          <w:i/>
          <w:noProof/>
        </w:rPr>
        <w:t xml:space="preserve"> et al.</w:t>
      </w:r>
      <w:r>
        <w:rPr>
          <w:noProof/>
        </w:rPr>
        <w:t xml:space="preserve"> 2013)</w:t>
      </w:r>
      <w:r>
        <w:t>.  A Cochrane review of p</w:t>
      </w:r>
      <w:r w:rsidRPr="00457AB8">
        <w:t xml:space="preserve">sychosocial treatment for </w:t>
      </w:r>
      <w:r>
        <w:t>problem opioid</w:t>
      </w:r>
      <w:r w:rsidRPr="00457AB8">
        <w:t xml:space="preserve"> use </w:t>
      </w:r>
      <w:r>
        <w:t xml:space="preserve">found that </w:t>
      </w:r>
      <w:r w:rsidRPr="00457AB8">
        <w:t xml:space="preserve">there was inadequate evidence to verify the effectiveness of psychosocial interventions alone </w:t>
      </w:r>
      <w:r>
        <w:t xml:space="preserve">as a </w:t>
      </w:r>
      <w:r w:rsidRPr="00457AB8">
        <w:t xml:space="preserve">treatment of </w:t>
      </w:r>
      <w:r>
        <w:t xml:space="preserve">problem </w:t>
      </w:r>
      <w:r w:rsidRPr="00457AB8">
        <w:t>op</w:t>
      </w:r>
      <w:r>
        <w:t>ioid</w:t>
      </w:r>
      <w:r w:rsidRPr="00457AB8">
        <w:t xml:space="preserve"> </w:t>
      </w:r>
      <w:r>
        <w:t>use</w:t>
      </w:r>
      <w:r w:rsidRPr="00457AB8">
        <w:t xml:space="preserve"> or that th</w:t>
      </w:r>
      <w:r>
        <w:t>ese interventions</w:t>
      </w:r>
      <w:r w:rsidRPr="00457AB8">
        <w:t xml:space="preserve"> </w:t>
      </w:r>
      <w:r>
        <w:t>were</w:t>
      </w:r>
      <w:r w:rsidRPr="00457AB8">
        <w:t xml:space="preserve"> superior to any other treatment type</w:t>
      </w:r>
      <w:r>
        <w:t xml:space="preserve"> </w:t>
      </w:r>
      <w:r>
        <w:rPr>
          <w:noProof/>
        </w:rPr>
        <w:t>(Mayet</w:t>
      </w:r>
      <w:r w:rsidRPr="00791A95">
        <w:rPr>
          <w:i/>
          <w:noProof/>
        </w:rPr>
        <w:t xml:space="preserve"> et al.</w:t>
      </w:r>
      <w:r>
        <w:rPr>
          <w:noProof/>
        </w:rPr>
        <w:t xml:space="preserve"> 2014)</w:t>
      </w:r>
      <w:r>
        <w:t>.  Two other Cochrane reviews of p</w:t>
      </w:r>
      <w:r w:rsidRPr="00457AB8">
        <w:t xml:space="preserve">sychosocial treatment </w:t>
      </w:r>
      <w:r>
        <w:t xml:space="preserve">found that there was no effect of adding such supports in a methadone </w:t>
      </w:r>
      <w:r w:rsidR="009D2A34">
        <w:t>substitution treatment</w:t>
      </w:r>
      <w:r>
        <w:t xml:space="preserve"> programme </w:t>
      </w:r>
      <w:r>
        <w:rPr>
          <w:noProof/>
        </w:rPr>
        <w:t>(Amato</w:t>
      </w:r>
      <w:r w:rsidRPr="0062594C">
        <w:rPr>
          <w:i/>
          <w:noProof/>
        </w:rPr>
        <w:t xml:space="preserve"> et al.</w:t>
      </w:r>
      <w:r>
        <w:rPr>
          <w:noProof/>
        </w:rPr>
        <w:t xml:space="preserve"> 2011b)</w:t>
      </w:r>
      <w:r>
        <w:t xml:space="preserve">.  However, successful detoxification was supported by the inclusion of psychological supports </w:t>
      </w:r>
      <w:r>
        <w:rPr>
          <w:noProof/>
        </w:rPr>
        <w:t>(Amato</w:t>
      </w:r>
      <w:r w:rsidRPr="0062594C">
        <w:rPr>
          <w:i/>
          <w:noProof/>
        </w:rPr>
        <w:t xml:space="preserve"> et al.</w:t>
      </w:r>
      <w:r>
        <w:rPr>
          <w:noProof/>
        </w:rPr>
        <w:t xml:space="preserve"> 2011a)</w:t>
      </w:r>
      <w:r>
        <w:t xml:space="preserve">.  A more recent systematic review by Dugosh et al. also found little empirical evidence to suggest that psychosocial interventions work best in conjunction with medication-assisted treatment </w:t>
      </w:r>
      <w:r>
        <w:rPr>
          <w:noProof/>
        </w:rPr>
        <w:t>(Dugosh</w:t>
      </w:r>
      <w:r w:rsidRPr="002806EB">
        <w:rPr>
          <w:i/>
          <w:noProof/>
        </w:rPr>
        <w:t xml:space="preserve"> et al.</w:t>
      </w:r>
      <w:r>
        <w:rPr>
          <w:noProof/>
        </w:rPr>
        <w:t xml:space="preserve"> 2016)</w:t>
      </w:r>
      <w:r>
        <w:t xml:space="preserve">.  There is extremely limited research on retention among people attending psychosocial </w:t>
      </w:r>
      <w:r>
        <w:lastRenderedPageBreak/>
        <w:t xml:space="preserve">interventions alone and yet, in this study the vast majority (83.8%) of the study cohort attended for psychosocial treatments only.  </w:t>
      </w:r>
      <w:r w:rsidRPr="00EA3ED0">
        <w:t xml:space="preserve">Although place of residence (living in Dublin) was found to be a risk factor for treatment retention within this treatment modality, a </w:t>
      </w:r>
      <w:r>
        <w:t xml:space="preserve">post-hoc analysis which </w:t>
      </w:r>
      <w:r w:rsidRPr="00EA3ED0">
        <w:t>further investigat</w:t>
      </w:r>
      <w:r>
        <w:t>ed</w:t>
      </w:r>
      <w:r w:rsidRPr="00EA3ED0">
        <w:t xml:space="preserve"> treatment modality by place of residence revealed that proportions differed by location with one-third (33.</w:t>
      </w:r>
      <w:r>
        <w:t>8</w:t>
      </w:r>
      <w:r w:rsidRPr="00EA3ED0">
        <w:t>%) of people living outside of Dublin receiving psychosocial treatment compared to 24.3% of Dublin residents (Z=9.336, p=0.002).  Interestingly, place of residence was neither a risk nor protective factor for the two other treatment modalities where proportions receiving these modalities differed significantly by geography (counselling only: 61.9% for Dublin residents versus 50.4% for outside Dublin, Z=45.883, p&lt;0.001, structured detoxification: 1.1% for Dublin residents versus 2.7% for outside Dublin, Z=45.883, p&lt;0.001)</w:t>
      </w:r>
      <w:r>
        <w:t xml:space="preserve"> (Appendix 5)</w:t>
      </w:r>
      <w:r w:rsidRPr="00EA3ED0">
        <w:t>.</w:t>
      </w:r>
      <w:r>
        <w:t xml:space="preserve">  Psychosocial treatments are associated with high dropout rates (53.5% for counselling only, 59.9% for other psychosocial interventions), while thirty day retention was 76.5% and 61.6% respectively.  Retention at three months was 53.2% and 36.3%.  </w:t>
      </w:r>
      <w:r w:rsidRPr="001311BA">
        <w:t>Risk and protective factors vary by modality with treatment within a prison setting be</w:t>
      </w:r>
      <w:r>
        <w:t xml:space="preserve">ing the only consistent factor </w:t>
      </w:r>
      <w:r w:rsidRPr="001311BA">
        <w:t xml:space="preserve">associated with reduced risk of treatment </w:t>
      </w:r>
      <w:r>
        <w:t>dropout.  H</w:t>
      </w:r>
      <w:r w:rsidRPr="001311BA">
        <w:t>azard ratios of 0.558 (counselling only) and 0.584 (</w:t>
      </w:r>
      <w:r>
        <w:t>other psychosocial interventions)</w:t>
      </w:r>
      <w:r w:rsidRPr="001311BA">
        <w:t xml:space="preserve"> demonstrate that receiving these interventions in the prison setting decreased the hazard of </w:t>
      </w:r>
      <w:r>
        <w:t>treatment dropout</w:t>
      </w:r>
      <w:r w:rsidRPr="001311BA">
        <w:t xml:space="preserve"> by approximately 55% compared to the same modalities </w:t>
      </w:r>
      <w:r>
        <w:t xml:space="preserve">delivered </w:t>
      </w:r>
      <w:r w:rsidRPr="001311BA">
        <w:t>in an outpatient setting.</w:t>
      </w:r>
      <w:r>
        <w:t xml:space="preserve">  Policy makers and treatment practitioners should consider the sizeable numbers attending for </w:t>
      </w:r>
      <w:r w:rsidRPr="00457AB8">
        <w:t>psychosocial interventions</w:t>
      </w:r>
      <w:r>
        <w:t xml:space="preserve"> alone, high dropout rates and the evidence regarding effectiveness for this modality.   </w:t>
      </w:r>
    </w:p>
    <w:p w:rsidR="003B0DEE" w:rsidRDefault="003B0DEE" w:rsidP="000D5D90">
      <w:pPr>
        <w:pStyle w:val="Heading3"/>
      </w:pPr>
      <w:bookmarkStart w:id="142" w:name="_Toc15331727"/>
      <w:r>
        <w:t>Ageing</w:t>
      </w:r>
      <w:bookmarkEnd w:id="142"/>
    </w:p>
    <w:p w:rsidR="003B0DEE" w:rsidRDefault="003B0DEE" w:rsidP="000D5D90">
      <w:pPr>
        <w:pStyle w:val="BodyText"/>
      </w:pPr>
      <w:r w:rsidRPr="00D155A1">
        <w:t>The overall aim of this study was to investigate ageing among the opioid treatment population.</w:t>
      </w:r>
      <w:r>
        <w:t xml:space="preserve"> </w:t>
      </w:r>
      <w:r w:rsidRPr="00D155A1">
        <w:t xml:space="preserve"> </w:t>
      </w:r>
      <w:r w:rsidRPr="00BD3884">
        <w:t xml:space="preserve">Older age at treatment entry was associated with reduced risk of treatment dropout in certain circumstances.  </w:t>
      </w:r>
      <w:r w:rsidRPr="00D155A1">
        <w:t>Older age at treatment entry is shown</w:t>
      </w:r>
      <w:r>
        <w:t xml:space="preserve"> to</w:t>
      </w:r>
      <w:r w:rsidRPr="00D155A1">
        <w:t xml:space="preserve"> be associated with reduced risk of treatment </w:t>
      </w:r>
      <w:r>
        <w:t>dropout</w:t>
      </w:r>
      <w:r w:rsidRPr="00D155A1">
        <w:t xml:space="preserve">, hazard ratios of 0.977 and 0.985 demonstrate that a one-year increase in age decreased the hazard of dropping out of treatment by approximately 1% within the opioid substitution and counselling only modalities.  This finding is consistent with previous research demonstrating older </w:t>
      </w:r>
      <w:r>
        <w:t>individuals</w:t>
      </w:r>
      <w:r w:rsidRPr="00D155A1">
        <w:t xml:space="preserve"> have higher likelihoods of staying in treatment in the United States </w:t>
      </w:r>
      <w:r>
        <w:rPr>
          <w:noProof/>
        </w:rPr>
        <w:t>(Magura</w:t>
      </w:r>
      <w:r w:rsidRPr="00791A95">
        <w:rPr>
          <w:i/>
          <w:noProof/>
        </w:rPr>
        <w:t xml:space="preserve"> et al.</w:t>
      </w:r>
      <w:r>
        <w:rPr>
          <w:noProof/>
        </w:rPr>
        <w:t xml:space="preserve"> 1998, Amiri</w:t>
      </w:r>
      <w:r w:rsidRPr="00791A95">
        <w:rPr>
          <w:i/>
          <w:noProof/>
        </w:rPr>
        <w:t xml:space="preserve"> et al.</w:t>
      </w:r>
      <w:r>
        <w:rPr>
          <w:noProof/>
        </w:rPr>
        <w:t xml:space="preserve"> 2018)</w:t>
      </w:r>
      <w:r>
        <w:t xml:space="preserve">, </w:t>
      </w:r>
      <w:r w:rsidRPr="00D155A1">
        <w:t>Israel</w:t>
      </w:r>
      <w:r>
        <w:t xml:space="preserve"> </w:t>
      </w:r>
      <w:r>
        <w:rPr>
          <w:noProof/>
        </w:rPr>
        <w:t>(Peles</w:t>
      </w:r>
      <w:r w:rsidRPr="00791A95">
        <w:rPr>
          <w:i/>
          <w:noProof/>
        </w:rPr>
        <w:t xml:space="preserve"> et al.</w:t>
      </w:r>
      <w:r>
        <w:rPr>
          <w:noProof/>
        </w:rPr>
        <w:t xml:space="preserve"> 2008)</w:t>
      </w:r>
      <w:r w:rsidRPr="00D155A1">
        <w:t xml:space="preserve">, China </w:t>
      </w:r>
      <w:r>
        <w:rPr>
          <w:noProof/>
        </w:rPr>
        <w:t>(Yang</w:t>
      </w:r>
      <w:r w:rsidRPr="00791A95">
        <w:rPr>
          <w:i/>
          <w:noProof/>
        </w:rPr>
        <w:t xml:space="preserve"> et al.</w:t>
      </w:r>
      <w:r>
        <w:rPr>
          <w:noProof/>
        </w:rPr>
        <w:t xml:space="preserve"> 2013, Jiang</w:t>
      </w:r>
      <w:r w:rsidRPr="00791A95">
        <w:rPr>
          <w:i/>
          <w:noProof/>
        </w:rPr>
        <w:t xml:space="preserve"> et al.</w:t>
      </w:r>
      <w:r>
        <w:rPr>
          <w:noProof/>
        </w:rPr>
        <w:t xml:space="preserve"> 2014)</w:t>
      </w:r>
      <w:r>
        <w:t xml:space="preserve">, </w:t>
      </w:r>
      <w:r w:rsidRPr="00D155A1">
        <w:t>and Taiwan</w:t>
      </w:r>
      <w:r>
        <w:t xml:space="preserve"> </w:t>
      </w:r>
      <w:r>
        <w:rPr>
          <w:noProof/>
        </w:rPr>
        <w:t>(Lee</w:t>
      </w:r>
      <w:r w:rsidRPr="00791A95">
        <w:rPr>
          <w:i/>
          <w:noProof/>
        </w:rPr>
        <w:t xml:space="preserve"> et al.</w:t>
      </w:r>
      <w:r>
        <w:rPr>
          <w:noProof/>
        </w:rPr>
        <w:t xml:space="preserve"> 2017)</w:t>
      </w:r>
      <w:r w:rsidRPr="00D155A1">
        <w:t xml:space="preserve">.  Not only has this study shown that </w:t>
      </w:r>
      <w:r>
        <w:t xml:space="preserve">the </w:t>
      </w:r>
      <w:r w:rsidRPr="00D155A1">
        <w:t xml:space="preserve">opioid treatment population is ageing (Chapter 4), but results may also </w:t>
      </w:r>
      <w:r>
        <w:t>indicate</w:t>
      </w:r>
      <w:r w:rsidRPr="00D155A1">
        <w:t xml:space="preserve"> better </w:t>
      </w:r>
      <w:r>
        <w:t xml:space="preserve">immediate treatment </w:t>
      </w:r>
      <w:r w:rsidRPr="00D155A1">
        <w:t xml:space="preserve">outcomes associated with increasing age among individuals </w:t>
      </w:r>
      <w:r>
        <w:t>receiving</w:t>
      </w:r>
      <w:r w:rsidRPr="00D155A1">
        <w:t xml:space="preserve"> treatment</w:t>
      </w:r>
      <w:r>
        <w:t xml:space="preserve"> for their opioid use</w:t>
      </w:r>
      <w:r w:rsidRPr="00D155A1">
        <w:t xml:space="preserve">.  These results are evidence of the potential benefit of correctly matching </w:t>
      </w:r>
      <w:r>
        <w:t>individuals</w:t>
      </w:r>
      <w:r w:rsidRPr="00D155A1">
        <w:t xml:space="preserve"> to the appropriate setting of care.</w:t>
      </w:r>
      <w:r>
        <w:t xml:space="preserve">  </w:t>
      </w:r>
      <w:r w:rsidRPr="00670CBD">
        <w:t>For example, both age and general practice setting are protective factors for treatment retention in the opioid substitution modality</w:t>
      </w:r>
      <w:r>
        <w:t>.</w:t>
      </w:r>
      <w:r w:rsidRPr="00670CBD">
        <w:t xml:space="preserve"> </w:t>
      </w:r>
      <w:r>
        <w:t xml:space="preserve"> T</w:t>
      </w:r>
      <w:r w:rsidRPr="00670CBD">
        <w:t>hese factors, particularly in combination</w:t>
      </w:r>
      <w:r>
        <w:t>,</w:t>
      </w:r>
      <w:r w:rsidRPr="00670CBD">
        <w:t xml:space="preserve"> could provide an opportunity to improve general health and integrate people who use drugs into general practice, where other chronic conditions may be treated.  Currently in Ireland, a substantial cohort of individuals in treatment for opioid use problems are not treated in primary care settings, but rather they are ‘trapped’ within high risk, specialist clinical settings </w:t>
      </w:r>
      <w:r w:rsidRPr="00670CBD">
        <w:rPr>
          <w:noProof/>
        </w:rPr>
        <w:t>(Moran</w:t>
      </w:r>
      <w:r w:rsidRPr="00670CBD">
        <w:rPr>
          <w:i/>
          <w:noProof/>
        </w:rPr>
        <w:t xml:space="preserve"> et al.</w:t>
      </w:r>
      <w:r w:rsidRPr="00670CBD">
        <w:rPr>
          <w:noProof/>
        </w:rPr>
        <w:t xml:space="preserve"> 2018)</w:t>
      </w:r>
      <w:r w:rsidRPr="00670CBD">
        <w:t xml:space="preserve">, despite an integrated care model incorporating primary care and addiction care being best in addressing the health needs of people who use drugs </w:t>
      </w:r>
      <w:r w:rsidRPr="00670CBD">
        <w:rPr>
          <w:noProof/>
        </w:rPr>
        <w:t>(Weisner</w:t>
      </w:r>
      <w:r w:rsidRPr="00670CBD">
        <w:rPr>
          <w:i/>
          <w:noProof/>
        </w:rPr>
        <w:t xml:space="preserve"> et al.</w:t>
      </w:r>
      <w:r w:rsidRPr="00670CBD">
        <w:rPr>
          <w:noProof/>
        </w:rPr>
        <w:t xml:space="preserve"> 2001)</w:t>
      </w:r>
      <w:r w:rsidRPr="00670CBD">
        <w:t xml:space="preserve">.  </w:t>
      </w:r>
    </w:p>
    <w:p w:rsidR="003B0DEE" w:rsidRDefault="003B0DEE" w:rsidP="000D5D90">
      <w:pPr>
        <w:pStyle w:val="Heading3"/>
      </w:pPr>
      <w:bookmarkStart w:id="143" w:name="_Toc15331728"/>
      <w:r>
        <w:lastRenderedPageBreak/>
        <w:t>Strengths and limitations</w:t>
      </w:r>
      <w:bookmarkEnd w:id="143"/>
    </w:p>
    <w:p w:rsidR="003B0DEE" w:rsidRDefault="003B0DEE" w:rsidP="000D5D90">
      <w:pPr>
        <w:pStyle w:val="BodyText"/>
      </w:pPr>
      <w:r w:rsidRPr="00976DE2">
        <w:t xml:space="preserve">Several factors render this </w:t>
      </w:r>
      <w:r>
        <w:t>analysis</w:t>
      </w:r>
      <w:r w:rsidRPr="00276A60">
        <w:t xml:space="preserve"> unique amongst the current literature relating to the ageing </w:t>
      </w:r>
      <w:r>
        <w:t>opioid-using</w:t>
      </w:r>
      <w:r w:rsidRPr="00276A60">
        <w:t xml:space="preserve"> population.  </w:t>
      </w:r>
      <w:r>
        <w:t>A systematic review of risk factors for treatment dropout found that (1) study r</w:t>
      </w:r>
      <w:r w:rsidRPr="003C5BD8">
        <w:t xml:space="preserve">esults </w:t>
      </w:r>
      <w:r>
        <w:t>are</w:t>
      </w:r>
      <w:r w:rsidRPr="003C5BD8">
        <w:t xml:space="preserve"> difficult to compare,</w:t>
      </w:r>
      <w:r>
        <w:t xml:space="preserve"> thus limiting </w:t>
      </w:r>
      <w:r w:rsidRPr="003C5BD8">
        <w:t>potential clinical ramifications</w:t>
      </w:r>
      <w:r>
        <w:t xml:space="preserve">, (2) </w:t>
      </w:r>
      <w:r w:rsidRPr="003C5BD8">
        <w:t>many</w:t>
      </w:r>
      <w:r>
        <w:t xml:space="preserve"> </w:t>
      </w:r>
      <w:r w:rsidRPr="003C5BD8">
        <w:t>definitions of risk factors</w:t>
      </w:r>
      <w:r>
        <w:t xml:space="preserve"> exist, which were </w:t>
      </w:r>
      <w:r w:rsidRPr="003C5BD8">
        <w:t>poorly described at times</w:t>
      </w:r>
      <w:r>
        <w:t xml:space="preserve">, (3) </w:t>
      </w:r>
      <w:r w:rsidRPr="003C5BD8">
        <w:t>a</w:t>
      </w:r>
      <w:r>
        <w:t xml:space="preserve"> </w:t>
      </w:r>
      <w:r w:rsidRPr="003C5BD8">
        <w:t xml:space="preserve">wide </w:t>
      </w:r>
      <w:r>
        <w:t xml:space="preserve">range of </w:t>
      </w:r>
      <w:r w:rsidRPr="003C5BD8">
        <w:t>methods to assess the potential risk factors</w:t>
      </w:r>
      <w:r>
        <w:t xml:space="preserve">, and (4) most studies </w:t>
      </w:r>
      <w:r w:rsidRPr="003A0521">
        <w:t>are locally based,</w:t>
      </w:r>
      <w:r>
        <w:t xml:space="preserve"> within </w:t>
      </w:r>
      <w:r w:rsidRPr="003A0521">
        <w:t>single treatment</w:t>
      </w:r>
      <w:r>
        <w:t xml:space="preserve"> </w:t>
      </w:r>
      <w:r w:rsidRPr="003A0521">
        <w:t>facilit</w:t>
      </w:r>
      <w:r>
        <w:t>ies,</w:t>
      </w:r>
      <w:r w:rsidRPr="003A0521">
        <w:t xml:space="preserve"> focused on one type of treatment setting</w:t>
      </w:r>
      <w:r>
        <w:t xml:space="preserve"> </w:t>
      </w:r>
      <w:r>
        <w:rPr>
          <w:noProof/>
        </w:rPr>
        <w:t>(Brorson</w:t>
      </w:r>
      <w:r w:rsidRPr="00791A95">
        <w:rPr>
          <w:i/>
          <w:noProof/>
        </w:rPr>
        <w:t xml:space="preserve"> et al.</w:t>
      </w:r>
      <w:r>
        <w:rPr>
          <w:noProof/>
        </w:rPr>
        <w:t xml:space="preserve"> 2013)</w:t>
      </w:r>
      <w:r w:rsidRPr="003C5BD8">
        <w:t>.</w:t>
      </w:r>
      <w:r>
        <w:t xml:space="preserve">  The current analysis </w:t>
      </w:r>
      <w:r w:rsidRPr="00276A60">
        <w:t>is the first to comprehensively describe all opioid treatment discharges for Ireland.</w:t>
      </w:r>
      <w:r>
        <w:t xml:space="preserve">  S</w:t>
      </w:r>
      <w:r w:rsidRPr="00276A60">
        <w:t xml:space="preserve">trengths </w:t>
      </w:r>
      <w:r w:rsidRPr="00976DE2">
        <w:t xml:space="preserve">include the use of a national </w:t>
      </w:r>
      <w:r>
        <w:t xml:space="preserve">long standing, </w:t>
      </w:r>
      <w:r w:rsidRPr="003C5BD8">
        <w:t>large scale</w:t>
      </w:r>
      <w:r w:rsidRPr="00976DE2">
        <w:t xml:space="preserve"> epidemiological </w:t>
      </w:r>
      <w:r>
        <w:t>dataset with l</w:t>
      </w:r>
      <w:r w:rsidRPr="003C5BD8">
        <w:t xml:space="preserve">ong-term follow-up of all individuals accessing </w:t>
      </w:r>
      <w:r>
        <w:t xml:space="preserve">opioid </w:t>
      </w:r>
      <w:r w:rsidRPr="003C5BD8">
        <w:t>treatment</w:t>
      </w:r>
      <w:r>
        <w:t xml:space="preserve">, </w:t>
      </w:r>
      <w:r w:rsidRPr="008737A6">
        <w:t>with evidence-based recommendations for policy and practice</w:t>
      </w:r>
      <w:r w:rsidRPr="00976DE2">
        <w:t xml:space="preserve">.  The surveillance system follows a long established common European protocol </w:t>
      </w:r>
      <w:r>
        <w:rPr>
          <w:noProof/>
        </w:rPr>
        <w:t>(European Monitoring Centre for Drugs and Drug Addiction 2012a)</w:t>
      </w:r>
      <w:r>
        <w:t xml:space="preserve">, although the TDI is currently limited to treatment entry; this study indicates the usefulness of expanding data collection to include discharge data and thus </w:t>
      </w:r>
      <w:r w:rsidRPr="00976DE2">
        <w:t xml:space="preserve">contributing to the knowledge of the dynamics of epidemics.  </w:t>
      </w:r>
      <w:r>
        <w:t>L</w:t>
      </w:r>
      <w:r w:rsidRPr="003C5BD8">
        <w:t>ong term</w:t>
      </w:r>
      <w:r w:rsidRPr="00E90B3F">
        <w:t xml:space="preserve"> </w:t>
      </w:r>
      <w:r>
        <w:t>treatment</w:t>
      </w:r>
      <w:r w:rsidRPr="00E90B3F">
        <w:t xml:space="preserve"> </w:t>
      </w:r>
      <w:r>
        <w:t>engagement is c</w:t>
      </w:r>
      <w:r w:rsidRPr="003C5BD8">
        <w:t xml:space="preserve">onsidered </w:t>
      </w:r>
      <w:r>
        <w:t>a</w:t>
      </w:r>
      <w:r w:rsidRPr="003C5BD8">
        <w:t xml:space="preserve"> positive proximal</w:t>
      </w:r>
      <w:r>
        <w:t xml:space="preserve"> </w:t>
      </w:r>
      <w:r w:rsidRPr="003C5BD8">
        <w:t>treatment outcome</w:t>
      </w:r>
      <w:r>
        <w:t>.  This study included people</w:t>
      </w:r>
      <w:r w:rsidRPr="003C5BD8">
        <w:t xml:space="preserve"> who are successful in</w:t>
      </w:r>
      <w:r>
        <w:t xml:space="preserve"> treatment in the survival analysis, unlike other studies (e.g. </w:t>
      </w:r>
      <w:r>
        <w:rPr>
          <w:noProof/>
        </w:rPr>
        <w:t>(Stahler &amp; Mennis 2018)</w:t>
      </w:r>
      <w:r w:rsidRPr="008737A6">
        <w:t xml:space="preserve">) </w:t>
      </w:r>
      <w:r>
        <w:t xml:space="preserve">which exclude them because </w:t>
      </w:r>
      <w:r w:rsidRPr="003C5BD8">
        <w:t xml:space="preserve">they </w:t>
      </w:r>
      <w:r>
        <w:t>are</w:t>
      </w:r>
      <w:r w:rsidRPr="003C5BD8">
        <w:t xml:space="preserve"> not</w:t>
      </w:r>
      <w:r>
        <w:t xml:space="preserve"> </w:t>
      </w:r>
      <w:r w:rsidRPr="003C5BD8">
        <w:t>discharged</w:t>
      </w:r>
      <w:r>
        <w:t xml:space="preserve">. </w:t>
      </w:r>
    </w:p>
    <w:p w:rsidR="003B0DEE" w:rsidRDefault="003B0DEE" w:rsidP="000D5D90">
      <w:pPr>
        <w:pStyle w:val="BodyText"/>
      </w:pPr>
      <w:r>
        <w:t xml:space="preserve">This analysis was most interested in </w:t>
      </w:r>
      <w:r w:rsidRPr="00CA65DA">
        <w:t>contrasting</w:t>
      </w:r>
      <w:r>
        <w:t xml:space="preserve"> </w:t>
      </w:r>
      <w:r w:rsidRPr="00CA65DA">
        <w:t xml:space="preserve">what is known </w:t>
      </w:r>
      <w:r>
        <w:t xml:space="preserve">about a </w:t>
      </w:r>
      <w:r w:rsidRPr="00CA65DA">
        <w:t xml:space="preserve">successful </w:t>
      </w:r>
      <w:r>
        <w:t>treatment completion</w:t>
      </w:r>
      <w:r w:rsidRPr="00CA65DA">
        <w:t xml:space="preserve"> versus </w:t>
      </w:r>
      <w:r>
        <w:t xml:space="preserve">a treatment dropout </w:t>
      </w:r>
      <w:r w:rsidRPr="00CA65DA">
        <w:t>among</w:t>
      </w:r>
      <w:r>
        <w:t xml:space="preserve"> </w:t>
      </w:r>
      <w:r w:rsidRPr="00CA65DA">
        <w:t xml:space="preserve">those who had the opportunity to </w:t>
      </w:r>
      <w:r>
        <w:t xml:space="preserve">complete treatment.  Therefore, a number of </w:t>
      </w:r>
      <w:r w:rsidRPr="00CA65DA">
        <w:t>other types of discharge</w:t>
      </w:r>
      <w:r>
        <w:t xml:space="preserve">s were excluded from the analysis (e.g. died, sentenced to prison, medical issues etc.).  Although these exclusions may be </w:t>
      </w:r>
      <w:r w:rsidRPr="00CA65DA">
        <w:t>viewed as a form</w:t>
      </w:r>
      <w:r>
        <w:t xml:space="preserve"> </w:t>
      </w:r>
      <w:r w:rsidRPr="00CA65DA">
        <w:t xml:space="preserve">of </w:t>
      </w:r>
      <w:r>
        <w:t xml:space="preserve">dropout, these individuals did not have the opportunity to complete treatment and their exclusion </w:t>
      </w:r>
      <w:r w:rsidRPr="00E15CCB">
        <w:t xml:space="preserve">is consistent with other studies on treatment completion internationally </w:t>
      </w:r>
      <w:r>
        <w:rPr>
          <w:noProof/>
        </w:rPr>
        <w:t>(Scalise</w:t>
      </w:r>
      <w:r w:rsidRPr="00791A95">
        <w:rPr>
          <w:i/>
          <w:noProof/>
        </w:rPr>
        <w:t xml:space="preserve"> et al.</w:t>
      </w:r>
      <w:r>
        <w:rPr>
          <w:noProof/>
        </w:rPr>
        <w:t xml:space="preserve"> 2010, Mennis &amp; Stahler 2016)</w:t>
      </w:r>
      <w:r>
        <w:t>.  The</w:t>
      </w:r>
      <w:r w:rsidRPr="00CA65DA">
        <w:t xml:space="preserve"> </w:t>
      </w:r>
      <w:r>
        <w:t>cause</w:t>
      </w:r>
      <w:r w:rsidRPr="00CA65DA">
        <w:t xml:space="preserve"> of treatment </w:t>
      </w:r>
      <w:r>
        <w:t>dropout</w:t>
      </w:r>
      <w:r w:rsidRPr="00CA65DA">
        <w:t xml:space="preserve"> for those</w:t>
      </w:r>
      <w:r>
        <w:t xml:space="preserve"> </w:t>
      </w:r>
      <w:r w:rsidRPr="00CA65DA">
        <w:t>who died</w:t>
      </w:r>
      <w:r>
        <w:t>,</w:t>
      </w:r>
      <w:r w:rsidRPr="00CA65DA">
        <w:t xml:space="preserve"> were </w:t>
      </w:r>
      <w:r>
        <w:t xml:space="preserve">sentenced to prison, or had medical issues </w:t>
      </w:r>
      <w:r w:rsidRPr="00CA65DA">
        <w:t>are different</w:t>
      </w:r>
      <w:r>
        <w:t xml:space="preserve"> </w:t>
      </w:r>
      <w:r w:rsidRPr="00CA65DA">
        <w:t xml:space="preserve">from those who had the opportunity to complete treatment but </w:t>
      </w:r>
      <w:r>
        <w:t xml:space="preserve">dropped out </w:t>
      </w:r>
      <w:r w:rsidRPr="00CA65DA">
        <w:t>voluntarily or</w:t>
      </w:r>
      <w:r>
        <w:t xml:space="preserve"> had their treatment </w:t>
      </w:r>
      <w:r w:rsidRPr="00CA65DA">
        <w:t xml:space="preserve">terminated by the </w:t>
      </w:r>
      <w:r>
        <w:t>programme due to non-compliance</w:t>
      </w:r>
      <w:r w:rsidRPr="00CA65DA">
        <w:t>.</w:t>
      </w:r>
      <w:r>
        <w:t xml:space="preserve">  Age was an important covariate under examination, it was considered useful to investigate the effect of age changing year-on-year rather than undertaking an age cohorts analysis concerned with transitions between age bands.    </w:t>
      </w:r>
    </w:p>
    <w:p w:rsidR="003B0DEE" w:rsidRDefault="003B0DEE" w:rsidP="000D5D90">
      <w:pPr>
        <w:pStyle w:val="BodyText"/>
      </w:pPr>
      <w:r>
        <w:t xml:space="preserve">Limitations previously mentioned in Chapters 3 and 4 such as </w:t>
      </w:r>
      <w:r w:rsidRPr="00976DE2">
        <w:t>self-reported data</w:t>
      </w:r>
      <w:r>
        <w:t xml:space="preserve"> also apply in this chapter.  There are a number of additional limitations which should also be considered. </w:t>
      </w:r>
      <w:r w:rsidRPr="00CA65DA">
        <w:t xml:space="preserve"> </w:t>
      </w:r>
      <w:r>
        <w:t>This analysis is based on first-time opioid treatment entrants between 2009 and 2015.  At the time that this study was carried out, treatment entrant data for 2015 was the most up-to-date available.  Although all treatment entrants were followed in the discharge dataset up to the end of 2017, i</w:t>
      </w:r>
      <w:r w:rsidRPr="003C5BD8">
        <w:t xml:space="preserve">t is possible that </w:t>
      </w:r>
      <w:r>
        <w:t xml:space="preserve">the profile of treatment entrants may have changed in the intervening period.  </w:t>
      </w:r>
      <w:r w:rsidRPr="003C5BD8">
        <w:t xml:space="preserve">The study results could be vulnerable to </w:t>
      </w:r>
      <w:r>
        <w:t xml:space="preserve">treatment entrants commencing </w:t>
      </w:r>
      <w:r w:rsidRPr="003C5BD8">
        <w:t xml:space="preserve">late in the study, although this is unlikely as the minimum </w:t>
      </w:r>
      <w:r>
        <w:t>follow-up</w:t>
      </w:r>
      <w:r w:rsidRPr="003C5BD8">
        <w:t xml:space="preserve"> period was two years (the last possible date for treatment entry was 31</w:t>
      </w:r>
      <w:r>
        <w:t>/12/2015</w:t>
      </w:r>
      <w:r w:rsidRPr="003C5BD8">
        <w:t xml:space="preserve"> and </w:t>
      </w:r>
      <w:r>
        <w:t>cases</w:t>
      </w:r>
      <w:r w:rsidRPr="003C5BD8">
        <w:t xml:space="preserve"> were followed up to 31</w:t>
      </w:r>
      <w:r>
        <w:t>/12/2017</w:t>
      </w:r>
      <w:r w:rsidRPr="003C5BD8">
        <w:t xml:space="preserve">). </w:t>
      </w:r>
      <w:r>
        <w:t xml:space="preserve"> In addition, </w:t>
      </w:r>
      <w:r w:rsidRPr="003C5BD8">
        <w:t>interventions</w:t>
      </w:r>
      <w:r>
        <w:t xml:space="preserve"> outside the scope of the NDTRS are not recorded (such as Narcotics</w:t>
      </w:r>
      <w:r w:rsidRPr="003C5BD8">
        <w:t xml:space="preserve"> </w:t>
      </w:r>
      <w:proofErr w:type="gramStart"/>
      <w:r w:rsidRPr="003C5BD8">
        <w:t>Anonymous</w:t>
      </w:r>
      <w:r>
        <w:t>,</w:t>
      </w:r>
      <w:proofErr w:type="gramEnd"/>
      <w:r>
        <w:t xml:space="preserve"> or interactions through needle exchange services) and cannot be assessed for potential impact.  The discharge status of </w:t>
      </w:r>
      <w:r w:rsidRPr="003C5BD8">
        <w:t xml:space="preserve">“treatment completion” </w:t>
      </w:r>
      <w:r>
        <w:t xml:space="preserve">is assigned by the treatment practitioner </w:t>
      </w:r>
      <w:r w:rsidRPr="003C5BD8">
        <w:t>and may vary across</w:t>
      </w:r>
      <w:r>
        <w:t xml:space="preserve"> </w:t>
      </w:r>
      <w:r>
        <w:lastRenderedPageBreak/>
        <w:t>treatment</w:t>
      </w:r>
      <w:r w:rsidRPr="003C5BD8">
        <w:t xml:space="preserve"> program</w:t>
      </w:r>
      <w:r>
        <w:t>me</w:t>
      </w:r>
      <w:r w:rsidRPr="003C5BD8">
        <w:t>s</w:t>
      </w:r>
      <w:r>
        <w:t xml:space="preserve">.  </w:t>
      </w:r>
    </w:p>
    <w:p w:rsidR="003B0DEE" w:rsidRDefault="003B0DEE" w:rsidP="000D5D90">
      <w:pPr>
        <w:pStyle w:val="BodyText"/>
      </w:pPr>
      <w:r>
        <w:t xml:space="preserve">All covariates recorded in the NDTRS were considered in the analysis.  However, other covariates outside of the NDTRS may further explain the </w:t>
      </w:r>
      <w:r w:rsidRPr="003C5BD8">
        <w:t>likelihood of</w:t>
      </w:r>
      <w:r>
        <w:t xml:space="preserve"> treatment retention, such as treatment </w:t>
      </w:r>
      <w:r w:rsidRPr="003C5BD8">
        <w:t xml:space="preserve">motivation </w:t>
      </w:r>
      <w:r>
        <w:rPr>
          <w:noProof/>
        </w:rPr>
        <w:t>(Simpson &amp; Joe 1993)</w:t>
      </w:r>
      <w:r w:rsidRPr="003C5BD8">
        <w:t xml:space="preserve">, </w:t>
      </w:r>
      <w:r>
        <w:t xml:space="preserve">treatment </w:t>
      </w:r>
      <w:r w:rsidRPr="003C5BD8">
        <w:t xml:space="preserve">engagement </w:t>
      </w:r>
      <w:r>
        <w:rPr>
          <w:noProof/>
        </w:rPr>
        <w:t>(Simpson</w:t>
      </w:r>
      <w:r w:rsidRPr="00791A95">
        <w:rPr>
          <w:i/>
          <w:noProof/>
        </w:rPr>
        <w:t xml:space="preserve"> et al.</w:t>
      </w:r>
      <w:r>
        <w:rPr>
          <w:noProof/>
        </w:rPr>
        <w:t xml:space="preserve"> 1995)</w:t>
      </w:r>
      <w:r>
        <w:t xml:space="preserve">, </w:t>
      </w:r>
      <w:r w:rsidRPr="003C5BD8">
        <w:rPr>
          <w:color w:val="000000"/>
        </w:rPr>
        <w:t>measures of self-efficacy, personality traits and specific</w:t>
      </w:r>
      <w:r>
        <w:t xml:space="preserve"> </w:t>
      </w:r>
      <w:r w:rsidRPr="003C5BD8">
        <w:rPr>
          <w:color w:val="000000"/>
        </w:rPr>
        <w:t>co-existing mental health conditions</w:t>
      </w:r>
      <w:r>
        <w:rPr>
          <w:color w:val="000000"/>
        </w:rPr>
        <w:t xml:space="preserve"> </w:t>
      </w:r>
      <w:r>
        <w:rPr>
          <w:noProof/>
          <w:color w:val="000000"/>
        </w:rPr>
        <w:t>(Adamson</w:t>
      </w:r>
      <w:r w:rsidRPr="00791A95">
        <w:rPr>
          <w:i/>
          <w:noProof/>
          <w:color w:val="000000"/>
        </w:rPr>
        <w:t xml:space="preserve"> et al.</w:t>
      </w:r>
      <w:r>
        <w:rPr>
          <w:noProof/>
          <w:color w:val="000000"/>
        </w:rPr>
        <w:t xml:space="preserve"> 2009)</w:t>
      </w:r>
      <w:r w:rsidRPr="003C5BD8">
        <w:t xml:space="preserve"> and other recovery capabilities </w:t>
      </w:r>
      <w:r>
        <w:rPr>
          <w:noProof/>
        </w:rPr>
        <w:t>(Gossop</w:t>
      </w:r>
      <w:r w:rsidRPr="00791A95">
        <w:rPr>
          <w:i/>
          <w:noProof/>
        </w:rPr>
        <w:t xml:space="preserve"> et al.</w:t>
      </w:r>
      <w:r>
        <w:rPr>
          <w:noProof/>
        </w:rPr>
        <w:t xml:space="preserve"> 2002)</w:t>
      </w:r>
      <w:r w:rsidRPr="003C5BD8">
        <w:t xml:space="preserve">. </w:t>
      </w:r>
      <w:r>
        <w:t xml:space="preserve"> </w:t>
      </w:r>
      <w:r w:rsidRPr="003C5BD8">
        <w:t xml:space="preserve">Although </w:t>
      </w:r>
      <w:r>
        <w:t xml:space="preserve">the study controlled for certain service provider attributes such as treatment setting and </w:t>
      </w:r>
      <w:r w:rsidRPr="003C5BD8">
        <w:t>treatment</w:t>
      </w:r>
      <w:r>
        <w:t xml:space="preserve"> duration, </w:t>
      </w:r>
      <w:r w:rsidRPr="003C5BD8">
        <w:t xml:space="preserve">there may be residual confounding </w:t>
      </w:r>
      <w:r>
        <w:t>due to</w:t>
      </w:r>
      <w:r w:rsidRPr="003C5BD8">
        <w:t xml:space="preserve"> characteristics specific to individual </w:t>
      </w:r>
      <w:r>
        <w:t>providers</w:t>
      </w:r>
      <w:r w:rsidRPr="003C5BD8">
        <w:t>.</w:t>
      </w:r>
      <w:r w:rsidRPr="001D2E6A">
        <w:t xml:space="preserve"> </w:t>
      </w:r>
      <w:r>
        <w:t xml:space="preserve"> Since the core NDTRS dataset does not collect operational data on treatment providers, programme delivery, or individual level treatment such as methadone dose, it was </w:t>
      </w:r>
      <w:r w:rsidRPr="003C5BD8">
        <w:t>not possible to</w:t>
      </w:r>
      <w:r>
        <w:t xml:space="preserve"> </w:t>
      </w:r>
      <w:r w:rsidRPr="003C5BD8">
        <w:t xml:space="preserve">incorporate </w:t>
      </w:r>
      <w:r>
        <w:t>these</w:t>
      </w:r>
      <w:r w:rsidRPr="003C5BD8">
        <w:t xml:space="preserve"> into th</w:t>
      </w:r>
      <w:r>
        <w:t>e</w:t>
      </w:r>
      <w:r w:rsidRPr="003C5BD8">
        <w:t xml:space="preserve"> analysis.</w:t>
      </w:r>
      <w:r w:rsidRPr="00B37D8D">
        <w:t xml:space="preserve"> </w:t>
      </w:r>
      <w:r>
        <w:t xml:space="preserve"> </w:t>
      </w:r>
      <w:r w:rsidRPr="00233E23">
        <w:t xml:space="preserve">The analyses of non-completion outcomes besides dropout or termination by the provider, such as imprisonment or death, may yield different results.  Treatment episode completion is only one indicator of a successful outcome; other outcomes </w:t>
      </w:r>
      <w:r>
        <w:t>include</w:t>
      </w:r>
      <w:r w:rsidRPr="00233E23">
        <w:t xml:space="preserve"> drug use, crime, physical and mental health, social functioning, harms, mortality and economic factors</w:t>
      </w:r>
      <w:r>
        <w:t xml:space="preserve"> </w:t>
      </w:r>
      <w:r>
        <w:rPr>
          <w:noProof/>
        </w:rPr>
        <w:t>(Wiessing</w:t>
      </w:r>
      <w:r w:rsidRPr="00791A95">
        <w:rPr>
          <w:i/>
          <w:noProof/>
        </w:rPr>
        <w:t xml:space="preserve"> et al.</w:t>
      </w:r>
      <w:r>
        <w:rPr>
          <w:noProof/>
        </w:rPr>
        <w:t xml:space="preserve"> 2018)</w:t>
      </w:r>
      <w:r>
        <w:t>.</w:t>
      </w:r>
      <w:r w:rsidRPr="00233E23">
        <w:t xml:space="preserve"> </w:t>
      </w:r>
      <w:r>
        <w:t xml:space="preserve"> H</w:t>
      </w:r>
      <w:r w:rsidRPr="00233E23">
        <w:t>owever</w:t>
      </w:r>
      <w:r>
        <w:t>,</w:t>
      </w:r>
      <w:r w:rsidRPr="00233E23">
        <w:t xml:space="preserve"> these </w:t>
      </w:r>
      <w:r>
        <w:t xml:space="preserve">outcome </w:t>
      </w:r>
      <w:r w:rsidRPr="00233E23">
        <w:t xml:space="preserve">factors are </w:t>
      </w:r>
      <w:r>
        <w:t xml:space="preserve">more appropriately monitored in a longitudinal follow-up study rather than treatment surveillance systems. </w:t>
      </w:r>
    </w:p>
    <w:p w:rsidR="003B0DEE" w:rsidRDefault="003B0DEE" w:rsidP="000D5D90">
      <w:pPr>
        <w:pStyle w:val="BodyText"/>
      </w:pPr>
      <w:r w:rsidRPr="00E90B3F">
        <w:t>Due to the absence of a unique health identifier in Ireland, individuals who have multiple drug trea</w:t>
      </w:r>
      <w:r>
        <w:t xml:space="preserve">tment episodes cannot be linked.  Consequently, it was not possible to investigate </w:t>
      </w:r>
      <w:r w:rsidRPr="003C5BD8">
        <w:t>post-treatment outcomes such as relapse</w:t>
      </w:r>
      <w:r>
        <w:t xml:space="preserve"> and treatment readmission.  The study cohort was</w:t>
      </w:r>
      <w:r w:rsidRPr="00DC4954">
        <w:t xml:space="preserve"> </w:t>
      </w:r>
      <w:r w:rsidRPr="003C5BD8">
        <w:t>limited to</w:t>
      </w:r>
      <w:r>
        <w:t xml:space="preserve"> first-time </w:t>
      </w:r>
      <w:r w:rsidRPr="003C5BD8">
        <w:t>treatment admissions</w:t>
      </w:r>
      <w:r>
        <w:t xml:space="preserve"> due to the absence of a unique health identifier</w:t>
      </w:r>
      <w:r w:rsidRPr="003C5BD8">
        <w:t>.</w:t>
      </w:r>
      <w:r>
        <w:t xml:space="preserve">  This limitation is c</w:t>
      </w:r>
      <w:r w:rsidRPr="003C5BD8">
        <w:t>onsistent with previous</w:t>
      </w:r>
      <w:r>
        <w:t xml:space="preserve"> international </w:t>
      </w:r>
      <w:r w:rsidRPr="003C5BD8">
        <w:t>research utili</w:t>
      </w:r>
      <w:r>
        <w:t>s</w:t>
      </w:r>
      <w:r w:rsidRPr="003C5BD8">
        <w:t>ing t</w:t>
      </w:r>
      <w:r>
        <w:t xml:space="preserve">reatment surveillance systems </w:t>
      </w:r>
      <w:r>
        <w:rPr>
          <w:noProof/>
        </w:rPr>
        <w:t>(Arndt</w:t>
      </w:r>
      <w:r w:rsidRPr="00791A95">
        <w:rPr>
          <w:i/>
          <w:noProof/>
        </w:rPr>
        <w:t xml:space="preserve"> et al.</w:t>
      </w:r>
      <w:r>
        <w:rPr>
          <w:noProof/>
        </w:rPr>
        <w:t xml:space="preserve"> 2013, Sahker</w:t>
      </w:r>
      <w:r w:rsidRPr="00791A95">
        <w:rPr>
          <w:i/>
          <w:noProof/>
        </w:rPr>
        <w:t xml:space="preserve"> et al.</w:t>
      </w:r>
      <w:r>
        <w:rPr>
          <w:noProof/>
        </w:rPr>
        <w:t xml:space="preserve"> 2015, Krawczyk</w:t>
      </w:r>
      <w:r w:rsidRPr="00791A95">
        <w:rPr>
          <w:i/>
          <w:noProof/>
        </w:rPr>
        <w:t xml:space="preserve"> et al.</w:t>
      </w:r>
      <w:r>
        <w:rPr>
          <w:noProof/>
        </w:rPr>
        <w:t xml:space="preserve"> 2017, Stahler &amp; Mennis 2018)</w:t>
      </w:r>
      <w:r>
        <w:t xml:space="preserve">.  However, the </w:t>
      </w:r>
      <w:r w:rsidRPr="003C5BD8">
        <w:t>generali</w:t>
      </w:r>
      <w:r>
        <w:t>s</w:t>
      </w:r>
      <w:r w:rsidRPr="003C5BD8">
        <w:t>ability</w:t>
      </w:r>
      <w:r>
        <w:t xml:space="preserve"> </w:t>
      </w:r>
      <w:r w:rsidRPr="003C5BD8">
        <w:t xml:space="preserve">of the </w:t>
      </w:r>
      <w:r w:rsidRPr="00201015">
        <w:t xml:space="preserve">study findings </w:t>
      </w:r>
      <w:proofErr w:type="gramStart"/>
      <w:r w:rsidRPr="00201015">
        <w:t>are</w:t>
      </w:r>
      <w:proofErr w:type="gramEnd"/>
      <w:r w:rsidRPr="00201015">
        <w:t xml:space="preserve"> limited to people entering treatment for the first time.  A previous study by Stahler </w:t>
      </w:r>
      <w:r w:rsidRPr="00201015">
        <w:rPr>
          <w:i/>
        </w:rPr>
        <w:t>et al.</w:t>
      </w:r>
      <w:r>
        <w:t xml:space="preserve"> </w:t>
      </w:r>
      <w:r w:rsidRPr="00201015">
        <w:t xml:space="preserve">indicated </w:t>
      </w:r>
      <w:r>
        <w:t xml:space="preserve">that such a limitation may </w:t>
      </w:r>
      <w:r w:rsidRPr="003C5BD8">
        <w:t>bias the representativeness of the sample in the direction of a</w:t>
      </w:r>
      <w:r>
        <w:t xml:space="preserve"> </w:t>
      </w:r>
      <w:r w:rsidRPr="003C5BD8">
        <w:t>younger, more treatment naïve, and potentially less chronic population</w:t>
      </w:r>
      <w:r>
        <w:t xml:space="preserve"> with a </w:t>
      </w:r>
      <w:r w:rsidRPr="003C5BD8">
        <w:t>reduced likelihood of treatment completion</w:t>
      </w:r>
      <w:r>
        <w:t xml:space="preserve"> </w:t>
      </w:r>
      <w:r>
        <w:rPr>
          <w:noProof/>
        </w:rPr>
        <w:t>(Stahler &amp; Mennis 2018)</w:t>
      </w:r>
      <w:r>
        <w:t>.  However, in the case of this Irish dataset this bias may not apply as the results of Chapters 4 and 5 have indicated that the Irish study cohort are ageing, there is p</w:t>
      </w:r>
      <w:r w:rsidRPr="00976DE2">
        <w:t>rolonged use of opioids, increased proportions of injectors, increased durations of injecting before seeking treatment, along with increased sharing of injecting equipment among women, all indicat</w:t>
      </w:r>
      <w:r>
        <w:t>ing</w:t>
      </w:r>
      <w:r w:rsidRPr="00976DE2">
        <w:t xml:space="preserve"> a population with more complex and chronic </w:t>
      </w:r>
      <w:r>
        <w:t>drug-using</w:t>
      </w:r>
      <w:r w:rsidRPr="00976DE2">
        <w:t xml:space="preserve"> practice and more complex needs which may be more difficult to treat</w:t>
      </w:r>
      <w:r>
        <w:t xml:space="preserve"> </w:t>
      </w:r>
      <w:r>
        <w:rPr>
          <w:noProof/>
        </w:rPr>
        <w:t>(Carew &amp; Comiskey 2018b)</w:t>
      </w:r>
      <w:r w:rsidRPr="00976DE2">
        <w:t xml:space="preserve">.  </w:t>
      </w:r>
    </w:p>
    <w:p w:rsidR="003B0DEE" w:rsidRDefault="003B0DEE" w:rsidP="000D5D90">
      <w:pPr>
        <w:pStyle w:val="Heading3"/>
      </w:pPr>
      <w:bookmarkStart w:id="144" w:name="_Toc15331729"/>
      <w:r>
        <w:t>Implications for policy and practice</w:t>
      </w:r>
      <w:bookmarkEnd w:id="144"/>
    </w:p>
    <w:p w:rsidR="003B0DEE" w:rsidRPr="006639C3" w:rsidRDefault="003B0DEE" w:rsidP="00F07F03">
      <w:pPr>
        <w:pStyle w:val="BodyText"/>
        <w:rPr>
          <w:color w:val="000000"/>
          <w:szCs w:val="20"/>
        </w:rPr>
      </w:pPr>
      <w:r>
        <w:t>R</w:t>
      </w:r>
      <w:r w:rsidRPr="003C5BD8">
        <w:t xml:space="preserve">egardless of </w:t>
      </w:r>
      <w:r>
        <w:t xml:space="preserve">treatment </w:t>
      </w:r>
      <w:r w:rsidRPr="003C5BD8">
        <w:t xml:space="preserve">modality, </w:t>
      </w:r>
      <w:r>
        <w:t>r</w:t>
      </w:r>
      <w:r w:rsidRPr="002C7A4C">
        <w:t xml:space="preserve">ates of </w:t>
      </w:r>
      <w:r>
        <w:t xml:space="preserve">opioid </w:t>
      </w:r>
      <w:r w:rsidRPr="002C7A4C">
        <w:t xml:space="preserve">treatment </w:t>
      </w:r>
      <w:r>
        <w:t>dropout</w:t>
      </w:r>
      <w:r w:rsidRPr="002C7A4C">
        <w:t xml:space="preserve"> </w:t>
      </w:r>
      <w:r>
        <w:t>were</w:t>
      </w:r>
      <w:r w:rsidRPr="002C7A4C">
        <w:t xml:space="preserve"> high.  In order to </w:t>
      </w:r>
      <w:r w:rsidRPr="003C5BD8">
        <w:t xml:space="preserve">counteract </w:t>
      </w:r>
      <w:r>
        <w:t>dropout</w:t>
      </w:r>
      <w:r w:rsidRPr="003C5BD8">
        <w:t xml:space="preserve">, </w:t>
      </w:r>
      <w:r>
        <w:t>treatment providers m</w:t>
      </w:r>
      <w:r w:rsidRPr="003C5BD8">
        <w:t xml:space="preserve">ust </w:t>
      </w:r>
      <w:r>
        <w:t xml:space="preserve">consider not only who is at </w:t>
      </w:r>
      <w:r w:rsidRPr="003C5BD8">
        <w:t xml:space="preserve">high-risk </w:t>
      </w:r>
      <w:r>
        <w:t xml:space="preserve">of dropout, but also when dropout is most likely to occur.  More attention should be given to </w:t>
      </w:r>
      <w:r w:rsidRPr="003C5BD8">
        <w:t>creative treatment retention and re-engagement strategies</w:t>
      </w:r>
      <w:r>
        <w:t xml:space="preserve">, and the study findings can inform treatment provision and assist </w:t>
      </w:r>
      <w:r w:rsidRPr="00670CBD">
        <w:t xml:space="preserve">providers to boost </w:t>
      </w:r>
      <w:r w:rsidR="009D2A34" w:rsidRPr="00670CBD">
        <w:t>retention.</w:t>
      </w:r>
      <w:r w:rsidR="009D2A34" w:rsidRPr="006639C3">
        <w:rPr>
          <w:szCs w:val="20"/>
        </w:rPr>
        <w:t xml:space="preserve">  The</w:t>
      </w:r>
      <w:r w:rsidRPr="006639C3">
        <w:rPr>
          <w:szCs w:val="20"/>
        </w:rPr>
        <w:t xml:space="preserve"> findings of this chapter illustrate the complexity of treatment and factors which lead to retention or dropout.  It is envisaged that these results will assist policymakers and practitioners in their efforts to improve treatment retention and outcomes.  Rates of treatment completion are low and regardless of treatment modality, rates of dropout are </w:t>
      </w:r>
      <w:r w:rsidRPr="006639C3">
        <w:rPr>
          <w:szCs w:val="20"/>
        </w:rPr>
        <w:lastRenderedPageBreak/>
        <w:t xml:space="preserve">high.  Treatment retention can be improved by better understanding factors associated with treatment retention and dropout.  </w:t>
      </w:r>
      <w:r w:rsidRPr="006639C3">
        <w:rPr>
          <w:color w:val="000000"/>
          <w:szCs w:val="20"/>
        </w:rPr>
        <w:t>The factors identified can enable service providers to focus efforts on the most vulnerable people at the stage of their treatment journey when they are most risk of dropping out.  The results can inform service enhancements that may increase treatment engagement.  There is a need for service providers to investigate different ways of maintaining service engagement.</w:t>
      </w:r>
    </w:p>
    <w:p w:rsidR="003B0DEE" w:rsidRPr="006639C3" w:rsidRDefault="003B0DEE" w:rsidP="00F07F03">
      <w:pPr>
        <w:spacing w:line="360" w:lineRule="auto"/>
        <w:jc w:val="left"/>
        <w:rPr>
          <w:rFonts w:ascii="Arial" w:hAnsi="Arial" w:cs="Arial"/>
          <w:sz w:val="20"/>
        </w:rPr>
      </w:pPr>
      <w:r w:rsidRPr="006639C3">
        <w:rPr>
          <w:rFonts w:ascii="Arial" w:hAnsi="Arial" w:cs="Arial"/>
          <w:color w:val="000000"/>
          <w:sz w:val="20"/>
        </w:rPr>
        <w:t>The results show that a large proportion of people dropped out of treatment.  In order to maximise treatment benefit, treatment providers will need to ensure that treatment contact endures long enough to accrue a positive effect on the health and wellbeing of people who access services.  Irrespective of treatment modality, treatment setting had a strong influence on retention which suggests that rates of early exit may be affected by suitably matching programmes with a person’s needs and/or service enhancements</w:t>
      </w:r>
      <w:r>
        <w:rPr>
          <w:rFonts w:ascii="Arial" w:hAnsi="Arial" w:cs="Arial"/>
          <w:color w:val="000000"/>
          <w:sz w:val="20"/>
        </w:rPr>
        <w:t xml:space="preserve"> and c</w:t>
      </w:r>
      <w:r w:rsidRPr="006639C3">
        <w:rPr>
          <w:rFonts w:ascii="Arial" w:hAnsi="Arial" w:cs="Arial"/>
          <w:sz w:val="20"/>
        </w:rPr>
        <w:t xml:space="preserve">are approaches employed in chronic illness management may be especially appropriate </w:t>
      </w:r>
      <w:r>
        <w:rPr>
          <w:rFonts w:ascii="Arial" w:hAnsi="Arial" w:cs="Arial"/>
          <w:sz w:val="20"/>
        </w:rPr>
        <w:t>for the</w:t>
      </w:r>
      <w:r w:rsidRPr="006639C3">
        <w:rPr>
          <w:rFonts w:ascii="Arial" w:hAnsi="Arial" w:cs="Arial"/>
          <w:sz w:val="20"/>
        </w:rPr>
        <w:t xml:space="preserve"> ageing population who use opioid drugs.</w:t>
      </w:r>
      <w:r>
        <w:rPr>
          <w:rFonts w:ascii="Arial" w:hAnsi="Arial" w:cs="Arial"/>
          <w:sz w:val="20"/>
        </w:rPr>
        <w:t xml:space="preserve">  </w:t>
      </w:r>
      <w:r w:rsidRPr="006639C3">
        <w:rPr>
          <w:rFonts w:ascii="Arial" w:hAnsi="Arial" w:cs="Arial"/>
          <w:color w:val="000000"/>
          <w:sz w:val="20"/>
        </w:rPr>
        <w:t xml:space="preserve">The results show a number of sociodemographic and pre-treatment drug use factors were associated with retention.  Therefore, identifying people with these characteristics at the earliest stage possible and taking steps to assist them through the provision of additional supports or more frequent treatment contact may lead to better treatment outcomes.  </w:t>
      </w:r>
      <w:r w:rsidRPr="006639C3">
        <w:rPr>
          <w:rFonts w:ascii="Arial" w:hAnsi="Arial" w:cs="Arial"/>
          <w:sz w:val="20"/>
        </w:rPr>
        <w:t xml:space="preserve">In the case of the structured detoxification modality, referrals by family/friends were associated </w:t>
      </w:r>
      <w:proofErr w:type="gramStart"/>
      <w:r w:rsidRPr="006639C3">
        <w:rPr>
          <w:rFonts w:ascii="Arial" w:hAnsi="Arial" w:cs="Arial"/>
          <w:sz w:val="20"/>
        </w:rPr>
        <w:t>with a higher odds</w:t>
      </w:r>
      <w:proofErr w:type="gramEnd"/>
      <w:r w:rsidRPr="006639C3">
        <w:rPr>
          <w:rFonts w:ascii="Arial" w:hAnsi="Arial" w:cs="Arial"/>
          <w:sz w:val="20"/>
        </w:rPr>
        <w:t xml:space="preserve"> of completing treatment.  This finding indicates that social support for the person undergoing treatment is important in determining treatment retention and outcomes.  Treatment services should ensure that auxiliary services for family members and friends are in place to aid social supports for person undergoing treatment.  </w:t>
      </w:r>
      <w:r w:rsidRPr="006639C3">
        <w:rPr>
          <w:rFonts w:ascii="Arial" w:hAnsi="Arial" w:cs="Arial"/>
          <w:color w:val="000000"/>
          <w:sz w:val="20"/>
        </w:rPr>
        <w:t xml:space="preserve">The high percentage of people who dropped out of the other psychosocial treatment modality after attending for just one session may indicate a need to ensure that providing a positive, welcoming environment to which people wish to return once they have first encountered it.  </w:t>
      </w:r>
      <w:r w:rsidRPr="006639C3">
        <w:rPr>
          <w:rFonts w:ascii="Arial" w:hAnsi="Arial" w:cs="Arial"/>
          <w:sz w:val="20"/>
        </w:rPr>
        <w:t xml:space="preserve">The findings relating to age substantiates the literature findings that encouraging treatment responses are evident in older adults.  Older age at treatment entry is shown to be associated with a reduced risk of treatment dropout and this finding has important implications in terms of service provision as older adults may be more responsive to age specific or tailored services.  Nonetheless, given that the cohort of people who use opioid drugs is ageing, there is a need to develop and refine treatment programmes to ensure that programmes are more accessible, are tailored to the needs of older people and decrease the stigma of problem substance use which may lead to even better treatment outcomes. </w:t>
      </w:r>
      <w:r>
        <w:rPr>
          <w:rFonts w:ascii="Arial" w:hAnsi="Arial" w:cs="Arial"/>
          <w:sz w:val="20"/>
        </w:rPr>
        <w:t xml:space="preserve"> </w:t>
      </w:r>
      <w:r w:rsidRPr="006639C3">
        <w:rPr>
          <w:rFonts w:ascii="Arial" w:hAnsi="Arial" w:cs="Arial"/>
          <w:sz w:val="20"/>
        </w:rPr>
        <w:t>The study results indicate that a focus on treatment outcomes as a performance measure may be useful.  Monitoring retention rates can serve many purposes; allowing for benchmarking against rates reported both nationally and internationally,  providing an indicator operational effectiveness, as well as a measure of the overall capacity of services to meet the needs of the their treatment population.</w:t>
      </w:r>
    </w:p>
    <w:p w:rsidR="003B0DEE" w:rsidRPr="00670CBD" w:rsidRDefault="003B0DEE" w:rsidP="00F07F03">
      <w:pPr>
        <w:pStyle w:val="BodyText"/>
      </w:pPr>
      <w:r w:rsidRPr="00670CBD">
        <w:t xml:space="preserve">Careful consideration and review of treatment retention rates is required.  In the case of opioid substitution treatment, this modality represented 13.0% of the data analysed in this chapter.  Moran </w:t>
      </w:r>
      <w:r w:rsidRPr="00670CBD">
        <w:rPr>
          <w:i/>
        </w:rPr>
        <w:t>et al.</w:t>
      </w:r>
      <w:r w:rsidRPr="00670CBD">
        <w:t xml:space="preserve"> describe the ‘ideal’ journey through an Irish HSE Methadone Specialist Centre whereby the individual engages with their prescriber, adheres to their methadone-dosing regimen, and simultaneously engages with all appropriate services including outreach support, counselling, </w:t>
      </w:r>
      <w:r w:rsidRPr="00670CBD">
        <w:lastRenderedPageBreak/>
        <w:t xml:space="preserve">nursing and psychology.  When stabilised, the individual is transferred to the care of a general practitioner in the community who provides their full medical care, including addiction.  Moran and </w:t>
      </w:r>
      <w:proofErr w:type="gramStart"/>
      <w:r w:rsidRPr="00670CBD">
        <w:t>colleagues</w:t>
      </w:r>
      <w:proofErr w:type="gramEnd"/>
      <w:r w:rsidRPr="00670CBD">
        <w:t xml:space="preserve"> state that many individuals remaining ‘trapped’, never appropriately stabilising to transfer onwards from high risk, specialist clinical settings </w:t>
      </w:r>
      <w:r w:rsidRPr="00670CBD">
        <w:rPr>
          <w:noProof/>
        </w:rPr>
        <w:t>(Moran</w:t>
      </w:r>
      <w:r w:rsidRPr="00670CBD">
        <w:rPr>
          <w:i/>
          <w:noProof/>
        </w:rPr>
        <w:t xml:space="preserve"> et al.</w:t>
      </w:r>
      <w:r w:rsidRPr="00670CBD">
        <w:rPr>
          <w:noProof/>
        </w:rPr>
        <w:t xml:space="preserve"> 2018)</w:t>
      </w:r>
      <w:r w:rsidRPr="00670CBD">
        <w:t xml:space="preserve">.  Figures for 2016 show that 2.2% of all individuals treated in specialist centres were appropriately stabilised and transferred to a community setting </w:t>
      </w:r>
      <w:r w:rsidRPr="00670CBD">
        <w:rPr>
          <w:noProof/>
        </w:rPr>
        <w:t>(Health Service Executive 2016)</w:t>
      </w:r>
      <w:r w:rsidRPr="00670CBD">
        <w:t xml:space="preserve">.  An integrated care model incorporating primary care and addiction care is best in addressing the health needs of people who use drugs </w:t>
      </w:r>
      <w:r w:rsidRPr="00670CBD">
        <w:rPr>
          <w:noProof/>
        </w:rPr>
        <w:t>(Weisner</w:t>
      </w:r>
      <w:r w:rsidRPr="00670CBD">
        <w:rPr>
          <w:i/>
          <w:noProof/>
        </w:rPr>
        <w:t xml:space="preserve"> et al.</w:t>
      </w:r>
      <w:r w:rsidRPr="00670CBD">
        <w:rPr>
          <w:noProof/>
        </w:rPr>
        <w:t xml:space="preserve"> 2001)</w:t>
      </w:r>
      <w:r w:rsidRPr="00670CBD">
        <w:t xml:space="preserve">, and yet a substantial cohort of individuals remain ‘trapped’ within high risk, specialist clinical settings in Ireland </w:t>
      </w:r>
      <w:r w:rsidRPr="00670CBD">
        <w:rPr>
          <w:noProof/>
        </w:rPr>
        <w:t>(Moran</w:t>
      </w:r>
      <w:r w:rsidRPr="00670CBD">
        <w:rPr>
          <w:i/>
          <w:noProof/>
        </w:rPr>
        <w:t xml:space="preserve"> et al.</w:t>
      </w:r>
      <w:r w:rsidRPr="00670CBD">
        <w:rPr>
          <w:noProof/>
        </w:rPr>
        <w:t xml:space="preserve"> 2018)</w:t>
      </w:r>
      <w:r w:rsidRPr="00670CBD">
        <w:t xml:space="preserve">.  A coordinated policy and practice approach is required to address this issue, in addition to integrated service provision, enforced time limits on treatment phases have been proposed by service users themselves to improve their treatment journey </w:t>
      </w:r>
      <w:r w:rsidRPr="00670CBD">
        <w:rPr>
          <w:noProof/>
        </w:rPr>
        <w:t>(Moran</w:t>
      </w:r>
      <w:r w:rsidRPr="00670CBD">
        <w:rPr>
          <w:i/>
          <w:noProof/>
        </w:rPr>
        <w:t xml:space="preserve"> et al.</w:t>
      </w:r>
      <w:r w:rsidRPr="00670CBD">
        <w:rPr>
          <w:noProof/>
        </w:rPr>
        <w:t xml:space="preserve"> 2018)</w:t>
      </w:r>
      <w:r w:rsidRPr="00670CBD">
        <w:t xml:space="preserve">.  </w:t>
      </w:r>
    </w:p>
    <w:p w:rsidR="003B0DEE" w:rsidRPr="00670CBD" w:rsidRDefault="003B0DEE" w:rsidP="000D5D90">
      <w:pPr>
        <w:pStyle w:val="BodyText"/>
      </w:pPr>
      <w:r w:rsidRPr="00670CBD">
        <w:t xml:space="preserve">Consideration is required at both policy and practice level regarding the provision of certain interventions in isolation.  A substantial proportion of first-time treatment entries received counselling or other psychosocial treatment interventions in isolation as treatment for problem opioid use.  Dropout rates from these interventions are high, and the findings of a Cochrane review indicate a lack of evidence to verify the effectiveness of such interventions by themselves </w:t>
      </w:r>
      <w:r w:rsidRPr="00670CBD">
        <w:rPr>
          <w:noProof/>
        </w:rPr>
        <w:t>(Mayet</w:t>
      </w:r>
      <w:r w:rsidRPr="00670CBD">
        <w:rPr>
          <w:i/>
          <w:noProof/>
        </w:rPr>
        <w:t xml:space="preserve"> et al.</w:t>
      </w:r>
      <w:r w:rsidRPr="00670CBD">
        <w:rPr>
          <w:noProof/>
        </w:rPr>
        <w:t xml:space="preserve"> 2014)</w:t>
      </w:r>
      <w:r w:rsidRPr="00670CBD">
        <w:t xml:space="preserve">.  Evidence indicates coordination of health care across settings and providers is superior to single or uncoordinated interventions </w:t>
      </w:r>
      <w:r w:rsidRPr="00670CBD">
        <w:rPr>
          <w:noProof/>
        </w:rPr>
        <w:t>(World Health Organization 2005)</w:t>
      </w:r>
      <w:r w:rsidRPr="00670CBD">
        <w:t xml:space="preserve">.  An integrated approach may be beneficial, especially given the already high rates of chronic illness and health service utilisation among people receiving treatment for problem opioid use </w:t>
      </w:r>
      <w:r w:rsidRPr="00670CBD">
        <w:rPr>
          <w:noProof/>
        </w:rPr>
        <w:t>(Cullen</w:t>
      </w:r>
      <w:r w:rsidRPr="00670CBD">
        <w:rPr>
          <w:i/>
          <w:noProof/>
        </w:rPr>
        <w:t xml:space="preserve"> et al.</w:t>
      </w:r>
      <w:r w:rsidRPr="00670CBD">
        <w:rPr>
          <w:noProof/>
        </w:rPr>
        <w:t xml:space="preserve"> 2009)</w:t>
      </w:r>
      <w:r w:rsidRPr="00670CBD">
        <w:t xml:space="preserve">, and additional age-related health issues due to the fact that the cohort is ageing.  The integration of opioid addiction treatment into general practice as a chronic care model, similar to the treatment of diabetes, asthma, hypertension and other chronic diseases would ensure a systematic approach to coordinating the totality of a person’s health care needs.  </w:t>
      </w:r>
    </w:p>
    <w:p w:rsidR="003B0DEE" w:rsidRPr="00670CBD" w:rsidRDefault="003B0DEE" w:rsidP="000D5D90">
      <w:pPr>
        <w:pStyle w:val="BodyText"/>
      </w:pPr>
      <w:r w:rsidRPr="00670CBD">
        <w:t xml:space="preserve">Based on the study findings, several other factors present additional prospects to enhance treatment outcomes through policy and practice strategies;   </w:t>
      </w:r>
    </w:p>
    <w:p w:rsidR="003B0DEE" w:rsidRPr="00670CBD" w:rsidRDefault="003B0DEE" w:rsidP="003B0DEE">
      <w:pPr>
        <w:pStyle w:val="BodyText"/>
        <w:numPr>
          <w:ilvl w:val="0"/>
          <w:numId w:val="21"/>
        </w:numPr>
      </w:pPr>
      <w:r w:rsidRPr="00670CBD">
        <w:t xml:space="preserve">The involvement of family and peers is important to support an individual through treatment and may help achieve treatment goals.  Encouraging the involvement of family and peers and strengthening supports for family members and peers themselves may further enhance treatment retention and outcomes.  </w:t>
      </w:r>
    </w:p>
    <w:p w:rsidR="003B0DEE" w:rsidRPr="00670CBD" w:rsidRDefault="003B0DEE" w:rsidP="003B0DEE">
      <w:pPr>
        <w:pStyle w:val="BodyText"/>
        <w:numPr>
          <w:ilvl w:val="0"/>
          <w:numId w:val="21"/>
        </w:numPr>
      </w:pPr>
      <w:r w:rsidRPr="00670CBD">
        <w:t>Addressing early school leaving and supporting young people encountering difficulties in school as remaining in school until at least 16 years of age is</w:t>
      </w:r>
      <w:r>
        <w:t xml:space="preserve"> an</w:t>
      </w:r>
      <w:r w:rsidRPr="00670CBD">
        <w:t xml:space="preserve"> important protective factor for treatment </w:t>
      </w:r>
      <w:r w:rsidR="009D2A34" w:rsidRPr="00670CBD">
        <w:t xml:space="preserve">success. </w:t>
      </w:r>
    </w:p>
    <w:p w:rsidR="003B0DEE" w:rsidRPr="00670CBD" w:rsidRDefault="003B0DEE" w:rsidP="003B0DEE">
      <w:pPr>
        <w:pStyle w:val="BodyText"/>
        <w:numPr>
          <w:ilvl w:val="0"/>
          <w:numId w:val="21"/>
        </w:numPr>
      </w:pPr>
      <w:r w:rsidRPr="00670CBD">
        <w:t>Employment, training opportunities and supported progression options for recovering drug users may reduce the risk of treatment dropout and improve outcomes.</w:t>
      </w:r>
    </w:p>
    <w:p w:rsidR="003B0DEE" w:rsidRPr="00670CBD" w:rsidRDefault="003B0DEE" w:rsidP="003B0DEE">
      <w:pPr>
        <w:pStyle w:val="BodyText"/>
        <w:numPr>
          <w:ilvl w:val="0"/>
          <w:numId w:val="21"/>
        </w:numPr>
      </w:pPr>
      <w:r w:rsidRPr="00670CBD">
        <w:t xml:space="preserve">Risk factors relating to frequency of opioid use and injecting may benefit from targeted interventions aimed at minimising harm. </w:t>
      </w:r>
    </w:p>
    <w:p w:rsidR="003B0DEE" w:rsidRPr="00670CBD" w:rsidRDefault="003B0DEE" w:rsidP="003B0DEE">
      <w:pPr>
        <w:pStyle w:val="BodyText"/>
        <w:numPr>
          <w:ilvl w:val="0"/>
          <w:numId w:val="21"/>
        </w:numPr>
      </w:pPr>
      <w:r w:rsidRPr="00670CBD">
        <w:t>Reducing the prolonged period of opioid use occurring before the first treatment admission through earlier engagement with treatment services is important</w:t>
      </w:r>
      <w:proofErr w:type="gramStart"/>
      <w:r w:rsidRPr="00670CBD">
        <w:t xml:space="preserve">. </w:t>
      </w:r>
      <w:proofErr w:type="gramEnd"/>
      <w:r w:rsidRPr="00670CBD">
        <w:t xml:space="preserve">Entry points to treatment </w:t>
      </w:r>
      <w:proofErr w:type="gramStart"/>
      <w:r w:rsidRPr="00670CBD">
        <w:t>could may</w:t>
      </w:r>
      <w:proofErr w:type="gramEnd"/>
      <w:r w:rsidRPr="00670CBD">
        <w:t xml:space="preserve"> be proactively created, with increased emphasis on treatment among </w:t>
      </w:r>
      <w:r w:rsidRPr="00670CBD">
        <w:lastRenderedPageBreak/>
        <w:t xml:space="preserve">community and harm reduction services, with the potential to minimise the delay into first treatment.  Supervised injecting facilities may also potentially result in individuals engaging with staff earlier in their injecting career and this may be useful in encouraging people into treatment earlier in their drug-using career.  </w:t>
      </w:r>
    </w:p>
    <w:p w:rsidR="003B0DEE" w:rsidRPr="00D74949" w:rsidRDefault="003B0DEE" w:rsidP="000D5D90">
      <w:pPr>
        <w:pStyle w:val="Heading3"/>
      </w:pPr>
      <w:bookmarkStart w:id="145" w:name="_Toc15331730"/>
      <w:r w:rsidRPr="00D74949">
        <w:t>Recommendations</w:t>
      </w:r>
      <w:bookmarkEnd w:id="145"/>
    </w:p>
    <w:p w:rsidR="003B0DEE" w:rsidRDefault="003B0DEE" w:rsidP="000D5D90">
      <w:pPr>
        <w:pStyle w:val="BodyText"/>
      </w:pPr>
      <w:r>
        <w:t xml:space="preserve">A systematic review of studies investigating dropout from drug treatment noted that despite </w:t>
      </w:r>
      <w:r w:rsidRPr="003C5BD8">
        <w:t>co-occurring disorder</w:t>
      </w:r>
      <w:r>
        <w:t xml:space="preserve"> being linked to treatment retention, only </w:t>
      </w:r>
      <w:r w:rsidRPr="003C5BD8">
        <w:t>31%</w:t>
      </w:r>
      <w:r>
        <w:t xml:space="preserve"> of studies </w:t>
      </w:r>
      <w:r w:rsidRPr="003C5BD8">
        <w:t>investigated the association between having a co-occurring disorder and dropping out of addiction treatment</w:t>
      </w:r>
      <w:r>
        <w:t xml:space="preserve"> </w:t>
      </w:r>
      <w:r>
        <w:rPr>
          <w:noProof/>
        </w:rPr>
        <w:t>(Brorson</w:t>
      </w:r>
      <w:r w:rsidRPr="00791A95">
        <w:rPr>
          <w:i/>
          <w:noProof/>
        </w:rPr>
        <w:t xml:space="preserve"> et al.</w:t>
      </w:r>
      <w:r>
        <w:rPr>
          <w:noProof/>
        </w:rPr>
        <w:t xml:space="preserve"> 2013)</w:t>
      </w:r>
      <w:r w:rsidRPr="003C5BD8">
        <w:t>.</w:t>
      </w:r>
      <w:r>
        <w:t xml:space="preserve">  The NDTRS should consider the addition of </w:t>
      </w:r>
      <w:r w:rsidRPr="003C5BD8">
        <w:t>co-occurring disorder</w:t>
      </w:r>
      <w:r>
        <w:t xml:space="preserve">s found to be significantly related to dropout such as mental health conditions, anxiety, post-traumatic stress disorder, anti-social personality disorder, borderline personality disorder and histrionic personality disorder.  The NDTRS should implement the recording of the individual unique health identifier as soon as operationally possible; this would add significant value to understanding treatment journeys through the </w:t>
      </w:r>
      <w:r w:rsidRPr="003C5BD8">
        <w:t>concatenat</w:t>
      </w:r>
      <w:r>
        <w:t xml:space="preserve">ion of individual treatment episodes.  In addition, it would permit the NDTRS to assess treatment readmissions or the lack thereof, as an </w:t>
      </w:r>
      <w:r w:rsidRPr="003C5BD8">
        <w:t>outcome measure</w:t>
      </w:r>
      <w:r>
        <w:t xml:space="preserve">.  The absence of the unique health identifier limits the usefulness of the system.   </w:t>
      </w:r>
    </w:p>
    <w:p w:rsidR="003B0DEE" w:rsidRPr="00D74949" w:rsidRDefault="003B0DEE" w:rsidP="000D5D90">
      <w:pPr>
        <w:pStyle w:val="BodyText"/>
      </w:pPr>
      <w:r>
        <w:t>Many Irish treatment providers undertake p</w:t>
      </w:r>
      <w:r w:rsidRPr="003C5BD8">
        <w:t>atient satisfaction</w:t>
      </w:r>
      <w:r>
        <w:t xml:space="preserve"> reviews.  Information from these reviews, along with data on </w:t>
      </w:r>
      <w:r w:rsidRPr="003C5BD8">
        <w:t>readiness for treatment, and treatment setting</w:t>
      </w:r>
      <w:r>
        <w:t xml:space="preserve">, should be </w:t>
      </w:r>
      <w:r w:rsidRPr="003C5BD8">
        <w:t>further investigated</w:t>
      </w:r>
      <w:r>
        <w:t xml:space="preserve"> (Mullen</w:t>
      </w:r>
      <w:r w:rsidRPr="000441F0">
        <w:t xml:space="preserve"> et al.</w:t>
      </w:r>
      <w:r>
        <w:t xml:space="preserve"> 2012)</w:t>
      </w:r>
      <w:r w:rsidRPr="000441F0">
        <w:t>.  I</w:t>
      </w:r>
      <w:r w:rsidRPr="00797E02">
        <w:t>n addition</w:t>
      </w:r>
      <w:r>
        <w:t>,</w:t>
      </w:r>
      <w:r w:rsidRPr="00797E02">
        <w:t xml:space="preserve"> these data should </w:t>
      </w:r>
      <w:r>
        <w:t xml:space="preserve">also </w:t>
      </w:r>
      <w:r w:rsidRPr="00797E02">
        <w:t xml:space="preserve">be combined with </w:t>
      </w:r>
      <w:r>
        <w:t xml:space="preserve">routinely collected </w:t>
      </w:r>
      <w:r w:rsidRPr="00797E02">
        <w:t xml:space="preserve">NDTRS </w:t>
      </w:r>
      <w:r>
        <w:t xml:space="preserve">data on </w:t>
      </w:r>
      <w:r w:rsidRPr="00797E02">
        <w:t xml:space="preserve">treatment </w:t>
      </w:r>
      <w:r w:rsidRPr="002867EC">
        <w:t>entry and discharge to provide a more complete evidence base to inform service improvement and creative treatment retention and re-engagement strategies</w:t>
      </w:r>
      <w:r>
        <w:t>.</w:t>
      </w:r>
      <w:r w:rsidRPr="002867EC">
        <w:t xml:space="preserve"> </w:t>
      </w:r>
      <w:r>
        <w:t xml:space="preserve"> </w:t>
      </w:r>
    </w:p>
    <w:p w:rsidR="003B0DEE" w:rsidRDefault="003B0DEE" w:rsidP="000D5D90">
      <w:pPr>
        <w:pStyle w:val="Heading2"/>
      </w:pPr>
      <w:bookmarkStart w:id="146" w:name="_Toc15331731"/>
      <w:r w:rsidRPr="007D2A97">
        <w:t>Conclusion</w:t>
      </w:r>
      <w:bookmarkEnd w:id="146"/>
    </w:p>
    <w:p w:rsidR="003B0DEE" w:rsidRPr="00454539" w:rsidRDefault="003B0DEE" w:rsidP="000D5D90">
      <w:pPr>
        <w:pStyle w:val="BodyText"/>
      </w:pPr>
      <w:r w:rsidRPr="006520F8">
        <w:t xml:space="preserve">In summary, </w:t>
      </w:r>
      <w:r>
        <w:t>C</w:t>
      </w:r>
      <w:r w:rsidRPr="006520F8">
        <w:t xml:space="preserve">hapter </w:t>
      </w:r>
      <w:r>
        <w:t>6</w:t>
      </w:r>
      <w:r w:rsidRPr="006520F8">
        <w:t xml:space="preserve"> described treatment retention and completion rates for the opioid treatment group, described the results of the survival analysis, and the factors associated with an increased likelihood of treatment </w:t>
      </w:r>
      <w:r>
        <w:t>dropout</w:t>
      </w:r>
      <w:r w:rsidRPr="006520F8">
        <w:t>.  Findings of all three results chapters are integrated in the final chapter (Chapter 7) which will present the main conclusions arising from th</w:t>
      </w:r>
      <w:r>
        <w:t xml:space="preserve">e study findings </w:t>
      </w:r>
      <w:r w:rsidRPr="006520F8">
        <w:t>in the context of the wider literature base</w:t>
      </w:r>
      <w:r>
        <w:t xml:space="preserve">. </w:t>
      </w:r>
    </w:p>
    <w:p w:rsidR="003B0DEE" w:rsidRDefault="003B0DEE" w:rsidP="000D5D90">
      <w:pPr>
        <w:rPr>
          <w:sz w:val="20"/>
          <w:highlight w:val="yellow"/>
        </w:rPr>
      </w:pPr>
    </w:p>
    <w:p w:rsidR="003B0DEE" w:rsidRPr="00415182" w:rsidRDefault="003B0DEE" w:rsidP="000D5D90">
      <w:pPr>
        <w:spacing w:after="200" w:line="360" w:lineRule="auto"/>
        <w:rPr>
          <w:highlight w:val="yellow"/>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7C2B59" w:rsidRDefault="003B0DEE" w:rsidP="000D5D90">
      <w:pPr>
        <w:pStyle w:val="Heading1"/>
        <w:rPr>
          <w:color w:val="FFFFFF"/>
          <w:sz w:val="20"/>
        </w:rPr>
      </w:pPr>
      <w:bookmarkStart w:id="147" w:name="_Toc15331732"/>
      <w:r w:rsidRPr="007C2B59">
        <w:rPr>
          <w:color w:val="FFFFFF"/>
          <w:sz w:val="20"/>
        </w:rPr>
        <w:lastRenderedPageBreak/>
        <w:t>Chapter 7</w:t>
      </w:r>
      <w:r w:rsidRPr="007C2B59">
        <w:rPr>
          <w:color w:val="FFFFFF"/>
          <w:sz w:val="20"/>
        </w:rPr>
        <w:tab/>
        <w:t>Conclusions and recommendations</w:t>
      </w:r>
      <w:bookmarkEnd w:id="147"/>
    </w:p>
    <w:p w:rsidR="003B0DEE" w:rsidRPr="00BD3884" w:rsidRDefault="003B0DEE" w:rsidP="000D5D90">
      <w:pPr>
        <w:pStyle w:val="Chapter"/>
      </w:pPr>
      <w:r w:rsidRPr="00BD3884">
        <w:t>Chapter 7</w:t>
      </w:r>
    </w:p>
    <w:p w:rsidR="003B0DEE" w:rsidRPr="00BD3884" w:rsidRDefault="003B0DEE" w:rsidP="000D5D90">
      <w:pPr>
        <w:pStyle w:val="Chapter"/>
      </w:pPr>
      <w:r>
        <w:t>Conclusions and r</w:t>
      </w:r>
      <w:r w:rsidRPr="00BD3884">
        <w:t>ecommendations</w:t>
      </w:r>
    </w:p>
    <w:p w:rsidR="003B0DEE" w:rsidRDefault="003B0DEE" w:rsidP="000D5D90">
      <w:pPr>
        <w:widowControl w:val="0"/>
        <w:autoSpaceDE w:val="0"/>
        <w:autoSpaceDN w:val="0"/>
        <w:adjustRightInd w:val="0"/>
        <w:spacing w:line="240" w:lineRule="auto"/>
        <w:rPr>
          <w:rFonts w:ascii="Times New Roman" w:hAnsi="Times New Roman"/>
          <w:sz w:val="24"/>
          <w:szCs w:val="24"/>
        </w:rPr>
      </w:pPr>
    </w:p>
    <w:p w:rsidR="003B0DEE" w:rsidRPr="00BD3884" w:rsidRDefault="003B0DEE" w:rsidP="000D5D90">
      <w:pPr>
        <w:pStyle w:val="Heading2"/>
      </w:pPr>
      <w:bookmarkStart w:id="148" w:name="_Toc15331733"/>
      <w:r w:rsidRPr="00BD3884">
        <w:t>Introduction</w:t>
      </w:r>
      <w:bookmarkEnd w:id="148"/>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 study findings have </w:t>
      </w:r>
      <w:r w:rsidRPr="008F00A3">
        <w:rPr>
          <w:rFonts w:ascii="Arial" w:hAnsi="Arial"/>
          <w:sz w:val="20"/>
        </w:rPr>
        <w:t>already been discussed separately in the context of existing literature in Chapter 4 (Section 4.5), Chapter 5 (Section 5.5) and Chapter 6 (Section 6.6).  This</w:t>
      </w:r>
      <w:r w:rsidRPr="00BD3884">
        <w:rPr>
          <w:rFonts w:ascii="Arial" w:hAnsi="Arial"/>
          <w:sz w:val="20"/>
        </w:rPr>
        <w:t xml:space="preserve"> final chapter will present the main conclusions arising from the study findings within the context of the wider literature.  In </w:t>
      </w:r>
      <w:r>
        <w:rPr>
          <w:rFonts w:ascii="Arial" w:hAnsi="Arial"/>
          <w:sz w:val="20"/>
        </w:rPr>
        <w:t>S</w:t>
      </w:r>
      <w:r w:rsidRPr="00BD3884">
        <w:rPr>
          <w:rFonts w:ascii="Arial" w:hAnsi="Arial"/>
          <w:sz w:val="20"/>
        </w:rPr>
        <w:t>ection 7.</w:t>
      </w:r>
      <w:r>
        <w:rPr>
          <w:rFonts w:ascii="Arial" w:hAnsi="Arial"/>
          <w:sz w:val="20"/>
        </w:rPr>
        <w:t>5</w:t>
      </w:r>
      <w:r w:rsidRPr="00BD3884">
        <w:rPr>
          <w:rFonts w:ascii="Arial" w:hAnsi="Arial"/>
          <w:sz w:val="20"/>
        </w:rPr>
        <w:t xml:space="preserve">, the strengths and limitations of this study are discussed.  Recommendations </w:t>
      </w:r>
      <w:r>
        <w:rPr>
          <w:rFonts w:ascii="Arial" w:hAnsi="Arial"/>
          <w:sz w:val="20"/>
        </w:rPr>
        <w:t>are</w:t>
      </w:r>
      <w:r w:rsidRPr="00BD3884">
        <w:rPr>
          <w:rFonts w:ascii="Arial" w:hAnsi="Arial"/>
          <w:sz w:val="20"/>
        </w:rPr>
        <w:t xml:space="preserve"> made in relation to the implications of the study for treatment practice and policy, drug treatment surveillance systems and further research. </w:t>
      </w:r>
    </w:p>
    <w:p w:rsidR="003B0DEE" w:rsidRPr="002C347A" w:rsidRDefault="003B0DEE" w:rsidP="000D5D90">
      <w:pPr>
        <w:pStyle w:val="Heading2"/>
      </w:pPr>
      <w:bookmarkStart w:id="149" w:name="_Toc15331734"/>
      <w:r w:rsidRPr="00BD3884">
        <w:t>Thesis summary</w:t>
      </w:r>
      <w:bookmarkEnd w:id="149"/>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 literature has identified a neglected ageing population who use opioids and a dearth of available research and evidence for treating this group.  Issues relating to problem substance use among older people have received little attention historically, and have only recently been recognised in the literature.  Most of the existing literature involving older adults treats them as a homogenous group and often just simply compares them to their younger counterparts.  There is a persisting lack of consensus in the literature as to what the term “older” or “ageing” encompasses.  Research lacks large quantitative studies explicitly examining the area.  Although larger scale longitudinal studies tracking treatment and health outcomes do exist, they do not include a noteworthy sample of older people.  </w:t>
      </w:r>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 literature indicates significant future needs; however only a small number of studies exist </w:t>
      </w:r>
      <w:r>
        <w:rPr>
          <w:rFonts w:ascii="Arial" w:hAnsi="Arial"/>
          <w:sz w:val="20"/>
        </w:rPr>
        <w:t>and these</w:t>
      </w:r>
      <w:r w:rsidRPr="00BD3884">
        <w:rPr>
          <w:rFonts w:ascii="Arial" w:hAnsi="Arial"/>
          <w:sz w:val="20"/>
        </w:rPr>
        <w:t xml:space="preserve"> are all based in high income countries, therefore potentially impacting generalisability to other settings.  It is important to understand the specific needs of this ageing population in order to deliver appropriate care.  Empirical research is required to adequately describe the problem and to develop appropriate treatment programmes and interventions for older opioid users.  The lack of data is cited as the greatest limitation to understanding illicit substance use among older adults.  Despite being extremely well positioned, existing treatment monitoring systems have not be</w:t>
      </w:r>
      <w:r>
        <w:rPr>
          <w:rFonts w:ascii="Arial" w:hAnsi="Arial"/>
          <w:sz w:val="20"/>
        </w:rPr>
        <w:t>en</w:t>
      </w:r>
      <w:r w:rsidRPr="00BD3884">
        <w:rPr>
          <w:rFonts w:ascii="Arial" w:hAnsi="Arial"/>
          <w:sz w:val="20"/>
        </w:rPr>
        <w:t xml:space="preserve"> utilised </w:t>
      </w:r>
      <w:r>
        <w:rPr>
          <w:rFonts w:ascii="Arial" w:hAnsi="Arial"/>
          <w:sz w:val="20"/>
        </w:rPr>
        <w:t xml:space="preserve">sufficiently </w:t>
      </w:r>
      <w:r w:rsidRPr="00BD3884">
        <w:rPr>
          <w:rFonts w:ascii="Arial" w:hAnsi="Arial"/>
          <w:sz w:val="20"/>
        </w:rPr>
        <w:t xml:space="preserve">to assess </w:t>
      </w:r>
      <w:r>
        <w:rPr>
          <w:rFonts w:ascii="Arial" w:hAnsi="Arial"/>
          <w:sz w:val="20"/>
        </w:rPr>
        <w:t xml:space="preserve">and </w:t>
      </w:r>
      <w:r w:rsidRPr="00BD3884">
        <w:rPr>
          <w:rFonts w:ascii="Arial" w:hAnsi="Arial"/>
          <w:sz w:val="20"/>
        </w:rPr>
        <w:t xml:space="preserve">monitor ageing trends.  Treatment outcomes for the ageing opioid population are discussed in the literature in general terms and the area is yet to be extensively studied.  </w:t>
      </w:r>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Therefore, </w:t>
      </w:r>
      <w:r>
        <w:rPr>
          <w:rFonts w:ascii="Arial" w:hAnsi="Arial"/>
          <w:sz w:val="20"/>
        </w:rPr>
        <w:t xml:space="preserve">the </w:t>
      </w:r>
      <w:r w:rsidRPr="00BD3884">
        <w:rPr>
          <w:rFonts w:ascii="Arial" w:hAnsi="Arial"/>
          <w:sz w:val="20"/>
        </w:rPr>
        <w:t xml:space="preserve">rationale for conducting this research was firstly, to determine what is known about </w:t>
      </w:r>
      <w:r>
        <w:rPr>
          <w:rFonts w:ascii="Arial" w:hAnsi="Arial"/>
          <w:sz w:val="20"/>
        </w:rPr>
        <w:t xml:space="preserve">problem </w:t>
      </w:r>
      <w:r w:rsidRPr="00BD3884">
        <w:rPr>
          <w:rFonts w:ascii="Arial" w:hAnsi="Arial"/>
          <w:sz w:val="20"/>
        </w:rPr>
        <w:t xml:space="preserve">opioid </w:t>
      </w:r>
      <w:r>
        <w:rPr>
          <w:rFonts w:ascii="Arial" w:hAnsi="Arial"/>
          <w:sz w:val="20"/>
        </w:rPr>
        <w:t xml:space="preserve">use </w:t>
      </w:r>
      <w:r w:rsidRPr="00BD3884">
        <w:rPr>
          <w:rFonts w:ascii="Arial" w:hAnsi="Arial"/>
          <w:sz w:val="20"/>
        </w:rPr>
        <w:t xml:space="preserve">and treatment outcomes among ageing opioid users, and secondly, to utilise routinely collected drug treatment surveillance data to describe the changing opioid treatment </w:t>
      </w:r>
      <w:r w:rsidRPr="00BD3884">
        <w:rPr>
          <w:rFonts w:ascii="Arial" w:hAnsi="Arial"/>
          <w:sz w:val="20"/>
        </w:rPr>
        <w:lastRenderedPageBreak/>
        <w:t>population in relation to ageing over the course of twenty-one years and to describe the associated treatment outcomes.  The</w:t>
      </w:r>
      <w:r>
        <w:rPr>
          <w:rFonts w:ascii="Arial" w:hAnsi="Arial"/>
          <w:sz w:val="20"/>
        </w:rPr>
        <w:t xml:space="preserve"> EU wide</w:t>
      </w:r>
      <w:r w:rsidRPr="00BD3884">
        <w:rPr>
          <w:rFonts w:ascii="Arial" w:hAnsi="Arial"/>
          <w:sz w:val="20"/>
        </w:rPr>
        <w:t xml:space="preserve"> Treatment Demand Indicator, and in turn the Irish National Drug Treatment Reporting System provided an opportunity to utilise data from robust surveillance systems to assess and describe the situation.  The aim of this study was to investigate how the age profile of the opioid treatment population has changed using routine health surveillance data, and to explore associated treatment discharge outcomes.  This was achieved through </w:t>
      </w:r>
      <w:r w:rsidRPr="00663996">
        <w:rPr>
          <w:rFonts w:ascii="Arial" w:hAnsi="Arial"/>
          <w:sz w:val="20"/>
        </w:rPr>
        <w:t xml:space="preserve">a </w:t>
      </w:r>
      <w:r>
        <w:rPr>
          <w:rFonts w:ascii="Arial" w:hAnsi="Arial"/>
          <w:sz w:val="20"/>
        </w:rPr>
        <w:t>repeatable</w:t>
      </w:r>
      <w:r w:rsidRPr="00663996">
        <w:rPr>
          <w:rFonts w:ascii="Arial" w:hAnsi="Arial"/>
          <w:sz w:val="20"/>
        </w:rPr>
        <w:t xml:space="preserve"> cross-sectional study design</w:t>
      </w:r>
      <w:r w:rsidRPr="00BD3884">
        <w:rPr>
          <w:rFonts w:ascii="Arial" w:hAnsi="Arial"/>
          <w:sz w:val="20"/>
        </w:rPr>
        <w:t xml:space="preserve"> involving the secondary analysis of </w:t>
      </w:r>
      <w:r>
        <w:rPr>
          <w:rFonts w:ascii="Arial" w:hAnsi="Arial"/>
          <w:sz w:val="20"/>
        </w:rPr>
        <w:t xml:space="preserve">opioid </w:t>
      </w:r>
      <w:r w:rsidRPr="00BD3884">
        <w:rPr>
          <w:rFonts w:ascii="Arial" w:hAnsi="Arial"/>
          <w:sz w:val="20"/>
        </w:rPr>
        <w:t xml:space="preserve">drug treatment data available </w:t>
      </w:r>
      <w:r>
        <w:rPr>
          <w:rFonts w:ascii="Arial" w:hAnsi="Arial"/>
          <w:sz w:val="20"/>
        </w:rPr>
        <w:t xml:space="preserve">since the EU </w:t>
      </w:r>
      <w:r w:rsidRPr="00BD3884">
        <w:rPr>
          <w:rFonts w:ascii="Arial" w:hAnsi="Arial"/>
          <w:sz w:val="20"/>
        </w:rPr>
        <w:t>surveillance system</w:t>
      </w:r>
      <w:r>
        <w:rPr>
          <w:rFonts w:ascii="Arial" w:hAnsi="Arial"/>
          <w:sz w:val="20"/>
        </w:rPr>
        <w:t xml:space="preserve"> was implemented nationally</w:t>
      </w:r>
      <w:r w:rsidRPr="00BD3884">
        <w:rPr>
          <w:rFonts w:ascii="Arial" w:hAnsi="Arial"/>
          <w:sz w:val="20"/>
        </w:rPr>
        <w:t xml:space="preserve">.  </w:t>
      </w:r>
    </w:p>
    <w:p w:rsidR="003B0DEE" w:rsidRPr="002C347A" w:rsidRDefault="003B0DEE" w:rsidP="000D5D90">
      <w:pPr>
        <w:pStyle w:val="Heading2"/>
      </w:pPr>
      <w:bookmarkStart w:id="150" w:name="_Toc15331735"/>
      <w:r w:rsidRPr="00BD3884">
        <w:t>Summary of important findings</w:t>
      </w:r>
      <w:bookmarkEnd w:id="150"/>
      <w:r w:rsidRPr="00BD3884">
        <w:t xml:space="preserve"> </w:t>
      </w:r>
    </w:p>
    <w:p w:rsidR="003B0DEE" w:rsidRDefault="003B0DEE" w:rsidP="000D5D90">
      <w:pPr>
        <w:spacing w:before="120" w:after="120" w:line="360" w:lineRule="auto"/>
        <w:jc w:val="left"/>
        <w:rPr>
          <w:rFonts w:ascii="Arial" w:hAnsi="Arial"/>
          <w:sz w:val="20"/>
        </w:rPr>
      </w:pPr>
      <w:r w:rsidRPr="00BD3884">
        <w:rPr>
          <w:rFonts w:ascii="Arial" w:hAnsi="Arial"/>
          <w:sz w:val="20"/>
        </w:rPr>
        <w:t xml:space="preserve">The systematic literature described in </w:t>
      </w:r>
      <w:r w:rsidRPr="00BD3884">
        <w:rPr>
          <w:rFonts w:ascii="Arial" w:hAnsi="Arial"/>
          <w:i/>
          <w:sz w:val="20"/>
        </w:rPr>
        <w:t>Chapter 2</w:t>
      </w:r>
      <w:r w:rsidRPr="00BD3884">
        <w:rPr>
          <w:rFonts w:ascii="Arial" w:hAnsi="Arial"/>
          <w:sz w:val="20"/>
        </w:rPr>
        <w:t xml:space="preserve"> provide</w:t>
      </w:r>
      <w:r>
        <w:rPr>
          <w:rFonts w:ascii="Arial" w:hAnsi="Arial"/>
          <w:sz w:val="20"/>
        </w:rPr>
        <w:t>d</w:t>
      </w:r>
      <w:r w:rsidRPr="00BD3884">
        <w:rPr>
          <w:rFonts w:ascii="Arial" w:hAnsi="Arial"/>
          <w:sz w:val="20"/>
        </w:rPr>
        <w:t xml:space="preserve"> clear evidence of a neglected ageing population who use opioids and a dearth of available research and evidence for treating this group.  Older adults are largely treated as a homogeneous group in the literature despite evidence to the contrary, and larger scale longitudinal studies tracking treatment and health outcomes have failed to include a significant sample of older people.  </w:t>
      </w:r>
      <w:r w:rsidRPr="007A31CC">
        <w:rPr>
          <w:rFonts w:ascii="Arial" w:hAnsi="Arial"/>
          <w:sz w:val="20"/>
        </w:rPr>
        <w:t>Research lacks large quantitative studies explicitly examining the area and existing treatment surveillance systems are not being utilised to this end.  Therefore, secondary data analysis studies such as this one provide a useful means of generating an evidence base upon which treatment practitioners and decision-makers alike may make informed decisions about treatment provision.  The results</w:t>
      </w:r>
      <w:r>
        <w:rPr>
          <w:rFonts w:ascii="Arial" w:hAnsi="Arial"/>
          <w:sz w:val="20"/>
        </w:rPr>
        <w:t xml:space="preserve"> from this study highlight the w</w:t>
      </w:r>
      <w:r w:rsidRPr="007A31CC">
        <w:rPr>
          <w:rFonts w:ascii="Arial" w:hAnsi="Arial"/>
          <w:sz w:val="20"/>
        </w:rPr>
        <w:t>e</w:t>
      </w:r>
      <w:r>
        <w:rPr>
          <w:rFonts w:ascii="Arial" w:hAnsi="Arial"/>
          <w:sz w:val="20"/>
        </w:rPr>
        <w:t xml:space="preserve">alth of </w:t>
      </w:r>
      <w:r w:rsidRPr="007A31CC">
        <w:rPr>
          <w:rFonts w:ascii="Arial" w:hAnsi="Arial"/>
          <w:sz w:val="20"/>
        </w:rPr>
        <w:t>evidence-based</w:t>
      </w:r>
      <w:r>
        <w:rPr>
          <w:rFonts w:ascii="Arial" w:hAnsi="Arial"/>
          <w:sz w:val="20"/>
        </w:rPr>
        <w:t xml:space="preserve"> insights which may be gleaned from </w:t>
      </w:r>
      <w:r w:rsidRPr="007A31CC">
        <w:rPr>
          <w:rFonts w:ascii="Arial" w:hAnsi="Arial"/>
          <w:sz w:val="20"/>
        </w:rPr>
        <w:t>national long standing, large scale epidemiological dataset</w:t>
      </w:r>
      <w:r>
        <w:rPr>
          <w:rFonts w:ascii="Arial" w:hAnsi="Arial"/>
          <w:sz w:val="20"/>
        </w:rPr>
        <w:t xml:space="preserve">s. </w:t>
      </w:r>
      <w:r w:rsidRPr="007A31CC">
        <w:rPr>
          <w:rFonts w:ascii="Arial" w:hAnsi="Arial"/>
          <w:sz w:val="20"/>
        </w:rPr>
        <w:t xml:space="preserve">  </w:t>
      </w:r>
    </w:p>
    <w:p w:rsidR="003B0DEE" w:rsidRPr="003E1B3B" w:rsidRDefault="003B0DEE" w:rsidP="000D5D90">
      <w:pPr>
        <w:spacing w:before="120" w:after="120" w:line="360" w:lineRule="auto"/>
        <w:jc w:val="left"/>
      </w:pPr>
      <w:r w:rsidRPr="003E1B3B">
        <w:rPr>
          <w:rFonts w:ascii="Arial" w:hAnsi="Arial"/>
          <w:sz w:val="20"/>
        </w:rPr>
        <w:t>The analysis of national epidemiological treatment data to describe the changing opioid treatment population over a</w:t>
      </w:r>
      <w:r>
        <w:rPr>
          <w:rFonts w:ascii="Arial" w:hAnsi="Arial"/>
          <w:sz w:val="20"/>
        </w:rPr>
        <w:t xml:space="preserve"> twenty-one-year-period</w:t>
      </w:r>
      <w:r w:rsidRPr="003E1B3B">
        <w:rPr>
          <w:rFonts w:ascii="Arial" w:hAnsi="Arial"/>
          <w:sz w:val="20"/>
        </w:rPr>
        <w:t xml:space="preserve"> (described in </w:t>
      </w:r>
      <w:r w:rsidRPr="003E1B3B">
        <w:rPr>
          <w:rFonts w:ascii="Arial" w:hAnsi="Arial"/>
          <w:i/>
          <w:sz w:val="20"/>
        </w:rPr>
        <w:t>Chapter 4</w:t>
      </w:r>
      <w:r w:rsidRPr="003E1B3B">
        <w:rPr>
          <w:rFonts w:ascii="Arial" w:hAnsi="Arial"/>
          <w:sz w:val="20"/>
        </w:rPr>
        <w:t xml:space="preserve">) revealed that (1) the incidence of opioid treatment admissions among older age groups is increasing, with a rising incidence not previously observed among those aged </w:t>
      </w:r>
      <w:r>
        <w:rPr>
          <w:rFonts w:ascii="Arial" w:hAnsi="Arial"/>
          <w:sz w:val="20"/>
        </w:rPr>
        <w:t>45</w:t>
      </w:r>
      <w:r w:rsidRPr="003E1B3B">
        <w:rPr>
          <w:rFonts w:ascii="Arial" w:hAnsi="Arial"/>
          <w:sz w:val="20"/>
        </w:rPr>
        <w:t xml:space="preserve"> years and older, (2) there were significant increases in age first entered treatment, opioid-using duration prior to treatment and time lag between first injecting and treatment, and (3) there was evidence of two distinct types of older opioid substance users - early and late treatment entries, and early and late opioid</w:t>
      </w:r>
      <w:r>
        <w:rPr>
          <w:rFonts w:ascii="Arial" w:hAnsi="Arial"/>
          <w:sz w:val="20"/>
        </w:rPr>
        <w:t xml:space="preserve"> use</w:t>
      </w:r>
      <w:r w:rsidRPr="003E1B3B">
        <w:rPr>
          <w:rFonts w:ascii="Arial" w:hAnsi="Arial"/>
          <w:sz w:val="20"/>
        </w:rPr>
        <w:t xml:space="preserve"> onset. These findings highlight groups at risk of chronic harm who may require consideration and prioritising in policy and practice.</w:t>
      </w:r>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 examination of the typology of </w:t>
      </w:r>
      <w:r>
        <w:rPr>
          <w:rFonts w:ascii="Arial" w:hAnsi="Arial"/>
          <w:sz w:val="20"/>
        </w:rPr>
        <w:t>opioid-using</w:t>
      </w:r>
      <w:r w:rsidRPr="00BD3884">
        <w:rPr>
          <w:rFonts w:ascii="Arial" w:hAnsi="Arial"/>
          <w:sz w:val="20"/>
        </w:rPr>
        <w:t xml:space="preserve"> behaviours and client characteristics among opioid treatment entrants (described in </w:t>
      </w:r>
      <w:r w:rsidRPr="00BD3884">
        <w:rPr>
          <w:rFonts w:ascii="Arial" w:hAnsi="Arial"/>
          <w:i/>
          <w:sz w:val="20"/>
        </w:rPr>
        <w:t>Chapter 5</w:t>
      </w:r>
      <w:r w:rsidRPr="00BD3884">
        <w:rPr>
          <w:rFonts w:ascii="Arial" w:hAnsi="Arial"/>
          <w:sz w:val="20"/>
        </w:rPr>
        <w:t xml:space="preserve">) revealed evidence of five distinct types of people who use opioid drugs among </w:t>
      </w:r>
      <w:r>
        <w:rPr>
          <w:rFonts w:ascii="Arial" w:hAnsi="Arial"/>
          <w:sz w:val="20"/>
        </w:rPr>
        <w:t xml:space="preserve">the </w:t>
      </w:r>
      <w:r w:rsidRPr="00BD3884">
        <w:rPr>
          <w:rFonts w:ascii="Arial" w:hAnsi="Arial"/>
          <w:sz w:val="20"/>
        </w:rPr>
        <w:t xml:space="preserve">treatment population, characterised by type of opioid used, age of opioid </w:t>
      </w:r>
      <w:r>
        <w:rPr>
          <w:rFonts w:ascii="Arial" w:hAnsi="Arial"/>
          <w:sz w:val="20"/>
        </w:rPr>
        <w:t xml:space="preserve">use </w:t>
      </w:r>
      <w:r w:rsidRPr="00BD3884">
        <w:rPr>
          <w:rFonts w:ascii="Arial" w:hAnsi="Arial"/>
          <w:sz w:val="20"/>
        </w:rPr>
        <w:t xml:space="preserve">onset, age entering treatment, and duration between first opioid use and treatment entry.  However, only </w:t>
      </w:r>
      <w:r>
        <w:rPr>
          <w:rFonts w:ascii="Arial" w:hAnsi="Arial"/>
          <w:sz w:val="20"/>
        </w:rPr>
        <w:t xml:space="preserve">a subset of the </w:t>
      </w:r>
      <w:r w:rsidRPr="00BD3884">
        <w:rPr>
          <w:rFonts w:ascii="Arial" w:hAnsi="Arial"/>
          <w:sz w:val="20"/>
        </w:rPr>
        <w:t xml:space="preserve">opioid treatment </w:t>
      </w:r>
      <w:r>
        <w:rPr>
          <w:rFonts w:ascii="Arial" w:hAnsi="Arial"/>
          <w:sz w:val="20"/>
        </w:rPr>
        <w:t>population has</w:t>
      </w:r>
      <w:r w:rsidRPr="00BD3884">
        <w:rPr>
          <w:rFonts w:ascii="Arial" w:hAnsi="Arial"/>
          <w:sz w:val="20"/>
        </w:rPr>
        <w:t xml:space="preserve"> contributed to the overall </w:t>
      </w:r>
      <w:r>
        <w:rPr>
          <w:rFonts w:ascii="Arial" w:hAnsi="Arial"/>
          <w:sz w:val="20"/>
        </w:rPr>
        <w:t>trends on a</w:t>
      </w:r>
      <w:r w:rsidRPr="00BD3884">
        <w:rPr>
          <w:rFonts w:ascii="Arial" w:hAnsi="Arial"/>
          <w:sz w:val="20"/>
        </w:rPr>
        <w:t xml:space="preserve">geing.  There was evidence of important temporal changes within subgroups, including (1) significant changes in the median age entering treatment, and (2) significant changes in </w:t>
      </w:r>
      <w:r>
        <w:rPr>
          <w:rFonts w:ascii="Arial" w:hAnsi="Arial"/>
          <w:sz w:val="20"/>
        </w:rPr>
        <w:t>opioid-using</w:t>
      </w:r>
      <w:r w:rsidRPr="00BD3884">
        <w:rPr>
          <w:rFonts w:ascii="Arial" w:hAnsi="Arial"/>
          <w:sz w:val="20"/>
        </w:rPr>
        <w:t xml:space="preserve"> durations prior to seeking treatment.</w:t>
      </w:r>
      <w:r>
        <w:rPr>
          <w:rFonts w:ascii="Arial" w:hAnsi="Arial"/>
          <w:sz w:val="20"/>
        </w:rPr>
        <w:t xml:space="preserve">  </w:t>
      </w:r>
    </w:p>
    <w:p w:rsidR="003B0DEE" w:rsidRDefault="003B0DEE" w:rsidP="000D5D90">
      <w:pPr>
        <w:spacing w:before="120" w:after="120" w:line="360" w:lineRule="auto"/>
        <w:jc w:val="left"/>
        <w:rPr>
          <w:rFonts w:ascii="Arial" w:hAnsi="Arial"/>
          <w:sz w:val="20"/>
        </w:rPr>
      </w:pPr>
      <w:r w:rsidRPr="003E1B3B">
        <w:rPr>
          <w:rFonts w:ascii="Arial" w:hAnsi="Arial"/>
          <w:sz w:val="20"/>
        </w:rPr>
        <w:t xml:space="preserve">Treatment outcome research is important due to the small number of existing studies including older adults.  </w:t>
      </w:r>
      <w:r w:rsidRPr="00BD3884">
        <w:rPr>
          <w:rFonts w:ascii="Arial" w:hAnsi="Arial"/>
          <w:sz w:val="20"/>
        </w:rPr>
        <w:t xml:space="preserve">The investigation of treatment completion rates for opioid treatment entrants, </w:t>
      </w:r>
      <w:r w:rsidRPr="00BD3884">
        <w:rPr>
          <w:rFonts w:ascii="Arial" w:hAnsi="Arial"/>
          <w:sz w:val="20"/>
        </w:rPr>
        <w:lastRenderedPageBreak/>
        <w:t xml:space="preserve">described in </w:t>
      </w:r>
      <w:r w:rsidRPr="00BD3884">
        <w:rPr>
          <w:rFonts w:ascii="Arial" w:hAnsi="Arial"/>
          <w:i/>
          <w:sz w:val="20"/>
        </w:rPr>
        <w:t>Chapter 6</w:t>
      </w:r>
      <w:r w:rsidRPr="00BD3884">
        <w:rPr>
          <w:rFonts w:ascii="Arial" w:hAnsi="Arial"/>
          <w:sz w:val="20"/>
        </w:rPr>
        <w:t xml:space="preserve">, revealed that regardless of treatment modality, rates of opioid treatment dropout </w:t>
      </w:r>
      <w:r>
        <w:rPr>
          <w:rFonts w:ascii="Arial" w:hAnsi="Arial"/>
          <w:sz w:val="20"/>
        </w:rPr>
        <w:t>were</w:t>
      </w:r>
      <w:r w:rsidRPr="00BD3884">
        <w:rPr>
          <w:rFonts w:ascii="Arial" w:hAnsi="Arial"/>
          <w:sz w:val="20"/>
        </w:rPr>
        <w:t xml:space="preserve"> high.  There was considerable variation</w:t>
      </w:r>
      <w:r>
        <w:rPr>
          <w:rFonts w:ascii="Arial" w:hAnsi="Arial"/>
          <w:sz w:val="20"/>
        </w:rPr>
        <w:t>,</w:t>
      </w:r>
      <w:r w:rsidRPr="00BD3884">
        <w:rPr>
          <w:rFonts w:ascii="Arial" w:hAnsi="Arial"/>
          <w:sz w:val="20"/>
        </w:rPr>
        <w:t xml:space="preserve"> not only in treatment exposure across modality, but also in the characteristics which may be associated with treatment retention.  Older age at treatment entry was associated with reduced risk of treatment dropout in certain circumstances.  </w:t>
      </w:r>
      <w:r w:rsidRPr="00285E63">
        <w:rPr>
          <w:rFonts w:ascii="Arial" w:hAnsi="Arial"/>
          <w:sz w:val="20"/>
        </w:rPr>
        <w:t xml:space="preserve">Several other factors </w:t>
      </w:r>
      <w:r>
        <w:rPr>
          <w:rFonts w:ascii="Arial" w:hAnsi="Arial"/>
          <w:sz w:val="20"/>
        </w:rPr>
        <w:t xml:space="preserve">including sociodemographic, pre-treatment drug use and treatment factors </w:t>
      </w:r>
      <w:r w:rsidRPr="00285E63">
        <w:rPr>
          <w:rFonts w:ascii="Arial" w:hAnsi="Arial"/>
          <w:sz w:val="20"/>
        </w:rPr>
        <w:t>identified in this analysis present prospects to enhance treatment outcomes</w:t>
      </w:r>
      <w:r>
        <w:rPr>
          <w:rFonts w:ascii="Arial" w:hAnsi="Arial"/>
          <w:sz w:val="20"/>
        </w:rPr>
        <w:t>.</w:t>
      </w:r>
      <w:r w:rsidRPr="00BD3884">
        <w:rPr>
          <w:rFonts w:ascii="Arial" w:hAnsi="Arial"/>
          <w:sz w:val="20"/>
        </w:rPr>
        <w:t xml:space="preserve"> </w:t>
      </w:r>
      <w:r>
        <w:rPr>
          <w:rFonts w:ascii="Arial" w:hAnsi="Arial"/>
          <w:sz w:val="20"/>
        </w:rPr>
        <w:t xml:space="preserve"> </w:t>
      </w:r>
      <w:r w:rsidRPr="00BD3884">
        <w:rPr>
          <w:rFonts w:ascii="Arial" w:hAnsi="Arial"/>
          <w:sz w:val="20"/>
        </w:rPr>
        <w:t xml:space="preserve">The results highlight the importance of considering contextual factors in order to counteract treatment dropout, not only who is at high-risk of dropout, but also when dropout is most likely to occur.  </w:t>
      </w:r>
    </w:p>
    <w:p w:rsidR="003B0DEE" w:rsidRDefault="003B0DEE" w:rsidP="000D5D90">
      <w:pPr>
        <w:pStyle w:val="Heading2"/>
      </w:pPr>
      <w:bookmarkStart w:id="151" w:name="_Toc15331736"/>
      <w:r>
        <w:t xml:space="preserve">Discussion </w:t>
      </w:r>
      <w:r w:rsidRPr="00BD3884">
        <w:t>of important findings</w:t>
      </w:r>
      <w:bookmarkEnd w:id="151"/>
      <w:r w:rsidRPr="00BD3884">
        <w:t xml:space="preserve"> </w:t>
      </w:r>
    </w:p>
    <w:p w:rsidR="003B0DEE" w:rsidRDefault="003B0DEE" w:rsidP="000D5D90">
      <w:pPr>
        <w:pStyle w:val="Heading3"/>
      </w:pPr>
      <w:bookmarkStart w:id="152" w:name="_Toc15331737"/>
      <w:r>
        <w:t>Most important study findings</w:t>
      </w:r>
      <w:bookmarkEnd w:id="152"/>
    </w:p>
    <w:p w:rsidR="003B0DEE" w:rsidRDefault="003B0DEE" w:rsidP="000D5D90">
      <w:pPr>
        <w:spacing w:line="360" w:lineRule="auto"/>
        <w:jc w:val="left"/>
        <w:rPr>
          <w:rFonts w:ascii="Arial" w:hAnsi="Arial" w:cs="Arial"/>
          <w:sz w:val="20"/>
        </w:rPr>
      </w:pPr>
      <w:r>
        <w:rPr>
          <w:rFonts w:ascii="Arial" w:hAnsi="Arial" w:cs="Arial"/>
          <w:sz w:val="20"/>
        </w:rPr>
        <w:t xml:space="preserve">Results from </w:t>
      </w:r>
      <w:r w:rsidRPr="0055245B">
        <w:rPr>
          <w:rFonts w:ascii="Arial" w:hAnsi="Arial" w:cs="Arial"/>
          <w:i/>
          <w:sz w:val="20"/>
        </w:rPr>
        <w:t>Chapter 4</w:t>
      </w:r>
      <w:r>
        <w:rPr>
          <w:rFonts w:ascii="Arial" w:hAnsi="Arial" w:cs="Arial"/>
          <w:sz w:val="20"/>
        </w:rPr>
        <w:t xml:space="preserve"> indicate that 2</w:t>
      </w:r>
      <w:r w:rsidRPr="00D224FA">
        <w:rPr>
          <w:rFonts w:ascii="Arial" w:hAnsi="Arial" w:cs="Arial"/>
          <w:sz w:val="20"/>
        </w:rPr>
        <w:t xml:space="preserve">0,698 individuals entering treatment </w:t>
      </w:r>
      <w:r>
        <w:rPr>
          <w:rFonts w:ascii="Arial" w:hAnsi="Arial" w:cs="Arial"/>
          <w:sz w:val="20"/>
        </w:rPr>
        <w:t xml:space="preserve">in Ireland </w:t>
      </w:r>
      <w:r w:rsidRPr="00D224FA">
        <w:rPr>
          <w:rFonts w:ascii="Arial" w:hAnsi="Arial" w:cs="Arial"/>
          <w:sz w:val="20"/>
        </w:rPr>
        <w:t xml:space="preserve">for the first time </w:t>
      </w:r>
      <w:r>
        <w:rPr>
          <w:rFonts w:ascii="Arial" w:hAnsi="Arial" w:cs="Arial"/>
          <w:sz w:val="20"/>
        </w:rPr>
        <w:t xml:space="preserve">and </w:t>
      </w:r>
      <w:r w:rsidRPr="00D224FA">
        <w:rPr>
          <w:rFonts w:ascii="Arial" w:hAnsi="Arial" w:cs="Arial"/>
          <w:sz w:val="20"/>
        </w:rPr>
        <w:t xml:space="preserve">while the trend of age-adjusted incidence declined between 1995 and 2015, incidence among older age groups increased, with a rising incidence not previously observed among those aged </w:t>
      </w:r>
      <w:r>
        <w:rPr>
          <w:rFonts w:ascii="Arial" w:hAnsi="Arial" w:cs="Arial"/>
          <w:sz w:val="20"/>
        </w:rPr>
        <w:t>45</w:t>
      </w:r>
      <w:r w:rsidRPr="00D224FA">
        <w:rPr>
          <w:rFonts w:ascii="Arial" w:hAnsi="Arial" w:cs="Arial"/>
          <w:sz w:val="20"/>
        </w:rPr>
        <w:t xml:space="preserve"> years and older.  </w:t>
      </w:r>
      <w:r w:rsidRPr="003407F1">
        <w:rPr>
          <w:rFonts w:ascii="Arial" w:hAnsi="Arial" w:cs="Arial"/>
          <w:sz w:val="20"/>
        </w:rPr>
        <w:t>The profile of people entering treatment for the first time has changed</w:t>
      </w:r>
      <w:r>
        <w:rPr>
          <w:rFonts w:ascii="Arial" w:hAnsi="Arial" w:cs="Arial"/>
          <w:sz w:val="20"/>
        </w:rPr>
        <w:t xml:space="preserve">.  </w:t>
      </w:r>
      <w:r w:rsidRPr="00F43F6C">
        <w:rPr>
          <w:rFonts w:ascii="Arial" w:hAnsi="Arial" w:cs="Arial"/>
          <w:sz w:val="20"/>
        </w:rPr>
        <w:t xml:space="preserve">Age entering treatment </w:t>
      </w:r>
      <w:r>
        <w:rPr>
          <w:rFonts w:ascii="Arial" w:hAnsi="Arial" w:cs="Arial"/>
          <w:sz w:val="20"/>
        </w:rPr>
        <w:t xml:space="preserve">and </w:t>
      </w:r>
      <w:r w:rsidRPr="00F43F6C">
        <w:rPr>
          <w:rFonts w:ascii="Arial" w:hAnsi="Arial" w:cs="Arial"/>
          <w:sz w:val="20"/>
        </w:rPr>
        <w:t>duration of opioid use prior to treatment has increased significantly, and s</w:t>
      </w:r>
      <w:r w:rsidRPr="00D224FA">
        <w:rPr>
          <w:rFonts w:ascii="Arial" w:hAnsi="Arial" w:cs="Arial"/>
          <w:sz w:val="20"/>
        </w:rPr>
        <w:t xml:space="preserve">ubgroups of early and late treatment entries, and early and late opioid onset were observed.  </w:t>
      </w:r>
      <w:r>
        <w:rPr>
          <w:rFonts w:ascii="Arial" w:hAnsi="Arial" w:cs="Arial"/>
          <w:sz w:val="20"/>
        </w:rPr>
        <w:t xml:space="preserve">In </w:t>
      </w:r>
      <w:r>
        <w:rPr>
          <w:rFonts w:ascii="Arial" w:hAnsi="Arial" w:cs="Arial"/>
          <w:i/>
          <w:sz w:val="20"/>
        </w:rPr>
        <w:t xml:space="preserve">Chapter 5, </w:t>
      </w:r>
      <w:r w:rsidRPr="0055245B">
        <w:rPr>
          <w:rFonts w:ascii="Arial" w:hAnsi="Arial" w:cs="Arial"/>
          <w:sz w:val="20"/>
        </w:rPr>
        <w:t>f</w:t>
      </w:r>
      <w:r w:rsidRPr="001E07CA">
        <w:rPr>
          <w:rFonts w:ascii="Arial" w:hAnsi="Arial" w:cs="Arial"/>
          <w:sz w:val="20"/>
        </w:rPr>
        <w:t xml:space="preserve">ive distinct </w:t>
      </w:r>
      <w:r>
        <w:rPr>
          <w:rFonts w:ascii="Arial" w:hAnsi="Arial" w:cs="Arial"/>
          <w:sz w:val="20"/>
        </w:rPr>
        <w:t xml:space="preserve">profiles, or subgroups were detected with </w:t>
      </w:r>
      <w:r w:rsidRPr="001E07CA">
        <w:rPr>
          <w:rFonts w:ascii="Arial" w:hAnsi="Arial" w:cs="Arial"/>
          <w:sz w:val="20"/>
        </w:rPr>
        <w:t xml:space="preserve">type of opioid and age of opioid use onset </w:t>
      </w:r>
      <w:r>
        <w:rPr>
          <w:rFonts w:ascii="Arial" w:hAnsi="Arial" w:cs="Arial"/>
          <w:sz w:val="20"/>
        </w:rPr>
        <w:t xml:space="preserve">as </w:t>
      </w:r>
      <w:r w:rsidRPr="001E07CA">
        <w:rPr>
          <w:rFonts w:ascii="Arial" w:hAnsi="Arial" w:cs="Arial"/>
          <w:sz w:val="20"/>
        </w:rPr>
        <w:t>distinguishing features</w:t>
      </w:r>
      <w:r>
        <w:rPr>
          <w:rFonts w:ascii="Arial" w:hAnsi="Arial" w:cs="Arial"/>
          <w:sz w:val="20"/>
        </w:rPr>
        <w:t xml:space="preserve">.  </w:t>
      </w:r>
      <w:r w:rsidRPr="00BD3884">
        <w:rPr>
          <w:rFonts w:ascii="Arial" w:hAnsi="Arial"/>
          <w:sz w:val="20"/>
        </w:rPr>
        <w:t xml:space="preserve">There was evidence of important temporal changes within subgroups, including (1) significant changes in the median age entering treatment, and (2) significant changes in </w:t>
      </w:r>
      <w:r>
        <w:rPr>
          <w:rFonts w:ascii="Arial" w:hAnsi="Arial"/>
          <w:sz w:val="20"/>
        </w:rPr>
        <w:t>opioid-using</w:t>
      </w:r>
      <w:r w:rsidRPr="00BD3884">
        <w:rPr>
          <w:rFonts w:ascii="Arial" w:hAnsi="Arial"/>
          <w:sz w:val="20"/>
        </w:rPr>
        <w:t xml:space="preserve"> durations prior to seeking treatment.</w:t>
      </w:r>
      <w:r>
        <w:rPr>
          <w:rFonts w:ascii="Arial" w:hAnsi="Arial"/>
          <w:sz w:val="20"/>
        </w:rPr>
        <w:t xml:space="preserve">  O</w:t>
      </w:r>
      <w:r w:rsidRPr="00BD3884">
        <w:rPr>
          <w:rFonts w:ascii="Arial" w:hAnsi="Arial"/>
          <w:sz w:val="20"/>
        </w:rPr>
        <w:t>nly t</w:t>
      </w:r>
      <w:r>
        <w:rPr>
          <w:rFonts w:ascii="Arial" w:hAnsi="Arial"/>
          <w:sz w:val="20"/>
        </w:rPr>
        <w:t>hree</w:t>
      </w:r>
      <w:r w:rsidRPr="00BD3884">
        <w:rPr>
          <w:rFonts w:ascii="Arial" w:hAnsi="Arial"/>
          <w:sz w:val="20"/>
        </w:rPr>
        <w:t xml:space="preserve"> of the five groups contributed to the overall temporal shift in ageing among the opioid treatment population</w:t>
      </w:r>
      <w:r>
        <w:rPr>
          <w:rFonts w:ascii="Arial" w:hAnsi="Arial"/>
          <w:sz w:val="20"/>
        </w:rPr>
        <w:t>.  Furthermore, there was no evidence that a</w:t>
      </w:r>
      <w:r w:rsidRPr="00CB5C0A">
        <w:rPr>
          <w:rFonts w:ascii="Arial" w:hAnsi="Arial" w:cs="Arial"/>
          <w:sz w:val="20"/>
        </w:rPr>
        <w:t>geing trends were driven by over-the-counter or prescription opioid users</w:t>
      </w:r>
      <w:r w:rsidRPr="00BD3884">
        <w:rPr>
          <w:rFonts w:ascii="Arial" w:hAnsi="Arial"/>
          <w:sz w:val="20"/>
        </w:rPr>
        <w:t>.</w:t>
      </w:r>
      <w:r w:rsidRPr="009E7CE9">
        <w:rPr>
          <w:rFonts w:ascii="Arial" w:hAnsi="Arial" w:cs="Arial"/>
          <w:sz w:val="20"/>
        </w:rPr>
        <w:t xml:space="preserve">  It is proposed that ‘older’ is defined as 35 years of age or older when entering treatment, or, if younger than 35 years, where there has been prolonged opioid use for 10 or more years.</w:t>
      </w:r>
      <w:r>
        <w:rPr>
          <w:rFonts w:ascii="Arial" w:hAnsi="Arial" w:cs="Arial"/>
          <w:sz w:val="20"/>
        </w:rPr>
        <w:t xml:space="preserve">  </w:t>
      </w:r>
    </w:p>
    <w:p w:rsidR="003B0DEE" w:rsidRDefault="003B0DEE" w:rsidP="000D5D90">
      <w:pPr>
        <w:spacing w:line="360" w:lineRule="auto"/>
        <w:jc w:val="left"/>
        <w:rPr>
          <w:rFonts w:ascii="Arial" w:hAnsi="Arial"/>
          <w:sz w:val="20"/>
        </w:rPr>
      </w:pPr>
      <w:r w:rsidRPr="00C36763">
        <w:rPr>
          <w:rFonts w:ascii="Arial" w:hAnsi="Arial" w:cs="Arial"/>
          <w:sz w:val="20"/>
        </w:rPr>
        <w:t xml:space="preserve">The investigation of treatment completion rates for opioid treatment entrants </w:t>
      </w:r>
      <w:r>
        <w:rPr>
          <w:rFonts w:ascii="Arial" w:hAnsi="Arial" w:cs="Arial"/>
          <w:sz w:val="20"/>
        </w:rPr>
        <w:t xml:space="preserve">in </w:t>
      </w:r>
      <w:r w:rsidRPr="0055245B">
        <w:rPr>
          <w:rFonts w:ascii="Arial" w:hAnsi="Arial" w:cs="Arial"/>
          <w:i/>
          <w:sz w:val="20"/>
        </w:rPr>
        <w:t>Chapter 6</w:t>
      </w:r>
      <w:r>
        <w:rPr>
          <w:rFonts w:ascii="Arial" w:hAnsi="Arial" w:cs="Arial"/>
          <w:sz w:val="20"/>
        </w:rPr>
        <w:t xml:space="preserve"> </w:t>
      </w:r>
      <w:r w:rsidRPr="00C36763">
        <w:rPr>
          <w:rFonts w:ascii="Arial" w:hAnsi="Arial" w:cs="Arial"/>
          <w:sz w:val="20"/>
        </w:rPr>
        <w:t xml:space="preserve">revealed that regardless of treatment modality, rates of opioid treatment dropout </w:t>
      </w:r>
      <w:r>
        <w:rPr>
          <w:rFonts w:ascii="Arial" w:hAnsi="Arial" w:cs="Arial"/>
          <w:sz w:val="20"/>
        </w:rPr>
        <w:t>we</w:t>
      </w:r>
      <w:r w:rsidRPr="00C36763">
        <w:rPr>
          <w:rFonts w:ascii="Arial" w:hAnsi="Arial" w:cs="Arial"/>
          <w:sz w:val="20"/>
        </w:rPr>
        <w:t>re high</w:t>
      </w:r>
      <w:r>
        <w:rPr>
          <w:rFonts w:ascii="Arial" w:hAnsi="Arial" w:cs="Arial"/>
          <w:sz w:val="20"/>
        </w:rPr>
        <w:t xml:space="preserve"> with few </w:t>
      </w:r>
      <w:r w:rsidRPr="00C36763">
        <w:rPr>
          <w:rFonts w:ascii="Arial" w:hAnsi="Arial" w:cs="Arial"/>
          <w:sz w:val="20"/>
        </w:rPr>
        <w:t xml:space="preserve">successfully completing treatment.  A </w:t>
      </w:r>
      <w:r w:rsidRPr="00F43F6C">
        <w:rPr>
          <w:rFonts w:ascii="Arial" w:hAnsi="Arial" w:cs="Arial"/>
          <w:sz w:val="20"/>
        </w:rPr>
        <w:t xml:space="preserve">total of </w:t>
      </w:r>
      <w:r>
        <w:rPr>
          <w:rFonts w:ascii="Arial" w:hAnsi="Arial" w:cs="Arial"/>
          <w:sz w:val="20"/>
        </w:rPr>
        <w:t>ten</w:t>
      </w:r>
      <w:r w:rsidRPr="00F43F6C">
        <w:rPr>
          <w:rFonts w:ascii="Arial" w:hAnsi="Arial" w:cs="Arial"/>
          <w:sz w:val="20"/>
        </w:rPr>
        <w:t xml:space="preserve"> risk and protective factors were associated with treatment retention.  The </w:t>
      </w:r>
      <w:r>
        <w:rPr>
          <w:rFonts w:ascii="Arial" w:hAnsi="Arial" w:cs="Arial"/>
          <w:sz w:val="20"/>
        </w:rPr>
        <w:t>ten</w:t>
      </w:r>
      <w:r w:rsidRPr="00F43F6C">
        <w:rPr>
          <w:rFonts w:ascii="Arial" w:hAnsi="Arial" w:cs="Arial"/>
          <w:sz w:val="20"/>
        </w:rPr>
        <w:t xml:space="preserve"> factors reflect</w:t>
      </w:r>
      <w:r w:rsidRPr="00C36763">
        <w:rPr>
          <w:rFonts w:ascii="Arial" w:hAnsi="Arial" w:cs="Arial"/>
          <w:sz w:val="20"/>
        </w:rPr>
        <w:t xml:space="preserve"> three categories; sociodemographic factors</w:t>
      </w:r>
      <w:r>
        <w:rPr>
          <w:rFonts w:ascii="Arial" w:hAnsi="Arial" w:cs="Arial"/>
          <w:sz w:val="20"/>
        </w:rPr>
        <w:t xml:space="preserve"> (age, remaining in school until at least 16 years of age, employment status and location of residence)</w:t>
      </w:r>
      <w:r w:rsidRPr="00C36763">
        <w:rPr>
          <w:rFonts w:ascii="Arial" w:hAnsi="Arial" w:cs="Arial"/>
          <w:sz w:val="20"/>
        </w:rPr>
        <w:t xml:space="preserve">, pre-treatment drug use factors </w:t>
      </w:r>
      <w:r>
        <w:rPr>
          <w:rFonts w:ascii="Arial" w:hAnsi="Arial" w:cs="Arial"/>
          <w:sz w:val="20"/>
        </w:rPr>
        <w:t>(</w:t>
      </w:r>
      <w:r w:rsidRPr="0091466A">
        <w:rPr>
          <w:rFonts w:ascii="Arial" w:hAnsi="Arial" w:cs="Arial"/>
          <w:sz w:val="20"/>
        </w:rPr>
        <w:t>frequency of opioid use in the month prior to treatment, route of opioid administration, and injecting status at treatment entry</w:t>
      </w:r>
      <w:r>
        <w:rPr>
          <w:rFonts w:ascii="Arial" w:hAnsi="Arial" w:cs="Arial"/>
          <w:sz w:val="20"/>
        </w:rPr>
        <w:t xml:space="preserve">) </w:t>
      </w:r>
      <w:r w:rsidRPr="00C36763">
        <w:rPr>
          <w:rFonts w:ascii="Arial" w:hAnsi="Arial" w:cs="Arial"/>
          <w:sz w:val="20"/>
        </w:rPr>
        <w:t>and treatment factors</w:t>
      </w:r>
      <w:r>
        <w:rPr>
          <w:rFonts w:ascii="Arial" w:hAnsi="Arial" w:cs="Arial"/>
          <w:sz w:val="20"/>
        </w:rPr>
        <w:t xml:space="preserve"> (</w:t>
      </w:r>
      <w:r w:rsidRPr="0091466A">
        <w:rPr>
          <w:rFonts w:ascii="Arial" w:hAnsi="Arial" w:cs="Arial"/>
          <w:sz w:val="20"/>
        </w:rPr>
        <w:t>treatment setting, year commenced treatment and referral source</w:t>
      </w:r>
      <w:r>
        <w:rPr>
          <w:rFonts w:ascii="Arial" w:hAnsi="Arial" w:cs="Arial"/>
          <w:sz w:val="20"/>
        </w:rPr>
        <w:t>)</w:t>
      </w:r>
      <w:r w:rsidRPr="00C36763">
        <w:rPr>
          <w:rFonts w:ascii="Arial" w:hAnsi="Arial" w:cs="Arial"/>
          <w:sz w:val="20"/>
        </w:rPr>
        <w:t>, which va</w:t>
      </w:r>
      <w:r>
        <w:rPr>
          <w:rFonts w:ascii="Arial" w:hAnsi="Arial" w:cs="Arial"/>
          <w:sz w:val="20"/>
        </w:rPr>
        <w:t>ried</w:t>
      </w:r>
      <w:r w:rsidRPr="00C36763">
        <w:rPr>
          <w:rFonts w:ascii="Arial" w:hAnsi="Arial" w:cs="Arial"/>
          <w:sz w:val="20"/>
        </w:rPr>
        <w:t xml:space="preserve"> by treatment modality, demonstrating that key indicators of treatment compliance are not uniform across treatment modality. </w:t>
      </w:r>
      <w:r>
        <w:rPr>
          <w:rFonts w:ascii="Arial" w:hAnsi="Arial" w:cs="Arial"/>
          <w:sz w:val="20"/>
        </w:rPr>
        <w:t xml:space="preserve"> </w:t>
      </w:r>
      <w:r w:rsidRPr="00C36763">
        <w:rPr>
          <w:rFonts w:ascii="Arial" w:hAnsi="Arial" w:cs="Arial"/>
          <w:sz w:val="20"/>
        </w:rPr>
        <w:t>There was considerable variation not only in treatment exposure across modality, but</w:t>
      </w:r>
      <w:r w:rsidRPr="00D70F99">
        <w:rPr>
          <w:rFonts w:ascii="Arial" w:hAnsi="Arial"/>
          <w:sz w:val="20"/>
        </w:rPr>
        <w:t xml:space="preserve"> also in the characteristics which may be associated with treatment retention.  Older age at treatment entry was associated with reduced risk of treatment dropout in certain circumstances.  </w:t>
      </w:r>
    </w:p>
    <w:p w:rsidR="003B0DEE" w:rsidRDefault="003B0DEE" w:rsidP="000D5D90">
      <w:pPr>
        <w:pStyle w:val="Heading3"/>
      </w:pPr>
      <w:bookmarkStart w:id="153" w:name="_Toc15331738"/>
      <w:r>
        <w:t>Findings in context</w:t>
      </w:r>
      <w:bookmarkEnd w:id="153"/>
    </w:p>
    <w:p w:rsidR="003B0DEE" w:rsidRDefault="003B0DEE" w:rsidP="000D5D90">
      <w:pPr>
        <w:pStyle w:val="BodyText"/>
      </w:pPr>
      <w:r w:rsidRPr="00976DE2">
        <w:t xml:space="preserve">Opioids (mostly heroin) are the most commonly reported primary illicit drug used by people </w:t>
      </w:r>
      <w:r w:rsidRPr="00976DE2">
        <w:lastRenderedPageBreak/>
        <w:t xml:space="preserve">entering drug treatment </w:t>
      </w:r>
      <w:r>
        <w:t xml:space="preserve">both </w:t>
      </w:r>
      <w:r w:rsidRPr="00976DE2">
        <w:t xml:space="preserve">in Ireland </w:t>
      </w:r>
      <w:r>
        <w:t xml:space="preserve">and in Europe </w:t>
      </w:r>
      <w:r>
        <w:rPr>
          <w:noProof/>
        </w:rPr>
        <w:t>(European Monitoring Centre for Drugs and Drug Addiction 2010b, 2017c, 2018b)</w:t>
      </w:r>
      <w:r w:rsidRPr="00976DE2">
        <w:t xml:space="preserve">.  </w:t>
      </w:r>
      <w:r>
        <w:t xml:space="preserve">The decreasing trend in </w:t>
      </w:r>
      <w:r w:rsidRPr="00976DE2">
        <w:t>number of pe</w:t>
      </w:r>
      <w:r>
        <w:t xml:space="preserve">ople entering treatment for the </w:t>
      </w:r>
      <w:r w:rsidRPr="00976DE2">
        <w:t>first</w:t>
      </w:r>
      <w:r>
        <w:t xml:space="preserve"> </w:t>
      </w:r>
      <w:r w:rsidRPr="00976DE2">
        <w:t>time</w:t>
      </w:r>
      <w:r>
        <w:t xml:space="preserve"> in Ireland since 2010 is </w:t>
      </w:r>
      <w:r w:rsidRPr="00976DE2">
        <w:t xml:space="preserve">similar </w:t>
      </w:r>
      <w:r>
        <w:t xml:space="preserve">to trends seen at European level </w:t>
      </w:r>
      <w:r>
        <w:rPr>
          <w:noProof/>
        </w:rPr>
        <w:t>(Barrio</w:t>
      </w:r>
      <w:r w:rsidRPr="00625F3F">
        <w:rPr>
          <w:i/>
          <w:noProof/>
        </w:rPr>
        <w:t xml:space="preserve"> et al.</w:t>
      </w:r>
      <w:r>
        <w:rPr>
          <w:noProof/>
        </w:rPr>
        <w:t xml:space="preserve"> 2013, European Monitoring Centre for Drugs and Drug Addiction 2017a)</w:t>
      </w:r>
      <w:r w:rsidRPr="00976DE2">
        <w:t xml:space="preserve">.  </w:t>
      </w:r>
      <w:r>
        <w:t>A number of factors may contribute to changes</w:t>
      </w:r>
      <w:r w:rsidRPr="00976DE2">
        <w:t xml:space="preserve"> in the number </w:t>
      </w:r>
      <w:r>
        <w:t xml:space="preserve">of new admissions over time, </w:t>
      </w:r>
      <w:r w:rsidRPr="00976DE2">
        <w:t>including treatment capacity, propensity to enter t</w:t>
      </w:r>
      <w:r>
        <w:t xml:space="preserve">reatment, time lag to treatment, </w:t>
      </w:r>
      <w:r w:rsidRPr="00976DE2">
        <w:t xml:space="preserve">data-reporting coverage </w:t>
      </w:r>
      <w:r>
        <w:rPr>
          <w:noProof/>
        </w:rPr>
        <w:t>(De la Fuente</w:t>
      </w:r>
      <w:r w:rsidRPr="00E40AAD">
        <w:rPr>
          <w:i/>
          <w:noProof/>
        </w:rPr>
        <w:t xml:space="preserve"> et al.</w:t>
      </w:r>
      <w:r>
        <w:rPr>
          <w:noProof/>
        </w:rPr>
        <w:t xml:space="preserve"> 2006, European Monitoring Centre for Drugs and Drug Addiction 2012c, 2012d)</w:t>
      </w:r>
      <w:r>
        <w:t xml:space="preserve"> and prevalence trends </w:t>
      </w:r>
      <w:r>
        <w:rPr>
          <w:noProof/>
        </w:rPr>
        <w:t>(Barrio</w:t>
      </w:r>
      <w:r w:rsidRPr="00791A95">
        <w:rPr>
          <w:i/>
          <w:noProof/>
        </w:rPr>
        <w:t xml:space="preserve"> et al.</w:t>
      </w:r>
      <w:r>
        <w:rPr>
          <w:noProof/>
        </w:rPr>
        <w:t xml:space="preserve"> 2013)</w:t>
      </w:r>
      <w:r>
        <w:t>.  A</w:t>
      </w:r>
      <w:r w:rsidRPr="00976DE2">
        <w:t>vailable information suggests</w:t>
      </w:r>
      <w:r>
        <w:t xml:space="preserve"> that in </w:t>
      </w:r>
      <w:r w:rsidRPr="00976DE2">
        <w:t xml:space="preserve">the Irish context, </w:t>
      </w:r>
      <w:r>
        <w:t xml:space="preserve">the observed </w:t>
      </w:r>
      <w:r w:rsidRPr="00976DE2">
        <w:t>decrease</w:t>
      </w:r>
      <w:r>
        <w:t xml:space="preserve"> is </w:t>
      </w:r>
      <w:r w:rsidRPr="00976DE2">
        <w:t xml:space="preserve">likely </w:t>
      </w:r>
      <w:r>
        <w:t xml:space="preserve">due </w:t>
      </w:r>
      <w:r w:rsidRPr="00976DE2">
        <w:t>to the time lag to treatment</w:t>
      </w:r>
      <w:r>
        <w:t xml:space="preserve"> rather than the other factors.  The analysis shows </w:t>
      </w:r>
      <w:r w:rsidRPr="00976DE2">
        <w:t xml:space="preserve">an increased duration of five years between first opioid use and </w:t>
      </w:r>
      <w:r w:rsidRPr="00CC3637">
        <w:t xml:space="preserve">first treatment.  Available information suggests that treatment capacity and data coverage are unlikely factors </w:t>
      </w:r>
      <w:r>
        <w:t xml:space="preserve">because </w:t>
      </w:r>
      <w:r w:rsidRPr="00976DE2">
        <w:t xml:space="preserve">the number of treatment places have increased overall </w:t>
      </w:r>
      <w:r>
        <w:rPr>
          <w:noProof/>
        </w:rPr>
        <w:t>(Comptroller and Auditor General 2009, Farrell &amp; Barry 2010, European Monitoring Centre for Drugs and Drug Addiction 2017c)</w:t>
      </w:r>
      <w:r w:rsidRPr="00976DE2">
        <w:t xml:space="preserve">, and data coverage has remained stable or has increased, particularly in the last decade where ageing trends are noted </w:t>
      </w:r>
      <w:r>
        <w:rPr>
          <w:noProof/>
        </w:rPr>
        <w:t>(Carew</w:t>
      </w:r>
      <w:r w:rsidRPr="00791A95">
        <w:rPr>
          <w:i/>
          <w:noProof/>
        </w:rPr>
        <w:t xml:space="preserve"> et al.</w:t>
      </w:r>
      <w:r>
        <w:rPr>
          <w:noProof/>
        </w:rPr>
        <w:t xml:space="preserve"> 2009, Comptroller and Auditor General 2009)</w:t>
      </w:r>
      <w:r w:rsidRPr="00976DE2">
        <w:t xml:space="preserve">.  </w:t>
      </w:r>
      <w:r>
        <w:t xml:space="preserve">During the period 2008 to 2010, the number of treatment entrants increased reflecting the expansion of treatment services outside Dublin with many new services opening in the years 2007 and 2008 </w:t>
      </w:r>
      <w:r>
        <w:rPr>
          <w:noProof/>
        </w:rPr>
        <w:t>(Farrell &amp; Barry 2010)</w:t>
      </w:r>
      <w:r>
        <w:t xml:space="preserve">.  </w:t>
      </w:r>
      <w:r w:rsidRPr="00976DE2">
        <w:t xml:space="preserve">Trends in the number of people entering treatment for the first time can also reflect prevalence trends </w:t>
      </w:r>
      <w:r>
        <w:t xml:space="preserve">for problem opioid users </w:t>
      </w:r>
      <w:r w:rsidRPr="00976DE2">
        <w:t xml:space="preserve">as the probability of entering treatment is conditioned on having started drug use and length of use, which brings new people who use drugs into treatment </w:t>
      </w:r>
      <w:r>
        <w:rPr>
          <w:noProof/>
        </w:rPr>
        <w:t>(Barrio</w:t>
      </w:r>
      <w:r w:rsidRPr="00791A95">
        <w:rPr>
          <w:i/>
          <w:noProof/>
        </w:rPr>
        <w:t xml:space="preserve"> et al.</w:t>
      </w:r>
      <w:r>
        <w:rPr>
          <w:noProof/>
        </w:rPr>
        <w:t xml:space="preserve"> 2013)</w:t>
      </w:r>
      <w:r>
        <w:t>.</w:t>
      </w:r>
      <w:r w:rsidRPr="00976DE2">
        <w:t xml:space="preserve"> </w:t>
      </w:r>
      <w:r>
        <w:t xml:space="preserve"> H</w:t>
      </w:r>
      <w:r w:rsidRPr="00976DE2">
        <w:t xml:space="preserve">owever, this </w:t>
      </w:r>
      <w:r>
        <w:t xml:space="preserve">too </w:t>
      </w:r>
      <w:r w:rsidRPr="00976DE2">
        <w:t xml:space="preserve">is unlikely as the prevalence of </w:t>
      </w:r>
      <w:r>
        <w:t xml:space="preserve">problem </w:t>
      </w:r>
      <w:r w:rsidRPr="00976DE2">
        <w:t xml:space="preserve">opioid use remained relatively stable </w:t>
      </w:r>
      <w:r>
        <w:t xml:space="preserve">between 2002 and 2014 </w:t>
      </w:r>
      <w:r>
        <w:rPr>
          <w:noProof/>
        </w:rPr>
        <w:t>(Kelly</w:t>
      </w:r>
      <w:r w:rsidRPr="00791A95">
        <w:rPr>
          <w:i/>
          <w:noProof/>
        </w:rPr>
        <w:t xml:space="preserve"> et al.</w:t>
      </w:r>
      <w:r>
        <w:rPr>
          <w:noProof/>
        </w:rPr>
        <w:t xml:space="preserve"> 2003, Kelly</w:t>
      </w:r>
      <w:r w:rsidRPr="00791A95">
        <w:rPr>
          <w:i/>
          <w:noProof/>
        </w:rPr>
        <w:t xml:space="preserve"> et al.</w:t>
      </w:r>
      <w:r>
        <w:rPr>
          <w:noProof/>
        </w:rPr>
        <w:t xml:space="preserve"> 2009, Hay</w:t>
      </w:r>
      <w:r w:rsidRPr="00791A95">
        <w:rPr>
          <w:i/>
          <w:noProof/>
        </w:rPr>
        <w:t xml:space="preserve"> et al.</w:t>
      </w:r>
      <w:r>
        <w:rPr>
          <w:noProof/>
        </w:rPr>
        <w:t xml:space="preserve"> 2017)</w:t>
      </w:r>
      <w:r w:rsidRPr="00976DE2">
        <w:t xml:space="preserve">.  </w:t>
      </w:r>
      <w:r>
        <w:t>Nonetheless, i</w:t>
      </w:r>
      <w:r w:rsidRPr="00976DE2">
        <w:t xml:space="preserve">t is important that trends are actively monitored as past experience shows that drug problems </w:t>
      </w:r>
      <w:r>
        <w:t>occur in</w:t>
      </w:r>
      <w:r w:rsidRPr="00976DE2">
        <w:t xml:space="preserve"> epidemic waves </w:t>
      </w:r>
      <w:r>
        <w:rPr>
          <w:noProof/>
        </w:rPr>
        <w:t>(Barrio</w:t>
      </w:r>
      <w:r w:rsidRPr="00791A95">
        <w:rPr>
          <w:i/>
          <w:noProof/>
        </w:rPr>
        <w:t xml:space="preserve"> et al.</w:t>
      </w:r>
      <w:r>
        <w:rPr>
          <w:noProof/>
        </w:rPr>
        <w:t xml:space="preserve"> 2013)</w:t>
      </w:r>
      <w:r w:rsidRPr="00976DE2">
        <w:t xml:space="preserve">.  </w:t>
      </w:r>
    </w:p>
    <w:p w:rsidR="003B0DEE" w:rsidRDefault="003B0DEE" w:rsidP="000D5D90">
      <w:pPr>
        <w:pStyle w:val="BodyText"/>
      </w:pPr>
      <w:r w:rsidRPr="00454539">
        <w:t xml:space="preserve">The subgroups identified in </w:t>
      </w:r>
      <w:r w:rsidRPr="00325259">
        <w:rPr>
          <w:i/>
        </w:rPr>
        <w:t>Chapter 5</w:t>
      </w:r>
      <w:r w:rsidRPr="00454539">
        <w:t xml:space="preserve"> provide a better understanding of the changing opioid endemic.  </w:t>
      </w:r>
      <w:r>
        <w:t>Firstly, c</w:t>
      </w:r>
      <w:r w:rsidRPr="00454539">
        <w:t>luster one is of particular interest</w:t>
      </w:r>
      <w:r>
        <w:t xml:space="preserve"> as it relates to </w:t>
      </w:r>
      <w:r w:rsidRPr="00976DE2">
        <w:t>opioi</w:t>
      </w:r>
      <w:r>
        <w:t>ds other than heroin</w:t>
      </w:r>
      <w:r w:rsidRPr="00454539">
        <w:t xml:space="preserve">.  </w:t>
      </w:r>
      <w:r>
        <w:t>Secondly, t</w:t>
      </w:r>
      <w:r w:rsidRPr="00454539">
        <w:t xml:space="preserve">he initiation of opioid use </w:t>
      </w:r>
      <w:r>
        <w:t xml:space="preserve">is not uniform across </w:t>
      </w:r>
      <w:r w:rsidRPr="00454539">
        <w:t>clusters</w:t>
      </w:r>
      <w:r>
        <w:t xml:space="preserve"> and may contribute to the overall trend in ageing</w:t>
      </w:r>
      <w:r w:rsidRPr="00454539">
        <w:t xml:space="preserve">.  </w:t>
      </w:r>
      <w:r>
        <w:t xml:space="preserve">Overall, the study results show that </w:t>
      </w:r>
      <w:r w:rsidRPr="00976DE2">
        <w:t xml:space="preserve">problem </w:t>
      </w:r>
      <w:proofErr w:type="gramStart"/>
      <w:r w:rsidRPr="00976DE2">
        <w:t>use of opioi</w:t>
      </w:r>
      <w:r>
        <w:t>d drugs other than heroin are</w:t>
      </w:r>
      <w:proofErr w:type="gramEnd"/>
      <w:r>
        <w:t xml:space="preserve"> small but numbers are increasing.  In recent years, t</w:t>
      </w:r>
      <w:r w:rsidRPr="00454539">
        <w:t xml:space="preserve">here has been a dramatic increase in the use of pharmaceutical opioids </w:t>
      </w:r>
      <w:r>
        <w:rPr>
          <w:noProof/>
        </w:rPr>
        <w:t>(Degenhardt</w:t>
      </w:r>
      <w:r w:rsidRPr="00791A95">
        <w:rPr>
          <w:i/>
          <w:noProof/>
        </w:rPr>
        <w:t xml:space="preserve"> et al.</w:t>
      </w:r>
      <w:r>
        <w:rPr>
          <w:noProof/>
        </w:rPr>
        <w:t xml:space="preserve"> 2008, Maxwell 2011, Fischer &amp; Argento 2012)</w:t>
      </w:r>
      <w:r w:rsidRPr="00454539">
        <w:t xml:space="preserve">.  </w:t>
      </w:r>
      <w:r>
        <w:t xml:space="preserve">Codeine is </w:t>
      </w:r>
      <w:r w:rsidRPr="00454539">
        <w:t xml:space="preserve">the most commonly used pharmaceutical opioid </w:t>
      </w:r>
      <w:r>
        <w:t>globally</w:t>
      </w:r>
      <w:r w:rsidRPr="00454539">
        <w:t xml:space="preserve"> </w:t>
      </w:r>
      <w:r>
        <w:rPr>
          <w:noProof/>
        </w:rPr>
        <w:t>(Nielsen</w:t>
      </w:r>
      <w:r w:rsidRPr="00791A95">
        <w:rPr>
          <w:i/>
          <w:noProof/>
        </w:rPr>
        <w:t xml:space="preserve"> et al.</w:t>
      </w:r>
      <w:r>
        <w:rPr>
          <w:noProof/>
        </w:rPr>
        <w:t xml:space="preserve"> 2018)</w:t>
      </w:r>
      <w:r>
        <w:t xml:space="preserve">.  </w:t>
      </w:r>
      <w:r w:rsidRPr="00454539">
        <w:t xml:space="preserve">The majority of cluster one reported </w:t>
      </w:r>
      <w:r>
        <w:t xml:space="preserve">having </w:t>
      </w:r>
      <w:r w:rsidRPr="00454539">
        <w:t xml:space="preserve">problem </w:t>
      </w:r>
      <w:r>
        <w:t xml:space="preserve">use of </w:t>
      </w:r>
      <w:r w:rsidRPr="00454539">
        <w:t xml:space="preserve">codeine.  </w:t>
      </w:r>
      <w:r>
        <w:t>A</w:t>
      </w:r>
      <w:r w:rsidRPr="00454539">
        <w:t xml:space="preserve"> </w:t>
      </w:r>
      <w:r>
        <w:t xml:space="preserve">recent </w:t>
      </w:r>
      <w:r w:rsidRPr="00454539">
        <w:t>systematic review found high prevalence rates of mental health comorbidity, delayed identification and under-reporting of dependence</w:t>
      </w:r>
      <w:r w:rsidR="009D2A34" w:rsidRPr="00454539">
        <w:t>, and</w:t>
      </w:r>
      <w:r w:rsidRPr="00454539">
        <w:t xml:space="preserve"> serious complications associated with the consumption of large amounts of products containing codeine </w:t>
      </w:r>
      <w:r>
        <w:rPr>
          <w:noProof/>
        </w:rPr>
        <w:t>(Nielsen</w:t>
      </w:r>
      <w:r w:rsidRPr="00791A95">
        <w:rPr>
          <w:i/>
          <w:noProof/>
        </w:rPr>
        <w:t xml:space="preserve"> et al.</w:t>
      </w:r>
      <w:r>
        <w:rPr>
          <w:noProof/>
        </w:rPr>
        <w:t xml:space="preserve"> 2018)</w:t>
      </w:r>
      <w:r w:rsidRPr="00454539">
        <w:t xml:space="preserve">.  </w:t>
      </w:r>
      <w:r>
        <w:t xml:space="preserve">Although </w:t>
      </w:r>
      <w:r w:rsidRPr="00454539">
        <w:t xml:space="preserve">presentations at addiction treatment services </w:t>
      </w:r>
      <w:r>
        <w:t xml:space="preserve">for codeine </w:t>
      </w:r>
      <w:r w:rsidRPr="00454539">
        <w:t xml:space="preserve">have increased internationally </w:t>
      </w:r>
      <w:r>
        <w:rPr>
          <w:noProof/>
        </w:rPr>
        <w:t>(Myers</w:t>
      </w:r>
      <w:r w:rsidRPr="00D91DC9">
        <w:rPr>
          <w:i/>
          <w:noProof/>
        </w:rPr>
        <w:t xml:space="preserve"> et al.</w:t>
      </w:r>
      <w:r>
        <w:rPr>
          <w:noProof/>
        </w:rPr>
        <w:t xml:space="preserve"> 2003, Nielsen</w:t>
      </w:r>
      <w:r w:rsidRPr="00D91DC9">
        <w:rPr>
          <w:i/>
          <w:noProof/>
        </w:rPr>
        <w:t xml:space="preserve"> et al.</w:t>
      </w:r>
      <w:r>
        <w:rPr>
          <w:noProof/>
        </w:rPr>
        <w:t xml:space="preserve"> 2015a, Nielsen</w:t>
      </w:r>
      <w:r w:rsidRPr="00D91DC9">
        <w:rPr>
          <w:i/>
          <w:noProof/>
        </w:rPr>
        <w:t xml:space="preserve"> et al.</w:t>
      </w:r>
      <w:r>
        <w:rPr>
          <w:noProof/>
        </w:rPr>
        <w:t xml:space="preserve"> 2015b)</w:t>
      </w:r>
      <w:r>
        <w:t>, li</w:t>
      </w:r>
      <w:r w:rsidRPr="00454539">
        <w:t xml:space="preserve">ttle consideration </w:t>
      </w:r>
      <w:r>
        <w:t xml:space="preserve">has been </w:t>
      </w:r>
      <w:r w:rsidRPr="00454539">
        <w:t xml:space="preserve">given to potential treatment demand from this group </w:t>
      </w:r>
      <w:r>
        <w:rPr>
          <w:noProof/>
        </w:rPr>
        <w:t>(Nielsen</w:t>
      </w:r>
      <w:r w:rsidRPr="00D91DC9">
        <w:rPr>
          <w:i/>
          <w:noProof/>
        </w:rPr>
        <w:t xml:space="preserve"> et al.</w:t>
      </w:r>
      <w:r>
        <w:rPr>
          <w:noProof/>
        </w:rPr>
        <w:t xml:space="preserve"> 2015a)</w:t>
      </w:r>
      <w:r w:rsidRPr="00454539">
        <w:t>.  Patient characteris</w:t>
      </w:r>
      <w:r>
        <w:t>tics</w:t>
      </w:r>
      <w:r w:rsidRPr="00454539">
        <w:t xml:space="preserve"> indicate that cluster one may be suitably treated in </w:t>
      </w:r>
      <w:r>
        <w:t xml:space="preserve">a </w:t>
      </w:r>
      <w:r w:rsidRPr="00454539">
        <w:t xml:space="preserve">primary care </w:t>
      </w:r>
      <w:r>
        <w:t xml:space="preserve">setting, </w:t>
      </w:r>
      <w:r w:rsidRPr="00454539">
        <w:t xml:space="preserve">given </w:t>
      </w:r>
      <w:r>
        <w:t xml:space="preserve">the </w:t>
      </w:r>
      <w:r w:rsidRPr="00454539">
        <w:t xml:space="preserve">high rates </w:t>
      </w:r>
      <w:r>
        <w:t>of employment, social stability and</w:t>
      </w:r>
      <w:r w:rsidRPr="00454539">
        <w:t xml:space="preserve"> caring responsibilities</w:t>
      </w:r>
      <w:r>
        <w:t xml:space="preserve">, and this group are also </w:t>
      </w:r>
      <w:r w:rsidRPr="00454539">
        <w:t xml:space="preserve">less likely to </w:t>
      </w:r>
      <w:r>
        <w:t xml:space="preserve">inject drugs or </w:t>
      </w:r>
      <w:r w:rsidRPr="00454539">
        <w:t xml:space="preserve">use additional </w:t>
      </w:r>
      <w:r>
        <w:t>substances alongside opioids</w:t>
      </w:r>
      <w:r w:rsidRPr="00454539">
        <w:t>.</w:t>
      </w:r>
      <w:r w:rsidRPr="000176A7">
        <w:t xml:space="preserve"> </w:t>
      </w:r>
      <w:r>
        <w:t xml:space="preserve"> T</w:t>
      </w:r>
      <w:r w:rsidRPr="00454539">
        <w:t xml:space="preserve">he initiation of opioid use varied across clusters.  Cluster five was </w:t>
      </w:r>
      <w:r w:rsidRPr="00454539">
        <w:lastRenderedPageBreak/>
        <w:t xml:space="preserve">the only group to commence opioid use during adolescence.  This group had early-onset drug use, early-onset opioid use, the longest time interval to access treatment, and more than half of this group injected drugs.  Yet, cluster five was </w:t>
      </w:r>
      <w:r>
        <w:t xml:space="preserve">the largest group and also </w:t>
      </w:r>
      <w:r w:rsidRPr="00454539">
        <w:t xml:space="preserve">the youngest to enter treatment.  The profile of cluster five indicates a group with more complex and chronic </w:t>
      </w:r>
      <w:r>
        <w:t>drug-using</w:t>
      </w:r>
      <w:r w:rsidRPr="00454539">
        <w:t xml:space="preserve"> practices and more complex needs which may be more difficult to treat.  </w:t>
      </w:r>
    </w:p>
    <w:p w:rsidR="003B0DEE" w:rsidRDefault="003B0DEE" w:rsidP="000D5D90">
      <w:pPr>
        <w:pStyle w:val="BodyText"/>
      </w:pPr>
      <w:r>
        <w:t xml:space="preserve">This study is the first to comprehensively describe all opioid treatment discharges for Ireland.  </w:t>
      </w:r>
      <w:r w:rsidRPr="005807D0">
        <w:t xml:space="preserve">The proportion of people who complete treatment successfully is commonly used as a proxy measure of treatment outcome </w:t>
      </w:r>
      <w:r w:rsidRPr="005807D0">
        <w:rPr>
          <w:noProof/>
        </w:rPr>
        <w:t>(Alterman</w:t>
      </w:r>
      <w:r w:rsidRPr="005807D0">
        <w:rPr>
          <w:i/>
          <w:noProof/>
        </w:rPr>
        <w:t xml:space="preserve"> et al.</w:t>
      </w:r>
      <w:r w:rsidRPr="005807D0">
        <w:rPr>
          <w:noProof/>
        </w:rPr>
        <w:t xml:space="preserve"> 2001)</w:t>
      </w:r>
      <w:r>
        <w:t xml:space="preserve">.  Results from </w:t>
      </w:r>
      <w:r w:rsidRPr="0055245B">
        <w:rPr>
          <w:i/>
        </w:rPr>
        <w:t xml:space="preserve">Chapter </w:t>
      </w:r>
      <w:r>
        <w:rPr>
          <w:i/>
        </w:rPr>
        <w:t>6</w:t>
      </w:r>
      <w:r>
        <w:t xml:space="preserve"> indicate</w:t>
      </w:r>
      <w:r w:rsidRPr="00CC3637">
        <w:t xml:space="preserve"> </w:t>
      </w:r>
      <w:r w:rsidRPr="005807D0">
        <w:t xml:space="preserve">several factors </w:t>
      </w:r>
      <w:r>
        <w:t xml:space="preserve">are </w:t>
      </w:r>
      <w:r w:rsidRPr="005807D0">
        <w:t xml:space="preserve">related to treatment completion which should be considered in policy and practice strategies to enhance treatment outcomes, </w:t>
      </w:r>
      <w:r>
        <w:t xml:space="preserve">including </w:t>
      </w:r>
      <w:r w:rsidRPr="005807D0">
        <w:t>early school leaving, employment/training opportunities, earlier engagement with treatment services, the support/involvement of family and peers, and the use of benzodiazepines in addition to opioids.  In the clinical setting, the factors identified as being associated with lower odds of opioid treatment completion (being unemployed; living with parents/family, with children, or with friends; residing in Dublin; and using benzodiazepines in addition to opioids) could be considered in combination to identify people who could potentially benefit from greater supports throughout their treatment journey</w:t>
      </w:r>
      <w:r>
        <w:t>.</w:t>
      </w:r>
      <w:r w:rsidRPr="005807D0">
        <w:t xml:space="preserve">  </w:t>
      </w:r>
    </w:p>
    <w:p w:rsidR="003B0DEE" w:rsidRDefault="003B0DEE" w:rsidP="000D5D90">
      <w:pPr>
        <w:pStyle w:val="BodyText"/>
      </w:pPr>
      <w:r>
        <w:t>However, s</w:t>
      </w:r>
      <w:r w:rsidRPr="005807D0">
        <w:t>uccessful treatment completion is somewhat limited as an indicator because it does not capture the degree to which treatment benefit endures.  Fo</w:t>
      </w:r>
      <w:r>
        <w:t xml:space="preserve">cusing on treatment exposure and retention may provide more useful findings.  Given the </w:t>
      </w:r>
      <w:r w:rsidRPr="000C4D12">
        <w:t>considerable variation in treatment</w:t>
      </w:r>
      <w:r>
        <w:t xml:space="preserve"> completion rates across modality, variation was not unexpected in treatment exposure or </w:t>
      </w:r>
      <w:r w:rsidRPr="00D70F99">
        <w:t>in the characteristics which may be associated with treatment retention</w:t>
      </w:r>
      <w:r>
        <w:t>.  A</w:t>
      </w:r>
      <w:r w:rsidRPr="004867CE">
        <w:t xml:space="preserve"> total of </w:t>
      </w:r>
      <w:r>
        <w:t>ten</w:t>
      </w:r>
      <w:r w:rsidRPr="004867CE">
        <w:t xml:space="preserve"> risk and protective factors </w:t>
      </w:r>
      <w:r>
        <w:t xml:space="preserve">were found to be </w:t>
      </w:r>
      <w:r w:rsidRPr="004867CE">
        <w:t xml:space="preserve">associated with treatment retention.  </w:t>
      </w:r>
      <w:r>
        <w:t xml:space="preserve">The results highlight that </w:t>
      </w:r>
      <w:r w:rsidRPr="00F0062D">
        <w:t>key indicator</w:t>
      </w:r>
      <w:r>
        <w:t>s</w:t>
      </w:r>
      <w:r w:rsidRPr="00C91A9C">
        <w:t xml:space="preserve"> of treatment compliance</w:t>
      </w:r>
      <w:r>
        <w:t xml:space="preserve"> are not uniform across treatment modalities, and therefore it is important that treatment providers and policy makers are aware of the subtleties within and across modalities to improve </w:t>
      </w:r>
      <w:r w:rsidRPr="003C5BD8">
        <w:t>treatment retention and re-engagement strategies</w:t>
      </w:r>
      <w:r>
        <w:t xml:space="preserve">.  The study found that all pre-treatment </w:t>
      </w:r>
      <w:r w:rsidRPr="004867CE">
        <w:t>drug use factors</w:t>
      </w:r>
      <w:r>
        <w:t xml:space="preserve"> (</w:t>
      </w:r>
      <w:r w:rsidRPr="0091466A">
        <w:t>frequency of opioid use in the month prior to treatment, route of opioid administration, and injecting status at treatment entry</w:t>
      </w:r>
      <w:r>
        <w:t xml:space="preserve">) increased the likelihood of treatment dropout and applied to the psychosocial treatment modalities (counselling only and other psychosocial interventions).  Two of the three treatment factors were protective factors (year commenced treatment and referral source) and applied to three of the four modalities.  The remaining treatment factor (treatment setting) was the most common factor linked with all four modalities, and operated as both a protective and risk factor depending on modality, indicating that retention is setting specific.  Sociodemographic factors (age, remaining in school until at least 16 years of age, employment status and location of residence) were associated with three treatment modalities.  Two sociodemographic factors were risk factors (employment status and location of residence) while two were protective factors (age entering treatment and remaining in school until at least 16 years of age).  Interestingly, structured detoxification was the only modality affected by just one domain, treatment factors.   </w:t>
      </w:r>
    </w:p>
    <w:p w:rsidR="003B0DEE" w:rsidRDefault="003B0DEE" w:rsidP="000D5D90">
      <w:pPr>
        <w:pStyle w:val="BodyText"/>
      </w:pPr>
      <w:r w:rsidRPr="003C5BD8">
        <w:t xml:space="preserve">Retention is a key </w:t>
      </w:r>
      <w:r>
        <w:t xml:space="preserve">factor of </w:t>
      </w:r>
      <w:r w:rsidRPr="003C5BD8">
        <w:t>treatment success</w:t>
      </w:r>
      <w:r>
        <w:t xml:space="preserve"> </w:t>
      </w:r>
      <w:r>
        <w:rPr>
          <w:noProof/>
        </w:rPr>
        <w:t>(Hubbard</w:t>
      </w:r>
      <w:r w:rsidRPr="00791A95">
        <w:rPr>
          <w:i/>
          <w:noProof/>
        </w:rPr>
        <w:t xml:space="preserve"> et al.</w:t>
      </w:r>
      <w:r>
        <w:rPr>
          <w:noProof/>
        </w:rPr>
        <w:t xml:space="preserve"> 1989, Simpson</w:t>
      </w:r>
      <w:r w:rsidRPr="00791A95">
        <w:rPr>
          <w:i/>
          <w:noProof/>
        </w:rPr>
        <w:t xml:space="preserve"> et al.</w:t>
      </w:r>
      <w:r>
        <w:rPr>
          <w:noProof/>
        </w:rPr>
        <w:t xml:space="preserve"> 1997, Gossop</w:t>
      </w:r>
      <w:r w:rsidRPr="00791A95">
        <w:rPr>
          <w:i/>
          <w:noProof/>
        </w:rPr>
        <w:t xml:space="preserve"> et al.</w:t>
      </w:r>
      <w:r>
        <w:rPr>
          <w:noProof/>
        </w:rPr>
        <w:t xml:space="preserve"> 1999)</w:t>
      </w:r>
      <w:r w:rsidRPr="003C5BD8">
        <w:t xml:space="preserve">.  </w:t>
      </w:r>
      <w:r>
        <w:t xml:space="preserve">Previous international opioid </w:t>
      </w:r>
      <w:r w:rsidRPr="00BF735D">
        <w:t xml:space="preserve">maintenance </w:t>
      </w:r>
      <w:r>
        <w:t>studies have reported varied retention rates at twelve months (31% to 84</w:t>
      </w:r>
      <w:r w:rsidRPr="0099237A">
        <w:t>%</w:t>
      </w:r>
      <w:proofErr w:type="gramStart"/>
      <w:r w:rsidRPr="0099237A">
        <w:t>)</w:t>
      </w:r>
      <w:r>
        <w:t xml:space="preserve"> </w:t>
      </w:r>
      <w:proofErr w:type="gramEnd"/>
      <w:r w:rsidRPr="0099237A">
        <w:rPr>
          <w:noProof/>
        </w:rPr>
        <w:t>(Ling</w:t>
      </w:r>
      <w:r w:rsidRPr="0099237A">
        <w:rPr>
          <w:i/>
          <w:noProof/>
        </w:rPr>
        <w:t xml:space="preserve"> et al.</w:t>
      </w:r>
      <w:r w:rsidRPr="0099237A">
        <w:rPr>
          <w:noProof/>
        </w:rPr>
        <w:t xml:space="preserve"> 1996, Bell</w:t>
      </w:r>
      <w:r w:rsidRPr="0099237A">
        <w:rPr>
          <w:i/>
          <w:noProof/>
        </w:rPr>
        <w:t xml:space="preserve"> et al.</w:t>
      </w:r>
      <w:r w:rsidRPr="0099237A">
        <w:rPr>
          <w:noProof/>
        </w:rPr>
        <w:t xml:space="preserve"> 2006, Peles</w:t>
      </w:r>
      <w:r w:rsidRPr="0099237A">
        <w:rPr>
          <w:i/>
          <w:noProof/>
        </w:rPr>
        <w:t xml:space="preserve"> et al.</w:t>
      </w:r>
      <w:r w:rsidRPr="0099237A">
        <w:rPr>
          <w:noProof/>
        </w:rPr>
        <w:t xml:space="preserve"> 2006, Davstad</w:t>
      </w:r>
      <w:r w:rsidRPr="0099237A">
        <w:rPr>
          <w:i/>
          <w:noProof/>
        </w:rPr>
        <w:t xml:space="preserve"> </w:t>
      </w:r>
      <w:r w:rsidRPr="0099237A">
        <w:rPr>
          <w:i/>
          <w:noProof/>
        </w:rPr>
        <w:lastRenderedPageBreak/>
        <w:t>et al.</w:t>
      </w:r>
      <w:r w:rsidRPr="0099237A">
        <w:rPr>
          <w:noProof/>
        </w:rPr>
        <w:t xml:space="preserve"> 2007, Peles</w:t>
      </w:r>
      <w:r w:rsidRPr="0099237A">
        <w:rPr>
          <w:i/>
          <w:noProof/>
        </w:rPr>
        <w:t xml:space="preserve"> et al.</w:t>
      </w:r>
      <w:r w:rsidRPr="0099237A">
        <w:rPr>
          <w:noProof/>
        </w:rPr>
        <w:t xml:space="preserve"> 2008, Liu</w:t>
      </w:r>
      <w:r w:rsidRPr="0099237A">
        <w:rPr>
          <w:i/>
          <w:noProof/>
        </w:rPr>
        <w:t xml:space="preserve"> et al.</w:t>
      </w:r>
      <w:r w:rsidRPr="0099237A">
        <w:rPr>
          <w:noProof/>
        </w:rPr>
        <w:t xml:space="preserve"> 2009, Mullen</w:t>
      </w:r>
      <w:r w:rsidRPr="0099237A">
        <w:rPr>
          <w:i/>
          <w:noProof/>
        </w:rPr>
        <w:t xml:space="preserve"> et al.</w:t>
      </w:r>
      <w:r w:rsidRPr="0099237A">
        <w:rPr>
          <w:noProof/>
        </w:rPr>
        <w:t xml:space="preserve"> 2012, Yang</w:t>
      </w:r>
      <w:r w:rsidRPr="0099237A">
        <w:rPr>
          <w:i/>
          <w:noProof/>
        </w:rPr>
        <w:t xml:space="preserve"> et al.</w:t>
      </w:r>
      <w:r w:rsidRPr="0099237A">
        <w:rPr>
          <w:noProof/>
        </w:rPr>
        <w:t xml:space="preserve"> 2013, Bukten</w:t>
      </w:r>
      <w:r w:rsidRPr="0099237A">
        <w:rPr>
          <w:i/>
          <w:noProof/>
        </w:rPr>
        <w:t xml:space="preserve"> et al.</w:t>
      </w:r>
      <w:r w:rsidRPr="0099237A">
        <w:rPr>
          <w:noProof/>
        </w:rPr>
        <w:t xml:space="preserve"> 2014, Amiri</w:t>
      </w:r>
      <w:r w:rsidRPr="0099237A">
        <w:rPr>
          <w:i/>
          <w:noProof/>
        </w:rPr>
        <w:t xml:space="preserve"> et al.</w:t>
      </w:r>
      <w:r w:rsidRPr="0099237A">
        <w:rPr>
          <w:noProof/>
        </w:rPr>
        <w:t xml:space="preserve"> 2018)</w:t>
      </w:r>
      <w:r w:rsidRPr="0099237A">
        <w:t xml:space="preserve">, </w:t>
      </w:r>
      <w:r>
        <w:t xml:space="preserve">which is not surprising as </w:t>
      </w:r>
      <w:r w:rsidRPr="003C5BD8">
        <w:t xml:space="preserve">programmes vary </w:t>
      </w:r>
      <w:r>
        <w:t xml:space="preserve">internationally </w:t>
      </w:r>
      <w:r w:rsidRPr="003C5BD8">
        <w:t>both</w:t>
      </w:r>
      <w:r>
        <w:t xml:space="preserve"> </w:t>
      </w:r>
      <w:r w:rsidRPr="003C5BD8">
        <w:t>in structure and ideology</w:t>
      </w:r>
      <w:r>
        <w:t xml:space="preserve"> </w:t>
      </w:r>
      <w:r>
        <w:rPr>
          <w:noProof/>
        </w:rPr>
        <w:t>(Waal 2007, Clausen 2011)</w:t>
      </w:r>
      <w:r>
        <w:t xml:space="preserve">.  In this study, twelve-month treatment retention in the opioid substitution modality was 50.9% and factors increasing </w:t>
      </w:r>
      <w:r w:rsidRPr="003C5BD8">
        <w:t xml:space="preserve">the likelihood of treatment </w:t>
      </w:r>
      <w:r>
        <w:t xml:space="preserve">retention were older age, general practice setting and year commenced treatment.  Another Irish study by Mullen et al. reported higher twelve month retention rate (61% versus 50.9%).  However, this study was based on a random sample of patients for the years 1999, 2001 and 2003, and the profile of Irish opioid users has changed in the intervening period </w:t>
      </w:r>
      <w:r>
        <w:rPr>
          <w:noProof/>
        </w:rPr>
        <w:t>(Carew</w:t>
      </w:r>
      <w:r w:rsidRPr="00833639">
        <w:rPr>
          <w:i/>
          <w:noProof/>
        </w:rPr>
        <w:t xml:space="preserve"> et al.</w:t>
      </w:r>
      <w:r>
        <w:rPr>
          <w:noProof/>
        </w:rPr>
        <w:t xml:space="preserve"> 2009, Carew &amp; Comiskey 2018b)</w:t>
      </w:r>
      <w:r>
        <w:t>.  The fluctuating odds of retention in opioid substitution throughout the study period warrants further investigation, particularly the reduced odds in 2015 compared to the two previous years.</w:t>
      </w:r>
    </w:p>
    <w:p w:rsidR="003B0DEE" w:rsidRDefault="003B0DEE" w:rsidP="000D5D90">
      <w:pPr>
        <w:pStyle w:val="BodyText"/>
      </w:pPr>
      <w:r w:rsidRPr="00F1599B">
        <w:t xml:space="preserve">Opioid detoxification is associated with high dropout rates (ranging from 21.5 to 43% </w:t>
      </w:r>
      <w:r w:rsidRPr="00F1599B">
        <w:rPr>
          <w:noProof/>
        </w:rPr>
        <w:t>(Specka</w:t>
      </w:r>
      <w:r w:rsidRPr="00F1599B">
        <w:rPr>
          <w:i/>
          <w:noProof/>
        </w:rPr>
        <w:t xml:space="preserve"> et al.</w:t>
      </w:r>
      <w:r w:rsidRPr="00F1599B">
        <w:rPr>
          <w:noProof/>
        </w:rPr>
        <w:t xml:space="preserve"> 2011, Gilchrist</w:t>
      </w:r>
      <w:r w:rsidRPr="00F1599B">
        <w:rPr>
          <w:i/>
          <w:noProof/>
        </w:rPr>
        <w:t xml:space="preserve"> et al.</w:t>
      </w:r>
      <w:r w:rsidRPr="00F1599B">
        <w:rPr>
          <w:noProof/>
        </w:rPr>
        <w:t xml:space="preserve"> 2012)</w:t>
      </w:r>
      <w:r w:rsidRPr="00F1599B">
        <w:t xml:space="preserve">) and even those who successfully complete this treatment have high rates of relapse </w:t>
      </w:r>
      <w:r w:rsidRPr="00F1599B">
        <w:rPr>
          <w:noProof/>
        </w:rPr>
        <w:t>(Vaughn &amp; Kleber 2015)</w:t>
      </w:r>
      <w:r w:rsidR="009D2A34" w:rsidRPr="00F1599B">
        <w:t xml:space="preserve">.  </w:t>
      </w:r>
      <w:r w:rsidRPr="00F1599B">
        <w:t xml:space="preserve">Treatment dropout in structured detoxification was 46.3% with thirty day retention rates of 65.7%.  There is considerable variation in the detoxification services provided in residential and non-residential facilities </w:t>
      </w:r>
      <w:r w:rsidRPr="00F1599B">
        <w:rPr>
          <w:noProof/>
        </w:rPr>
        <w:t>(National Institute on Drug Abuse 2018)</w:t>
      </w:r>
      <w:r w:rsidRPr="00F1599B">
        <w:t xml:space="preserve">.  In this study, people who entered detoxification in an inpatient setting had higher odds of dropping out compared to outpatients, this is not surprising as more complex cases are often referred for inpatient treatment and detoxification setting is also known to impact outcomes </w:t>
      </w:r>
      <w:r w:rsidRPr="00F1599B">
        <w:rPr>
          <w:noProof/>
        </w:rPr>
        <w:t>(Vaughn &amp; Kleber 2015)</w:t>
      </w:r>
      <w:proofErr w:type="gramStart"/>
      <w:r w:rsidRPr="00F1599B">
        <w:t xml:space="preserve">. </w:t>
      </w:r>
      <w:proofErr w:type="gramEnd"/>
      <w:r>
        <w:t xml:space="preserve">In </w:t>
      </w:r>
      <w:r w:rsidRPr="00AB6729">
        <w:t xml:space="preserve">addition, people entering inpatient treatment may not be adequately prepared for greater levels of supervision, setting limitations, and a greater level of individual commitment is required </w:t>
      </w:r>
      <w:r w:rsidRPr="00AB6729">
        <w:rPr>
          <w:noProof/>
        </w:rPr>
        <w:t>(Hakansson &amp; Hallén 2014)</w:t>
      </w:r>
      <w:r w:rsidR="009D2A34" w:rsidRPr="00AB6729">
        <w:t xml:space="preserve">.  </w:t>
      </w:r>
      <w:r w:rsidRPr="00AB6729">
        <w:t>Treatment choices should optimise potential outcomes.</w:t>
      </w:r>
      <w:r>
        <w:t xml:space="preserve"> </w:t>
      </w:r>
    </w:p>
    <w:p w:rsidR="003B0DEE" w:rsidRDefault="003B0DEE" w:rsidP="000D5D90">
      <w:pPr>
        <w:pStyle w:val="BodyText"/>
      </w:pPr>
      <w:r w:rsidRPr="00AB6729">
        <w:t xml:space="preserve">People in receipt of opioid substitution and detoxification treatments are by far the most researched group.  The most common treatment for problem opioid use is substitution, usually in conjunction with psychosocial interventions, and thus much of what is known about psychosocial interventions for people who use opioids is based on cohorts who are already enrolled in either opioid substitution or detoxification </w:t>
      </w:r>
      <w:r w:rsidRPr="00AB6729">
        <w:rPr>
          <w:noProof/>
        </w:rPr>
        <w:t>(Brorson</w:t>
      </w:r>
      <w:r w:rsidRPr="00AB6729">
        <w:rPr>
          <w:i/>
          <w:noProof/>
        </w:rPr>
        <w:t xml:space="preserve"> et al.</w:t>
      </w:r>
      <w:r w:rsidRPr="00AB6729">
        <w:rPr>
          <w:noProof/>
        </w:rPr>
        <w:t xml:space="preserve"> 2013)</w:t>
      </w:r>
      <w:r w:rsidRPr="00AB6729">
        <w:t xml:space="preserve">.  </w:t>
      </w:r>
      <w:r w:rsidRPr="00E12DAB">
        <w:t xml:space="preserve">There is extremely limited research on retention among people attending psychosocial interventions alone and yet, in this study the vast majority (83.8%) of the study cohort attended for psychosocial treatments only.  In this study, psychosocial treatments are associated with high dropout rates (53.5% for counselling only, 59.9% for other psychosocial interventions), while thirty day retention was 76.5% and 61.6% respectively.  Retention at three months was 53.2% and 36.3%.  Risk and protective factors vary by modality with treatment within a prison setting being the only consistent factor associated with reduced risk of treatment dropout.  Hazard ratios of 0.558 (counselling only) and 0.584 (other psychosocial interventions) demonstrate that receiving these interventions in the prison setting decreased the hazard of treatment dropout by approximately 55% compared to the same modalities delivered in an outpatient setting.  </w:t>
      </w:r>
      <w:r>
        <w:t>P</w:t>
      </w:r>
      <w:r w:rsidRPr="00AB6729">
        <w:t>sychosocial interventions</w:t>
      </w:r>
      <w:r>
        <w:t xml:space="preserve"> have been the subject of many reviews.  </w:t>
      </w:r>
      <w:r w:rsidRPr="00AB6729">
        <w:t xml:space="preserve">A Cochrane review of psychosocial treatment for problem opioid use found that there was inadequate evidence to verify the effectiveness of psychosocial interventions alone as a treatment of problem opioid use or that these interventions were superior to any other treatment type </w:t>
      </w:r>
      <w:r w:rsidRPr="00AB6729">
        <w:rPr>
          <w:noProof/>
        </w:rPr>
        <w:t>(Mayet</w:t>
      </w:r>
      <w:r w:rsidRPr="00AB6729">
        <w:rPr>
          <w:i/>
          <w:noProof/>
        </w:rPr>
        <w:t xml:space="preserve"> et al.</w:t>
      </w:r>
      <w:r w:rsidRPr="00AB6729">
        <w:rPr>
          <w:noProof/>
        </w:rPr>
        <w:t xml:space="preserve"> 2014)</w:t>
      </w:r>
      <w:r w:rsidRPr="00AB6729">
        <w:t xml:space="preserve">.  </w:t>
      </w:r>
      <w:r w:rsidRPr="00AB6729">
        <w:lastRenderedPageBreak/>
        <w:t xml:space="preserve">Two other Cochrane reviews of psychosocial treatment found that there was no effect of adding such supports in a methadone </w:t>
      </w:r>
      <w:r w:rsidR="009D2A34" w:rsidRPr="00AB6729">
        <w:t>substitution treatment</w:t>
      </w:r>
      <w:r w:rsidRPr="00AB6729">
        <w:t xml:space="preserve"> programme </w:t>
      </w:r>
      <w:r>
        <w:rPr>
          <w:noProof/>
        </w:rPr>
        <w:t>(Amato</w:t>
      </w:r>
      <w:r w:rsidRPr="0062594C">
        <w:rPr>
          <w:i/>
          <w:noProof/>
        </w:rPr>
        <w:t xml:space="preserve"> et al.</w:t>
      </w:r>
      <w:r>
        <w:rPr>
          <w:noProof/>
        </w:rPr>
        <w:t xml:space="preserve"> 2011b)</w:t>
      </w:r>
      <w:r w:rsidRPr="00AB6729">
        <w:t xml:space="preserve">.  However, successful detoxification was supported by the inclusion of psychological supports </w:t>
      </w:r>
      <w:r>
        <w:rPr>
          <w:noProof/>
        </w:rPr>
        <w:t>(Amato</w:t>
      </w:r>
      <w:r w:rsidRPr="0062594C">
        <w:rPr>
          <w:i/>
          <w:noProof/>
        </w:rPr>
        <w:t xml:space="preserve"> et al.</w:t>
      </w:r>
      <w:r>
        <w:rPr>
          <w:noProof/>
        </w:rPr>
        <w:t xml:space="preserve"> 2011a)</w:t>
      </w:r>
      <w:r w:rsidRPr="00AB6729">
        <w:t xml:space="preserve">.  A more recent systematic review by Dugosh et al. also found little empirical evidence to suggest that psychosocial interventions work best in conjunction with medication-assisted treatment </w:t>
      </w:r>
      <w:r w:rsidRPr="00E12DAB">
        <w:rPr>
          <w:noProof/>
        </w:rPr>
        <w:t>(Dugosh</w:t>
      </w:r>
      <w:r w:rsidRPr="00E12DAB">
        <w:rPr>
          <w:i/>
          <w:noProof/>
        </w:rPr>
        <w:t xml:space="preserve"> et al.</w:t>
      </w:r>
      <w:r w:rsidRPr="00E12DAB">
        <w:rPr>
          <w:noProof/>
        </w:rPr>
        <w:t xml:space="preserve"> 2016)</w:t>
      </w:r>
      <w:r w:rsidRPr="00E12DAB">
        <w:t>.  Policy makers and treatment practitioners should consider the sizeable numbers attending for psychosocial interventions alone, high dropout rates and the evidence regarding effectiveness for this modality.</w:t>
      </w:r>
      <w:r>
        <w:t xml:space="preserve">   </w:t>
      </w:r>
    </w:p>
    <w:p w:rsidR="003B0DEE" w:rsidRDefault="003B0DEE" w:rsidP="000D5D90">
      <w:pPr>
        <w:pStyle w:val="Heading3"/>
      </w:pPr>
      <w:bookmarkStart w:id="154" w:name="_Toc15331739"/>
      <w:r>
        <w:t>Ageing</w:t>
      </w:r>
      <w:bookmarkEnd w:id="154"/>
    </w:p>
    <w:p w:rsidR="003B0DEE" w:rsidRDefault="003B0DEE" w:rsidP="00F07F03">
      <w:pPr>
        <w:spacing w:line="360" w:lineRule="auto"/>
        <w:jc w:val="left"/>
        <w:rPr>
          <w:rFonts w:ascii="Arial" w:hAnsi="Arial" w:cs="Arial"/>
          <w:sz w:val="20"/>
        </w:rPr>
      </w:pPr>
      <w:r w:rsidRPr="004F4E68">
        <w:rPr>
          <w:rFonts w:ascii="Arial" w:hAnsi="Arial" w:cs="Arial"/>
          <w:sz w:val="20"/>
        </w:rPr>
        <w:t xml:space="preserve">The overall aim of this study was to investigate ageing among the opioid treatment population.  Results from </w:t>
      </w:r>
      <w:r w:rsidRPr="004F4E68">
        <w:rPr>
          <w:rFonts w:ascii="Arial" w:hAnsi="Arial" w:cs="Arial"/>
          <w:i/>
          <w:sz w:val="20"/>
        </w:rPr>
        <w:t>Chapter 4</w:t>
      </w:r>
      <w:r w:rsidRPr="004F4E68">
        <w:rPr>
          <w:rFonts w:ascii="Arial" w:hAnsi="Arial" w:cs="Arial"/>
          <w:sz w:val="20"/>
        </w:rPr>
        <w:t xml:space="preserve"> indicate that the population with problematic opioid use entering treatment is ageing.  The age distribution of individuals entering  treatment has changed and the median age entering treatment has increased significantly, with half of people entering treatment in 2015 aged 31 years and older.  Treatment incidence among older age groups increased, with a rising incidence not previously observed among those aged 45 years and older.  The analysis indicates that ageing among the cohort is likely due to (1) initiation into opioid use at an older age, and (2) an increasing time interval between first use of opioids and seeking treatment.  The subgroups identified in </w:t>
      </w:r>
      <w:r w:rsidRPr="004F4E68">
        <w:rPr>
          <w:rFonts w:ascii="Arial" w:hAnsi="Arial" w:cs="Arial"/>
          <w:i/>
          <w:sz w:val="20"/>
        </w:rPr>
        <w:t>Chapter 5</w:t>
      </w:r>
      <w:r w:rsidRPr="004F4E68">
        <w:rPr>
          <w:rFonts w:ascii="Arial" w:hAnsi="Arial" w:cs="Arial"/>
          <w:sz w:val="20"/>
        </w:rPr>
        <w:t xml:space="preserve"> provide a better understanding of the situation.  People in cluster three, four and five appear to have contributed to the overall temporal shift in ageing as it was only in these groups that the median age entering treatment increased significantly in the seven-year-period, 2009–2015.  Collectively, cluster four and five </w:t>
      </w:r>
      <w:proofErr w:type="gramStart"/>
      <w:r w:rsidRPr="004F4E68">
        <w:rPr>
          <w:rFonts w:ascii="Arial" w:hAnsi="Arial" w:cs="Arial"/>
          <w:sz w:val="20"/>
        </w:rPr>
        <w:t>account</w:t>
      </w:r>
      <w:proofErr w:type="gramEnd"/>
      <w:r w:rsidRPr="004F4E68">
        <w:rPr>
          <w:rFonts w:ascii="Arial" w:hAnsi="Arial" w:cs="Arial"/>
          <w:sz w:val="20"/>
        </w:rPr>
        <w:t xml:space="preserve"> for 58.8% of all treatment entrants across the period 2009–2015, and they are the only groups with increased durations of opioid use prior to treatment, and the key contributors to the shift in late treatment entries.  For all other clusters the duration of use decreased or remained unchanged, suggesting that that undertaking analysis which compares heroin and non-heroin groups may mask the severity effects experienced by some individuals.  The data does not indicate that the expansion of services outside of Dublin may have influenced ageing trends.  Treatment services were extended across the country in the late 2000s (mainly 2007 and 2008); however, the study results show that in the largest cluster (five), the median age entering treatment and duration of opioid use prior to treatment increased significantly for both people residing in Dublin and outside of Dublin.</w:t>
      </w:r>
    </w:p>
    <w:p w:rsidR="003B0DEE" w:rsidRPr="004F4E68" w:rsidRDefault="003B0DEE" w:rsidP="00F07F03">
      <w:pPr>
        <w:spacing w:line="360" w:lineRule="auto"/>
        <w:jc w:val="left"/>
        <w:rPr>
          <w:rFonts w:ascii="Arial" w:hAnsi="Arial" w:cs="Arial"/>
          <w:sz w:val="20"/>
        </w:rPr>
      </w:pPr>
      <w:r w:rsidRPr="004F4E68">
        <w:rPr>
          <w:rFonts w:ascii="Arial" w:hAnsi="Arial" w:cs="Arial"/>
          <w:sz w:val="20"/>
        </w:rPr>
        <w:t xml:space="preserve">Results from </w:t>
      </w:r>
      <w:r w:rsidRPr="004F4E68">
        <w:rPr>
          <w:rFonts w:ascii="Arial" w:hAnsi="Arial" w:cs="Arial"/>
          <w:i/>
          <w:sz w:val="20"/>
        </w:rPr>
        <w:t>Chapter 6</w:t>
      </w:r>
      <w:r w:rsidRPr="004F4E68">
        <w:rPr>
          <w:rFonts w:ascii="Arial" w:hAnsi="Arial" w:cs="Arial"/>
          <w:sz w:val="20"/>
        </w:rPr>
        <w:t xml:space="preserve"> indicate that older age at treatment entry was associated with reduced risk of treatment dropout in certain circumstances.  Older age at treatment entry is shown to be associated with reduced risk of treatment dropout, hazard ratios of 0.977 and 0.985 demonstrate that a one-year increase in age decreased the hazard of dropping out of treatment by approximately 1% within the opioid substitution and counselling only modalities.  This finding is consistent with previous research demonstrating older individuals have higher likelihoods of staying in treatment in the United States </w:t>
      </w:r>
      <w:r w:rsidRPr="004F4E68">
        <w:rPr>
          <w:rFonts w:ascii="Arial" w:hAnsi="Arial" w:cs="Arial"/>
          <w:noProof/>
          <w:sz w:val="20"/>
        </w:rPr>
        <w:t>(Magura</w:t>
      </w:r>
      <w:r w:rsidRPr="004F4E68">
        <w:rPr>
          <w:rFonts w:ascii="Arial" w:hAnsi="Arial" w:cs="Arial"/>
          <w:i/>
          <w:noProof/>
          <w:sz w:val="20"/>
        </w:rPr>
        <w:t xml:space="preserve"> et al.</w:t>
      </w:r>
      <w:r w:rsidRPr="004F4E68">
        <w:rPr>
          <w:rFonts w:ascii="Arial" w:hAnsi="Arial" w:cs="Arial"/>
          <w:noProof/>
          <w:sz w:val="20"/>
        </w:rPr>
        <w:t xml:space="preserve"> 1998, Amiri</w:t>
      </w:r>
      <w:r w:rsidRPr="004F4E68">
        <w:rPr>
          <w:rFonts w:ascii="Arial" w:hAnsi="Arial" w:cs="Arial"/>
          <w:i/>
          <w:noProof/>
          <w:sz w:val="20"/>
        </w:rPr>
        <w:t xml:space="preserve"> et al.</w:t>
      </w:r>
      <w:r w:rsidRPr="004F4E68">
        <w:rPr>
          <w:rFonts w:ascii="Arial" w:hAnsi="Arial" w:cs="Arial"/>
          <w:noProof/>
          <w:sz w:val="20"/>
        </w:rPr>
        <w:t xml:space="preserve"> 2018)</w:t>
      </w:r>
      <w:r w:rsidRPr="004F4E68">
        <w:rPr>
          <w:rFonts w:ascii="Arial" w:hAnsi="Arial" w:cs="Arial"/>
          <w:sz w:val="20"/>
        </w:rPr>
        <w:t xml:space="preserve">, Israel </w:t>
      </w:r>
      <w:r w:rsidRPr="004F4E68">
        <w:rPr>
          <w:rFonts w:ascii="Arial" w:hAnsi="Arial" w:cs="Arial"/>
          <w:noProof/>
          <w:sz w:val="20"/>
        </w:rPr>
        <w:t>(Peles</w:t>
      </w:r>
      <w:r w:rsidRPr="004F4E68">
        <w:rPr>
          <w:rFonts w:ascii="Arial" w:hAnsi="Arial" w:cs="Arial"/>
          <w:i/>
          <w:noProof/>
          <w:sz w:val="20"/>
        </w:rPr>
        <w:t xml:space="preserve"> et al.</w:t>
      </w:r>
      <w:r w:rsidRPr="004F4E68">
        <w:rPr>
          <w:rFonts w:ascii="Arial" w:hAnsi="Arial" w:cs="Arial"/>
          <w:noProof/>
          <w:sz w:val="20"/>
        </w:rPr>
        <w:t xml:space="preserve"> 2008)</w:t>
      </w:r>
      <w:r w:rsidRPr="004F4E68">
        <w:rPr>
          <w:rFonts w:ascii="Arial" w:hAnsi="Arial" w:cs="Arial"/>
          <w:sz w:val="20"/>
        </w:rPr>
        <w:t xml:space="preserve">, China </w:t>
      </w:r>
      <w:r w:rsidRPr="004F4E68">
        <w:rPr>
          <w:rFonts w:ascii="Arial" w:hAnsi="Arial" w:cs="Arial"/>
          <w:noProof/>
          <w:sz w:val="20"/>
        </w:rPr>
        <w:t>(Yang</w:t>
      </w:r>
      <w:r w:rsidRPr="004F4E68">
        <w:rPr>
          <w:rFonts w:ascii="Arial" w:hAnsi="Arial" w:cs="Arial"/>
          <w:i/>
          <w:noProof/>
          <w:sz w:val="20"/>
        </w:rPr>
        <w:t xml:space="preserve"> et al.</w:t>
      </w:r>
      <w:r w:rsidRPr="004F4E68">
        <w:rPr>
          <w:rFonts w:ascii="Arial" w:hAnsi="Arial" w:cs="Arial"/>
          <w:noProof/>
          <w:sz w:val="20"/>
        </w:rPr>
        <w:t xml:space="preserve"> 2013, Jiang</w:t>
      </w:r>
      <w:r w:rsidRPr="004F4E68">
        <w:rPr>
          <w:rFonts w:ascii="Arial" w:hAnsi="Arial" w:cs="Arial"/>
          <w:i/>
          <w:noProof/>
          <w:sz w:val="20"/>
        </w:rPr>
        <w:t xml:space="preserve"> et al.</w:t>
      </w:r>
      <w:r w:rsidRPr="004F4E68">
        <w:rPr>
          <w:rFonts w:ascii="Arial" w:hAnsi="Arial" w:cs="Arial"/>
          <w:noProof/>
          <w:sz w:val="20"/>
        </w:rPr>
        <w:t xml:space="preserve"> 2014)</w:t>
      </w:r>
      <w:r w:rsidRPr="004F4E68">
        <w:rPr>
          <w:rFonts w:ascii="Arial" w:hAnsi="Arial" w:cs="Arial"/>
          <w:sz w:val="20"/>
        </w:rPr>
        <w:t xml:space="preserve">, and Taiwan </w:t>
      </w:r>
      <w:r w:rsidRPr="004F4E68">
        <w:rPr>
          <w:rFonts w:ascii="Arial" w:hAnsi="Arial" w:cs="Arial"/>
          <w:noProof/>
          <w:sz w:val="20"/>
        </w:rPr>
        <w:t>(Lee</w:t>
      </w:r>
      <w:r w:rsidRPr="004F4E68">
        <w:rPr>
          <w:rFonts w:ascii="Arial" w:hAnsi="Arial" w:cs="Arial"/>
          <w:i/>
          <w:noProof/>
          <w:sz w:val="20"/>
        </w:rPr>
        <w:t xml:space="preserve"> et al.</w:t>
      </w:r>
      <w:r w:rsidRPr="004F4E68">
        <w:rPr>
          <w:rFonts w:ascii="Arial" w:hAnsi="Arial" w:cs="Arial"/>
          <w:noProof/>
          <w:sz w:val="20"/>
        </w:rPr>
        <w:t xml:space="preserve"> 2017)</w:t>
      </w:r>
      <w:r w:rsidRPr="004F4E68">
        <w:rPr>
          <w:rFonts w:ascii="Arial" w:hAnsi="Arial" w:cs="Arial"/>
          <w:sz w:val="20"/>
        </w:rPr>
        <w:t xml:space="preserve">.  Not only has this study shown that the opioid treatment population is ageing (Chapter 4), but results may also indicate better immediate treatment outcomes associated with increasing age among individuals receiving treatment for their opioid use.  These results are evidence of the potential benefit of correctly </w:t>
      </w:r>
      <w:r w:rsidRPr="004F4E68">
        <w:rPr>
          <w:rFonts w:ascii="Arial" w:hAnsi="Arial" w:cs="Arial"/>
          <w:sz w:val="20"/>
        </w:rPr>
        <w:lastRenderedPageBreak/>
        <w:t xml:space="preserve">matching individuals to the appropriate setting of care.  For example, both age and general practice setting are protective factors for treatment retention in the opioid substitution modality.  These factors, particularly in combination, could provide an opportunity to improve general health and integrate people who use drugs into general practice, where other chronic conditions may be treated.  Currently in Ireland, a substantial cohort of individuals in treatment for opioid use problems are not treated in primary care settings, but rather they are ‘trapped’ within high risk, specialist clinical settings </w:t>
      </w:r>
      <w:r w:rsidRPr="004F4E68">
        <w:rPr>
          <w:rFonts w:ascii="Arial" w:hAnsi="Arial" w:cs="Arial"/>
          <w:noProof/>
          <w:sz w:val="20"/>
        </w:rPr>
        <w:t>(Moran</w:t>
      </w:r>
      <w:r w:rsidRPr="004F4E68">
        <w:rPr>
          <w:rFonts w:ascii="Arial" w:hAnsi="Arial" w:cs="Arial"/>
          <w:i/>
          <w:noProof/>
          <w:sz w:val="20"/>
        </w:rPr>
        <w:t xml:space="preserve"> et al.</w:t>
      </w:r>
      <w:r w:rsidRPr="004F4E68">
        <w:rPr>
          <w:rFonts w:ascii="Arial" w:hAnsi="Arial" w:cs="Arial"/>
          <w:noProof/>
          <w:sz w:val="20"/>
        </w:rPr>
        <w:t xml:space="preserve"> 2018)</w:t>
      </w:r>
      <w:r w:rsidRPr="004F4E68">
        <w:rPr>
          <w:rFonts w:ascii="Arial" w:hAnsi="Arial" w:cs="Arial"/>
          <w:sz w:val="20"/>
        </w:rPr>
        <w:t xml:space="preserve">, despite an integrated care model incorporating primary care and addiction care being best in addressing the health needs of people who use drugs </w:t>
      </w:r>
      <w:r w:rsidRPr="004F4E68">
        <w:rPr>
          <w:rFonts w:ascii="Arial" w:hAnsi="Arial" w:cs="Arial"/>
          <w:noProof/>
          <w:sz w:val="20"/>
        </w:rPr>
        <w:t>(Weisner</w:t>
      </w:r>
      <w:r w:rsidRPr="004F4E68">
        <w:rPr>
          <w:rFonts w:ascii="Arial" w:hAnsi="Arial" w:cs="Arial"/>
          <w:i/>
          <w:noProof/>
          <w:sz w:val="20"/>
        </w:rPr>
        <w:t xml:space="preserve"> et al.</w:t>
      </w:r>
      <w:r w:rsidRPr="004F4E68">
        <w:rPr>
          <w:rFonts w:ascii="Arial" w:hAnsi="Arial" w:cs="Arial"/>
          <w:noProof/>
          <w:sz w:val="20"/>
        </w:rPr>
        <w:t xml:space="preserve"> 2001)</w:t>
      </w:r>
      <w:r w:rsidRPr="004F4E68">
        <w:rPr>
          <w:rFonts w:ascii="Arial" w:hAnsi="Arial" w:cs="Arial"/>
          <w:sz w:val="20"/>
        </w:rPr>
        <w:t>.</w:t>
      </w:r>
    </w:p>
    <w:p w:rsidR="003B0DEE" w:rsidRDefault="003B0DEE" w:rsidP="00F07F03">
      <w:pPr>
        <w:spacing w:line="360" w:lineRule="auto"/>
        <w:jc w:val="left"/>
        <w:rPr>
          <w:rFonts w:ascii="Arial" w:hAnsi="Arial" w:cs="Arial"/>
          <w:sz w:val="20"/>
        </w:rPr>
      </w:pPr>
      <w:r w:rsidRPr="004F4E68">
        <w:rPr>
          <w:rFonts w:ascii="Arial" w:hAnsi="Arial" w:cs="Arial"/>
          <w:sz w:val="20"/>
        </w:rPr>
        <w:t xml:space="preserve">Previous studies that investigated ageing within the opioid treatment population used arbitrary and inconsistent definitions of ‘older’.  It ranges quite extensively from 37-55, 40+, 45+, 50+, 55+, 60+, 65+, 49-61, 50-59, 50-66 and 50-74 years </w:t>
      </w:r>
      <w:r>
        <w:rPr>
          <w:rFonts w:ascii="Arial" w:hAnsi="Arial" w:cs="Arial"/>
          <w:noProof/>
          <w:sz w:val="20"/>
        </w:rPr>
        <w:t>(Raffoul</w:t>
      </w:r>
      <w:r w:rsidRPr="0062594C">
        <w:rPr>
          <w:rFonts w:ascii="Arial" w:hAnsi="Arial" w:cs="Arial"/>
          <w:i/>
          <w:noProof/>
          <w:sz w:val="20"/>
        </w:rPr>
        <w:t xml:space="preserve"> et al.</w:t>
      </w:r>
      <w:r>
        <w:rPr>
          <w:rFonts w:ascii="Arial" w:hAnsi="Arial" w:cs="Arial"/>
          <w:noProof/>
          <w:sz w:val="20"/>
        </w:rPr>
        <w:t xml:space="preserve"> 1981, Schonfeld</w:t>
      </w:r>
      <w:r w:rsidRPr="0062594C">
        <w:rPr>
          <w:rFonts w:ascii="Arial" w:hAnsi="Arial" w:cs="Arial"/>
          <w:i/>
          <w:noProof/>
          <w:sz w:val="20"/>
        </w:rPr>
        <w:t xml:space="preserve"> et al.</w:t>
      </w:r>
      <w:r>
        <w:rPr>
          <w:rFonts w:ascii="Arial" w:hAnsi="Arial" w:cs="Arial"/>
          <w:noProof/>
          <w:sz w:val="20"/>
        </w:rPr>
        <w:t xml:space="preserve"> 2000, Satre</w:t>
      </w:r>
      <w:r w:rsidRPr="0062594C">
        <w:rPr>
          <w:rFonts w:ascii="Arial" w:hAnsi="Arial" w:cs="Arial"/>
          <w:i/>
          <w:noProof/>
          <w:sz w:val="20"/>
        </w:rPr>
        <w:t xml:space="preserve"> et al.</w:t>
      </w:r>
      <w:r>
        <w:rPr>
          <w:rFonts w:ascii="Arial" w:hAnsi="Arial" w:cs="Arial"/>
          <w:noProof/>
          <w:sz w:val="20"/>
        </w:rPr>
        <w:t xml:space="preserve"> 2003, Satre</w:t>
      </w:r>
      <w:r w:rsidRPr="0062594C">
        <w:rPr>
          <w:rFonts w:ascii="Arial" w:hAnsi="Arial" w:cs="Arial"/>
          <w:i/>
          <w:noProof/>
          <w:sz w:val="20"/>
        </w:rPr>
        <w:t xml:space="preserve"> et al.</w:t>
      </w:r>
      <w:r>
        <w:rPr>
          <w:rFonts w:ascii="Arial" w:hAnsi="Arial" w:cs="Arial"/>
          <w:noProof/>
          <w:sz w:val="20"/>
        </w:rPr>
        <w:t xml:space="preserve"> 2004, Lofwall</w:t>
      </w:r>
      <w:r w:rsidRPr="0062594C">
        <w:rPr>
          <w:rFonts w:ascii="Arial" w:hAnsi="Arial" w:cs="Arial"/>
          <w:i/>
          <w:noProof/>
          <w:sz w:val="20"/>
        </w:rPr>
        <w:t xml:space="preserve"> et al.</w:t>
      </w:r>
      <w:r>
        <w:rPr>
          <w:rFonts w:ascii="Arial" w:hAnsi="Arial" w:cs="Arial"/>
          <w:noProof/>
          <w:sz w:val="20"/>
        </w:rPr>
        <w:t xml:space="preserve"> 2005, Beynon</w:t>
      </w:r>
      <w:r w:rsidRPr="0062594C">
        <w:rPr>
          <w:rFonts w:ascii="Arial" w:hAnsi="Arial" w:cs="Arial"/>
          <w:i/>
          <w:noProof/>
          <w:sz w:val="20"/>
        </w:rPr>
        <w:t xml:space="preserve"> et al.</w:t>
      </w:r>
      <w:r>
        <w:rPr>
          <w:rFonts w:ascii="Arial" w:hAnsi="Arial" w:cs="Arial"/>
          <w:noProof/>
          <w:sz w:val="20"/>
        </w:rPr>
        <w:t xml:space="preserve"> 2007, Lofwall</w:t>
      </w:r>
      <w:r w:rsidRPr="0062594C">
        <w:rPr>
          <w:rFonts w:ascii="Arial" w:hAnsi="Arial" w:cs="Arial"/>
          <w:i/>
          <w:noProof/>
          <w:sz w:val="20"/>
        </w:rPr>
        <w:t xml:space="preserve"> et al.</w:t>
      </w:r>
      <w:r>
        <w:rPr>
          <w:rFonts w:ascii="Arial" w:hAnsi="Arial" w:cs="Arial"/>
          <w:noProof/>
          <w:sz w:val="20"/>
        </w:rPr>
        <w:t xml:space="preserve"> 2008, Han</w:t>
      </w:r>
      <w:r w:rsidRPr="0062594C">
        <w:rPr>
          <w:rFonts w:ascii="Arial" w:hAnsi="Arial" w:cs="Arial"/>
          <w:i/>
          <w:noProof/>
          <w:sz w:val="20"/>
        </w:rPr>
        <w:t xml:space="preserve"> et al.</w:t>
      </w:r>
      <w:r>
        <w:rPr>
          <w:rFonts w:ascii="Arial" w:hAnsi="Arial" w:cs="Arial"/>
          <w:noProof/>
          <w:sz w:val="20"/>
        </w:rPr>
        <w:t xml:space="preserve"> 2009b, Han</w:t>
      </w:r>
      <w:r w:rsidRPr="0062594C">
        <w:rPr>
          <w:rFonts w:ascii="Arial" w:hAnsi="Arial" w:cs="Arial"/>
          <w:i/>
          <w:noProof/>
          <w:sz w:val="20"/>
        </w:rPr>
        <w:t xml:space="preserve"> et al.</w:t>
      </w:r>
      <w:r>
        <w:rPr>
          <w:rFonts w:ascii="Arial" w:hAnsi="Arial" w:cs="Arial"/>
          <w:noProof/>
          <w:sz w:val="20"/>
        </w:rPr>
        <w:t xml:space="preserve"> 2009a, Beynon</w:t>
      </w:r>
      <w:r w:rsidRPr="0062594C">
        <w:rPr>
          <w:rFonts w:ascii="Arial" w:hAnsi="Arial" w:cs="Arial"/>
          <w:i/>
          <w:noProof/>
          <w:sz w:val="20"/>
        </w:rPr>
        <w:t xml:space="preserve"> et al.</w:t>
      </w:r>
      <w:r>
        <w:rPr>
          <w:rFonts w:ascii="Arial" w:hAnsi="Arial" w:cs="Arial"/>
          <w:noProof/>
          <w:sz w:val="20"/>
        </w:rPr>
        <w:t xml:space="preserve"> 2010, European Monitoring Centre for Drugs and Drug Addiction 2010a, Kalapatapu &amp; Sullivan 2010, Roe</w:t>
      </w:r>
      <w:r w:rsidRPr="0062594C">
        <w:rPr>
          <w:rFonts w:ascii="Arial" w:hAnsi="Arial" w:cs="Arial"/>
          <w:i/>
          <w:noProof/>
          <w:sz w:val="20"/>
        </w:rPr>
        <w:t xml:space="preserve"> et al.</w:t>
      </w:r>
      <w:r>
        <w:rPr>
          <w:rFonts w:ascii="Arial" w:hAnsi="Arial" w:cs="Arial"/>
          <w:noProof/>
          <w:sz w:val="20"/>
        </w:rPr>
        <w:t xml:space="preserve"> 2010, Boeri</w:t>
      </w:r>
      <w:r w:rsidRPr="0062594C">
        <w:rPr>
          <w:rFonts w:ascii="Arial" w:hAnsi="Arial" w:cs="Arial"/>
          <w:i/>
          <w:noProof/>
          <w:sz w:val="20"/>
        </w:rPr>
        <w:t xml:space="preserve"> et al.</w:t>
      </w:r>
      <w:r>
        <w:rPr>
          <w:rFonts w:ascii="Arial" w:hAnsi="Arial" w:cs="Arial"/>
          <w:noProof/>
          <w:sz w:val="20"/>
        </w:rPr>
        <w:t xml:space="preserve"> 2011, Crome</w:t>
      </w:r>
      <w:r w:rsidRPr="0062594C">
        <w:rPr>
          <w:rFonts w:ascii="Arial" w:hAnsi="Arial" w:cs="Arial"/>
          <w:i/>
          <w:noProof/>
          <w:sz w:val="20"/>
        </w:rPr>
        <w:t xml:space="preserve"> et al.</w:t>
      </w:r>
      <w:r>
        <w:rPr>
          <w:rFonts w:ascii="Arial" w:hAnsi="Arial" w:cs="Arial"/>
          <w:noProof/>
          <w:sz w:val="20"/>
        </w:rPr>
        <w:t xml:space="preserve"> 2011a, Doukas 2011, Grella &amp; Lovinger 2011, Rosen</w:t>
      </w:r>
      <w:r w:rsidRPr="0062594C">
        <w:rPr>
          <w:rFonts w:ascii="Arial" w:hAnsi="Arial" w:cs="Arial"/>
          <w:i/>
          <w:noProof/>
          <w:sz w:val="20"/>
        </w:rPr>
        <w:t xml:space="preserve"> et al.</w:t>
      </w:r>
      <w:r>
        <w:rPr>
          <w:rFonts w:ascii="Arial" w:hAnsi="Arial" w:cs="Arial"/>
          <w:noProof/>
          <w:sz w:val="20"/>
        </w:rPr>
        <w:t xml:space="preserve"> 2011, Wu &amp; Blazer 2011, Cicero</w:t>
      </w:r>
      <w:r w:rsidRPr="0062594C">
        <w:rPr>
          <w:rFonts w:ascii="Arial" w:hAnsi="Arial" w:cs="Arial"/>
          <w:i/>
          <w:noProof/>
          <w:sz w:val="20"/>
        </w:rPr>
        <w:t xml:space="preserve"> et al.</w:t>
      </w:r>
      <w:r>
        <w:rPr>
          <w:rFonts w:ascii="Arial" w:hAnsi="Arial" w:cs="Arial"/>
          <w:noProof/>
          <w:sz w:val="20"/>
        </w:rPr>
        <w:t xml:space="preserve"> 2012, Institute of Medicine 2012, Outlaw</w:t>
      </w:r>
      <w:r w:rsidRPr="0062594C">
        <w:rPr>
          <w:rFonts w:ascii="Arial" w:hAnsi="Arial" w:cs="Arial"/>
          <w:i/>
          <w:noProof/>
          <w:sz w:val="20"/>
        </w:rPr>
        <w:t xml:space="preserve"> et al.</w:t>
      </w:r>
      <w:r>
        <w:rPr>
          <w:rFonts w:ascii="Arial" w:hAnsi="Arial" w:cs="Arial"/>
          <w:noProof/>
          <w:sz w:val="20"/>
        </w:rPr>
        <w:t xml:space="preserve"> 2012, Han</w:t>
      </w:r>
      <w:r w:rsidRPr="0062594C">
        <w:rPr>
          <w:rFonts w:ascii="Arial" w:hAnsi="Arial" w:cs="Arial"/>
          <w:i/>
          <w:noProof/>
          <w:sz w:val="20"/>
        </w:rPr>
        <w:t xml:space="preserve"> et al.</w:t>
      </w:r>
      <w:r>
        <w:rPr>
          <w:rFonts w:ascii="Arial" w:hAnsi="Arial" w:cs="Arial"/>
          <w:noProof/>
          <w:sz w:val="20"/>
        </w:rPr>
        <w:t xml:space="preserve"> 2015, Carew &amp; Comiskey 2018a)</w:t>
      </w:r>
      <w:r w:rsidRPr="004F4E68">
        <w:rPr>
          <w:rFonts w:ascii="Arial" w:hAnsi="Arial" w:cs="Arial"/>
          <w:sz w:val="20"/>
        </w:rPr>
        <w:t xml:space="preserve">.  No rationale was given for the lower age cut-off used (with the exception of one study </w:t>
      </w:r>
      <w:r w:rsidRPr="004F4E68">
        <w:rPr>
          <w:rFonts w:ascii="Arial" w:hAnsi="Arial" w:cs="Arial"/>
          <w:noProof/>
          <w:sz w:val="20"/>
        </w:rPr>
        <w:t>(Lofwall</w:t>
      </w:r>
      <w:r w:rsidRPr="004F4E68">
        <w:rPr>
          <w:rFonts w:ascii="Arial" w:hAnsi="Arial" w:cs="Arial"/>
          <w:i/>
          <w:noProof/>
          <w:sz w:val="20"/>
        </w:rPr>
        <w:t xml:space="preserve"> et al.</w:t>
      </w:r>
      <w:r w:rsidRPr="004F4E68">
        <w:rPr>
          <w:rFonts w:ascii="Arial" w:hAnsi="Arial" w:cs="Arial"/>
          <w:noProof/>
          <w:sz w:val="20"/>
        </w:rPr>
        <w:t xml:space="preserve"> 2005)</w:t>
      </w:r>
      <w:r w:rsidRPr="004F4E68">
        <w:rPr>
          <w:rFonts w:ascii="Arial" w:hAnsi="Arial" w:cs="Arial"/>
          <w:sz w:val="20"/>
        </w:rPr>
        <w:t xml:space="preserve">), and none of the studies used data to determine what the lower age cut-off should be </w:t>
      </w:r>
      <w:r w:rsidRPr="004F4E68">
        <w:rPr>
          <w:rFonts w:ascii="Arial" w:hAnsi="Arial" w:cs="Arial"/>
          <w:noProof/>
          <w:sz w:val="20"/>
        </w:rPr>
        <w:t>(Carew &amp; Comiskey 2018a)</w:t>
      </w:r>
      <w:r w:rsidRPr="004F4E68">
        <w:rPr>
          <w:rFonts w:ascii="Arial" w:hAnsi="Arial" w:cs="Arial"/>
          <w:sz w:val="20"/>
        </w:rPr>
        <w:t xml:space="preserve">.  Given the substantial variation in the literature as to what the term ‘older’ or ‘ageing’ encompasses, it </w:t>
      </w:r>
      <w:r>
        <w:rPr>
          <w:rFonts w:ascii="Arial" w:hAnsi="Arial" w:cs="Arial"/>
          <w:sz w:val="20"/>
        </w:rPr>
        <w:t>wa</w:t>
      </w:r>
      <w:r w:rsidRPr="004F4E68">
        <w:rPr>
          <w:rFonts w:ascii="Arial" w:hAnsi="Arial" w:cs="Arial"/>
          <w:sz w:val="20"/>
        </w:rPr>
        <w:t xml:space="preserve">s important to develop an evidence based definition.  </w:t>
      </w:r>
      <w:r>
        <w:rPr>
          <w:rFonts w:ascii="Arial" w:hAnsi="Arial" w:cs="Arial"/>
          <w:sz w:val="20"/>
        </w:rPr>
        <w:t xml:space="preserve">This study </w:t>
      </w:r>
      <w:r w:rsidRPr="009E7CE9">
        <w:rPr>
          <w:rFonts w:ascii="Arial" w:hAnsi="Arial" w:cs="Arial"/>
          <w:sz w:val="20"/>
        </w:rPr>
        <w:t>propose</w:t>
      </w:r>
      <w:r>
        <w:rPr>
          <w:rFonts w:ascii="Arial" w:hAnsi="Arial" w:cs="Arial"/>
          <w:sz w:val="20"/>
        </w:rPr>
        <w:t>s</w:t>
      </w:r>
      <w:r w:rsidRPr="009E7CE9">
        <w:rPr>
          <w:rFonts w:ascii="Arial" w:hAnsi="Arial" w:cs="Arial"/>
          <w:sz w:val="20"/>
        </w:rPr>
        <w:t xml:space="preserve"> that ‘older’ is defined as 35 years of age or older when entering treatment, or, if younger than 35 years, where there has been prolonged opioid use for 10 or more years.</w:t>
      </w:r>
      <w:r>
        <w:rPr>
          <w:rFonts w:ascii="Arial" w:hAnsi="Arial" w:cs="Arial"/>
          <w:sz w:val="20"/>
        </w:rPr>
        <w:t xml:space="preserve">  This </w:t>
      </w:r>
      <w:r w:rsidRPr="004F4E68">
        <w:rPr>
          <w:rFonts w:ascii="Arial" w:hAnsi="Arial" w:cs="Arial"/>
          <w:sz w:val="20"/>
        </w:rPr>
        <w:t xml:space="preserve">definition incorporates chronological age and recognises issues of accelerated ageing due to drug use (years since commencement of opioid use).  Drug use is known to accelerate the physical ageing process by fifteen years </w:t>
      </w:r>
      <w:r w:rsidRPr="004F4E68">
        <w:rPr>
          <w:rFonts w:ascii="Arial" w:hAnsi="Arial" w:cs="Arial"/>
          <w:noProof/>
          <w:sz w:val="20"/>
        </w:rPr>
        <w:t>(Vogt 2009)</w:t>
      </w:r>
      <w:r w:rsidRPr="004F4E68">
        <w:rPr>
          <w:rFonts w:ascii="Arial" w:hAnsi="Arial" w:cs="Arial"/>
          <w:sz w:val="20"/>
        </w:rPr>
        <w:t xml:space="preserve"> and is an important factor in addition to chronological age, particularly where an individual is chronologically young but has prolonged opioid use.  </w:t>
      </w:r>
    </w:p>
    <w:p w:rsidR="003B0DEE" w:rsidRPr="004F4E68" w:rsidRDefault="003B0DEE" w:rsidP="00F07F03">
      <w:pPr>
        <w:spacing w:line="360" w:lineRule="auto"/>
        <w:jc w:val="left"/>
        <w:rPr>
          <w:rFonts w:ascii="Arial" w:hAnsi="Arial" w:cs="Arial"/>
          <w:sz w:val="20"/>
        </w:rPr>
      </w:pPr>
      <w:r>
        <w:rPr>
          <w:rFonts w:ascii="Arial" w:hAnsi="Arial" w:cs="Arial"/>
          <w:sz w:val="20"/>
        </w:rPr>
        <w:t xml:space="preserve">Although age </w:t>
      </w:r>
      <w:r w:rsidRPr="004F4E68">
        <w:rPr>
          <w:rFonts w:ascii="Arial" w:hAnsi="Arial" w:cs="Arial"/>
          <w:sz w:val="20"/>
        </w:rPr>
        <w:t>35 years</w:t>
      </w:r>
      <w:r>
        <w:rPr>
          <w:rFonts w:ascii="Arial" w:hAnsi="Arial" w:cs="Arial"/>
          <w:sz w:val="20"/>
        </w:rPr>
        <w:t xml:space="preserve"> </w:t>
      </w:r>
      <w:r w:rsidRPr="004F4E68">
        <w:rPr>
          <w:rFonts w:ascii="Arial" w:hAnsi="Arial" w:cs="Arial"/>
          <w:sz w:val="20"/>
        </w:rPr>
        <w:t>may seem relatively young</w:t>
      </w:r>
      <w:r>
        <w:rPr>
          <w:rFonts w:ascii="Arial" w:hAnsi="Arial" w:cs="Arial"/>
          <w:sz w:val="20"/>
        </w:rPr>
        <w:t>,</w:t>
      </w:r>
      <w:r w:rsidRPr="004F4E68">
        <w:rPr>
          <w:rFonts w:ascii="Arial" w:hAnsi="Arial" w:cs="Arial"/>
          <w:sz w:val="20"/>
        </w:rPr>
        <w:t xml:space="preserve"> </w:t>
      </w:r>
      <w:r>
        <w:rPr>
          <w:rFonts w:ascii="Arial" w:hAnsi="Arial" w:cs="Arial"/>
          <w:sz w:val="20"/>
        </w:rPr>
        <w:t xml:space="preserve">it </w:t>
      </w:r>
      <w:r w:rsidRPr="004F4E68">
        <w:rPr>
          <w:rFonts w:ascii="Arial" w:hAnsi="Arial" w:cs="Arial"/>
          <w:sz w:val="20"/>
        </w:rPr>
        <w:t xml:space="preserve">is consistent with a number of other studies </w:t>
      </w:r>
      <w:r w:rsidRPr="004F4E68">
        <w:rPr>
          <w:rFonts w:ascii="Arial" w:hAnsi="Arial" w:cs="Arial"/>
          <w:noProof/>
          <w:sz w:val="20"/>
        </w:rPr>
        <w:t>(Working Group of the Senior Drug Dependents and Care Structure Project 2010, Matheson</w:t>
      </w:r>
      <w:r w:rsidRPr="004F4E68">
        <w:rPr>
          <w:rFonts w:ascii="Arial" w:hAnsi="Arial" w:cs="Arial"/>
          <w:i/>
          <w:noProof/>
          <w:sz w:val="20"/>
        </w:rPr>
        <w:t xml:space="preserve"> et al.</w:t>
      </w:r>
      <w:r w:rsidRPr="004F4E68">
        <w:rPr>
          <w:rFonts w:ascii="Arial" w:hAnsi="Arial" w:cs="Arial"/>
          <w:noProof/>
          <w:sz w:val="20"/>
        </w:rPr>
        <w:t xml:space="preserve"> 2017)</w:t>
      </w:r>
      <w:r w:rsidRPr="004F4E68">
        <w:rPr>
          <w:rFonts w:ascii="Arial" w:hAnsi="Arial" w:cs="Arial"/>
          <w:sz w:val="20"/>
        </w:rPr>
        <w:t xml:space="preserve">.  The definition utilised by the EMCDDA of 40 years of age </w:t>
      </w:r>
      <w:r w:rsidRPr="004F4E68">
        <w:rPr>
          <w:rFonts w:ascii="Arial" w:hAnsi="Arial" w:cs="Arial"/>
          <w:noProof/>
          <w:sz w:val="20"/>
        </w:rPr>
        <w:t>(European Monitoring Centre for Drugs and Drug Addiction 2010a)</w:t>
      </w:r>
      <w:r w:rsidRPr="004F4E68">
        <w:rPr>
          <w:rFonts w:ascii="Arial" w:hAnsi="Arial" w:cs="Arial"/>
          <w:sz w:val="20"/>
        </w:rPr>
        <w:t xml:space="preserve"> was developed more than a decade ago and may no longer be appropriate given how trends have changed in more recent years, in addition this definition encompassed all types of drug users and is not specific to opioids. </w:t>
      </w:r>
      <w:r>
        <w:t xml:space="preserve"> </w:t>
      </w:r>
      <w:r w:rsidRPr="004F4E68">
        <w:rPr>
          <w:rFonts w:ascii="Arial" w:hAnsi="Arial" w:cs="Arial"/>
          <w:sz w:val="20"/>
        </w:rPr>
        <w:t xml:space="preserve">Forty percent of all drug related deaths in Scotland are among people younger than 35 years old </w:t>
      </w:r>
      <w:r w:rsidRPr="004F4E68">
        <w:rPr>
          <w:rFonts w:ascii="Arial" w:hAnsi="Arial" w:cs="Arial"/>
          <w:noProof/>
          <w:sz w:val="20"/>
        </w:rPr>
        <w:t>(Gao</w:t>
      </w:r>
      <w:r w:rsidRPr="004F4E68">
        <w:rPr>
          <w:rFonts w:ascii="Arial" w:hAnsi="Arial" w:cs="Arial"/>
          <w:i/>
          <w:noProof/>
          <w:sz w:val="20"/>
        </w:rPr>
        <w:t xml:space="preserve"> et al.</w:t>
      </w:r>
      <w:r w:rsidRPr="004F4E68">
        <w:rPr>
          <w:rFonts w:ascii="Arial" w:hAnsi="Arial" w:cs="Arial"/>
          <w:noProof/>
          <w:sz w:val="20"/>
        </w:rPr>
        <w:t xml:space="preserve"> 2016)</w:t>
      </w:r>
      <w:r w:rsidRPr="004F4E68">
        <w:rPr>
          <w:rFonts w:ascii="Arial" w:hAnsi="Arial" w:cs="Arial"/>
          <w:sz w:val="20"/>
        </w:rPr>
        <w:t xml:space="preserve">, while in the United Kingdom almost 40% of deaths among people who had a prescribing treatment modality were aged 35 years or younger </w:t>
      </w:r>
      <w:r w:rsidRPr="004F4E68">
        <w:rPr>
          <w:rFonts w:ascii="Arial" w:hAnsi="Arial" w:cs="Arial"/>
          <w:noProof/>
          <w:sz w:val="20"/>
        </w:rPr>
        <w:t>(Pierce</w:t>
      </w:r>
      <w:r w:rsidRPr="004F4E68">
        <w:rPr>
          <w:rFonts w:ascii="Arial" w:hAnsi="Arial" w:cs="Arial"/>
          <w:i/>
          <w:noProof/>
          <w:sz w:val="20"/>
        </w:rPr>
        <w:t xml:space="preserve"> et al.</w:t>
      </w:r>
      <w:r w:rsidRPr="004F4E68">
        <w:rPr>
          <w:rFonts w:ascii="Arial" w:hAnsi="Arial" w:cs="Arial"/>
          <w:noProof/>
          <w:sz w:val="20"/>
        </w:rPr>
        <w:t xml:space="preserve"> 2018)</w:t>
      </w:r>
      <w:r w:rsidRPr="004F4E68">
        <w:rPr>
          <w:rFonts w:ascii="Arial" w:hAnsi="Arial" w:cs="Arial"/>
          <w:sz w:val="20"/>
        </w:rPr>
        <w:t xml:space="preserve">.  Unpublished data from the Irish National Drug Related Deaths Index (NDRDI) indicates that in 2015 there were more deaths among people aged 35-39 years than in any other age group </w:t>
      </w:r>
      <w:r w:rsidRPr="004F4E68">
        <w:rPr>
          <w:rFonts w:ascii="Arial" w:hAnsi="Arial" w:cs="Arial"/>
          <w:noProof/>
          <w:sz w:val="20"/>
        </w:rPr>
        <w:t>(Lynn 2019)</w:t>
      </w:r>
      <w:r w:rsidRPr="004F4E68">
        <w:rPr>
          <w:rFonts w:ascii="Arial" w:hAnsi="Arial" w:cs="Arial"/>
          <w:sz w:val="20"/>
        </w:rPr>
        <w:t xml:space="preserve">, and thus the opportunity to effect real change may have been missed by age 40.  Findings from a Spanish study of ageing and mortality among people who use drugs indicate that healthcare and harm reduction services should be established early among this population and maintained throughout the lifetime </w:t>
      </w:r>
      <w:r w:rsidRPr="004F4E68">
        <w:rPr>
          <w:rFonts w:ascii="Arial" w:hAnsi="Arial" w:cs="Arial"/>
          <w:noProof/>
          <w:sz w:val="20"/>
        </w:rPr>
        <w:t>(Molist</w:t>
      </w:r>
      <w:r w:rsidRPr="004F4E68">
        <w:rPr>
          <w:rFonts w:ascii="Arial" w:hAnsi="Arial" w:cs="Arial"/>
          <w:i/>
          <w:noProof/>
          <w:sz w:val="20"/>
        </w:rPr>
        <w:t xml:space="preserve"> et al.</w:t>
      </w:r>
      <w:r w:rsidRPr="004F4E68">
        <w:rPr>
          <w:rFonts w:ascii="Arial" w:hAnsi="Arial" w:cs="Arial"/>
          <w:noProof/>
          <w:sz w:val="20"/>
        </w:rPr>
        <w:t xml:space="preserve"> 2018)</w:t>
      </w:r>
      <w:proofErr w:type="gramStart"/>
      <w:r w:rsidRPr="004F4E68">
        <w:rPr>
          <w:rFonts w:ascii="Arial" w:hAnsi="Arial" w:cs="Arial"/>
          <w:sz w:val="20"/>
        </w:rPr>
        <w:t xml:space="preserve">. </w:t>
      </w:r>
      <w:proofErr w:type="gramEnd"/>
      <w:r w:rsidRPr="004F4E68">
        <w:rPr>
          <w:rFonts w:ascii="Arial" w:hAnsi="Arial" w:cs="Arial"/>
          <w:sz w:val="20"/>
        </w:rPr>
        <w:lastRenderedPageBreak/>
        <w:t xml:space="preserve">Long-term opioid use among people aged </w:t>
      </w:r>
      <w:proofErr w:type="gramStart"/>
      <w:r w:rsidRPr="004F4E68">
        <w:rPr>
          <w:rFonts w:ascii="Arial" w:hAnsi="Arial" w:cs="Arial"/>
          <w:sz w:val="20"/>
        </w:rPr>
        <w:t>under</w:t>
      </w:r>
      <w:proofErr w:type="gramEnd"/>
      <w:r w:rsidRPr="004F4E68">
        <w:rPr>
          <w:rFonts w:ascii="Arial" w:hAnsi="Arial" w:cs="Arial"/>
          <w:sz w:val="20"/>
        </w:rPr>
        <w:t xml:space="preserve"> 35 years has not been considered as ‘older’ in the literature.  Younger, long-term opioid users may experience similar premature ageing related challenges as their older counterparts and hence considering both aspects can assist the planning of future care needs.  Many health issues and comorbidities are evident amongst people who use opioid drugs </w:t>
      </w:r>
      <w:r w:rsidRPr="004F4E68">
        <w:rPr>
          <w:rFonts w:ascii="Arial" w:hAnsi="Arial" w:cs="Arial"/>
          <w:noProof/>
          <w:sz w:val="20"/>
        </w:rPr>
        <w:t>(Cullen</w:t>
      </w:r>
      <w:r w:rsidRPr="004F4E68">
        <w:rPr>
          <w:rFonts w:ascii="Arial" w:hAnsi="Arial" w:cs="Arial"/>
          <w:i/>
          <w:noProof/>
          <w:sz w:val="20"/>
        </w:rPr>
        <w:t xml:space="preserve"> et al.</w:t>
      </w:r>
      <w:r w:rsidRPr="004F4E68">
        <w:rPr>
          <w:rFonts w:ascii="Arial" w:hAnsi="Arial" w:cs="Arial"/>
          <w:noProof/>
          <w:sz w:val="20"/>
        </w:rPr>
        <w:t xml:space="preserve"> 2009)</w:t>
      </w:r>
      <w:r w:rsidRPr="004F4E68">
        <w:rPr>
          <w:rFonts w:ascii="Arial" w:hAnsi="Arial" w:cs="Arial"/>
          <w:sz w:val="20"/>
        </w:rPr>
        <w:t xml:space="preserve">, and given the wide disparity between what is considered older age in the general population and among people who use drugs, many of the protocols and policies for such comorbidities may not be implemented at the point in time when the person who uses drugs actually needs them.  Awareness and education programmes are recommended for health and social care providers including the screening, assessment and diagnosis of problem substance use in ageing populations </w:t>
      </w:r>
      <w:r w:rsidRPr="004F4E68">
        <w:rPr>
          <w:rFonts w:ascii="Arial" w:hAnsi="Arial" w:cs="Arial"/>
          <w:noProof/>
          <w:sz w:val="20"/>
        </w:rPr>
        <w:t>(Carew &amp; Comiskey 2018b)</w:t>
      </w:r>
      <w:r w:rsidRPr="004F4E68">
        <w:rPr>
          <w:rFonts w:ascii="Arial" w:hAnsi="Arial" w:cs="Arial"/>
          <w:sz w:val="20"/>
        </w:rPr>
        <w:t xml:space="preserve">.  The identification of codeine dependence in clinical settings can often be delayed, contributing to morbidity </w:t>
      </w:r>
      <w:r w:rsidRPr="004F4E68">
        <w:rPr>
          <w:rFonts w:ascii="Arial" w:hAnsi="Arial" w:cs="Arial"/>
          <w:noProof/>
          <w:sz w:val="20"/>
        </w:rPr>
        <w:t>(Nielsen</w:t>
      </w:r>
      <w:r w:rsidRPr="004F4E68">
        <w:rPr>
          <w:rFonts w:ascii="Arial" w:hAnsi="Arial" w:cs="Arial"/>
          <w:i/>
          <w:noProof/>
          <w:sz w:val="20"/>
        </w:rPr>
        <w:t xml:space="preserve"> et al.</w:t>
      </w:r>
      <w:r w:rsidRPr="004F4E68">
        <w:rPr>
          <w:rFonts w:ascii="Arial" w:hAnsi="Arial" w:cs="Arial"/>
          <w:noProof/>
          <w:sz w:val="20"/>
        </w:rPr>
        <w:t xml:space="preserve"> 2018)</w:t>
      </w:r>
      <w:r w:rsidRPr="004F4E68">
        <w:rPr>
          <w:rFonts w:ascii="Arial" w:hAnsi="Arial" w:cs="Arial"/>
          <w:sz w:val="20"/>
        </w:rPr>
        <w:t xml:space="preserve">.  Screening and prevention interventions are recommended where codeine is available to purchase over-the-counter </w:t>
      </w:r>
      <w:r w:rsidRPr="004F4E68">
        <w:rPr>
          <w:rFonts w:ascii="Arial" w:hAnsi="Arial" w:cs="Arial"/>
          <w:noProof/>
          <w:sz w:val="20"/>
        </w:rPr>
        <w:t>(Nielsen</w:t>
      </w:r>
      <w:r w:rsidRPr="004F4E68">
        <w:rPr>
          <w:rFonts w:ascii="Arial" w:hAnsi="Arial" w:cs="Arial"/>
          <w:i/>
          <w:noProof/>
          <w:sz w:val="20"/>
        </w:rPr>
        <w:t xml:space="preserve"> et al.</w:t>
      </w:r>
      <w:r w:rsidRPr="004F4E68">
        <w:rPr>
          <w:rFonts w:ascii="Arial" w:hAnsi="Arial" w:cs="Arial"/>
          <w:noProof/>
          <w:sz w:val="20"/>
        </w:rPr>
        <w:t xml:space="preserve"> 2018)</w:t>
      </w:r>
      <w:r w:rsidRPr="004F4E68">
        <w:rPr>
          <w:rFonts w:ascii="Arial" w:hAnsi="Arial" w:cs="Arial"/>
          <w:sz w:val="20"/>
        </w:rPr>
        <w:t xml:space="preserve">.  Pain and pain related conditions (including headaches and dental pain) have been cited as a reason for initiating opioid use among people entering treatment for opioid dependence </w:t>
      </w:r>
      <w:r>
        <w:rPr>
          <w:rFonts w:ascii="Arial" w:hAnsi="Arial" w:cs="Arial"/>
          <w:noProof/>
          <w:sz w:val="20"/>
        </w:rPr>
        <w:t>(Nielsen</w:t>
      </w:r>
      <w:r w:rsidRPr="00D91DC9">
        <w:rPr>
          <w:rFonts w:ascii="Arial" w:hAnsi="Arial" w:cs="Arial"/>
          <w:i/>
          <w:noProof/>
          <w:sz w:val="20"/>
        </w:rPr>
        <w:t xml:space="preserve"> et al.</w:t>
      </w:r>
      <w:r>
        <w:rPr>
          <w:rFonts w:ascii="Arial" w:hAnsi="Arial" w:cs="Arial"/>
          <w:noProof/>
          <w:sz w:val="20"/>
        </w:rPr>
        <w:t xml:space="preserve"> 2015a)</w:t>
      </w:r>
      <w:r w:rsidRPr="004F4E68">
        <w:rPr>
          <w:rFonts w:ascii="Arial" w:hAnsi="Arial" w:cs="Arial"/>
          <w:sz w:val="20"/>
        </w:rPr>
        <w:t xml:space="preserve">.  Given the prominence of over-the-counter codeine products and the likelihood that users may have limited contact with health professionals other than pharmacists, prevention strategies and early identification of problematic use are essential. </w:t>
      </w:r>
    </w:p>
    <w:p w:rsidR="003B0DEE" w:rsidRPr="004F4E68" w:rsidRDefault="003B0DEE" w:rsidP="000D5D90">
      <w:pPr>
        <w:pStyle w:val="BodyText"/>
        <w:rPr>
          <w:szCs w:val="20"/>
        </w:rPr>
      </w:pPr>
      <w:r w:rsidRPr="004F4E68">
        <w:rPr>
          <w:szCs w:val="20"/>
        </w:rPr>
        <w:t xml:space="preserve">Increasing proportions of older people using opioids along with decreased numbers of younger people are evident through epidemiological surveys and admissions to addiction services in developed countries, and this trend is likely to continue for the next two decades </w:t>
      </w:r>
      <w:r>
        <w:rPr>
          <w:noProof/>
          <w:szCs w:val="20"/>
        </w:rPr>
        <w:t>(Beynon</w:t>
      </w:r>
      <w:r w:rsidRPr="0062594C">
        <w:rPr>
          <w:i/>
          <w:noProof/>
          <w:szCs w:val="20"/>
        </w:rPr>
        <w:t xml:space="preserve"> et al.</w:t>
      </w:r>
      <w:r>
        <w:rPr>
          <w:noProof/>
          <w:szCs w:val="20"/>
        </w:rPr>
        <w:t xml:space="preserve"> 2007, Gossop 2008, Han</w:t>
      </w:r>
      <w:r w:rsidRPr="0062594C">
        <w:rPr>
          <w:i/>
          <w:noProof/>
          <w:szCs w:val="20"/>
        </w:rPr>
        <w:t xml:space="preserve"> et al.</w:t>
      </w:r>
      <w:r>
        <w:rPr>
          <w:noProof/>
          <w:szCs w:val="20"/>
        </w:rPr>
        <w:t xml:space="preserve"> 2009b, Australian Injecting Illicit Drug Users League 2011, Crome</w:t>
      </w:r>
      <w:r w:rsidRPr="0062594C">
        <w:rPr>
          <w:i/>
          <w:noProof/>
          <w:szCs w:val="20"/>
        </w:rPr>
        <w:t xml:space="preserve"> et al.</w:t>
      </w:r>
      <w:r>
        <w:rPr>
          <w:noProof/>
          <w:szCs w:val="20"/>
        </w:rPr>
        <w:t xml:space="preserve"> 2011b, Crome</w:t>
      </w:r>
      <w:r w:rsidRPr="0062594C">
        <w:rPr>
          <w:i/>
          <w:noProof/>
          <w:szCs w:val="20"/>
        </w:rPr>
        <w:t xml:space="preserve"> et al.</w:t>
      </w:r>
      <w:r>
        <w:rPr>
          <w:noProof/>
          <w:szCs w:val="20"/>
        </w:rPr>
        <w:t xml:space="preserve"> 2011a, Frances 2011, Wu &amp; Blazer 2011, Han</w:t>
      </w:r>
      <w:r w:rsidRPr="0062594C">
        <w:rPr>
          <w:i/>
          <w:noProof/>
          <w:szCs w:val="20"/>
        </w:rPr>
        <w:t xml:space="preserve"> et al.</w:t>
      </w:r>
      <w:r>
        <w:rPr>
          <w:noProof/>
          <w:szCs w:val="20"/>
        </w:rPr>
        <w:t xml:space="preserve"> 2015)</w:t>
      </w:r>
      <w:r w:rsidRPr="004F4E68">
        <w:rPr>
          <w:szCs w:val="20"/>
        </w:rPr>
        <w:t xml:space="preserve">.  European data indicates that older people make up an increasing proportion of opioid related drug treatments and drug-related deaths </w:t>
      </w:r>
      <w:r w:rsidRPr="004F4E68">
        <w:rPr>
          <w:noProof/>
          <w:szCs w:val="20"/>
        </w:rPr>
        <w:t>(European Monitoring Centre for Drugs and Drug Addiction 2017b)</w:t>
      </w:r>
      <w:r w:rsidRPr="004F4E68">
        <w:rPr>
          <w:szCs w:val="20"/>
        </w:rPr>
        <w:t xml:space="preserve">.  Public health approaches have significantly improved survival rates across Europe </w:t>
      </w:r>
      <w:r w:rsidRPr="004F4E68">
        <w:rPr>
          <w:noProof/>
          <w:szCs w:val="20"/>
        </w:rPr>
        <w:t>(Johnstone</w:t>
      </w:r>
      <w:r w:rsidRPr="004F4E68">
        <w:rPr>
          <w:i/>
          <w:noProof/>
          <w:szCs w:val="20"/>
        </w:rPr>
        <w:t xml:space="preserve"> et al.</w:t>
      </w:r>
      <w:r w:rsidRPr="004F4E68">
        <w:rPr>
          <w:noProof/>
          <w:szCs w:val="20"/>
        </w:rPr>
        <w:t xml:space="preserve"> 2017)</w:t>
      </w:r>
      <w:r w:rsidRPr="004F4E68">
        <w:rPr>
          <w:szCs w:val="20"/>
        </w:rPr>
        <w:t xml:space="preserve"> and the scaling up of harm reduction services has also been cited as a possible reason for keeping people with problem heroin use alive into the later years </w:t>
      </w:r>
      <w:r w:rsidRPr="004F4E68">
        <w:rPr>
          <w:noProof/>
          <w:szCs w:val="20"/>
        </w:rPr>
        <w:t>(European Monitoring Centre for Drugs and Drug Addiction 2017b)</w:t>
      </w:r>
      <w:r w:rsidRPr="004F4E68">
        <w:rPr>
          <w:szCs w:val="20"/>
        </w:rPr>
        <w:t xml:space="preserve">.  </w:t>
      </w:r>
    </w:p>
    <w:p w:rsidR="003B0DEE" w:rsidRPr="00CD6A75" w:rsidRDefault="003B0DEE" w:rsidP="000D5D90">
      <w:pPr>
        <w:pStyle w:val="BodyText"/>
      </w:pPr>
      <w:r w:rsidRPr="004F4E68">
        <w:rPr>
          <w:szCs w:val="20"/>
        </w:rPr>
        <w:t xml:space="preserve">There is clear evidence of an ageing opioid treatment population and the existence of subgroups.  These changing demographics indicate new challenges for policymakers and healthcare </w:t>
      </w:r>
      <w:proofErr w:type="gramStart"/>
      <w:r w:rsidRPr="004F4E68">
        <w:rPr>
          <w:szCs w:val="20"/>
        </w:rPr>
        <w:t>providers</w:t>
      </w:r>
      <w:proofErr w:type="gramEnd"/>
      <w:r w:rsidRPr="004F4E68">
        <w:rPr>
          <w:szCs w:val="20"/>
        </w:rPr>
        <w:t xml:space="preserve"> alike </w:t>
      </w:r>
      <w:r w:rsidRPr="004F4E68">
        <w:rPr>
          <w:noProof/>
          <w:szCs w:val="20"/>
        </w:rPr>
        <w:t>(Gfroerer</w:t>
      </w:r>
      <w:r w:rsidRPr="004F4E68">
        <w:rPr>
          <w:i/>
          <w:noProof/>
          <w:szCs w:val="20"/>
        </w:rPr>
        <w:t xml:space="preserve"> et al.</w:t>
      </w:r>
      <w:r w:rsidRPr="004F4E68">
        <w:rPr>
          <w:noProof/>
          <w:szCs w:val="20"/>
        </w:rPr>
        <w:t xml:space="preserve"> 2003, Rosen</w:t>
      </w:r>
      <w:r w:rsidRPr="004F4E68">
        <w:rPr>
          <w:i/>
          <w:noProof/>
          <w:szCs w:val="20"/>
        </w:rPr>
        <w:t xml:space="preserve"> et al.</w:t>
      </w:r>
      <w:r w:rsidRPr="004F4E68">
        <w:rPr>
          <w:noProof/>
          <w:szCs w:val="20"/>
        </w:rPr>
        <w:t xml:space="preserve"> 2011, Wu &amp; Blazer 2011, Rao &amp; Roche 2017)</w:t>
      </w:r>
      <w:r w:rsidRPr="004F4E68">
        <w:rPr>
          <w:szCs w:val="20"/>
        </w:rPr>
        <w:t xml:space="preserve">.  Meeting the needs of older people who used opioids is a pressing issue particularly for treatment services, given that this cohort is expected to form the majority of the drug treatment population </w:t>
      </w:r>
      <w:r w:rsidRPr="004F4E68">
        <w:rPr>
          <w:noProof/>
          <w:szCs w:val="20"/>
        </w:rPr>
        <w:t>(European Monitoring Centre for Drugs and Drug Addiction 2017b)</w:t>
      </w:r>
      <w:proofErr w:type="gramStart"/>
      <w:r w:rsidRPr="004F4E68">
        <w:rPr>
          <w:szCs w:val="20"/>
        </w:rPr>
        <w:t xml:space="preserve">.   </w:t>
      </w:r>
      <w:proofErr w:type="gramEnd"/>
      <w:r w:rsidRPr="004F4E68">
        <w:rPr>
          <w:szCs w:val="20"/>
        </w:rPr>
        <w:t xml:space="preserve">Evidence suggests that service providers are unaware of age-specific and gender-specific issues </w:t>
      </w:r>
      <w:r w:rsidRPr="004F4E68">
        <w:rPr>
          <w:noProof/>
          <w:szCs w:val="20"/>
        </w:rPr>
        <w:t>(Johnstone</w:t>
      </w:r>
      <w:r w:rsidRPr="004F4E68">
        <w:rPr>
          <w:i/>
          <w:noProof/>
          <w:szCs w:val="20"/>
        </w:rPr>
        <w:t xml:space="preserve"> et al.</w:t>
      </w:r>
      <w:r w:rsidRPr="004F4E68">
        <w:rPr>
          <w:noProof/>
          <w:szCs w:val="20"/>
        </w:rPr>
        <w:t xml:space="preserve"> 2017)</w:t>
      </w:r>
      <w:r w:rsidRPr="004F4E68">
        <w:rPr>
          <w:szCs w:val="20"/>
        </w:rPr>
        <w:t xml:space="preserve">, and although there is an acknowledgement that older people who use drugs require tailored services, there are few treatment programmes meeting their needs </w:t>
      </w:r>
      <w:r w:rsidRPr="004F4E68">
        <w:rPr>
          <w:noProof/>
          <w:szCs w:val="20"/>
        </w:rPr>
        <w:t>(United Nations Office on Drugs and Crime 2018)</w:t>
      </w:r>
      <w:r w:rsidRPr="004F4E68">
        <w:rPr>
          <w:szCs w:val="20"/>
        </w:rPr>
        <w:t xml:space="preserve">.  </w:t>
      </w:r>
    </w:p>
    <w:p w:rsidR="003B0DEE" w:rsidRDefault="003B0DEE" w:rsidP="000D5D90">
      <w:pPr>
        <w:pStyle w:val="Heading3"/>
      </w:pPr>
      <w:bookmarkStart w:id="155" w:name="_Toc15331740"/>
      <w:r>
        <w:t>Issues relating to context</w:t>
      </w:r>
      <w:bookmarkEnd w:id="155"/>
    </w:p>
    <w:p w:rsidR="003B0DEE" w:rsidRDefault="003B0DEE" w:rsidP="000D5D90">
      <w:pPr>
        <w:spacing w:before="120" w:after="120" w:line="360" w:lineRule="auto"/>
        <w:jc w:val="left"/>
        <w:rPr>
          <w:rFonts w:ascii="Arial" w:hAnsi="Arial"/>
          <w:sz w:val="20"/>
        </w:rPr>
      </w:pPr>
      <w:r w:rsidRPr="00977E98">
        <w:rPr>
          <w:rFonts w:ascii="Arial" w:hAnsi="Arial"/>
          <w:sz w:val="20"/>
        </w:rPr>
        <w:t xml:space="preserve">The NDTRS was originally developed in line with the Pompidou Group Definitive Protocol and it was later refined in compliance with the European Monitoring Centre for Drugs and Drug Addiction </w:t>
      </w:r>
      <w:r w:rsidRPr="00977E98">
        <w:rPr>
          <w:rFonts w:ascii="Arial" w:hAnsi="Arial"/>
          <w:sz w:val="20"/>
        </w:rPr>
        <w:lastRenderedPageBreak/>
        <w:t xml:space="preserve">Treatment Demand Indicator Protocol.  Standardised data is collected on people commencing drug treatment at treatment centre level and collated nationally at the Health Research Board.  Over the decades the NDTRS has evolved.  When originally established in the 1990s data was reported by </w:t>
      </w:r>
      <w:r>
        <w:rPr>
          <w:rFonts w:ascii="Arial" w:hAnsi="Arial"/>
          <w:sz w:val="20"/>
        </w:rPr>
        <w:t>twenty six</w:t>
      </w:r>
      <w:r w:rsidRPr="00977E98">
        <w:rPr>
          <w:rFonts w:ascii="Arial" w:hAnsi="Arial"/>
          <w:sz w:val="20"/>
        </w:rPr>
        <w:t xml:space="preserve"> service</w:t>
      </w:r>
      <w:r>
        <w:rPr>
          <w:rFonts w:ascii="Arial" w:hAnsi="Arial"/>
          <w:sz w:val="20"/>
        </w:rPr>
        <w:t xml:space="preserve"> providers</w:t>
      </w:r>
      <w:r w:rsidRPr="00977E98">
        <w:rPr>
          <w:rFonts w:ascii="Arial" w:hAnsi="Arial"/>
          <w:sz w:val="20"/>
        </w:rPr>
        <w:t xml:space="preserve"> with three national level staff managing the system at the Health Research Board.  In the late 1990s efforts were made to expand coverage and include data from </w:t>
      </w:r>
      <w:r>
        <w:rPr>
          <w:rFonts w:ascii="Arial" w:hAnsi="Arial"/>
          <w:sz w:val="20"/>
        </w:rPr>
        <w:t xml:space="preserve">general practitioner and </w:t>
      </w:r>
      <w:r w:rsidRPr="00977E98">
        <w:rPr>
          <w:rFonts w:ascii="Arial" w:hAnsi="Arial"/>
          <w:sz w:val="20"/>
        </w:rPr>
        <w:t xml:space="preserve">prison services.  In the early 2000s, key initiatives were undertaken to improve completeness and accuracy which included the addition on the Addiction Service’s performance indicators in the NDTRS.  In 2004, the remit of the NDTRS was expanded to include cases where alcohol was recorded as the main or only reason for seeking treatment.  In the late 2000s enhancements were made to record treatment discharge data which was implemented on a national basis in 2009.  Data collection and validation methods were enhanced on an ongoing basis over the decades, the most recent development was the movement to a web based system whereby treatment practitioners now enter data directly with real time validation checks and reporting capabilities.  In 2015, approximately seven hundred services returned data to the NDTRS with seven staff dedicated to operating the system at national level. </w:t>
      </w:r>
    </w:p>
    <w:p w:rsidR="003B0DEE" w:rsidRDefault="003B0DEE" w:rsidP="000D5D90">
      <w:pPr>
        <w:tabs>
          <w:tab w:val="left" w:pos="-720"/>
        </w:tabs>
        <w:suppressAutoHyphens/>
        <w:spacing w:line="360" w:lineRule="auto"/>
        <w:jc w:val="left"/>
        <w:rPr>
          <w:rFonts w:ascii="Arial" w:hAnsi="Arial"/>
          <w:sz w:val="20"/>
        </w:rPr>
      </w:pPr>
      <w:r w:rsidRPr="00C5340B">
        <w:rPr>
          <w:rFonts w:ascii="Arial" w:hAnsi="Arial"/>
          <w:sz w:val="20"/>
        </w:rPr>
        <w:t xml:space="preserve">The NDTRS has evolved alongside national drug strategy.  In 1991 the </w:t>
      </w:r>
      <w:r w:rsidRPr="00C5340B">
        <w:rPr>
          <w:rFonts w:ascii="Arial" w:hAnsi="Arial"/>
          <w:i/>
          <w:sz w:val="20"/>
        </w:rPr>
        <w:t>Government Strategy to Prevent Drug Misuse</w:t>
      </w:r>
      <w:r w:rsidRPr="00C5340B">
        <w:rPr>
          <w:rFonts w:ascii="Arial" w:hAnsi="Arial"/>
          <w:sz w:val="20"/>
        </w:rPr>
        <w:t xml:space="preserve"> was published recommendation the establishment of a national database on drug misuse </w:t>
      </w:r>
      <w:r w:rsidRPr="00D91DC9">
        <w:rPr>
          <w:rFonts w:ascii="Arial" w:hAnsi="Arial" w:cs="Arial"/>
          <w:noProof/>
          <w:sz w:val="20"/>
        </w:rPr>
        <w:t>(National Co-ordinating Committee on Drug Abuse 1991)</w:t>
      </w:r>
      <w:r w:rsidRPr="00C5340B">
        <w:rPr>
          <w:rFonts w:ascii="Arial" w:hAnsi="Arial"/>
          <w:sz w:val="20"/>
        </w:rPr>
        <w:t xml:space="preserve">.  The First report of the Ministerial Task Force on Measures to Reduce the Demand for Drugs in 1996 recognised the value of epidemiological data and the report drew connections between drug use, social deprivation, crime along with links between injecting drug use and the transmission of HIV and hepatitis C.  A National Drugs Strategy Team was established to manage the work of the ten local drugs task forces </w:t>
      </w:r>
      <w:r w:rsidRPr="00D91DC9">
        <w:rPr>
          <w:rFonts w:ascii="Arial" w:hAnsi="Arial" w:cs="Arial"/>
          <w:noProof/>
          <w:sz w:val="20"/>
        </w:rPr>
        <w:t>(Ministerial Task Force on Measures to Reduce the Demand for Drugs 1996)</w:t>
      </w:r>
      <w:r w:rsidRPr="00C5340B">
        <w:rPr>
          <w:rFonts w:ascii="Arial" w:hAnsi="Arial"/>
          <w:sz w:val="20"/>
        </w:rPr>
        <w:t xml:space="preserve">.  Area boundaries were informed by NDTRS data.  </w:t>
      </w:r>
    </w:p>
    <w:p w:rsidR="003B0DEE" w:rsidRPr="00C5340B" w:rsidRDefault="003B0DEE" w:rsidP="000D5D90">
      <w:pPr>
        <w:tabs>
          <w:tab w:val="left" w:pos="-720"/>
        </w:tabs>
        <w:suppressAutoHyphens/>
        <w:spacing w:line="360" w:lineRule="auto"/>
        <w:jc w:val="left"/>
        <w:rPr>
          <w:rFonts w:ascii="Arial" w:hAnsi="Arial"/>
          <w:sz w:val="20"/>
        </w:rPr>
      </w:pPr>
      <w:r w:rsidRPr="00C5340B">
        <w:rPr>
          <w:rFonts w:ascii="Arial" w:hAnsi="Arial"/>
          <w:sz w:val="20"/>
        </w:rPr>
        <w:t xml:space="preserve">In May 2001, </w:t>
      </w:r>
      <w:r>
        <w:rPr>
          <w:rFonts w:ascii="Arial" w:hAnsi="Arial"/>
          <w:sz w:val="20"/>
        </w:rPr>
        <w:t xml:space="preserve">the </w:t>
      </w:r>
      <w:r w:rsidRPr="00C5340B">
        <w:rPr>
          <w:rFonts w:ascii="Arial" w:hAnsi="Arial"/>
          <w:sz w:val="20"/>
        </w:rPr>
        <w:t xml:space="preserve">drug strategy </w:t>
      </w:r>
      <w:r w:rsidRPr="00C5340B">
        <w:rPr>
          <w:rFonts w:ascii="Arial" w:hAnsi="Arial"/>
          <w:i/>
          <w:sz w:val="20"/>
        </w:rPr>
        <w:t>Building on experience: national drugs strategy 2001–2008</w:t>
      </w:r>
      <w:r w:rsidRPr="00C5340B">
        <w:rPr>
          <w:rFonts w:ascii="Arial" w:hAnsi="Arial"/>
          <w:sz w:val="20"/>
        </w:rPr>
        <w:t xml:space="preserve"> was adopted </w:t>
      </w:r>
      <w:r w:rsidRPr="00D91DC9">
        <w:rPr>
          <w:rFonts w:ascii="Arial" w:hAnsi="Arial" w:cs="Arial"/>
          <w:noProof/>
          <w:sz w:val="20"/>
        </w:rPr>
        <w:t>(Department of Tourism Sport and Recreation 2001)</w:t>
      </w:r>
      <w:r w:rsidRPr="00C5340B">
        <w:rPr>
          <w:rFonts w:ascii="Arial" w:hAnsi="Arial"/>
          <w:sz w:val="20"/>
        </w:rPr>
        <w:t>.  The NDTRS is recognised in this strategy as the main source of national data on drug misuse and helped inform the strategy.  Strategy action 6.5.4 recognised the need to improve the efficiency and quality of NDTRS data flow from service providers and the need for all treatment providers to participate in the NDTRS.  It specified the designation of a staff member with specific responsibility for ensuring that all relevant data is returned to the NDTRS and that responsibility for making data returns be incorporated into the contracts of medical practitioners working in treatment centres, in general practice and in prisons.</w:t>
      </w:r>
    </w:p>
    <w:p w:rsidR="003B0DEE" w:rsidRPr="00C5340B" w:rsidRDefault="003B0DEE" w:rsidP="000D5D90">
      <w:pPr>
        <w:spacing w:before="120" w:after="120" w:line="360" w:lineRule="auto"/>
        <w:jc w:val="left"/>
        <w:rPr>
          <w:rFonts w:ascii="Arial" w:hAnsi="Arial"/>
          <w:sz w:val="20"/>
        </w:rPr>
      </w:pPr>
      <w:r w:rsidRPr="00C5340B">
        <w:rPr>
          <w:rFonts w:ascii="Arial" w:hAnsi="Arial"/>
          <w:sz w:val="20"/>
        </w:rPr>
        <w:t>In September 2009, a new National drugs strategy (interim) 2009–2016 was launched</w:t>
      </w:r>
      <w:r>
        <w:rPr>
          <w:rFonts w:ascii="Arial" w:hAnsi="Arial"/>
          <w:sz w:val="20"/>
        </w:rPr>
        <w:t xml:space="preserve"> </w:t>
      </w:r>
      <w:r w:rsidRPr="00816EF0">
        <w:rPr>
          <w:rFonts w:ascii="Arial" w:hAnsi="Arial" w:cs="Arial"/>
          <w:noProof/>
          <w:sz w:val="20"/>
        </w:rPr>
        <w:t>(Department of Community Rural and Gaeltacht Affairs 2009)</w:t>
      </w:r>
      <w:r w:rsidRPr="00C5340B">
        <w:rPr>
          <w:rFonts w:ascii="Arial" w:hAnsi="Arial"/>
          <w:sz w:val="20"/>
        </w:rPr>
        <w:t>.  This strategy recognised that drug treatment data had improved substantially through the NDTRS.  However, limitations at that time were also highlighted including the fact that the system was not fully automated and that it did not include treatment discharge data for all areas.  The strategy recommended development of a real time reporting system inc</w:t>
      </w:r>
      <w:r>
        <w:rPr>
          <w:rFonts w:ascii="Arial" w:hAnsi="Arial"/>
          <w:sz w:val="20"/>
        </w:rPr>
        <w:t>orp</w:t>
      </w:r>
      <w:r w:rsidRPr="00C5340B">
        <w:rPr>
          <w:rFonts w:ascii="Arial" w:hAnsi="Arial"/>
          <w:sz w:val="20"/>
        </w:rPr>
        <w:t xml:space="preserve">orating the NDTRS and highlighted how a unique identifier would allow the NDTRS to track individuals through treatment and social reintegration and to identify factors </w:t>
      </w:r>
      <w:r w:rsidRPr="00C5340B">
        <w:rPr>
          <w:rFonts w:ascii="Arial" w:hAnsi="Arial"/>
          <w:sz w:val="20"/>
        </w:rPr>
        <w:lastRenderedPageBreak/>
        <w:t>associated with positive and negative treatment outcomes.  Similar to the preceding strategy, all treatment providers were required to co-operate with the NDTRS</w:t>
      </w:r>
      <w:r>
        <w:rPr>
          <w:rFonts w:ascii="Arial" w:hAnsi="Arial"/>
          <w:sz w:val="20"/>
        </w:rPr>
        <w:t>.</w:t>
      </w:r>
    </w:p>
    <w:p w:rsidR="003B0DEE" w:rsidRPr="00AB5528" w:rsidRDefault="003B0DEE" w:rsidP="000D5D90">
      <w:pPr>
        <w:spacing w:before="120" w:after="120" w:line="360" w:lineRule="auto"/>
        <w:jc w:val="left"/>
        <w:rPr>
          <w:rFonts w:ascii="Arial" w:hAnsi="Arial"/>
          <w:sz w:val="20"/>
        </w:rPr>
      </w:pPr>
      <w:r w:rsidRPr="00AB5528">
        <w:rPr>
          <w:rFonts w:ascii="Arial" w:hAnsi="Arial"/>
          <w:sz w:val="20"/>
        </w:rPr>
        <w:t xml:space="preserve">The current strategy </w:t>
      </w:r>
      <w:r w:rsidRPr="00AB5528">
        <w:rPr>
          <w:rFonts w:ascii="Arial" w:hAnsi="Arial"/>
          <w:i/>
          <w:sz w:val="20"/>
        </w:rPr>
        <w:t>Reducing harm, supporting recovery: a health-led approach to drug and alcohol use i</w:t>
      </w:r>
      <w:r>
        <w:rPr>
          <w:rFonts w:ascii="Arial" w:hAnsi="Arial"/>
          <w:i/>
          <w:sz w:val="20"/>
        </w:rPr>
        <w:t>n Ireland 2017—</w:t>
      </w:r>
      <w:r w:rsidRPr="00AB5528">
        <w:rPr>
          <w:rFonts w:ascii="Arial" w:hAnsi="Arial"/>
          <w:i/>
          <w:sz w:val="20"/>
        </w:rPr>
        <w:t>2025</w:t>
      </w:r>
      <w:r w:rsidRPr="00AB5528">
        <w:rPr>
          <w:rFonts w:ascii="Arial" w:hAnsi="Arial"/>
          <w:sz w:val="20"/>
        </w:rPr>
        <w:t xml:space="preserve"> further strengthens the importance and use of the NDTRS</w:t>
      </w:r>
      <w:r>
        <w:rPr>
          <w:rFonts w:ascii="Arial" w:hAnsi="Arial"/>
          <w:sz w:val="20"/>
        </w:rPr>
        <w:t xml:space="preserve"> </w:t>
      </w:r>
      <w:r w:rsidRPr="0062594C">
        <w:rPr>
          <w:rFonts w:ascii="Arial" w:hAnsi="Arial" w:cs="Arial"/>
          <w:noProof/>
          <w:sz w:val="20"/>
        </w:rPr>
        <w:t>(Department of Health 2017a)</w:t>
      </w:r>
      <w:r w:rsidRPr="00AB5528">
        <w:rPr>
          <w:rFonts w:ascii="Arial" w:hAnsi="Arial"/>
          <w:sz w:val="20"/>
        </w:rPr>
        <w:t xml:space="preserve">. </w:t>
      </w:r>
      <w:r>
        <w:rPr>
          <w:rFonts w:ascii="Arial" w:hAnsi="Arial"/>
          <w:sz w:val="20"/>
        </w:rPr>
        <w:t xml:space="preserve"> </w:t>
      </w:r>
      <w:r w:rsidRPr="00AB5528">
        <w:rPr>
          <w:rFonts w:ascii="Arial" w:hAnsi="Arial"/>
          <w:sz w:val="20"/>
        </w:rPr>
        <w:t xml:space="preserve">The NDTRS is specifically mentioned as a performance measure in three of the strategy goals.  The strategy specifies that the NDTRS is to be used to measure successful exits from treatment, uptake of treatment in communities most affected by substance misuse and changes in problem substance use in communities affected by deprivation.  </w:t>
      </w:r>
      <w:r>
        <w:rPr>
          <w:rFonts w:ascii="Arial" w:hAnsi="Arial"/>
          <w:sz w:val="20"/>
        </w:rPr>
        <w:t>Two strategic actions stipulate that a</w:t>
      </w:r>
      <w:r w:rsidRPr="00AB5528">
        <w:rPr>
          <w:rFonts w:ascii="Arial" w:hAnsi="Arial"/>
          <w:sz w:val="20"/>
        </w:rPr>
        <w:t xml:space="preserve">ll publicly funded drug and alcohol services to complete the NDTRS for all people who use services </w:t>
      </w:r>
      <w:r>
        <w:rPr>
          <w:rFonts w:ascii="Arial" w:hAnsi="Arial"/>
          <w:sz w:val="20"/>
        </w:rPr>
        <w:t xml:space="preserve">and </w:t>
      </w:r>
      <w:r w:rsidRPr="00AB5528">
        <w:rPr>
          <w:rFonts w:ascii="Arial" w:hAnsi="Arial"/>
          <w:sz w:val="20"/>
        </w:rPr>
        <w:t xml:space="preserve">all services </w:t>
      </w:r>
      <w:r>
        <w:rPr>
          <w:rFonts w:ascii="Arial" w:hAnsi="Arial"/>
          <w:sz w:val="20"/>
        </w:rPr>
        <w:t xml:space="preserve">should </w:t>
      </w:r>
      <w:r w:rsidRPr="00AB5528">
        <w:rPr>
          <w:rFonts w:ascii="Arial" w:hAnsi="Arial"/>
          <w:sz w:val="20"/>
        </w:rPr>
        <w:t>engage in ethnic equality monitoring by reporting on the nationality, ethnicity and cultural background of service users for the NDTRS</w:t>
      </w:r>
      <w:r>
        <w:rPr>
          <w:rFonts w:ascii="Arial" w:hAnsi="Arial"/>
          <w:sz w:val="20"/>
        </w:rPr>
        <w:t>.</w:t>
      </w:r>
    </w:p>
    <w:p w:rsidR="003B0DEE" w:rsidRPr="00BD3884" w:rsidRDefault="003B0DEE" w:rsidP="000D5D90">
      <w:pPr>
        <w:pStyle w:val="Heading2"/>
      </w:pPr>
      <w:bookmarkStart w:id="156" w:name="_Toc15331741"/>
      <w:bookmarkStart w:id="157" w:name="_Toc15331742"/>
      <w:bookmarkEnd w:id="156"/>
      <w:r w:rsidRPr="00BD3884">
        <w:t>Policy and practice implications and future research</w:t>
      </w:r>
      <w:bookmarkEnd w:id="157"/>
    </w:p>
    <w:p w:rsidR="003B0DEE" w:rsidRPr="00BD3884" w:rsidRDefault="003B0DEE" w:rsidP="000D5D90">
      <w:pPr>
        <w:spacing w:before="120" w:after="120" w:line="360" w:lineRule="auto"/>
        <w:jc w:val="left"/>
        <w:rPr>
          <w:rFonts w:ascii="Arial" w:hAnsi="Arial"/>
          <w:sz w:val="20"/>
        </w:rPr>
      </w:pPr>
      <w:r w:rsidRPr="00BD3884">
        <w:rPr>
          <w:rFonts w:ascii="Arial" w:hAnsi="Arial"/>
          <w:sz w:val="20"/>
        </w:rPr>
        <w:t xml:space="preserve">The </w:t>
      </w:r>
      <w:r>
        <w:rPr>
          <w:rFonts w:ascii="Arial" w:hAnsi="Arial"/>
          <w:sz w:val="20"/>
        </w:rPr>
        <w:t>results of this study are intended to guide evidence based policy decisions</w:t>
      </w:r>
      <w:r w:rsidRPr="00BD3884">
        <w:rPr>
          <w:rFonts w:ascii="Arial" w:hAnsi="Arial"/>
          <w:sz w:val="20"/>
        </w:rPr>
        <w:t xml:space="preserve">.  Evidence-based information is important so that policymakers, practitioners, and researchers understand the unique circumstances of the growing population of ageing opioid users. </w:t>
      </w:r>
      <w:r>
        <w:rPr>
          <w:rFonts w:ascii="Arial" w:hAnsi="Arial"/>
          <w:sz w:val="20"/>
        </w:rPr>
        <w:t xml:space="preserve"> </w:t>
      </w:r>
      <w:r w:rsidRPr="003E1B3B">
        <w:rPr>
          <w:rFonts w:ascii="Arial" w:hAnsi="Arial"/>
          <w:sz w:val="20"/>
        </w:rPr>
        <w:t xml:space="preserve">Study findings are directly related to current drug treatment policies both in Ireland and across Europe.  </w:t>
      </w:r>
      <w:r w:rsidRPr="00BD3884">
        <w:rPr>
          <w:rFonts w:ascii="Arial" w:hAnsi="Arial"/>
          <w:sz w:val="20"/>
        </w:rPr>
        <w:t xml:space="preserve">This section includes recommendations for treatment practice and policy, drug treatment surveillance systems and further research. </w:t>
      </w:r>
    </w:p>
    <w:p w:rsidR="003B0DEE" w:rsidRPr="00EC0EA4" w:rsidRDefault="003B0DEE" w:rsidP="000D5D90">
      <w:pPr>
        <w:pStyle w:val="Heading3"/>
      </w:pPr>
      <w:bookmarkStart w:id="158" w:name="_Toc15331743"/>
      <w:r>
        <w:t>Key p</w:t>
      </w:r>
      <w:r w:rsidRPr="00EC0EA4">
        <w:t xml:space="preserve">olicy and practice </w:t>
      </w:r>
      <w:r>
        <w:t>recommendations</w:t>
      </w:r>
      <w:bookmarkEnd w:id="158"/>
    </w:p>
    <w:p w:rsidR="003B0DEE" w:rsidRDefault="003B0DEE" w:rsidP="000D5D90">
      <w:pPr>
        <w:numPr>
          <w:ilvl w:val="0"/>
          <w:numId w:val="9"/>
        </w:numPr>
        <w:spacing w:before="120" w:beforeAutospacing="1" w:after="120" w:afterAutospacing="1" w:line="360" w:lineRule="auto"/>
        <w:jc w:val="left"/>
        <w:rPr>
          <w:rFonts w:ascii="Arial" w:hAnsi="Arial"/>
          <w:sz w:val="20"/>
        </w:rPr>
      </w:pPr>
      <w:r>
        <w:rPr>
          <w:rFonts w:ascii="Arial" w:hAnsi="Arial"/>
          <w:b/>
          <w:sz w:val="20"/>
        </w:rPr>
        <w:t xml:space="preserve">Revise current </w:t>
      </w:r>
      <w:r w:rsidRPr="0003575F">
        <w:rPr>
          <w:rFonts w:ascii="Arial" w:hAnsi="Arial"/>
          <w:b/>
          <w:sz w:val="20"/>
        </w:rPr>
        <w:t xml:space="preserve">policy to </w:t>
      </w:r>
      <w:r>
        <w:rPr>
          <w:rFonts w:ascii="Arial" w:hAnsi="Arial"/>
          <w:b/>
          <w:sz w:val="20"/>
        </w:rPr>
        <w:t xml:space="preserve">reflect appropriately </w:t>
      </w:r>
      <w:r w:rsidRPr="0003575F">
        <w:rPr>
          <w:rFonts w:ascii="Arial" w:hAnsi="Arial"/>
          <w:b/>
          <w:sz w:val="20"/>
        </w:rPr>
        <w:t xml:space="preserve">the needs of the </w:t>
      </w:r>
      <w:r>
        <w:rPr>
          <w:rFonts w:ascii="Arial" w:hAnsi="Arial"/>
          <w:b/>
          <w:sz w:val="20"/>
        </w:rPr>
        <w:t>‘older’</w:t>
      </w:r>
      <w:r w:rsidRPr="0003575F">
        <w:rPr>
          <w:rFonts w:ascii="Arial" w:hAnsi="Arial"/>
          <w:b/>
          <w:sz w:val="20"/>
        </w:rPr>
        <w:t xml:space="preserve"> cohort of opioid users.</w:t>
      </w:r>
      <w:r>
        <w:rPr>
          <w:rFonts w:ascii="Arial" w:hAnsi="Arial"/>
          <w:sz w:val="20"/>
        </w:rPr>
        <w:t xml:space="preserve">  </w:t>
      </w:r>
      <w:r w:rsidRPr="007B5186">
        <w:rPr>
          <w:rFonts w:ascii="Arial" w:hAnsi="Arial"/>
          <w:sz w:val="20"/>
        </w:rPr>
        <w:t xml:space="preserve">Current drug policies are predominately focused on the needs of the known and younger profile of people who use drugs, and it is inevitable that existing services need to adapt to the ageing population.  Given that older people who use opioids are likely to form the majority of the drug treatment population in many countries in the near future including </w:t>
      </w:r>
      <w:r w:rsidRPr="00181370">
        <w:rPr>
          <w:rFonts w:ascii="Arial" w:hAnsi="Arial"/>
          <w:sz w:val="20"/>
        </w:rPr>
        <w:t>Australia, Canada, Denmark</w:t>
      </w:r>
      <w:r w:rsidRPr="007B5186">
        <w:rPr>
          <w:rFonts w:ascii="Arial" w:hAnsi="Arial"/>
          <w:sz w:val="20"/>
        </w:rPr>
        <w:t xml:space="preserve">, </w:t>
      </w:r>
      <w:r w:rsidRPr="00181370">
        <w:rPr>
          <w:rFonts w:ascii="Arial" w:hAnsi="Arial"/>
          <w:sz w:val="20"/>
        </w:rPr>
        <w:t>Germany</w:t>
      </w:r>
      <w:r w:rsidRPr="007B5186">
        <w:rPr>
          <w:rFonts w:ascii="Arial" w:hAnsi="Arial"/>
          <w:sz w:val="20"/>
        </w:rPr>
        <w:t xml:space="preserve">, </w:t>
      </w:r>
      <w:r w:rsidRPr="00181370">
        <w:rPr>
          <w:rFonts w:ascii="Arial" w:hAnsi="Arial"/>
          <w:sz w:val="20"/>
        </w:rPr>
        <w:t xml:space="preserve"> Ireland</w:t>
      </w:r>
      <w:r w:rsidRPr="007B5186">
        <w:rPr>
          <w:rFonts w:ascii="Arial" w:hAnsi="Arial"/>
          <w:sz w:val="20"/>
        </w:rPr>
        <w:t>,</w:t>
      </w:r>
      <w:r w:rsidRPr="00181370">
        <w:rPr>
          <w:rFonts w:ascii="Arial" w:hAnsi="Arial"/>
          <w:sz w:val="20"/>
        </w:rPr>
        <w:t xml:space="preserve"> Netherlands</w:t>
      </w:r>
      <w:r w:rsidRPr="007B5186">
        <w:rPr>
          <w:rFonts w:ascii="Arial" w:hAnsi="Arial"/>
          <w:sz w:val="20"/>
        </w:rPr>
        <w:t>, the</w:t>
      </w:r>
      <w:r w:rsidRPr="00181370">
        <w:rPr>
          <w:rFonts w:ascii="Arial" w:hAnsi="Arial"/>
          <w:sz w:val="20"/>
        </w:rPr>
        <w:t xml:space="preserve"> United Kingdom</w:t>
      </w:r>
      <w:r w:rsidRPr="007B5186">
        <w:rPr>
          <w:rFonts w:ascii="Arial" w:hAnsi="Arial"/>
          <w:sz w:val="20"/>
        </w:rPr>
        <w:t>,</w:t>
      </w:r>
      <w:r w:rsidRPr="00181370">
        <w:rPr>
          <w:rFonts w:ascii="Arial" w:hAnsi="Arial"/>
          <w:sz w:val="20"/>
        </w:rPr>
        <w:t xml:space="preserve"> and the United States</w:t>
      </w:r>
      <w:r>
        <w:rPr>
          <w:rFonts w:ascii="Arial" w:hAnsi="Arial"/>
          <w:sz w:val="20"/>
        </w:rPr>
        <w:t xml:space="preserve"> for example,</w:t>
      </w:r>
      <w:r w:rsidRPr="007B5186">
        <w:rPr>
          <w:rFonts w:ascii="Arial" w:hAnsi="Arial"/>
          <w:sz w:val="20"/>
        </w:rPr>
        <w:t xml:space="preserve"> careful planning is needed to meet their complex health and social needs.  </w:t>
      </w:r>
    </w:p>
    <w:p w:rsidR="003B0DEE" w:rsidRPr="001C2E99" w:rsidRDefault="003B0DEE" w:rsidP="000D5D90">
      <w:pPr>
        <w:numPr>
          <w:ilvl w:val="0"/>
          <w:numId w:val="9"/>
        </w:numPr>
        <w:spacing w:before="120" w:beforeAutospacing="1" w:after="120" w:afterAutospacing="1" w:line="360" w:lineRule="auto"/>
        <w:jc w:val="left"/>
        <w:rPr>
          <w:rFonts w:ascii="Arial" w:hAnsi="Arial"/>
          <w:sz w:val="20"/>
        </w:rPr>
      </w:pPr>
      <w:r w:rsidRPr="00ED75D7">
        <w:rPr>
          <w:rFonts w:ascii="Arial" w:hAnsi="Arial"/>
          <w:b/>
          <w:sz w:val="20"/>
        </w:rPr>
        <w:t xml:space="preserve">Despite declining opioid treatment figures, opioid use should remain a high priority for policymakers and treatment practitioners alike. </w:t>
      </w:r>
      <w:r w:rsidRPr="001C2E99">
        <w:rPr>
          <w:rFonts w:ascii="Arial" w:hAnsi="Arial"/>
          <w:sz w:val="20"/>
        </w:rPr>
        <w:t xml:space="preserve"> The changing composition of this opioid treatment cohort implies a wide range of services will be required into the future and integrated approaches across addiction and health care services would be beneficial in identifying and treating addiction problems among older people who use drugs.  </w:t>
      </w:r>
    </w:p>
    <w:p w:rsidR="003B0DEE" w:rsidRDefault="003B0DEE" w:rsidP="000D5D90">
      <w:pPr>
        <w:numPr>
          <w:ilvl w:val="0"/>
          <w:numId w:val="9"/>
        </w:numPr>
        <w:spacing w:before="120" w:after="120" w:line="360" w:lineRule="auto"/>
        <w:jc w:val="left"/>
        <w:rPr>
          <w:rFonts w:ascii="Arial" w:hAnsi="Arial"/>
          <w:sz w:val="20"/>
        </w:rPr>
      </w:pPr>
      <w:r w:rsidRPr="0003575F">
        <w:rPr>
          <w:rFonts w:ascii="Arial" w:hAnsi="Arial"/>
          <w:b/>
          <w:sz w:val="20"/>
        </w:rPr>
        <w:t xml:space="preserve">Adapt existing treatment service provision to cater for the ageing cohort. </w:t>
      </w:r>
      <w:r>
        <w:rPr>
          <w:rFonts w:ascii="Arial" w:hAnsi="Arial"/>
          <w:b/>
          <w:sz w:val="20"/>
        </w:rPr>
        <w:t xml:space="preserve"> </w:t>
      </w:r>
      <w:r w:rsidRPr="003E1B3B">
        <w:rPr>
          <w:rFonts w:ascii="Arial" w:hAnsi="Arial"/>
          <w:sz w:val="20"/>
        </w:rPr>
        <w:t xml:space="preserve">Treatment systems must prepare for the growing population of ageing adults, so they are equipped to meet the needs of this ageing cohort of opioid users with increasing and complex drug, health and social needs.  Currently, specialised treatment programmes for older </w:t>
      </w:r>
      <w:r>
        <w:rPr>
          <w:rFonts w:ascii="Arial" w:hAnsi="Arial"/>
          <w:sz w:val="20"/>
        </w:rPr>
        <w:t xml:space="preserve">people who </w:t>
      </w:r>
      <w:r w:rsidRPr="003E1B3B">
        <w:rPr>
          <w:rFonts w:ascii="Arial" w:hAnsi="Arial"/>
          <w:sz w:val="20"/>
        </w:rPr>
        <w:t>use</w:t>
      </w:r>
      <w:r>
        <w:rPr>
          <w:rFonts w:ascii="Arial" w:hAnsi="Arial"/>
          <w:sz w:val="20"/>
        </w:rPr>
        <w:t xml:space="preserve"> drug</w:t>
      </w:r>
      <w:r w:rsidRPr="003E1B3B">
        <w:rPr>
          <w:rFonts w:ascii="Arial" w:hAnsi="Arial"/>
          <w:sz w:val="20"/>
        </w:rPr>
        <w:t xml:space="preserve">s </w:t>
      </w:r>
      <w:r>
        <w:rPr>
          <w:rFonts w:ascii="Arial" w:hAnsi="Arial"/>
          <w:sz w:val="20"/>
        </w:rPr>
        <w:t xml:space="preserve">are rare.  Age specific service provision is </w:t>
      </w:r>
      <w:r w:rsidRPr="003E1B3B">
        <w:rPr>
          <w:rFonts w:ascii="Arial" w:hAnsi="Arial"/>
          <w:sz w:val="20"/>
        </w:rPr>
        <w:t>an area requiring consideration and development.</w:t>
      </w:r>
      <w:r>
        <w:rPr>
          <w:rFonts w:ascii="Arial" w:hAnsi="Arial"/>
          <w:sz w:val="20"/>
        </w:rPr>
        <w:t xml:space="preserve">  The WHO Global strategy and action plan on ageing and health </w:t>
      </w:r>
      <w:r>
        <w:rPr>
          <w:rFonts w:ascii="Arial" w:hAnsi="Arial"/>
          <w:sz w:val="20"/>
        </w:rPr>
        <w:lastRenderedPageBreak/>
        <w:t xml:space="preserve">provides a useful and relevant model </w:t>
      </w:r>
      <w:r w:rsidRPr="0062594C">
        <w:rPr>
          <w:rFonts w:ascii="Arial" w:hAnsi="Arial" w:cs="Arial"/>
          <w:noProof/>
          <w:sz w:val="20"/>
        </w:rPr>
        <w:t>(World Health Organization 2017)</w:t>
      </w:r>
      <w:r>
        <w:rPr>
          <w:rFonts w:ascii="Arial" w:hAnsi="Arial"/>
          <w:sz w:val="20"/>
        </w:rPr>
        <w:t>, Key priorities for this strategy are particularly relevant to the ageing cohort who use opioid drugs, and include the alignment of health systems to the needs of older people so they receive the care they need, where and when they need it, and also ensuring the human resources necessary for integrated care.  As a</w:t>
      </w:r>
      <w:r w:rsidRPr="003C65DE">
        <w:rPr>
          <w:rFonts w:ascii="Arial" w:hAnsi="Arial"/>
          <w:sz w:val="20"/>
        </w:rPr>
        <w:t xml:space="preserve">n integrated approach </w:t>
      </w:r>
      <w:r>
        <w:rPr>
          <w:rFonts w:ascii="Arial" w:hAnsi="Arial"/>
          <w:sz w:val="20"/>
        </w:rPr>
        <w:t xml:space="preserve">is </w:t>
      </w:r>
      <w:r w:rsidRPr="003C65DE">
        <w:rPr>
          <w:rFonts w:ascii="Arial" w:hAnsi="Arial"/>
          <w:sz w:val="20"/>
        </w:rPr>
        <w:t>superior to single or uncoordinated interventions,</w:t>
      </w:r>
      <w:r>
        <w:rPr>
          <w:rFonts w:ascii="Arial" w:hAnsi="Arial"/>
          <w:sz w:val="20"/>
        </w:rPr>
        <w:t xml:space="preserve"> the </w:t>
      </w:r>
      <w:r w:rsidRPr="003C65DE">
        <w:rPr>
          <w:rFonts w:ascii="Arial" w:hAnsi="Arial"/>
          <w:sz w:val="20"/>
        </w:rPr>
        <w:t>integration of opioid addiction treatment into general practice as a chronic care model</w:t>
      </w:r>
      <w:r>
        <w:rPr>
          <w:rFonts w:ascii="Arial" w:hAnsi="Arial"/>
          <w:sz w:val="20"/>
        </w:rPr>
        <w:t xml:space="preserve"> should be considered to </w:t>
      </w:r>
      <w:r w:rsidRPr="003C65DE">
        <w:rPr>
          <w:rFonts w:ascii="Arial" w:hAnsi="Arial"/>
          <w:sz w:val="20"/>
        </w:rPr>
        <w:t>systematic</w:t>
      </w:r>
      <w:r>
        <w:rPr>
          <w:rFonts w:ascii="Arial" w:hAnsi="Arial"/>
          <w:sz w:val="20"/>
        </w:rPr>
        <w:t xml:space="preserve">ally </w:t>
      </w:r>
      <w:r w:rsidRPr="003C65DE">
        <w:rPr>
          <w:rFonts w:ascii="Arial" w:hAnsi="Arial"/>
          <w:sz w:val="20"/>
        </w:rPr>
        <w:t>coordinat</w:t>
      </w:r>
      <w:r>
        <w:rPr>
          <w:rFonts w:ascii="Arial" w:hAnsi="Arial"/>
          <w:sz w:val="20"/>
        </w:rPr>
        <w:t xml:space="preserve">e </w:t>
      </w:r>
      <w:r w:rsidRPr="003C65DE">
        <w:rPr>
          <w:rFonts w:ascii="Arial" w:hAnsi="Arial"/>
          <w:sz w:val="20"/>
        </w:rPr>
        <w:t>the totality of a person’s health care needs.</w:t>
      </w:r>
      <w:r>
        <w:rPr>
          <w:rFonts w:ascii="Arial" w:hAnsi="Arial"/>
          <w:sz w:val="20"/>
        </w:rPr>
        <w:t xml:space="preserve"> </w:t>
      </w:r>
    </w:p>
    <w:p w:rsidR="003B0DEE" w:rsidRPr="003C65DE" w:rsidRDefault="003B0DEE" w:rsidP="000D5D90">
      <w:pPr>
        <w:numPr>
          <w:ilvl w:val="0"/>
          <w:numId w:val="9"/>
        </w:numPr>
        <w:spacing w:before="120" w:after="120" w:line="360" w:lineRule="auto"/>
        <w:jc w:val="left"/>
        <w:rPr>
          <w:rFonts w:ascii="Arial" w:hAnsi="Arial"/>
          <w:sz w:val="20"/>
        </w:rPr>
      </w:pPr>
      <w:r>
        <w:rPr>
          <w:rFonts w:ascii="Arial" w:hAnsi="Arial"/>
          <w:b/>
          <w:sz w:val="20"/>
        </w:rPr>
        <w:t>Undertake</w:t>
      </w:r>
      <w:r w:rsidRPr="0003575F">
        <w:rPr>
          <w:rFonts w:ascii="Arial" w:hAnsi="Arial"/>
          <w:b/>
          <w:sz w:val="20"/>
        </w:rPr>
        <w:t xml:space="preserve"> a</w:t>
      </w:r>
      <w:r>
        <w:rPr>
          <w:rFonts w:ascii="Arial" w:hAnsi="Arial"/>
          <w:b/>
          <w:sz w:val="20"/>
        </w:rPr>
        <w:t xml:space="preserve">n evaluation of </w:t>
      </w:r>
      <w:r w:rsidRPr="0003575F">
        <w:rPr>
          <w:rFonts w:ascii="Arial" w:hAnsi="Arial"/>
          <w:b/>
          <w:sz w:val="20"/>
        </w:rPr>
        <w:t>treatment retention</w:t>
      </w:r>
      <w:r>
        <w:rPr>
          <w:rFonts w:ascii="Arial" w:hAnsi="Arial"/>
          <w:b/>
          <w:sz w:val="20"/>
        </w:rPr>
        <w:t xml:space="preserve"> with an additional focus on ageing</w:t>
      </w:r>
      <w:r w:rsidRPr="0003575F">
        <w:rPr>
          <w:rFonts w:ascii="Arial" w:hAnsi="Arial"/>
          <w:b/>
          <w:sz w:val="20"/>
        </w:rPr>
        <w:t xml:space="preserve">. </w:t>
      </w:r>
      <w:r>
        <w:rPr>
          <w:rFonts w:ascii="Arial" w:hAnsi="Arial"/>
          <w:sz w:val="20"/>
        </w:rPr>
        <w:t xml:space="preserve"> </w:t>
      </w:r>
      <w:r w:rsidRPr="003C65DE">
        <w:rPr>
          <w:rFonts w:ascii="Arial" w:hAnsi="Arial"/>
          <w:sz w:val="20"/>
        </w:rPr>
        <w:t xml:space="preserve">Rates of opioid treatment dropout were high.  Careful consideration and review of treatment retention rates is required.  In order to counteract dropout, treatment providers must consider not only who is at high-risk of dropout, but also when dropout is most likely to occur.  More attention should be given to creative treatment retention and re-engagement strategies, and the study findings can inform treatment provision and assist providers to boost retention.  In addition, individual treatment providers should utilise both their NDTRS admission and discharge data to provide a more complete evidence base to inform service management and service improvement.  Specifically, in Ireland, the Health Service Executive which is the main provider/ funder of addiction treatment services should consider expanding key performance indicators to include measurements of treatment engagement and retention.  A review </w:t>
      </w:r>
      <w:r>
        <w:rPr>
          <w:rFonts w:ascii="Arial" w:hAnsi="Arial"/>
          <w:sz w:val="20"/>
        </w:rPr>
        <w:t xml:space="preserve">of </w:t>
      </w:r>
      <w:r w:rsidRPr="003C65DE">
        <w:rPr>
          <w:rFonts w:ascii="Arial" w:hAnsi="Arial"/>
          <w:sz w:val="20"/>
        </w:rPr>
        <w:t xml:space="preserve">treatment options, treatment progression and consideration </w:t>
      </w:r>
      <w:r>
        <w:rPr>
          <w:rFonts w:ascii="Arial" w:hAnsi="Arial"/>
          <w:sz w:val="20"/>
        </w:rPr>
        <w:t xml:space="preserve">of </w:t>
      </w:r>
      <w:r w:rsidRPr="003C65DE">
        <w:rPr>
          <w:rFonts w:ascii="Arial" w:hAnsi="Arial"/>
          <w:sz w:val="20"/>
        </w:rPr>
        <w:t>integrated care model</w:t>
      </w:r>
      <w:r>
        <w:rPr>
          <w:rFonts w:ascii="Arial" w:hAnsi="Arial"/>
          <w:sz w:val="20"/>
        </w:rPr>
        <w:t>s</w:t>
      </w:r>
      <w:r w:rsidRPr="003C65DE">
        <w:rPr>
          <w:rFonts w:ascii="Arial" w:hAnsi="Arial"/>
          <w:sz w:val="20"/>
        </w:rPr>
        <w:t xml:space="preserve"> incorporating primary care and addiction care require consideration.  </w:t>
      </w:r>
      <w:r>
        <w:rPr>
          <w:rFonts w:ascii="Arial" w:hAnsi="Arial"/>
          <w:sz w:val="20"/>
        </w:rPr>
        <w:t xml:space="preserve">Given the evidence from the literature and the finding that a </w:t>
      </w:r>
      <w:r w:rsidRPr="003C65DE">
        <w:rPr>
          <w:rFonts w:ascii="Arial" w:hAnsi="Arial"/>
          <w:sz w:val="20"/>
        </w:rPr>
        <w:t>substantial proportion of first-time treatment entries receiv</w:t>
      </w:r>
      <w:r>
        <w:rPr>
          <w:rFonts w:ascii="Arial" w:hAnsi="Arial"/>
          <w:sz w:val="20"/>
        </w:rPr>
        <w:t>ed</w:t>
      </w:r>
      <w:r w:rsidRPr="003C65DE">
        <w:rPr>
          <w:rFonts w:ascii="Arial" w:hAnsi="Arial"/>
          <w:sz w:val="20"/>
        </w:rPr>
        <w:t xml:space="preserve"> psychosocial treatment interventions in isolation as t</w:t>
      </w:r>
      <w:r>
        <w:rPr>
          <w:rFonts w:ascii="Arial" w:hAnsi="Arial"/>
          <w:sz w:val="20"/>
        </w:rPr>
        <w:t>reatment for problem opioid use, c</w:t>
      </w:r>
      <w:r w:rsidRPr="003C65DE">
        <w:rPr>
          <w:rFonts w:ascii="Arial" w:hAnsi="Arial"/>
          <w:sz w:val="20"/>
        </w:rPr>
        <w:t xml:space="preserve">onsideration is required at both policy and practice level regarding the provision of </w:t>
      </w:r>
      <w:r>
        <w:rPr>
          <w:rFonts w:ascii="Arial" w:hAnsi="Arial"/>
          <w:sz w:val="20"/>
        </w:rPr>
        <w:t xml:space="preserve">these </w:t>
      </w:r>
      <w:r w:rsidRPr="003C65DE">
        <w:rPr>
          <w:rFonts w:ascii="Arial" w:hAnsi="Arial"/>
          <w:sz w:val="20"/>
        </w:rPr>
        <w:t>interventions in isolation.</w:t>
      </w:r>
      <w:r w:rsidRPr="00833165">
        <w:t xml:space="preserve">  </w:t>
      </w:r>
    </w:p>
    <w:p w:rsidR="003B0DEE" w:rsidRPr="00192CF7" w:rsidRDefault="003B0DEE" w:rsidP="000D5D90">
      <w:pPr>
        <w:numPr>
          <w:ilvl w:val="0"/>
          <w:numId w:val="9"/>
        </w:numPr>
        <w:spacing w:before="120" w:after="120" w:line="360" w:lineRule="auto"/>
        <w:jc w:val="left"/>
        <w:rPr>
          <w:rFonts w:ascii="Arial" w:hAnsi="Arial"/>
          <w:sz w:val="20"/>
        </w:rPr>
      </w:pPr>
      <w:r w:rsidRPr="0003575F">
        <w:rPr>
          <w:rFonts w:ascii="Arial" w:hAnsi="Arial"/>
          <w:b/>
          <w:sz w:val="20"/>
        </w:rPr>
        <w:t>Improve and enhance treatment outcomes</w:t>
      </w:r>
      <w:r>
        <w:rPr>
          <w:rFonts w:ascii="Arial" w:hAnsi="Arial"/>
          <w:b/>
          <w:sz w:val="20"/>
        </w:rPr>
        <w:t xml:space="preserve"> based on known factors arising from this study and the international literature</w:t>
      </w:r>
      <w:r w:rsidRPr="0003575F">
        <w:rPr>
          <w:rFonts w:ascii="Arial" w:hAnsi="Arial"/>
          <w:b/>
          <w:sz w:val="20"/>
        </w:rPr>
        <w:t>.</w:t>
      </w:r>
      <w:r>
        <w:rPr>
          <w:rFonts w:ascii="Arial" w:hAnsi="Arial"/>
          <w:sz w:val="20"/>
        </w:rPr>
        <w:t xml:space="preserve">  </w:t>
      </w:r>
      <w:r w:rsidRPr="00192CF7">
        <w:rPr>
          <w:rFonts w:ascii="Arial" w:hAnsi="Arial"/>
          <w:sz w:val="20"/>
        </w:rPr>
        <w:t>The study identified several other factors which present prospects to enhance treatment outcomes through policy and practice strategies</w:t>
      </w:r>
      <w:r>
        <w:rPr>
          <w:rFonts w:ascii="Arial" w:hAnsi="Arial"/>
          <w:sz w:val="20"/>
        </w:rPr>
        <w:t>.  Recommendations based on these findings</w:t>
      </w:r>
      <w:r w:rsidRPr="00192CF7">
        <w:rPr>
          <w:rFonts w:ascii="Arial" w:hAnsi="Arial"/>
          <w:sz w:val="20"/>
        </w:rPr>
        <w:t xml:space="preserve"> includ</w:t>
      </w:r>
      <w:r>
        <w:rPr>
          <w:rFonts w:ascii="Arial" w:hAnsi="Arial"/>
          <w:sz w:val="20"/>
        </w:rPr>
        <w:t>e</w:t>
      </w:r>
      <w:r w:rsidRPr="00192CF7">
        <w:rPr>
          <w:rFonts w:ascii="Arial" w:hAnsi="Arial"/>
          <w:sz w:val="20"/>
        </w:rPr>
        <w:t xml:space="preserve">; </w:t>
      </w:r>
    </w:p>
    <w:p w:rsidR="003B0DEE" w:rsidRDefault="003B0DEE" w:rsidP="003B0DEE">
      <w:pPr>
        <w:pStyle w:val="BodyText"/>
        <w:numPr>
          <w:ilvl w:val="1"/>
          <w:numId w:val="21"/>
        </w:numPr>
      </w:pPr>
      <w:r>
        <w:t xml:space="preserve">improve and facilitate participation by </w:t>
      </w:r>
      <w:r w:rsidRPr="00EC0EA4">
        <w:t xml:space="preserve">family </w:t>
      </w:r>
      <w:r>
        <w:t xml:space="preserve">members </w:t>
      </w:r>
      <w:r w:rsidRPr="00EC0EA4">
        <w:t xml:space="preserve">and peers in </w:t>
      </w:r>
      <w:r>
        <w:t xml:space="preserve">the </w:t>
      </w:r>
      <w:r w:rsidRPr="00EC0EA4">
        <w:t>treatment</w:t>
      </w:r>
      <w:r>
        <w:t xml:space="preserve"> process</w:t>
      </w:r>
      <w:r w:rsidRPr="00EC0EA4">
        <w:t xml:space="preserve">, </w:t>
      </w:r>
    </w:p>
    <w:p w:rsidR="003B0DEE" w:rsidRDefault="003B0DEE" w:rsidP="003B0DEE">
      <w:pPr>
        <w:pStyle w:val="BodyText"/>
        <w:numPr>
          <w:ilvl w:val="1"/>
          <w:numId w:val="21"/>
        </w:numPr>
      </w:pPr>
      <w:r>
        <w:t xml:space="preserve">improve the level of support services aimed at </w:t>
      </w:r>
      <w:r w:rsidRPr="00EC0EA4">
        <w:t xml:space="preserve">addressing early school leaving and </w:t>
      </w:r>
      <w:r>
        <w:t xml:space="preserve">increase </w:t>
      </w:r>
      <w:r w:rsidRPr="00EC0EA4">
        <w:t>support</w:t>
      </w:r>
      <w:r>
        <w:t xml:space="preserve">s for </w:t>
      </w:r>
      <w:r w:rsidRPr="00EC0EA4">
        <w:t xml:space="preserve">young people </w:t>
      </w:r>
      <w:r>
        <w:t xml:space="preserve">who </w:t>
      </w:r>
      <w:r w:rsidRPr="00EC0EA4">
        <w:t>encount</w:t>
      </w:r>
      <w:r>
        <w:t>er</w:t>
      </w:r>
      <w:r w:rsidRPr="00EC0EA4">
        <w:t xml:space="preserve"> difficulties in school, </w:t>
      </w:r>
    </w:p>
    <w:p w:rsidR="003B0DEE" w:rsidRDefault="003B0DEE" w:rsidP="003B0DEE">
      <w:pPr>
        <w:pStyle w:val="BodyText"/>
        <w:numPr>
          <w:ilvl w:val="1"/>
          <w:numId w:val="21"/>
        </w:numPr>
      </w:pPr>
      <w:r>
        <w:t xml:space="preserve">improve access to </w:t>
      </w:r>
      <w:r w:rsidRPr="00EC0EA4">
        <w:t>employment, training opportunities and supported progression options for recovering drug users</w:t>
      </w:r>
      <w:r>
        <w:t xml:space="preserve">, </w:t>
      </w:r>
    </w:p>
    <w:p w:rsidR="003B0DEE" w:rsidRDefault="003B0DEE" w:rsidP="003B0DEE">
      <w:pPr>
        <w:pStyle w:val="BodyText"/>
        <w:numPr>
          <w:ilvl w:val="1"/>
          <w:numId w:val="21"/>
        </w:numPr>
      </w:pPr>
      <w:proofErr w:type="gramStart"/>
      <w:r>
        <w:t>improve</w:t>
      </w:r>
      <w:proofErr w:type="gramEnd"/>
      <w:r>
        <w:t xml:space="preserve"> prevention and awareness programmes aimed at minimising harm and specifically address r</w:t>
      </w:r>
      <w:r w:rsidRPr="00833165">
        <w:t>isk factors relating to frequency of opioid use and injecting</w:t>
      </w:r>
      <w:r>
        <w:t>.  Develop improved</w:t>
      </w:r>
      <w:r w:rsidRPr="00833165">
        <w:t xml:space="preserve"> targeted interventions aimed at minimising </w:t>
      </w:r>
      <w:r>
        <w:t xml:space="preserve">such </w:t>
      </w:r>
      <w:r w:rsidRPr="00833165">
        <w:t>harm</w:t>
      </w:r>
      <w:r>
        <w:t>s.</w:t>
      </w:r>
      <w:r w:rsidRPr="00833165">
        <w:t xml:space="preserve"> </w:t>
      </w:r>
    </w:p>
    <w:p w:rsidR="003B0DEE" w:rsidRDefault="003B0DEE" w:rsidP="003B0DEE">
      <w:pPr>
        <w:pStyle w:val="BodyText"/>
        <w:numPr>
          <w:ilvl w:val="1"/>
          <w:numId w:val="21"/>
        </w:numPr>
      </w:pPr>
      <w:proofErr w:type="gramStart"/>
      <w:r>
        <w:t>proactively</w:t>
      </w:r>
      <w:proofErr w:type="gramEnd"/>
      <w:r>
        <w:t xml:space="preserve"> create entry points to treatment which r</w:t>
      </w:r>
      <w:r w:rsidRPr="00833165">
        <w:t>educ</w:t>
      </w:r>
      <w:r>
        <w:t>e</w:t>
      </w:r>
      <w:r w:rsidRPr="00833165">
        <w:t xml:space="preserve"> the prolonged period of opioid use </w:t>
      </w:r>
      <w:r>
        <w:t>prior to</w:t>
      </w:r>
      <w:r w:rsidRPr="00833165">
        <w:t xml:space="preserve"> first treatment admission</w:t>
      </w:r>
      <w:r>
        <w:t>.  Increase access and e</w:t>
      </w:r>
      <w:r w:rsidRPr="00833165">
        <w:t xml:space="preserve">arlier </w:t>
      </w:r>
      <w:r w:rsidRPr="00833165">
        <w:lastRenderedPageBreak/>
        <w:t>engagement with treatment services</w:t>
      </w:r>
      <w:r>
        <w:t xml:space="preserve"> through the proactive creation of entry points to treatment</w:t>
      </w:r>
      <w:r w:rsidRPr="00833165">
        <w:t>, increas</w:t>
      </w:r>
      <w:r>
        <w:t xml:space="preserve">ing </w:t>
      </w:r>
      <w:r w:rsidRPr="00833165">
        <w:t>emphasis on treatment among community and harm reduction services</w:t>
      </w:r>
      <w:r>
        <w:t xml:space="preserve"> and future s</w:t>
      </w:r>
      <w:r w:rsidRPr="00833165">
        <w:t>upervised injecting facilities</w:t>
      </w:r>
      <w:r>
        <w:t>.</w:t>
      </w:r>
      <w:r w:rsidRPr="00833165">
        <w:t xml:space="preserve"> </w:t>
      </w:r>
    </w:p>
    <w:p w:rsidR="003B0DEE" w:rsidRPr="00EC0EA4" w:rsidRDefault="003B0DEE" w:rsidP="000D5D90">
      <w:pPr>
        <w:numPr>
          <w:ilvl w:val="0"/>
          <w:numId w:val="9"/>
        </w:numPr>
        <w:spacing w:before="120" w:after="120" w:line="360" w:lineRule="auto"/>
        <w:jc w:val="left"/>
        <w:rPr>
          <w:rFonts w:ascii="Arial" w:hAnsi="Arial"/>
          <w:sz w:val="20"/>
        </w:rPr>
      </w:pPr>
      <w:r w:rsidRPr="0003575F">
        <w:rPr>
          <w:rFonts w:ascii="Arial" w:hAnsi="Arial"/>
          <w:b/>
          <w:sz w:val="20"/>
        </w:rPr>
        <w:t xml:space="preserve">Develop and provide staff training to ensure a </w:t>
      </w:r>
      <w:r>
        <w:rPr>
          <w:rFonts w:ascii="Arial" w:hAnsi="Arial"/>
          <w:b/>
          <w:sz w:val="20"/>
        </w:rPr>
        <w:t xml:space="preserve">skilled </w:t>
      </w:r>
      <w:r w:rsidRPr="0003575F">
        <w:rPr>
          <w:rFonts w:ascii="Arial" w:hAnsi="Arial"/>
          <w:b/>
          <w:sz w:val="20"/>
        </w:rPr>
        <w:t xml:space="preserve">workforce competent in identifying and responding to the needs of </w:t>
      </w:r>
      <w:r>
        <w:rPr>
          <w:rFonts w:ascii="Arial" w:hAnsi="Arial"/>
          <w:b/>
          <w:sz w:val="20"/>
        </w:rPr>
        <w:t>the ageing cohort</w:t>
      </w:r>
      <w:r w:rsidRPr="0003575F">
        <w:rPr>
          <w:rFonts w:ascii="Arial" w:hAnsi="Arial"/>
          <w:b/>
          <w:sz w:val="20"/>
        </w:rPr>
        <w:t>.</w:t>
      </w:r>
      <w:r>
        <w:rPr>
          <w:rFonts w:ascii="Arial" w:hAnsi="Arial"/>
          <w:sz w:val="20"/>
        </w:rPr>
        <w:t xml:space="preserve">  </w:t>
      </w:r>
      <w:r w:rsidRPr="00EC0EA4">
        <w:rPr>
          <w:rFonts w:ascii="Arial" w:hAnsi="Arial"/>
          <w:sz w:val="20"/>
        </w:rPr>
        <w:t xml:space="preserve">Addiction and other healthcare services may benefit from awareness programmes relating to this growing </w:t>
      </w:r>
      <w:r>
        <w:rPr>
          <w:rFonts w:ascii="Arial" w:hAnsi="Arial"/>
          <w:sz w:val="20"/>
        </w:rPr>
        <w:t xml:space="preserve">ageing </w:t>
      </w:r>
      <w:r w:rsidRPr="00EC0EA4">
        <w:rPr>
          <w:rFonts w:ascii="Arial" w:hAnsi="Arial"/>
          <w:sz w:val="20"/>
        </w:rPr>
        <w:t>population.  Other valuable education programmes for health and social care providers include the screening, assessment and diagnosis of problem substance use in ageing populations</w:t>
      </w:r>
      <w:r>
        <w:rPr>
          <w:rFonts w:ascii="Arial" w:hAnsi="Arial"/>
          <w:sz w:val="20"/>
        </w:rPr>
        <w:t xml:space="preserve">, along </w:t>
      </w:r>
      <w:r w:rsidRPr="002308BF">
        <w:rPr>
          <w:rFonts w:ascii="Arial" w:hAnsi="Arial"/>
          <w:sz w:val="20"/>
        </w:rPr>
        <w:t>with</w:t>
      </w:r>
      <w:r>
        <w:rPr>
          <w:rFonts w:ascii="Arial" w:hAnsi="Arial" w:cs="Arial"/>
          <w:sz w:val="20"/>
        </w:rPr>
        <w:t xml:space="preserve"> wider issues experienced by this population such as stigma and </w:t>
      </w:r>
      <w:r w:rsidRPr="0003575F">
        <w:rPr>
          <w:rFonts w:ascii="Arial" w:hAnsi="Arial" w:cs="Arial"/>
          <w:sz w:val="20"/>
        </w:rPr>
        <w:t>social isolation</w:t>
      </w:r>
      <w:r w:rsidRPr="00EC0EA4">
        <w:rPr>
          <w:rFonts w:ascii="Arial" w:hAnsi="Arial"/>
          <w:sz w:val="20"/>
        </w:rPr>
        <w:t>.  Overdose prevention strategies, HIV and hepatitis C antiviral therapies are particularly important for older people with prolonged use of opioids</w:t>
      </w:r>
      <w:proofErr w:type="gramStart"/>
      <w:r w:rsidRPr="00EC0EA4">
        <w:rPr>
          <w:rFonts w:ascii="Arial" w:hAnsi="Arial"/>
          <w:sz w:val="20"/>
        </w:rPr>
        <w:t xml:space="preserve">. </w:t>
      </w:r>
      <w:proofErr w:type="gramEnd"/>
      <w:r>
        <w:rPr>
          <w:rFonts w:ascii="Arial" w:hAnsi="Arial"/>
          <w:sz w:val="20"/>
        </w:rPr>
        <w:t>The availability of a learning package regarding the needs of older opioid users along with evidence of implementation by addiction and other healthcare services would be beneficial.</w:t>
      </w:r>
    </w:p>
    <w:p w:rsidR="003B0DEE" w:rsidRPr="003E1B3B" w:rsidRDefault="003B0DEE" w:rsidP="000D5D90">
      <w:pPr>
        <w:numPr>
          <w:ilvl w:val="0"/>
          <w:numId w:val="9"/>
        </w:numPr>
        <w:spacing w:before="120" w:after="120" w:line="360" w:lineRule="auto"/>
        <w:jc w:val="left"/>
        <w:rPr>
          <w:rFonts w:ascii="Arial" w:hAnsi="Arial"/>
          <w:sz w:val="20"/>
        </w:rPr>
      </w:pPr>
      <w:r>
        <w:rPr>
          <w:rFonts w:ascii="Arial" w:hAnsi="Arial"/>
          <w:b/>
          <w:sz w:val="20"/>
        </w:rPr>
        <w:t>Develop a joined up approach which i</w:t>
      </w:r>
      <w:r w:rsidRPr="0003575F">
        <w:rPr>
          <w:rFonts w:ascii="Arial" w:hAnsi="Arial"/>
          <w:b/>
          <w:sz w:val="20"/>
        </w:rPr>
        <w:t>mprove</w:t>
      </w:r>
      <w:r>
        <w:rPr>
          <w:rFonts w:ascii="Arial" w:hAnsi="Arial"/>
          <w:b/>
          <w:sz w:val="20"/>
        </w:rPr>
        <w:t>s</w:t>
      </w:r>
      <w:r w:rsidRPr="0003575F">
        <w:rPr>
          <w:rFonts w:ascii="Arial" w:hAnsi="Arial"/>
          <w:b/>
          <w:sz w:val="20"/>
        </w:rPr>
        <w:t xml:space="preserve"> collaboration and coordination efforts across health and social services to identify and respond to the needs of </w:t>
      </w:r>
      <w:r>
        <w:rPr>
          <w:rFonts w:ascii="Arial" w:hAnsi="Arial"/>
          <w:b/>
          <w:sz w:val="20"/>
        </w:rPr>
        <w:t>the ageing cohort</w:t>
      </w:r>
      <w:r w:rsidRPr="0003575F">
        <w:rPr>
          <w:rFonts w:ascii="Arial" w:hAnsi="Arial"/>
          <w:b/>
          <w:sz w:val="20"/>
        </w:rPr>
        <w:t>.</w:t>
      </w:r>
      <w:r>
        <w:rPr>
          <w:rFonts w:ascii="Arial" w:hAnsi="Arial"/>
          <w:sz w:val="20"/>
        </w:rPr>
        <w:t xml:space="preserve">  </w:t>
      </w:r>
      <w:r w:rsidRPr="003E1B3B">
        <w:rPr>
          <w:rFonts w:ascii="Arial" w:hAnsi="Arial"/>
          <w:sz w:val="20"/>
        </w:rPr>
        <w:t xml:space="preserve">Collaboration </w:t>
      </w:r>
      <w:r>
        <w:rPr>
          <w:rFonts w:ascii="Arial" w:hAnsi="Arial"/>
          <w:sz w:val="20"/>
        </w:rPr>
        <w:t xml:space="preserve">and coordination </w:t>
      </w:r>
      <w:r w:rsidRPr="003E1B3B">
        <w:rPr>
          <w:rFonts w:ascii="Arial" w:hAnsi="Arial"/>
          <w:sz w:val="20"/>
        </w:rPr>
        <w:t>across health and social care services along with integrated multidisciplinary approaches may be useful to address medical, psychological and social needs, particularly as many older people may already be in regular contact with services due to health issues</w:t>
      </w:r>
      <w:r>
        <w:rPr>
          <w:rFonts w:ascii="Arial" w:hAnsi="Arial"/>
          <w:sz w:val="20"/>
        </w:rPr>
        <w:t>.</w:t>
      </w:r>
      <w:r w:rsidRPr="003E1B3B">
        <w:rPr>
          <w:rFonts w:ascii="Arial" w:hAnsi="Arial"/>
          <w:sz w:val="20"/>
        </w:rPr>
        <w:t xml:space="preserve"> </w:t>
      </w:r>
      <w:r>
        <w:rPr>
          <w:rFonts w:ascii="Arial" w:hAnsi="Arial"/>
          <w:sz w:val="20"/>
        </w:rPr>
        <w:t xml:space="preserve"> T</w:t>
      </w:r>
      <w:r w:rsidRPr="003E1B3B">
        <w:rPr>
          <w:rFonts w:ascii="Arial" w:hAnsi="Arial"/>
          <w:sz w:val="20"/>
        </w:rPr>
        <w:t>herefore</w:t>
      </w:r>
      <w:r>
        <w:rPr>
          <w:rFonts w:ascii="Arial" w:hAnsi="Arial"/>
          <w:sz w:val="20"/>
        </w:rPr>
        <w:t>,</w:t>
      </w:r>
      <w:r w:rsidRPr="003E1B3B">
        <w:rPr>
          <w:rFonts w:ascii="Arial" w:hAnsi="Arial"/>
          <w:sz w:val="20"/>
        </w:rPr>
        <w:t xml:space="preserve"> these providers </w:t>
      </w:r>
      <w:r>
        <w:rPr>
          <w:rFonts w:ascii="Arial" w:hAnsi="Arial"/>
          <w:sz w:val="20"/>
        </w:rPr>
        <w:t xml:space="preserve">are </w:t>
      </w:r>
      <w:r w:rsidRPr="003E1B3B">
        <w:rPr>
          <w:rFonts w:ascii="Arial" w:hAnsi="Arial"/>
          <w:sz w:val="20"/>
        </w:rPr>
        <w:t xml:space="preserve">well placed to identify substance problems among this population.  </w:t>
      </w:r>
      <w:r w:rsidRPr="00833165">
        <w:t xml:space="preserve"> </w:t>
      </w:r>
      <w:r>
        <w:rPr>
          <w:rFonts w:ascii="Arial" w:hAnsi="Arial"/>
          <w:sz w:val="20"/>
        </w:rPr>
        <w:t xml:space="preserve"> </w:t>
      </w:r>
    </w:p>
    <w:p w:rsidR="003B0DEE" w:rsidRPr="003E1B3B" w:rsidRDefault="003B0DEE" w:rsidP="000D5D90">
      <w:pPr>
        <w:numPr>
          <w:ilvl w:val="0"/>
          <w:numId w:val="9"/>
        </w:numPr>
        <w:spacing w:before="120" w:after="120" w:line="360" w:lineRule="auto"/>
        <w:jc w:val="left"/>
        <w:rPr>
          <w:rFonts w:ascii="Arial" w:hAnsi="Arial"/>
          <w:sz w:val="20"/>
        </w:rPr>
      </w:pPr>
      <w:r w:rsidRPr="0003575F">
        <w:rPr>
          <w:rFonts w:ascii="Arial" w:hAnsi="Arial"/>
          <w:b/>
          <w:sz w:val="20"/>
        </w:rPr>
        <w:t xml:space="preserve">Improve service structures, capacity and supports </w:t>
      </w:r>
      <w:r>
        <w:rPr>
          <w:rFonts w:ascii="Arial" w:hAnsi="Arial"/>
          <w:b/>
          <w:sz w:val="20"/>
        </w:rPr>
        <w:t>following a proactive and planned approach</w:t>
      </w:r>
      <w:r w:rsidRPr="0003575F">
        <w:rPr>
          <w:rFonts w:ascii="Arial" w:hAnsi="Arial"/>
          <w:b/>
          <w:sz w:val="20"/>
        </w:rPr>
        <w:t>.</w:t>
      </w:r>
      <w:r>
        <w:rPr>
          <w:rFonts w:ascii="Arial" w:hAnsi="Arial"/>
          <w:sz w:val="20"/>
        </w:rPr>
        <w:t xml:space="preserve">  </w:t>
      </w:r>
      <w:r w:rsidRPr="003E1B3B">
        <w:rPr>
          <w:rFonts w:ascii="Arial" w:hAnsi="Arial"/>
          <w:sz w:val="20"/>
        </w:rPr>
        <w:t xml:space="preserve">Much work is required to </w:t>
      </w:r>
      <w:r>
        <w:rPr>
          <w:rFonts w:ascii="Arial" w:hAnsi="Arial"/>
          <w:sz w:val="20"/>
        </w:rPr>
        <w:t xml:space="preserve">ensure that existing tools </w:t>
      </w:r>
      <w:proofErr w:type="gramStart"/>
      <w:r w:rsidRPr="003E1B3B">
        <w:rPr>
          <w:rFonts w:ascii="Arial" w:hAnsi="Arial"/>
          <w:sz w:val="20"/>
        </w:rPr>
        <w:t>effectively  measure</w:t>
      </w:r>
      <w:proofErr w:type="gramEnd"/>
      <w:r w:rsidRPr="003E1B3B">
        <w:rPr>
          <w:rFonts w:ascii="Arial" w:hAnsi="Arial"/>
          <w:sz w:val="20"/>
        </w:rPr>
        <w:t xml:space="preserve"> substance use and abuse among older adults, and providing adequate data to measure emerging problems and predicting future trends.  </w:t>
      </w:r>
    </w:p>
    <w:p w:rsidR="003B0DEE" w:rsidRPr="003E1B3B" w:rsidRDefault="003B0DEE" w:rsidP="000D5D90">
      <w:pPr>
        <w:numPr>
          <w:ilvl w:val="0"/>
          <w:numId w:val="9"/>
        </w:numPr>
        <w:spacing w:before="120" w:after="120" w:line="360" w:lineRule="auto"/>
        <w:jc w:val="left"/>
        <w:rPr>
          <w:rFonts w:ascii="Arial" w:hAnsi="Arial"/>
          <w:sz w:val="20"/>
        </w:rPr>
      </w:pPr>
      <w:r>
        <w:rPr>
          <w:rFonts w:ascii="Arial" w:hAnsi="Arial"/>
          <w:b/>
          <w:sz w:val="20"/>
        </w:rPr>
        <w:t xml:space="preserve">Reflect prior to implementing an intervention to ensure that the </w:t>
      </w:r>
      <w:r w:rsidRPr="0003575F">
        <w:rPr>
          <w:rFonts w:ascii="Arial" w:hAnsi="Arial"/>
          <w:b/>
          <w:sz w:val="20"/>
        </w:rPr>
        <w:t xml:space="preserve">intervention </w:t>
      </w:r>
      <w:r>
        <w:rPr>
          <w:rFonts w:ascii="Arial" w:hAnsi="Arial"/>
          <w:b/>
          <w:sz w:val="20"/>
        </w:rPr>
        <w:t>caters for the c</w:t>
      </w:r>
      <w:r w:rsidRPr="0003575F">
        <w:rPr>
          <w:rFonts w:ascii="Arial" w:hAnsi="Arial"/>
          <w:b/>
          <w:sz w:val="20"/>
        </w:rPr>
        <w:t>omplexity of the opioid treatment population.</w:t>
      </w:r>
      <w:r>
        <w:rPr>
          <w:rFonts w:ascii="Arial" w:hAnsi="Arial"/>
          <w:sz w:val="20"/>
        </w:rPr>
        <w:t xml:space="preserve">  </w:t>
      </w:r>
      <w:r w:rsidRPr="003E1B3B">
        <w:rPr>
          <w:rFonts w:ascii="Arial" w:hAnsi="Arial"/>
          <w:sz w:val="20"/>
        </w:rPr>
        <w:t xml:space="preserve">Recognising that there are distinct patient groups can help refine treatment/prevention strategies for those who seek care.  The clinical presentation of each of the five cluster groupings identified in this study have implications for treatment provision and can provide guidance for the development of more effective interventions that will target both the type of opioid used and the unique challenges related to the methods and duration of opioid use.  </w:t>
      </w:r>
    </w:p>
    <w:p w:rsidR="003B0DEE" w:rsidRPr="003E1B3B" w:rsidRDefault="003B0DEE" w:rsidP="000D5D90">
      <w:pPr>
        <w:numPr>
          <w:ilvl w:val="0"/>
          <w:numId w:val="9"/>
        </w:numPr>
        <w:spacing w:before="120" w:after="120" w:line="360" w:lineRule="auto"/>
        <w:jc w:val="left"/>
        <w:rPr>
          <w:rFonts w:ascii="Arial" w:hAnsi="Arial"/>
          <w:sz w:val="20"/>
        </w:rPr>
      </w:pPr>
      <w:r w:rsidRPr="0003575F">
        <w:rPr>
          <w:rFonts w:ascii="Arial" w:hAnsi="Arial"/>
          <w:b/>
          <w:sz w:val="20"/>
        </w:rPr>
        <w:t>Undertake further efforts to address premature mortality among people who use opioid drugs.</w:t>
      </w:r>
      <w:r>
        <w:rPr>
          <w:rFonts w:ascii="Arial" w:hAnsi="Arial"/>
          <w:sz w:val="20"/>
        </w:rPr>
        <w:t xml:space="preserve">  The ageing population of opioid users, high treatment dropout rates and negative health consequences associated with opioid use, indicate that drug related deaths are likely to continue to contribute to premature mortality in Ireland.  Further effort is required to address this issue.    </w:t>
      </w:r>
    </w:p>
    <w:p w:rsidR="003B0DEE" w:rsidRPr="00890348" w:rsidRDefault="003B0DEE" w:rsidP="000D5D90">
      <w:pPr>
        <w:pStyle w:val="Heading3"/>
      </w:pPr>
      <w:bookmarkStart w:id="159" w:name="_Toc15331744"/>
      <w:r>
        <w:lastRenderedPageBreak/>
        <w:t>Additional recommendations for d</w:t>
      </w:r>
      <w:r w:rsidRPr="00890348">
        <w:t>rug treatment surveillance systems</w:t>
      </w:r>
      <w:bookmarkEnd w:id="159"/>
    </w:p>
    <w:p w:rsidR="003B0DEE" w:rsidRPr="00890348" w:rsidRDefault="003B0DEE" w:rsidP="000D5D90">
      <w:pPr>
        <w:pStyle w:val="Heading4"/>
      </w:pPr>
      <w:r w:rsidRPr="00890348">
        <w:t>European Treatment Demand Indicator</w:t>
      </w:r>
    </w:p>
    <w:p w:rsidR="003B0DEE" w:rsidRDefault="003B0DEE" w:rsidP="000D5D90">
      <w:pPr>
        <w:numPr>
          <w:ilvl w:val="0"/>
          <w:numId w:val="10"/>
        </w:numPr>
        <w:spacing w:before="120" w:after="120" w:line="360" w:lineRule="auto"/>
        <w:jc w:val="left"/>
        <w:rPr>
          <w:rFonts w:ascii="Arial" w:hAnsi="Arial"/>
          <w:sz w:val="20"/>
        </w:rPr>
      </w:pPr>
      <w:r w:rsidRPr="00ED75D7">
        <w:rPr>
          <w:rFonts w:ascii="Arial" w:hAnsi="Arial"/>
          <w:b/>
          <w:sz w:val="20"/>
        </w:rPr>
        <w:t>The European Monitoring Centre for Drugs and Drug Addiction should consider the addition of discharge indicators and outcome into the existing European TDI</w:t>
      </w:r>
      <w:r>
        <w:rPr>
          <w:rFonts w:ascii="Arial" w:hAnsi="Arial"/>
          <w:sz w:val="20"/>
        </w:rPr>
        <w:t xml:space="preserve">.  The TDI only collects information on treatment entrants; currently no information is recorded on treatment exit and outcome </w:t>
      </w:r>
      <w:r w:rsidRPr="006327E3">
        <w:rPr>
          <w:rFonts w:ascii="Arial" w:hAnsi="Arial" w:cs="Arial"/>
          <w:noProof/>
          <w:sz w:val="20"/>
        </w:rPr>
        <w:t>(Montanari</w:t>
      </w:r>
      <w:r w:rsidRPr="006327E3">
        <w:rPr>
          <w:rFonts w:ascii="Arial" w:hAnsi="Arial" w:cs="Arial"/>
          <w:i/>
          <w:noProof/>
          <w:sz w:val="20"/>
        </w:rPr>
        <w:t xml:space="preserve"> et al.</w:t>
      </w:r>
      <w:r w:rsidRPr="006327E3">
        <w:rPr>
          <w:rFonts w:ascii="Arial" w:hAnsi="Arial" w:cs="Arial"/>
          <w:noProof/>
          <w:sz w:val="20"/>
        </w:rPr>
        <w:t xml:space="preserve"> 2019)</w:t>
      </w:r>
      <w:r>
        <w:rPr>
          <w:rFonts w:ascii="Arial" w:hAnsi="Arial"/>
          <w:sz w:val="20"/>
        </w:rPr>
        <w:t xml:space="preserve">.  </w:t>
      </w:r>
      <w:r w:rsidRPr="00ED75D7">
        <w:rPr>
          <w:rFonts w:ascii="Arial" w:hAnsi="Arial"/>
          <w:b/>
          <w:sz w:val="20"/>
        </w:rPr>
        <w:t xml:space="preserve">It is recommended that the indicator is expanded to include (a) the number of people exiting treatment, (b) the duration of treatment exposure, and (c) the reason for discharge.  </w:t>
      </w:r>
      <w:r>
        <w:rPr>
          <w:rFonts w:ascii="Arial" w:hAnsi="Arial"/>
          <w:sz w:val="20"/>
        </w:rPr>
        <w:t xml:space="preserve">Although an additional TDI module was introduced in 2015 to record information on the number and profile of people in ongoing treatment, it has only been implemented in seven </w:t>
      </w:r>
      <w:proofErr w:type="gramStart"/>
      <w:r>
        <w:rPr>
          <w:rFonts w:ascii="Arial" w:hAnsi="Arial"/>
          <w:sz w:val="20"/>
        </w:rPr>
        <w:t xml:space="preserve">countries  </w:t>
      </w:r>
      <w:r w:rsidRPr="00154150">
        <w:rPr>
          <w:rFonts w:ascii="Arial" w:hAnsi="Arial" w:cs="Arial"/>
          <w:noProof/>
          <w:sz w:val="20"/>
        </w:rPr>
        <w:t>(</w:t>
      </w:r>
      <w:proofErr w:type="gramEnd"/>
      <w:r w:rsidRPr="00154150">
        <w:rPr>
          <w:rFonts w:ascii="Arial" w:hAnsi="Arial" w:cs="Arial"/>
          <w:noProof/>
          <w:sz w:val="20"/>
        </w:rPr>
        <w:t>Montanari</w:t>
      </w:r>
      <w:r w:rsidRPr="00154150">
        <w:rPr>
          <w:rFonts w:ascii="Arial" w:hAnsi="Arial" w:cs="Arial"/>
          <w:i/>
          <w:noProof/>
          <w:sz w:val="20"/>
        </w:rPr>
        <w:t xml:space="preserve"> et al.</w:t>
      </w:r>
      <w:r w:rsidRPr="00154150">
        <w:rPr>
          <w:rFonts w:ascii="Arial" w:hAnsi="Arial" w:cs="Arial"/>
          <w:noProof/>
          <w:sz w:val="20"/>
        </w:rPr>
        <w:t xml:space="preserve"> 2019)</w:t>
      </w:r>
      <w:r>
        <w:rPr>
          <w:rFonts w:ascii="Arial" w:hAnsi="Arial"/>
          <w:sz w:val="20"/>
        </w:rPr>
        <w:t xml:space="preserve">.  Such additions would afford a greater understanding of capacity to </w:t>
      </w:r>
      <w:proofErr w:type="gramStart"/>
      <w:r>
        <w:rPr>
          <w:rFonts w:ascii="Arial" w:hAnsi="Arial"/>
          <w:sz w:val="20"/>
        </w:rPr>
        <w:t>treat,</w:t>
      </w:r>
      <w:proofErr w:type="gramEnd"/>
      <w:r>
        <w:rPr>
          <w:rFonts w:ascii="Arial" w:hAnsi="Arial"/>
          <w:sz w:val="20"/>
        </w:rPr>
        <w:t xml:space="preserve"> engagement and accordingly treatment demand</w:t>
      </w:r>
      <w:r w:rsidRPr="009229E5">
        <w:rPr>
          <w:rFonts w:ascii="Arial" w:hAnsi="Arial" w:cs="Arial"/>
          <w:sz w:val="20"/>
          <w:szCs w:val="24"/>
        </w:rPr>
        <w:t xml:space="preserve"> and allow for future planning</w:t>
      </w:r>
      <w:r>
        <w:rPr>
          <w:rFonts w:ascii="Arial" w:hAnsi="Arial" w:cs="Arial"/>
          <w:sz w:val="20"/>
          <w:szCs w:val="24"/>
        </w:rPr>
        <w:t xml:space="preserve">.  These data would not only allow for a European overview, but also national overviews facilitating enhanced </w:t>
      </w:r>
      <w:r w:rsidRPr="009229E5">
        <w:rPr>
          <w:rFonts w:ascii="Arial" w:hAnsi="Arial" w:cs="Arial"/>
          <w:sz w:val="20"/>
          <w:szCs w:val="24"/>
        </w:rPr>
        <w:t>future planning of resource allocation and utilisation.</w:t>
      </w:r>
    </w:p>
    <w:p w:rsidR="003B0DEE" w:rsidRPr="00890348" w:rsidRDefault="003B0DEE" w:rsidP="000D5D90">
      <w:pPr>
        <w:pStyle w:val="Heading4"/>
      </w:pPr>
      <w:r w:rsidRPr="00890348">
        <w:t>Irish National Drug Treatment Reporting System</w:t>
      </w:r>
    </w:p>
    <w:p w:rsidR="003B0DEE" w:rsidRDefault="003B0DEE" w:rsidP="000D5D90">
      <w:pPr>
        <w:numPr>
          <w:ilvl w:val="0"/>
          <w:numId w:val="12"/>
        </w:numPr>
        <w:spacing w:before="120" w:after="120" w:line="360" w:lineRule="auto"/>
        <w:jc w:val="left"/>
        <w:rPr>
          <w:rFonts w:ascii="Arial" w:hAnsi="Arial"/>
          <w:sz w:val="20"/>
        </w:rPr>
      </w:pPr>
      <w:r w:rsidRPr="00BD3884">
        <w:rPr>
          <w:rFonts w:ascii="Arial" w:hAnsi="Arial"/>
          <w:sz w:val="20"/>
        </w:rPr>
        <w:t xml:space="preserve">Irish discharge data is an extremely valuable resource which is not utilised.  Despite being introduced on a national basis some ten years ago, this study constitutes the first ever national analysis of the discharge dataset.  </w:t>
      </w:r>
      <w:r w:rsidRPr="00ED75D7">
        <w:rPr>
          <w:rFonts w:ascii="Arial" w:hAnsi="Arial"/>
          <w:b/>
          <w:sz w:val="20"/>
        </w:rPr>
        <w:t>It is recommended that the Health Research Board undertake a strategic analysis of such data and publish findings to help inform the planning of treatment services.</w:t>
      </w:r>
      <w:r w:rsidRPr="00BD3884">
        <w:rPr>
          <w:rFonts w:ascii="Arial" w:hAnsi="Arial"/>
          <w:sz w:val="20"/>
        </w:rPr>
        <w:t xml:space="preserve">  </w:t>
      </w:r>
    </w:p>
    <w:p w:rsidR="003B0DEE" w:rsidRDefault="003B0DEE" w:rsidP="000D5D90">
      <w:pPr>
        <w:numPr>
          <w:ilvl w:val="0"/>
          <w:numId w:val="12"/>
        </w:numPr>
        <w:spacing w:before="120" w:after="120" w:line="360" w:lineRule="auto"/>
        <w:jc w:val="left"/>
        <w:rPr>
          <w:rFonts w:ascii="Arial" w:hAnsi="Arial"/>
          <w:sz w:val="20"/>
        </w:rPr>
      </w:pPr>
      <w:r w:rsidRPr="00ED75D7">
        <w:rPr>
          <w:rFonts w:ascii="Arial" w:hAnsi="Arial"/>
          <w:b/>
          <w:sz w:val="20"/>
        </w:rPr>
        <w:t>It is recommended that treatment service providers collecting NDTRS data should commence recording of the individual unique health identifier.</w:t>
      </w:r>
      <w:r>
        <w:rPr>
          <w:rFonts w:ascii="Arial" w:hAnsi="Arial"/>
          <w:sz w:val="20"/>
        </w:rPr>
        <w:t xml:space="preserve">  Although the NDTRS currently has the capacity to record this information, it is not yet available at treatment provider level.  T</w:t>
      </w:r>
      <w:r w:rsidRPr="00BD3884">
        <w:rPr>
          <w:rFonts w:ascii="Arial" w:hAnsi="Arial"/>
          <w:sz w:val="20"/>
        </w:rPr>
        <w:t xml:space="preserve">his </w:t>
      </w:r>
      <w:r>
        <w:rPr>
          <w:rFonts w:ascii="Arial" w:hAnsi="Arial"/>
          <w:sz w:val="20"/>
        </w:rPr>
        <w:t xml:space="preserve">addition </w:t>
      </w:r>
      <w:r w:rsidRPr="00BD3884">
        <w:rPr>
          <w:rFonts w:ascii="Arial" w:hAnsi="Arial"/>
          <w:sz w:val="20"/>
        </w:rPr>
        <w:t xml:space="preserve">would add significant value in understanding treatment journeys through the concatenation of individual treatment episodes.  In addition, it would permit the NDTRS to assess treatment readmissions or the lack thereof, as an outcome measure. </w:t>
      </w:r>
      <w:r>
        <w:rPr>
          <w:rFonts w:ascii="Arial" w:hAnsi="Arial"/>
          <w:sz w:val="20"/>
        </w:rPr>
        <w:t xml:space="preserve"> </w:t>
      </w:r>
      <w:r w:rsidRPr="00BD3884">
        <w:rPr>
          <w:rFonts w:ascii="Arial" w:hAnsi="Arial"/>
          <w:sz w:val="20"/>
        </w:rPr>
        <w:t xml:space="preserve">The absence of the unique health identifier limits the usefulness of the system.   </w:t>
      </w:r>
    </w:p>
    <w:p w:rsidR="003B0DEE" w:rsidRPr="00ED75D7" w:rsidRDefault="003B0DEE" w:rsidP="000D5D90">
      <w:pPr>
        <w:numPr>
          <w:ilvl w:val="0"/>
          <w:numId w:val="12"/>
        </w:numPr>
        <w:spacing w:before="120" w:after="120" w:line="360" w:lineRule="auto"/>
        <w:jc w:val="left"/>
        <w:rPr>
          <w:rFonts w:ascii="Arial" w:hAnsi="Arial"/>
          <w:b/>
          <w:sz w:val="20"/>
        </w:rPr>
      </w:pPr>
      <w:r w:rsidRPr="00ED75D7">
        <w:rPr>
          <w:rFonts w:ascii="Arial" w:hAnsi="Arial"/>
          <w:b/>
          <w:sz w:val="20"/>
        </w:rPr>
        <w:t xml:space="preserve">The NDTRS should consider the addition of co-occurring disorders found to be significantly related to treatment dropout such as mental health conditions, anxiety, post-traumatic stress disorder and personality disorders.  </w:t>
      </w:r>
    </w:p>
    <w:p w:rsidR="003B0DEE" w:rsidRPr="00890348" w:rsidRDefault="003B0DEE" w:rsidP="000D5D90">
      <w:pPr>
        <w:pStyle w:val="Heading3"/>
      </w:pPr>
      <w:bookmarkStart w:id="160" w:name="_Toc15331745"/>
      <w:r>
        <w:t>Recommendations for f</w:t>
      </w:r>
      <w:r w:rsidRPr="00890348">
        <w:t>uture research</w:t>
      </w:r>
      <w:bookmarkEnd w:id="160"/>
    </w:p>
    <w:p w:rsidR="003B0DEE" w:rsidRPr="006E709C" w:rsidRDefault="003B0DEE" w:rsidP="000D5D90">
      <w:pPr>
        <w:pStyle w:val="ListParagraph"/>
        <w:numPr>
          <w:ilvl w:val="0"/>
          <w:numId w:val="11"/>
        </w:numPr>
      </w:pPr>
      <w:r w:rsidRPr="006E709C">
        <w:t>The</w:t>
      </w:r>
      <w:r>
        <w:t xml:space="preserve"> vast </w:t>
      </w:r>
      <w:r w:rsidRPr="006E709C">
        <w:t xml:space="preserve">heterogeneity between studies may contribute to variation of study findings.  </w:t>
      </w:r>
      <w:r w:rsidRPr="00ED75D7">
        <w:rPr>
          <w:b/>
        </w:rPr>
        <w:t>Future studies should have increased consistency in their definition of ‘older’, or at the very least provide a logical reasoning for the definition chosen, which will assist in collating data in a systematic review to provide stronger evidence.</w:t>
      </w:r>
      <w:r w:rsidRPr="006E709C">
        <w:t xml:space="preserve"> </w:t>
      </w:r>
      <w:r>
        <w:t xml:space="preserve"> This thesis proposes that </w:t>
      </w:r>
      <w:r w:rsidRPr="00674FA0">
        <w:t>‘older’ is defined as 35 years of age or older when entering treatment, or, if younger than 35 years, where there has been prolonged opioid use for 10 or more years</w:t>
      </w:r>
      <w:r>
        <w:t xml:space="preserve">.  </w:t>
      </w:r>
      <w:r>
        <w:lastRenderedPageBreak/>
        <w:t xml:space="preserve">This definition of ‘older’ will be submitted to an international journal for publication and debate among experts in the field.  </w:t>
      </w:r>
    </w:p>
    <w:p w:rsidR="003B0DEE" w:rsidRPr="0099237A" w:rsidRDefault="003B0DEE" w:rsidP="000D5D90">
      <w:pPr>
        <w:pStyle w:val="ListParagraph"/>
        <w:numPr>
          <w:ilvl w:val="0"/>
          <w:numId w:val="11"/>
        </w:numPr>
        <w:rPr>
          <w:rFonts w:cs="Arial"/>
          <w:szCs w:val="24"/>
        </w:rPr>
      </w:pPr>
      <w:r w:rsidRPr="00ED75D7">
        <w:rPr>
          <w:b/>
        </w:rPr>
        <w:t xml:space="preserve">The methods utilised in this study could be replicated in other countries </w:t>
      </w:r>
      <w:r w:rsidRPr="008B37C7">
        <w:t>to examine ageing among the opioid treatment population(s), to compare findings and enhance national and international understanding of the needs of people requiri</w:t>
      </w:r>
      <w:r w:rsidRPr="0099237A">
        <w:t xml:space="preserve">ng treatment for opioid use and their engagement with services. </w:t>
      </w:r>
    </w:p>
    <w:p w:rsidR="003B0DEE" w:rsidRPr="009C0809" w:rsidRDefault="003B0DEE" w:rsidP="000D5D90">
      <w:pPr>
        <w:pStyle w:val="ListParagraph"/>
        <w:numPr>
          <w:ilvl w:val="0"/>
          <w:numId w:val="11"/>
        </w:numPr>
        <w:rPr>
          <w:rFonts w:cs="Arial"/>
          <w:szCs w:val="24"/>
        </w:rPr>
      </w:pPr>
      <w:r w:rsidRPr="009C0809">
        <w:t xml:space="preserve">The research conducted as part of this study has demonstrated the value of routinely collected health surveillance data for one particular subset of the drug treatment population (first-time opioid treatment entrants).  </w:t>
      </w:r>
      <w:r w:rsidRPr="00ED75D7">
        <w:rPr>
          <w:b/>
        </w:rPr>
        <w:t xml:space="preserve">The methods utilised in this study could be applied to other drug groups, not only in Ireland but also internationally. </w:t>
      </w:r>
      <w:r w:rsidRPr="009C0809">
        <w:t xml:space="preserve"> </w:t>
      </w:r>
      <w:r w:rsidRPr="009C0809">
        <w:rPr>
          <w:rFonts w:cs="Arial"/>
          <w:szCs w:val="24"/>
        </w:rPr>
        <w:t>There is considerable potential to provide valuable insights within and across many other treatment groups such as alcohol</w:t>
      </w:r>
      <w:r>
        <w:rPr>
          <w:rFonts w:cs="Arial"/>
          <w:szCs w:val="24"/>
        </w:rPr>
        <w:t>,</w:t>
      </w:r>
      <w:r w:rsidRPr="009C0809">
        <w:rPr>
          <w:rFonts w:cs="Arial"/>
          <w:szCs w:val="24"/>
        </w:rPr>
        <w:t xml:space="preserve"> benzodiazepines</w:t>
      </w:r>
      <w:r>
        <w:rPr>
          <w:rFonts w:cs="Arial"/>
          <w:szCs w:val="24"/>
        </w:rPr>
        <w:t xml:space="preserve">, cannabis </w:t>
      </w:r>
      <w:r w:rsidRPr="009C0809">
        <w:rPr>
          <w:rFonts w:cs="Arial"/>
          <w:szCs w:val="24"/>
        </w:rPr>
        <w:t xml:space="preserve">etc. at both national and international levels. </w:t>
      </w:r>
    </w:p>
    <w:p w:rsidR="003B0DEE" w:rsidRPr="00F159E7" w:rsidRDefault="003B0DEE" w:rsidP="000D5D90">
      <w:pPr>
        <w:pStyle w:val="ListParagraph"/>
        <w:numPr>
          <w:ilvl w:val="0"/>
          <w:numId w:val="11"/>
        </w:numPr>
        <w:rPr>
          <w:rFonts w:cs="Arial"/>
          <w:szCs w:val="24"/>
        </w:rPr>
      </w:pPr>
      <w:r w:rsidRPr="008B37C7">
        <w:t>The study findings indicate that a sizeable percentage of people who commenced treatment dropped out following</w:t>
      </w:r>
      <w:r w:rsidRPr="0099237A">
        <w:t xml:space="preserve"> their first </w:t>
      </w:r>
      <w:r w:rsidRPr="00DD20FC">
        <w:t xml:space="preserve">treatment session.  </w:t>
      </w:r>
      <w:r w:rsidRPr="00ED75D7">
        <w:rPr>
          <w:b/>
        </w:rPr>
        <w:t>This finding warrants further investigation</w:t>
      </w:r>
      <w:r>
        <w:t xml:space="preserve"> to ascertain why people who have sought treatment dropped out after just one day, particularly in the structured detoxification, counselling and other psychosocial treatment modalities where rates are high. </w:t>
      </w:r>
    </w:p>
    <w:p w:rsidR="003B0DEE" w:rsidRPr="00F159E7" w:rsidRDefault="003B0DEE" w:rsidP="000D5D90">
      <w:pPr>
        <w:pStyle w:val="ListParagraph"/>
        <w:numPr>
          <w:ilvl w:val="0"/>
          <w:numId w:val="11"/>
        </w:numPr>
        <w:rPr>
          <w:rFonts w:cs="Arial"/>
          <w:szCs w:val="24"/>
        </w:rPr>
      </w:pPr>
      <w:r w:rsidRPr="00F159E7">
        <w:t xml:space="preserve">Further post-doctoral research includes </w:t>
      </w:r>
      <w:r w:rsidRPr="00ED75D7">
        <w:rPr>
          <w:b/>
        </w:rPr>
        <w:t>a refresh of the analysis with more up-to-date data</w:t>
      </w:r>
      <w:r w:rsidRPr="00F159E7">
        <w:t xml:space="preserve"> to ensure that the study findings continue to be relevant to current policy and practice, </w:t>
      </w:r>
      <w:r>
        <w:t xml:space="preserve">a cross EU comparison utilising data from other jurisdictions, and </w:t>
      </w:r>
      <w:r w:rsidRPr="00F159E7">
        <w:t xml:space="preserve">further analysis of treatment discharge data.  </w:t>
      </w:r>
    </w:p>
    <w:p w:rsidR="003B0DEE" w:rsidRPr="002C347A" w:rsidRDefault="003B0DEE" w:rsidP="000D5D90">
      <w:pPr>
        <w:pStyle w:val="Heading2"/>
      </w:pPr>
      <w:bookmarkStart w:id="161" w:name="_Toc15331746"/>
      <w:r w:rsidRPr="002C347A">
        <w:t>Strengths and limitations of the study</w:t>
      </w:r>
      <w:bookmarkEnd w:id="161"/>
    </w:p>
    <w:p w:rsidR="003B0DEE" w:rsidRDefault="003B0DEE" w:rsidP="000D5D90">
      <w:pPr>
        <w:widowControl w:val="0"/>
        <w:autoSpaceDE w:val="0"/>
        <w:autoSpaceDN w:val="0"/>
        <w:adjustRightInd w:val="0"/>
        <w:spacing w:line="360" w:lineRule="auto"/>
        <w:jc w:val="left"/>
        <w:rPr>
          <w:rFonts w:ascii="Arial" w:hAnsi="Arial"/>
          <w:sz w:val="20"/>
        </w:rPr>
      </w:pPr>
      <w:r>
        <w:rPr>
          <w:rFonts w:ascii="Arial" w:hAnsi="Arial"/>
          <w:sz w:val="20"/>
        </w:rPr>
        <w:t xml:space="preserve">This study utilised </w:t>
      </w:r>
      <w:r w:rsidRPr="00234B28">
        <w:rPr>
          <w:rFonts w:ascii="Arial" w:hAnsi="Arial" w:cs="Arial"/>
          <w:sz w:val="20"/>
        </w:rPr>
        <w:t xml:space="preserve">routinely gathered </w:t>
      </w:r>
      <w:r>
        <w:rPr>
          <w:rFonts w:ascii="Arial" w:hAnsi="Arial" w:cs="Arial"/>
          <w:sz w:val="20"/>
        </w:rPr>
        <w:t xml:space="preserve">national </w:t>
      </w:r>
      <w:r w:rsidRPr="00234B28">
        <w:rPr>
          <w:rFonts w:ascii="Arial" w:hAnsi="Arial" w:cs="Arial"/>
          <w:sz w:val="20"/>
        </w:rPr>
        <w:t>health surveillance data</w:t>
      </w:r>
      <w:r>
        <w:rPr>
          <w:rFonts w:ascii="Arial" w:hAnsi="Arial" w:cs="Arial"/>
          <w:sz w:val="20"/>
        </w:rPr>
        <w:t xml:space="preserve">, following a common European protocol, </w:t>
      </w:r>
      <w:r>
        <w:rPr>
          <w:rFonts w:ascii="Arial" w:hAnsi="Arial"/>
          <w:sz w:val="20"/>
        </w:rPr>
        <w:t xml:space="preserve">over a period of twenty-one years.  </w:t>
      </w:r>
      <w:r w:rsidRPr="00BC6030">
        <w:rPr>
          <w:rFonts w:ascii="Arial" w:hAnsi="Arial"/>
          <w:sz w:val="20"/>
        </w:rPr>
        <w:t xml:space="preserve">The surveillance system follows a long established common European protocol (European Monitoring Centre for Drugs and Drug Addiction 2012a) used across thirty </w:t>
      </w:r>
      <w:r w:rsidRPr="00BC6030">
        <w:rPr>
          <w:rFonts w:ascii="Arial" w:hAnsi="Arial" w:cs="Arial"/>
          <w:sz w:val="20"/>
        </w:rPr>
        <w:t>countries.  There are significant comparability benefits when data has been collected across several countries following a common protocol as this allows for studies to be replicated and facilitates scientific progress in the area.</w:t>
      </w:r>
      <w:r w:rsidRPr="008737A6">
        <w:t xml:space="preserve">  </w:t>
      </w:r>
      <w:r w:rsidRPr="00BC6030">
        <w:rPr>
          <w:rFonts w:ascii="Arial" w:hAnsi="Arial"/>
          <w:sz w:val="20"/>
        </w:rPr>
        <w:t xml:space="preserve">The approach taken in this study is therefore useful, repeatable and comparable, and study findings will assist other countries in understanding the characteristics of their ageing opioid populations.  </w:t>
      </w:r>
      <w:r>
        <w:rPr>
          <w:rFonts w:ascii="Arial" w:hAnsi="Arial"/>
          <w:sz w:val="20"/>
        </w:rPr>
        <w:t xml:space="preserve">This use of a large national dataset over a period of twenty-one years provided considerable statistical power to detect ageing trends, generalisability due to national coverage, and findings relevant to policy-makers, health professionals and treatment services.  </w:t>
      </w:r>
      <w:r w:rsidRPr="0068321B">
        <w:rPr>
          <w:rFonts w:ascii="Arial" w:hAnsi="Arial"/>
          <w:sz w:val="20"/>
        </w:rPr>
        <w:t xml:space="preserve">There are distinct advantages in using secondary data over primary data; including time and cost savings, </w:t>
      </w:r>
      <w:r>
        <w:rPr>
          <w:rFonts w:ascii="Arial" w:hAnsi="Arial"/>
          <w:sz w:val="20"/>
        </w:rPr>
        <w:t>higher</w:t>
      </w:r>
      <w:r w:rsidRPr="0068321B">
        <w:rPr>
          <w:rFonts w:ascii="Arial" w:hAnsi="Arial"/>
          <w:sz w:val="20"/>
        </w:rPr>
        <w:t xml:space="preserve"> quality data collected in a standardised way permitting comparisons over time, and researcher bias is diminished as data are usually collected by others and independent of any hypothesis</w:t>
      </w:r>
      <w:r>
        <w:rPr>
          <w:rFonts w:ascii="Arial" w:hAnsi="Arial"/>
          <w:sz w:val="20"/>
        </w:rPr>
        <w:t xml:space="preserve"> </w:t>
      </w:r>
      <w:r w:rsidRPr="00791A95">
        <w:rPr>
          <w:rFonts w:ascii="Arial" w:hAnsi="Arial" w:cs="Arial"/>
          <w:noProof/>
          <w:sz w:val="20"/>
        </w:rPr>
        <w:t>(Goodwin 2012)</w:t>
      </w:r>
      <w:r w:rsidR="009D2A34" w:rsidRPr="0068321B">
        <w:rPr>
          <w:rFonts w:ascii="Arial" w:hAnsi="Arial"/>
          <w:sz w:val="20"/>
        </w:rPr>
        <w:t xml:space="preserve">.  </w:t>
      </w:r>
      <w:r>
        <w:rPr>
          <w:rFonts w:ascii="Arial" w:hAnsi="Arial"/>
          <w:sz w:val="20"/>
        </w:rPr>
        <w:t xml:space="preserve">In addition, observational studies allow for assessments of interventions to be made in practice rather than in a controlled experiment such as a randomised trial while gaining sufficient power to study adverse effects </w:t>
      </w:r>
      <w:r w:rsidRPr="00F0556A">
        <w:rPr>
          <w:rFonts w:ascii="Arial" w:hAnsi="Arial" w:cs="Arial"/>
          <w:noProof/>
          <w:sz w:val="20"/>
        </w:rPr>
        <w:t>(Papanikolaou</w:t>
      </w:r>
      <w:r w:rsidRPr="00F0556A">
        <w:rPr>
          <w:rFonts w:ascii="Arial" w:hAnsi="Arial" w:cs="Arial"/>
          <w:i/>
          <w:noProof/>
          <w:sz w:val="20"/>
        </w:rPr>
        <w:t xml:space="preserve"> et al.</w:t>
      </w:r>
      <w:r w:rsidRPr="00F0556A">
        <w:rPr>
          <w:rFonts w:ascii="Arial" w:hAnsi="Arial" w:cs="Arial"/>
          <w:noProof/>
          <w:sz w:val="20"/>
        </w:rPr>
        <w:t xml:space="preserve"> 2006)</w:t>
      </w:r>
      <w:r>
        <w:rPr>
          <w:rFonts w:ascii="Arial" w:hAnsi="Arial"/>
          <w:sz w:val="20"/>
        </w:rPr>
        <w:t xml:space="preserve">.  The richness of the study results demonstrates the value of utilising routinely collected drug treatment data to answer key questions and provide insights relating to opioid use. </w:t>
      </w:r>
    </w:p>
    <w:p w:rsidR="003B0DEE" w:rsidRDefault="003B0DEE" w:rsidP="000D5D90">
      <w:pPr>
        <w:widowControl w:val="0"/>
        <w:autoSpaceDE w:val="0"/>
        <w:autoSpaceDN w:val="0"/>
        <w:adjustRightInd w:val="0"/>
        <w:spacing w:line="360" w:lineRule="auto"/>
        <w:jc w:val="left"/>
        <w:rPr>
          <w:rFonts w:ascii="Arial" w:hAnsi="Arial"/>
          <w:sz w:val="20"/>
        </w:rPr>
      </w:pPr>
      <w:r w:rsidRPr="0068321B">
        <w:rPr>
          <w:rFonts w:ascii="Arial" w:hAnsi="Arial"/>
          <w:sz w:val="20"/>
        </w:rPr>
        <w:lastRenderedPageBreak/>
        <w:t xml:space="preserve">The limitations of the </w:t>
      </w:r>
      <w:r>
        <w:rPr>
          <w:rFonts w:ascii="Arial" w:hAnsi="Arial"/>
          <w:sz w:val="20"/>
        </w:rPr>
        <w:t>analyses</w:t>
      </w:r>
      <w:r w:rsidRPr="0068321B">
        <w:rPr>
          <w:rFonts w:ascii="Arial" w:hAnsi="Arial"/>
          <w:sz w:val="20"/>
        </w:rPr>
        <w:t xml:space="preserve"> performed within this thesis are described in Chapter 3 and in the individual results chapters.  </w:t>
      </w:r>
      <w:r>
        <w:rPr>
          <w:rFonts w:ascii="Arial" w:hAnsi="Arial"/>
          <w:sz w:val="20"/>
        </w:rPr>
        <w:t xml:space="preserve">The findings do not have perfect generalisability, surveillance system coverage </w:t>
      </w:r>
      <w:r w:rsidR="009D2A34">
        <w:rPr>
          <w:rFonts w:ascii="Arial" w:hAnsi="Arial"/>
          <w:sz w:val="20"/>
        </w:rPr>
        <w:t xml:space="preserve">rates </w:t>
      </w:r>
      <w:r w:rsidR="009D2A34" w:rsidRPr="0016160A">
        <w:rPr>
          <w:rFonts w:ascii="Arial" w:hAnsi="Arial"/>
          <w:sz w:val="20"/>
        </w:rPr>
        <w:t>(</w:t>
      </w:r>
      <w:r w:rsidRPr="0016160A">
        <w:rPr>
          <w:rFonts w:ascii="Arial" w:hAnsi="Arial"/>
          <w:sz w:val="20"/>
        </w:rPr>
        <w:t>Health Research Board 2017)</w:t>
      </w:r>
      <w:r>
        <w:rPr>
          <w:rFonts w:ascii="Arial" w:hAnsi="Arial"/>
          <w:sz w:val="20"/>
        </w:rPr>
        <w:t xml:space="preserve"> indicate that there are individuals accessing treatment </w:t>
      </w:r>
      <w:proofErr w:type="gramStart"/>
      <w:r>
        <w:rPr>
          <w:rFonts w:ascii="Arial" w:hAnsi="Arial"/>
          <w:sz w:val="20"/>
        </w:rPr>
        <w:t>who</w:t>
      </w:r>
      <w:proofErr w:type="gramEnd"/>
      <w:r>
        <w:rPr>
          <w:rFonts w:ascii="Arial" w:hAnsi="Arial"/>
          <w:sz w:val="20"/>
        </w:rPr>
        <w:t xml:space="preserve"> are not reported, and therefore not incorporated in the analysis.  However, as the data measures what occurs in practice, the results have direct relevance to drug policy, practice, users and treatment services.  It is also likely that people accessing treatment services have longer durations and more problematic opioid use than the wider opioid population, and therefore, it is important that the findings are not generalised beyond the opioid treatment population.  The </w:t>
      </w:r>
      <w:r w:rsidRPr="00C10C88">
        <w:rPr>
          <w:rFonts w:ascii="Arial" w:hAnsi="Arial"/>
          <w:sz w:val="20"/>
        </w:rPr>
        <w:t>non-randomised nature of the research is an important concern.</w:t>
      </w:r>
      <w:r>
        <w:rPr>
          <w:rFonts w:ascii="Arial" w:hAnsi="Arial"/>
          <w:sz w:val="20"/>
        </w:rPr>
        <w:t xml:space="preserve">  </w:t>
      </w:r>
      <w:r w:rsidRPr="00765FD5">
        <w:rPr>
          <w:rFonts w:ascii="Arial" w:hAnsi="Arial"/>
          <w:sz w:val="20"/>
        </w:rPr>
        <w:t xml:space="preserve">Although having applied the necessary steps to reduce the potential for bias in this research, </w:t>
      </w:r>
      <w:r>
        <w:rPr>
          <w:rFonts w:ascii="Arial" w:hAnsi="Arial"/>
          <w:sz w:val="20"/>
        </w:rPr>
        <w:t xml:space="preserve">the data </w:t>
      </w:r>
      <w:r w:rsidRPr="00C10C88">
        <w:rPr>
          <w:rFonts w:ascii="Arial" w:hAnsi="Arial"/>
          <w:sz w:val="20"/>
        </w:rPr>
        <w:t>is</w:t>
      </w:r>
      <w:r>
        <w:rPr>
          <w:rFonts w:ascii="Arial" w:hAnsi="Arial"/>
          <w:sz w:val="20"/>
        </w:rPr>
        <w:t xml:space="preserve"> still</w:t>
      </w:r>
      <w:r w:rsidRPr="00C10C88">
        <w:rPr>
          <w:rFonts w:ascii="Arial" w:hAnsi="Arial"/>
          <w:sz w:val="20"/>
        </w:rPr>
        <w:t xml:space="preserve"> potentially subject to hidden biases </w:t>
      </w:r>
      <w:r>
        <w:rPr>
          <w:rFonts w:ascii="Arial" w:hAnsi="Arial"/>
          <w:sz w:val="20"/>
        </w:rPr>
        <w:t>owing</w:t>
      </w:r>
      <w:r w:rsidRPr="00C10C88">
        <w:rPr>
          <w:rFonts w:ascii="Arial" w:hAnsi="Arial"/>
          <w:sz w:val="20"/>
        </w:rPr>
        <w:t xml:space="preserve"> </w:t>
      </w:r>
      <w:r>
        <w:rPr>
          <w:rFonts w:ascii="Arial" w:hAnsi="Arial"/>
          <w:sz w:val="20"/>
        </w:rPr>
        <w:t xml:space="preserve">to </w:t>
      </w:r>
      <w:r w:rsidRPr="00C10C88">
        <w:rPr>
          <w:rFonts w:ascii="Arial" w:hAnsi="Arial"/>
          <w:sz w:val="20"/>
        </w:rPr>
        <w:t xml:space="preserve">unmeasured confounders </w:t>
      </w:r>
      <w:r>
        <w:rPr>
          <w:rFonts w:ascii="Arial" w:hAnsi="Arial"/>
          <w:sz w:val="20"/>
        </w:rPr>
        <w:t>which</w:t>
      </w:r>
      <w:r w:rsidRPr="00C10C88">
        <w:rPr>
          <w:rFonts w:ascii="Arial" w:hAnsi="Arial"/>
          <w:sz w:val="20"/>
        </w:rPr>
        <w:t xml:space="preserve"> are difficult to address.</w:t>
      </w:r>
      <w:r>
        <w:rPr>
          <w:rFonts w:ascii="Arial" w:hAnsi="Arial"/>
          <w:sz w:val="20"/>
        </w:rPr>
        <w:t xml:space="preserve">  Information on confounders </w:t>
      </w:r>
      <w:proofErr w:type="gramStart"/>
      <w:r>
        <w:rPr>
          <w:rFonts w:ascii="Arial" w:hAnsi="Arial"/>
          <w:sz w:val="20"/>
        </w:rPr>
        <w:t>were</w:t>
      </w:r>
      <w:proofErr w:type="gramEnd"/>
      <w:r>
        <w:rPr>
          <w:rFonts w:ascii="Arial" w:hAnsi="Arial"/>
          <w:sz w:val="20"/>
        </w:rPr>
        <w:t xml:space="preserve"> collected at the point of treatment entry only, and not continuously over time.  It is possible that certain confounders such as frequency of opioid use and injecting status may have changed during the treatment episode.  </w:t>
      </w:r>
      <w:r w:rsidRPr="00B84F46">
        <w:rPr>
          <w:rFonts w:ascii="Arial" w:hAnsi="Arial"/>
          <w:i/>
          <w:sz w:val="20"/>
        </w:rPr>
        <w:t>Chapter 6</w:t>
      </w:r>
      <w:r>
        <w:rPr>
          <w:rFonts w:ascii="Arial" w:hAnsi="Arial"/>
          <w:sz w:val="20"/>
        </w:rPr>
        <w:t xml:space="preserve">, highlights that such biases </w:t>
      </w:r>
      <w:r w:rsidRPr="00765FD5">
        <w:rPr>
          <w:rFonts w:ascii="Arial" w:hAnsi="Arial"/>
          <w:sz w:val="20"/>
        </w:rPr>
        <w:t xml:space="preserve">cannot be eliminated and should be accounted for when interpreting </w:t>
      </w:r>
      <w:r>
        <w:rPr>
          <w:rFonts w:ascii="Arial" w:hAnsi="Arial"/>
          <w:sz w:val="20"/>
        </w:rPr>
        <w:t xml:space="preserve">discharge </w:t>
      </w:r>
      <w:r w:rsidRPr="00765FD5">
        <w:rPr>
          <w:rFonts w:ascii="Arial" w:hAnsi="Arial"/>
          <w:sz w:val="20"/>
        </w:rPr>
        <w:t>outcomes.</w:t>
      </w:r>
      <w:r>
        <w:rPr>
          <w:rFonts w:ascii="Arial" w:hAnsi="Arial"/>
          <w:sz w:val="20"/>
        </w:rPr>
        <w:t xml:space="preserve">  </w:t>
      </w:r>
    </w:p>
    <w:p w:rsidR="003B0DEE" w:rsidRDefault="003B0DEE" w:rsidP="000D5D90">
      <w:pPr>
        <w:pStyle w:val="BodyText"/>
      </w:pPr>
      <w:r>
        <w:t xml:space="preserve">The study aim was to </w:t>
      </w:r>
      <w:r w:rsidRPr="00B84F46">
        <w:t>investigate the age profile of the treatment population</w:t>
      </w:r>
      <w:r>
        <w:t>.  This study focuses on f</w:t>
      </w:r>
      <w:r w:rsidRPr="004E29B3">
        <w:t>irst</w:t>
      </w:r>
      <w:r>
        <w:t xml:space="preserve">-time </w:t>
      </w:r>
      <w:r w:rsidRPr="004E29B3">
        <w:t>treatment</w:t>
      </w:r>
      <w:r>
        <w:t xml:space="preserve"> entrants,</w:t>
      </w:r>
      <w:r w:rsidRPr="004E29B3">
        <w:t xml:space="preserve"> </w:t>
      </w:r>
      <w:r>
        <w:t xml:space="preserve">which </w:t>
      </w:r>
      <w:r w:rsidRPr="004E29B3">
        <w:t>is defined as the very first time a person starts treatment for problem</w:t>
      </w:r>
      <w:r>
        <w:t xml:space="preserve"> opioid drug use</w:t>
      </w:r>
      <w:r w:rsidRPr="004E29B3">
        <w:t xml:space="preserve"> in their life</w:t>
      </w:r>
      <w:r>
        <w:t xml:space="preserve"> </w:t>
      </w:r>
      <w:r>
        <w:rPr>
          <w:noProof/>
        </w:rPr>
        <w:t>(European Monitoring Centre for Drugs and Drug Addiction 2012a)</w:t>
      </w:r>
      <w:r w:rsidRPr="004E29B3">
        <w:t>.</w:t>
      </w:r>
      <w:r w:rsidRPr="00697C05">
        <w:t xml:space="preserve">  </w:t>
      </w:r>
      <w:r>
        <w:t>First-time treatment entrants</w:t>
      </w:r>
      <w:r w:rsidRPr="00697C05">
        <w:t xml:space="preserve"> represents a sub-section of the total </w:t>
      </w:r>
      <w:r>
        <w:t xml:space="preserve">population in need of treatment, and focusing on first-time entrants enables a description of treatment incidence and the identification of recent trends in treatment demand </w:t>
      </w:r>
      <w:r>
        <w:rPr>
          <w:noProof/>
        </w:rPr>
        <w:t>(Montanari</w:t>
      </w:r>
      <w:r w:rsidRPr="004E777B">
        <w:rPr>
          <w:i/>
          <w:noProof/>
        </w:rPr>
        <w:t xml:space="preserve"> et al.</w:t>
      </w:r>
      <w:r>
        <w:rPr>
          <w:noProof/>
        </w:rPr>
        <w:t xml:space="preserve"> 2019)</w:t>
      </w:r>
      <w:proofErr w:type="gramStart"/>
      <w:r>
        <w:t xml:space="preserve">. </w:t>
      </w:r>
      <w:proofErr w:type="gramEnd"/>
      <w:r>
        <w:t xml:space="preserve">The decision to limit the study cohort first-time </w:t>
      </w:r>
      <w:r w:rsidRPr="003C5BD8">
        <w:t>treatment admissions</w:t>
      </w:r>
      <w:r>
        <w:t xml:space="preserve"> was due to the absence of a unique health identifier and is c</w:t>
      </w:r>
      <w:r w:rsidRPr="003C5BD8">
        <w:t>onsistent with previous</w:t>
      </w:r>
      <w:r>
        <w:t xml:space="preserve"> international </w:t>
      </w:r>
      <w:r w:rsidRPr="003C5BD8">
        <w:t>research utili</w:t>
      </w:r>
      <w:r>
        <w:t>s</w:t>
      </w:r>
      <w:r w:rsidRPr="003C5BD8">
        <w:t>ing t</w:t>
      </w:r>
      <w:r>
        <w:t xml:space="preserve">reatment surveillance systems </w:t>
      </w:r>
      <w:r>
        <w:rPr>
          <w:noProof/>
        </w:rPr>
        <w:t>(Arndt</w:t>
      </w:r>
      <w:r w:rsidRPr="00791A95">
        <w:rPr>
          <w:i/>
          <w:noProof/>
        </w:rPr>
        <w:t xml:space="preserve"> et al.</w:t>
      </w:r>
      <w:r>
        <w:rPr>
          <w:noProof/>
        </w:rPr>
        <w:t xml:space="preserve"> 2013, Sahker</w:t>
      </w:r>
      <w:r w:rsidRPr="00791A95">
        <w:rPr>
          <w:i/>
          <w:noProof/>
        </w:rPr>
        <w:t xml:space="preserve"> et al.</w:t>
      </w:r>
      <w:r>
        <w:rPr>
          <w:noProof/>
        </w:rPr>
        <w:t xml:space="preserve"> 2015, Krawczyk</w:t>
      </w:r>
      <w:r w:rsidRPr="00791A95">
        <w:rPr>
          <w:i/>
          <w:noProof/>
        </w:rPr>
        <w:t xml:space="preserve"> et al.</w:t>
      </w:r>
      <w:r>
        <w:rPr>
          <w:noProof/>
        </w:rPr>
        <w:t xml:space="preserve"> 2017, Stahler &amp; Mennis 2018)</w:t>
      </w:r>
      <w:r>
        <w:t xml:space="preserve">.  </w:t>
      </w:r>
      <w:r w:rsidRPr="00B84F46">
        <w:t>The focus on first</w:t>
      </w:r>
      <w:r>
        <w:t>-time</w:t>
      </w:r>
      <w:r w:rsidRPr="00B84F46">
        <w:t xml:space="preserve"> </w:t>
      </w:r>
      <w:r>
        <w:t xml:space="preserve">treatment entrants </w:t>
      </w:r>
      <w:r w:rsidRPr="00B84F46">
        <w:t xml:space="preserve">introduces potential biases </w:t>
      </w:r>
      <w:r>
        <w:t xml:space="preserve">which </w:t>
      </w:r>
      <w:r w:rsidRPr="00B84F46">
        <w:t>may constrain generalis</w:t>
      </w:r>
      <w:r>
        <w:t xml:space="preserve">ability of the study findings </w:t>
      </w:r>
      <w:r w:rsidRPr="00B84F46">
        <w:t xml:space="preserve">to the treatment population as a whole. </w:t>
      </w:r>
      <w:r>
        <w:t xml:space="preserve"> </w:t>
      </w:r>
      <w:r w:rsidRPr="00201015">
        <w:t xml:space="preserve">A previous study by Stahler </w:t>
      </w:r>
      <w:r w:rsidRPr="00201015">
        <w:rPr>
          <w:i/>
        </w:rPr>
        <w:t>et al.</w:t>
      </w:r>
      <w:r>
        <w:t xml:space="preserve"> </w:t>
      </w:r>
      <w:r w:rsidRPr="00201015">
        <w:t xml:space="preserve">indicated </w:t>
      </w:r>
      <w:r>
        <w:t xml:space="preserve">that such a limitation may </w:t>
      </w:r>
      <w:r w:rsidRPr="003C5BD8">
        <w:t>bias the representativeness of the sample in the direction of a</w:t>
      </w:r>
      <w:r>
        <w:t xml:space="preserve"> </w:t>
      </w:r>
      <w:r w:rsidRPr="003C5BD8">
        <w:t>younger, more treatment naïve, and potentially less chronic population</w:t>
      </w:r>
      <w:r>
        <w:t xml:space="preserve"> with a </w:t>
      </w:r>
      <w:r w:rsidRPr="003C5BD8">
        <w:t>reduced likelihood of treatment completion</w:t>
      </w:r>
      <w:r>
        <w:t xml:space="preserve"> </w:t>
      </w:r>
      <w:r>
        <w:rPr>
          <w:noProof/>
        </w:rPr>
        <w:t>(Stahler &amp; Mennis 2018)</w:t>
      </w:r>
      <w:r>
        <w:t>.  The focus on f</w:t>
      </w:r>
      <w:r w:rsidRPr="004E29B3">
        <w:t>irst</w:t>
      </w:r>
      <w:r>
        <w:t xml:space="preserve">-time </w:t>
      </w:r>
      <w:r w:rsidRPr="004E29B3">
        <w:t>treatment</w:t>
      </w:r>
      <w:r>
        <w:t xml:space="preserve"> entrants also </w:t>
      </w:r>
      <w:r w:rsidRPr="00B84F46">
        <w:t xml:space="preserve">captures each </w:t>
      </w:r>
      <w:r>
        <w:t>individual</w:t>
      </w:r>
      <w:r w:rsidRPr="00B84F46">
        <w:t xml:space="preserve"> only once</w:t>
      </w:r>
      <w:r>
        <w:t xml:space="preserve">.  </w:t>
      </w:r>
    </w:p>
    <w:p w:rsidR="003B0DEE" w:rsidRDefault="003B0DEE" w:rsidP="000D5D90">
      <w:pPr>
        <w:pStyle w:val="BodyText"/>
      </w:pPr>
      <w:r>
        <w:t xml:space="preserve">The study indicates how the </w:t>
      </w:r>
      <w:proofErr w:type="gramStart"/>
      <w:r>
        <w:t>cohort of first-time treatment entrants have</w:t>
      </w:r>
      <w:proofErr w:type="gramEnd"/>
      <w:r>
        <w:t xml:space="preserve"> aged.  However, it does not measure ageing among those in ongoing treatment such as individuals who </w:t>
      </w:r>
      <w:r w:rsidRPr="00B84F46">
        <w:t xml:space="preserve">have continued </w:t>
      </w:r>
      <w:r>
        <w:t xml:space="preserve">contact with treatment providers over a prolonged period whereby contact </w:t>
      </w:r>
      <w:r w:rsidRPr="00B84F46">
        <w:t>may</w:t>
      </w:r>
      <w:r>
        <w:t xml:space="preserve"> continue </w:t>
      </w:r>
      <w:r w:rsidRPr="00B84F46">
        <w:t xml:space="preserve">for many years. </w:t>
      </w:r>
      <w:r>
        <w:t xml:space="preserve"> A</w:t>
      </w:r>
      <w:r w:rsidRPr="00B84F46">
        <w:t xml:space="preserve">geing of the </w:t>
      </w:r>
      <w:r>
        <w:t xml:space="preserve">entire </w:t>
      </w:r>
      <w:r w:rsidRPr="00B84F46">
        <w:t xml:space="preserve">treatment population </w:t>
      </w:r>
      <w:r>
        <w:t xml:space="preserve">including those with sustained </w:t>
      </w:r>
      <w:r w:rsidRPr="00B84F46">
        <w:t xml:space="preserve">treatment </w:t>
      </w:r>
      <w:r>
        <w:t xml:space="preserve">contact over many years and those with repeat treatment episodes is not captured in this study.  It was not possible to link repeat episodes of treatment and </w:t>
      </w:r>
      <w:proofErr w:type="gramStart"/>
      <w:r>
        <w:t>undertake</w:t>
      </w:r>
      <w:proofErr w:type="gramEnd"/>
      <w:r>
        <w:t xml:space="preserve"> such an analysis in the absence of named data and/or a unique health identifier in the NDTRS.  The</w:t>
      </w:r>
      <w:r w:rsidRPr="00B84F46">
        <w:t xml:space="preserve"> age distribution </w:t>
      </w:r>
      <w:r>
        <w:t xml:space="preserve">of first-time treatment entrants appears to be younger than that of </w:t>
      </w:r>
      <w:r w:rsidRPr="00B84F46">
        <w:t>the treatment population as a whole.</w:t>
      </w:r>
      <w:r>
        <w:t xml:space="preserve">  Table </w:t>
      </w:r>
      <w:r w:rsidRPr="00B84F46">
        <w:t>5-7</w:t>
      </w:r>
      <w:r>
        <w:t xml:space="preserve"> (number classified as ‘older’) indicates evidence of this bias</w:t>
      </w:r>
      <w:r w:rsidRPr="00B84F46">
        <w:t xml:space="preserve">, </w:t>
      </w:r>
      <w:r>
        <w:t xml:space="preserve">whereby </w:t>
      </w:r>
      <w:r w:rsidRPr="00B84F46">
        <w:t>49</w:t>
      </w:r>
      <w:r>
        <w:t>.4</w:t>
      </w:r>
      <w:r w:rsidRPr="00B84F46">
        <w:t>% of first</w:t>
      </w:r>
      <w:r>
        <w:t>-time entrants w</w:t>
      </w:r>
      <w:r w:rsidRPr="00B84F46">
        <w:t xml:space="preserve">ere </w:t>
      </w:r>
      <w:r>
        <w:t xml:space="preserve">classified as </w:t>
      </w:r>
      <w:r w:rsidRPr="00B84F46">
        <w:t>‘older’</w:t>
      </w:r>
      <w:r>
        <w:t xml:space="preserve">, compared to </w:t>
      </w:r>
      <w:r w:rsidRPr="00B84F46">
        <w:t>6</w:t>
      </w:r>
      <w:r>
        <w:t>1.8%</w:t>
      </w:r>
      <w:r w:rsidRPr="00B84F46">
        <w:t xml:space="preserve"> of all treatment entrants, </w:t>
      </w:r>
      <w:r>
        <w:t xml:space="preserve">with both groups representing </w:t>
      </w:r>
      <w:r w:rsidRPr="00B84F46">
        <w:t>subset</w:t>
      </w:r>
      <w:r>
        <w:t>s</w:t>
      </w:r>
      <w:r w:rsidRPr="00B84F46">
        <w:t xml:space="preserve"> of the entire treatment population. </w:t>
      </w:r>
      <w:r>
        <w:t xml:space="preserve"> </w:t>
      </w:r>
    </w:p>
    <w:p w:rsidR="003B0DEE" w:rsidRDefault="003B0DEE" w:rsidP="000D5D90">
      <w:pPr>
        <w:pStyle w:val="BodyText"/>
      </w:pPr>
      <w:r>
        <w:lastRenderedPageBreak/>
        <w:t>The analysis of</w:t>
      </w:r>
      <w:r w:rsidRPr="00FF73DC">
        <w:t xml:space="preserve"> treatment modality</w:t>
      </w:r>
      <w:r>
        <w:t xml:space="preserve"> may potentially be subject to bias as a </w:t>
      </w:r>
      <w:r w:rsidRPr="00FF73DC">
        <w:t>consequence of using</w:t>
      </w:r>
      <w:r>
        <w:t xml:space="preserve"> data on first-time treatment entrants.  The counselling modality accounted for more than half of the treatment delivered.  However, it cannot be known whether this accurately represents treatment delivery as whole, nor does it account for </w:t>
      </w:r>
      <w:r w:rsidRPr="00FF73DC">
        <w:t xml:space="preserve">access </w:t>
      </w:r>
      <w:r>
        <w:t xml:space="preserve">to and availability of different treatment </w:t>
      </w:r>
      <w:r w:rsidRPr="00FF73DC">
        <w:t>modalities</w:t>
      </w:r>
      <w:r>
        <w:t xml:space="preserve"> </w:t>
      </w:r>
      <w:r w:rsidR="00551CD8">
        <w:t>or sequencing</w:t>
      </w:r>
      <w:r>
        <w:t xml:space="preserve"> patterns in treatment delivery.  Should sequencing patterns exist in treatment delivery, the use of first-time treatment entrants may result in an over representation of the counselling treatment modality as it may be the first intervention provided to new treatment entrants.  </w:t>
      </w:r>
    </w:p>
    <w:p w:rsidR="003B0DEE" w:rsidRPr="00021718" w:rsidRDefault="003B0DEE" w:rsidP="000D5D90">
      <w:pPr>
        <w:pStyle w:val="BodyText"/>
      </w:pPr>
      <w:r w:rsidRPr="00021718">
        <w:t>In Ireland, opioid use has been identified as a problem since the 1970s</w:t>
      </w:r>
      <w:r>
        <w:t xml:space="preserve"> </w:t>
      </w:r>
      <w:r>
        <w:rPr>
          <w:noProof/>
        </w:rPr>
        <w:t>(Smyth</w:t>
      </w:r>
      <w:r w:rsidRPr="00816EF0">
        <w:rPr>
          <w:i/>
          <w:noProof/>
        </w:rPr>
        <w:t xml:space="preserve"> et al.</w:t>
      </w:r>
      <w:r>
        <w:rPr>
          <w:noProof/>
        </w:rPr>
        <w:t xml:space="preserve"> 2000)</w:t>
      </w:r>
      <w:r w:rsidRPr="00021718">
        <w:t xml:space="preserve">, with a heroin epidemic experienced during the 1980s.  This cohort of people who use opioids in the 1970s and 1980s is generally acknowledged to be a major factor underlying the ageing of the treated opioid using population as a whole.  The analysis might have potentially benefited from an indicator denoting year of opioid use onset and such an analysis could potentially consider opioid initiation cohort effects.  The degree to which data on first-time treatment entrants captures these users who have grown older is not known.  Although, the data available for analysis indicates that they are unlikely to captured, for example in 1995, the longest observed duration between opioid use onset and treatment entry was 8 years indicating that people who commenced opioid use prior to 1987 are not captured.  Likewise, the longest duration for 2015 entrants was 25 years implying that people commencing opioid use prior to 1990 are not </w:t>
      </w:r>
      <w:proofErr w:type="gramStart"/>
      <w:r w:rsidRPr="00021718">
        <w:t>captured.</w:t>
      </w:r>
      <w:proofErr w:type="gramEnd"/>
      <w:r w:rsidRPr="00021718">
        <w:t xml:space="preserve">  Certainly, later analysis which is based on the years 2009 to 2015 is likely to be bias away from these older users who commenced opioid use in the 1970s and 1980s, while people who first presented for treatment prior to 1995 are not represented in the data analysed.  </w:t>
      </w:r>
    </w:p>
    <w:p w:rsidR="003B0DEE" w:rsidRPr="001252E9" w:rsidRDefault="003B0DEE" w:rsidP="000D5D90">
      <w:pPr>
        <w:pStyle w:val="BodyText"/>
      </w:pPr>
      <w:r w:rsidRPr="001252E9">
        <w:t xml:space="preserve">The observation period in which people may seek treatment is not uniform for all and the analysis is constrained by the available data.  The first year for which national data is available is 1995.  People who commenced opioid use prior to 1995 and sought treatment quickly (prior to 1995) are not represented in the dataset.  However, people who took longer to seek treatment are represented if they sought treatment from 1995 onwards.  Likewise, people with recent opioid use onset (such as 2013 or 2014 for example) have a more limited period in which they may be represented in the dataset, while people with less recent opioid use onset have had a longer period whereby they may have sought treatment.  This study does not assess for </w:t>
      </w:r>
      <w:r w:rsidRPr="00021718">
        <w:t>opioid initiation cohort effects</w:t>
      </w:r>
      <w:r>
        <w:t xml:space="preserve">, but it should be noted that the observation period may have implications with regard to the </w:t>
      </w:r>
      <w:r w:rsidRPr="001252E9">
        <w:t xml:space="preserve">comparison of clusters.  Should clusters differ by </w:t>
      </w:r>
      <w:r w:rsidRPr="00021718">
        <w:t>opioid initiation cohort</w:t>
      </w:r>
      <w:r>
        <w:t xml:space="preserve">, it may be possible that such difference may be </w:t>
      </w:r>
      <w:r w:rsidRPr="001252E9">
        <w:t xml:space="preserve">a function of data availability constraints rather than of actual differences in behaviour.  Further analysis which includes year of opioid initiation along with a standardised observation period would be required to determine whether people are taking longer to seek treatment.   </w:t>
      </w:r>
    </w:p>
    <w:p w:rsidR="003B0DEE" w:rsidRDefault="003B0DEE" w:rsidP="000D5D90">
      <w:pPr>
        <w:pStyle w:val="BodyText"/>
      </w:pPr>
      <w:r>
        <w:t xml:space="preserve">This study utilises a large national dataset over a period of twenty-one years which provide considerable statistical power.  This national cohort exceeds twenty thousand cases and is substantial, particularly when compared to existing research studies on the topic of ageing which predominately </w:t>
      </w:r>
      <w:r w:rsidRPr="00177AA3">
        <w:t xml:space="preserve">involve </w:t>
      </w:r>
      <w:r>
        <w:t xml:space="preserve">small </w:t>
      </w:r>
      <w:r w:rsidRPr="00177AA3">
        <w:t>convenience samples</w:t>
      </w:r>
      <w:r>
        <w:t xml:space="preserve"> with fewer that one thousand cases </w:t>
      </w:r>
      <w:r>
        <w:rPr>
          <w:noProof/>
        </w:rPr>
        <w:t>(Carew &amp; Comiskey 2018a)</w:t>
      </w:r>
      <w:r w:rsidRPr="00177AA3">
        <w:t>.</w:t>
      </w:r>
      <w:r>
        <w:t xml:space="preserve">  </w:t>
      </w:r>
      <w:r w:rsidRPr="00B0388C">
        <w:t xml:space="preserve">The statistical power provided by </w:t>
      </w:r>
      <w:r>
        <w:t xml:space="preserve">this large study </w:t>
      </w:r>
      <w:r w:rsidRPr="00B0388C">
        <w:t>cohort</w:t>
      </w:r>
      <w:r>
        <w:t xml:space="preserve"> </w:t>
      </w:r>
      <w:r w:rsidRPr="00B0388C">
        <w:t xml:space="preserve">strengthens previous </w:t>
      </w:r>
      <w:r w:rsidRPr="00B0388C">
        <w:lastRenderedPageBreak/>
        <w:t xml:space="preserve">research </w:t>
      </w:r>
      <w:r>
        <w:t xml:space="preserve">on ageing opioid users </w:t>
      </w:r>
      <w:r w:rsidRPr="00B0388C">
        <w:t>internationally.</w:t>
      </w:r>
      <w:r>
        <w:t xml:space="preserve">  Nonetheless, </w:t>
      </w:r>
      <w:r w:rsidRPr="00B0388C">
        <w:t xml:space="preserve">reduced statistical power </w:t>
      </w:r>
      <w:r>
        <w:t>should be noted within the modality type</w:t>
      </w:r>
      <w:r w:rsidRPr="00B0388C">
        <w:t xml:space="preserve"> analysis.</w:t>
      </w:r>
      <w:r>
        <w:t xml:space="preserve">  The structured detoxification modality is based on a small number of records (n=108), which may explain </w:t>
      </w:r>
      <w:r w:rsidRPr="00B0388C">
        <w:t xml:space="preserve">the limited number of statistically significant effects observed for </w:t>
      </w:r>
      <w:r>
        <w:t xml:space="preserve">this treatment </w:t>
      </w:r>
      <w:r w:rsidRPr="00B0388C">
        <w:t>modalit</w:t>
      </w:r>
      <w:r>
        <w:t xml:space="preserve">y.  It is possible that the </w:t>
      </w:r>
      <w:r w:rsidRPr="00B0388C">
        <w:t xml:space="preserve">absence of statistically significant effects may be </w:t>
      </w:r>
      <w:r>
        <w:t>due to</w:t>
      </w:r>
      <w:r w:rsidRPr="00B0388C">
        <w:t xml:space="preserve"> of a lack of power rather than the absence of effects.</w:t>
      </w:r>
    </w:p>
    <w:p w:rsidR="003B0DEE" w:rsidRPr="00234B28" w:rsidRDefault="003B0DEE" w:rsidP="000D5D90">
      <w:pPr>
        <w:spacing w:before="120" w:after="120" w:line="360" w:lineRule="auto"/>
        <w:jc w:val="left"/>
        <w:rPr>
          <w:rFonts w:ascii="Arial" w:hAnsi="Arial"/>
          <w:sz w:val="20"/>
        </w:rPr>
      </w:pPr>
      <w:r>
        <w:rPr>
          <w:rFonts w:ascii="Arial" w:hAnsi="Arial"/>
          <w:sz w:val="20"/>
        </w:rPr>
        <w:t xml:space="preserve">The study relies partially on </w:t>
      </w:r>
      <w:r w:rsidRPr="004B307D">
        <w:rPr>
          <w:rFonts w:ascii="Arial" w:hAnsi="Arial"/>
          <w:sz w:val="20"/>
        </w:rPr>
        <w:t xml:space="preserve">self-reported data, which </w:t>
      </w:r>
      <w:r>
        <w:rPr>
          <w:rFonts w:ascii="Arial" w:hAnsi="Arial"/>
          <w:sz w:val="20"/>
        </w:rPr>
        <w:t>may affect</w:t>
      </w:r>
      <w:r w:rsidRPr="004B307D">
        <w:rPr>
          <w:rFonts w:ascii="Arial" w:hAnsi="Arial"/>
          <w:sz w:val="20"/>
        </w:rPr>
        <w:t xml:space="preserve"> reliability and validity.  Recall of historical information such as age first left school and age of first </w:t>
      </w:r>
      <w:r>
        <w:rPr>
          <w:rFonts w:ascii="Arial" w:hAnsi="Arial"/>
          <w:sz w:val="20"/>
        </w:rPr>
        <w:t xml:space="preserve">drug </w:t>
      </w:r>
      <w:r w:rsidRPr="004B307D">
        <w:rPr>
          <w:rFonts w:ascii="Arial" w:hAnsi="Arial"/>
          <w:sz w:val="20"/>
        </w:rPr>
        <w:t xml:space="preserve">use may be affected by </w:t>
      </w:r>
      <w:r>
        <w:rPr>
          <w:rFonts w:ascii="Arial" w:hAnsi="Arial"/>
          <w:sz w:val="20"/>
        </w:rPr>
        <w:t xml:space="preserve">problems associated with </w:t>
      </w:r>
      <w:r w:rsidRPr="004B307D">
        <w:rPr>
          <w:rFonts w:ascii="Arial" w:hAnsi="Arial"/>
          <w:sz w:val="20"/>
        </w:rPr>
        <w:t>memory</w:t>
      </w:r>
      <w:r>
        <w:rPr>
          <w:rFonts w:ascii="Arial" w:hAnsi="Arial"/>
          <w:sz w:val="20"/>
        </w:rPr>
        <w:t xml:space="preserve"> recall and </w:t>
      </w:r>
      <w:r w:rsidRPr="00234B28">
        <w:rPr>
          <w:rFonts w:ascii="Arial" w:hAnsi="Arial"/>
          <w:sz w:val="20"/>
        </w:rPr>
        <w:t>social desirability</w:t>
      </w:r>
      <w:r w:rsidRPr="004B307D">
        <w:rPr>
          <w:rFonts w:ascii="Arial" w:hAnsi="Arial"/>
          <w:sz w:val="20"/>
        </w:rPr>
        <w:t xml:space="preserve">. </w:t>
      </w:r>
      <w:r>
        <w:rPr>
          <w:rFonts w:ascii="Arial" w:hAnsi="Arial"/>
          <w:sz w:val="20"/>
        </w:rPr>
        <w:t xml:space="preserve"> It was not possible to </w:t>
      </w:r>
      <w:r w:rsidRPr="00234B28">
        <w:rPr>
          <w:rFonts w:ascii="Arial" w:hAnsi="Arial"/>
          <w:sz w:val="20"/>
        </w:rPr>
        <w:t xml:space="preserve">verify the reliability and validity of this information. </w:t>
      </w:r>
      <w:r>
        <w:rPr>
          <w:rFonts w:ascii="Arial" w:hAnsi="Arial"/>
          <w:sz w:val="20"/>
        </w:rPr>
        <w:t xml:space="preserve"> This limitation is not uncommon in studies conducted with drug-using populations.  However, considering the large number of variables collected in the dataset, the number of self-report variables is small.  </w:t>
      </w:r>
      <w:r w:rsidRPr="00234B28">
        <w:rPr>
          <w:rFonts w:ascii="Arial" w:hAnsi="Arial"/>
          <w:sz w:val="20"/>
        </w:rPr>
        <w:t>Despite these concerns, st</w:t>
      </w:r>
      <w:r>
        <w:rPr>
          <w:rFonts w:ascii="Arial" w:hAnsi="Arial"/>
          <w:sz w:val="20"/>
        </w:rPr>
        <w:t>udies have generally found self-</w:t>
      </w:r>
      <w:r w:rsidRPr="00234B28">
        <w:rPr>
          <w:rFonts w:ascii="Arial" w:hAnsi="Arial"/>
          <w:sz w:val="20"/>
        </w:rPr>
        <w:t xml:space="preserve">report of substance use to be reliable </w:t>
      </w:r>
      <w:r w:rsidRPr="00791A95">
        <w:rPr>
          <w:rFonts w:ascii="Arial" w:hAnsi="Arial" w:cs="Arial"/>
          <w:noProof/>
          <w:sz w:val="20"/>
        </w:rPr>
        <w:t>(Ehrman &amp; Robbins 1994, Adelekan</w:t>
      </w:r>
      <w:r w:rsidRPr="00791A95">
        <w:rPr>
          <w:rFonts w:ascii="Arial" w:hAnsi="Arial" w:cs="Arial"/>
          <w:i/>
          <w:noProof/>
          <w:sz w:val="20"/>
        </w:rPr>
        <w:t xml:space="preserve"> et al.</w:t>
      </w:r>
      <w:r w:rsidRPr="00791A95">
        <w:rPr>
          <w:rFonts w:ascii="Arial" w:hAnsi="Arial" w:cs="Arial"/>
          <w:noProof/>
          <w:sz w:val="20"/>
        </w:rPr>
        <w:t xml:space="preserve"> 1996, Darke 1998)</w:t>
      </w:r>
      <w:r w:rsidRPr="00234B28">
        <w:rPr>
          <w:rFonts w:ascii="Arial" w:hAnsi="Arial"/>
          <w:sz w:val="20"/>
        </w:rPr>
        <w:t>.</w:t>
      </w:r>
      <w:r>
        <w:rPr>
          <w:rFonts w:ascii="Arial" w:hAnsi="Arial"/>
          <w:sz w:val="20"/>
        </w:rPr>
        <w:t xml:space="preserve">  C</w:t>
      </w:r>
      <w:r w:rsidRPr="004B307D">
        <w:rPr>
          <w:rFonts w:ascii="Arial" w:hAnsi="Arial"/>
          <w:sz w:val="20"/>
        </w:rPr>
        <w:t xml:space="preserve">urrent drug problems are assessed and recorded by </w:t>
      </w:r>
      <w:r>
        <w:rPr>
          <w:rFonts w:ascii="Arial" w:hAnsi="Arial"/>
          <w:sz w:val="20"/>
        </w:rPr>
        <w:t xml:space="preserve">the </w:t>
      </w:r>
      <w:r w:rsidRPr="004B307D">
        <w:rPr>
          <w:rFonts w:ascii="Arial" w:hAnsi="Arial"/>
          <w:sz w:val="20"/>
        </w:rPr>
        <w:t xml:space="preserve">professionals treating the individual, as are </w:t>
      </w:r>
      <w:r>
        <w:rPr>
          <w:rFonts w:ascii="Arial" w:hAnsi="Arial"/>
          <w:sz w:val="20"/>
        </w:rPr>
        <w:t xml:space="preserve">the </w:t>
      </w:r>
      <w:r w:rsidRPr="004B307D">
        <w:rPr>
          <w:rFonts w:ascii="Arial" w:hAnsi="Arial"/>
          <w:sz w:val="20"/>
        </w:rPr>
        <w:t>treatment interventions</w:t>
      </w:r>
      <w:r>
        <w:rPr>
          <w:rFonts w:ascii="Arial" w:hAnsi="Arial"/>
          <w:sz w:val="20"/>
        </w:rPr>
        <w:t xml:space="preserve"> provided and discharge information, which are not subject to self-report bias</w:t>
      </w:r>
      <w:r w:rsidRPr="004B307D">
        <w:rPr>
          <w:rFonts w:ascii="Arial" w:hAnsi="Arial"/>
          <w:sz w:val="20"/>
        </w:rPr>
        <w:t xml:space="preserve">.  </w:t>
      </w:r>
    </w:p>
    <w:p w:rsidR="003B0DEE" w:rsidRDefault="003B0DEE" w:rsidP="000D5D90">
      <w:pPr>
        <w:widowControl w:val="0"/>
        <w:autoSpaceDE w:val="0"/>
        <w:autoSpaceDN w:val="0"/>
        <w:adjustRightInd w:val="0"/>
        <w:spacing w:line="360" w:lineRule="auto"/>
        <w:jc w:val="left"/>
        <w:rPr>
          <w:rFonts w:ascii="Arial" w:hAnsi="Arial"/>
          <w:sz w:val="20"/>
        </w:rPr>
      </w:pPr>
      <w:r w:rsidRPr="004B307D">
        <w:rPr>
          <w:rFonts w:ascii="Arial" w:hAnsi="Arial"/>
          <w:sz w:val="20"/>
        </w:rPr>
        <w:t xml:space="preserve">The quality of the data from the </w:t>
      </w:r>
      <w:r>
        <w:rPr>
          <w:rFonts w:ascii="Arial" w:hAnsi="Arial"/>
          <w:sz w:val="20"/>
        </w:rPr>
        <w:t>surveillance system</w:t>
      </w:r>
      <w:r w:rsidRPr="004B307D">
        <w:rPr>
          <w:rFonts w:ascii="Arial" w:hAnsi="Arial"/>
          <w:sz w:val="20"/>
        </w:rPr>
        <w:t xml:space="preserve"> must be considered. </w:t>
      </w:r>
      <w:r>
        <w:rPr>
          <w:rFonts w:ascii="Arial" w:hAnsi="Arial"/>
          <w:sz w:val="20"/>
        </w:rPr>
        <w:t xml:space="preserve"> </w:t>
      </w:r>
      <w:r w:rsidRPr="004B307D">
        <w:rPr>
          <w:rFonts w:ascii="Arial" w:hAnsi="Arial"/>
          <w:sz w:val="20"/>
        </w:rPr>
        <w:t xml:space="preserve">While </w:t>
      </w:r>
      <w:r>
        <w:rPr>
          <w:rFonts w:ascii="Arial" w:hAnsi="Arial"/>
          <w:sz w:val="20"/>
        </w:rPr>
        <w:t xml:space="preserve">the TDI adheres to </w:t>
      </w:r>
      <w:r w:rsidRPr="004B307D">
        <w:rPr>
          <w:rFonts w:ascii="Arial" w:hAnsi="Arial"/>
          <w:sz w:val="20"/>
        </w:rPr>
        <w:t xml:space="preserve">strict quality control procedures at all stages of the data collection and inputting process, it is possible that there were minor inaccuracies in the data.  The recording of </w:t>
      </w:r>
      <w:r>
        <w:rPr>
          <w:rFonts w:ascii="Arial" w:hAnsi="Arial"/>
          <w:sz w:val="20"/>
        </w:rPr>
        <w:t>TDI</w:t>
      </w:r>
      <w:r w:rsidRPr="004B307D">
        <w:rPr>
          <w:rFonts w:ascii="Arial" w:hAnsi="Arial"/>
          <w:sz w:val="20"/>
        </w:rPr>
        <w:t xml:space="preserve"> data was initially paper based, with practitioners manually completing hard copy forms, often extract</w:t>
      </w:r>
      <w:r>
        <w:rPr>
          <w:rFonts w:ascii="Arial" w:hAnsi="Arial"/>
          <w:sz w:val="20"/>
        </w:rPr>
        <w:t xml:space="preserve">ing data </w:t>
      </w:r>
      <w:r w:rsidRPr="004B307D">
        <w:rPr>
          <w:rFonts w:ascii="Arial" w:hAnsi="Arial"/>
          <w:sz w:val="20"/>
        </w:rPr>
        <w:t>from patient charts and clinical notes.  The</w:t>
      </w:r>
      <w:r>
        <w:rPr>
          <w:rFonts w:ascii="Arial" w:hAnsi="Arial"/>
          <w:sz w:val="20"/>
        </w:rPr>
        <w:t>se</w:t>
      </w:r>
      <w:r w:rsidRPr="004B307D">
        <w:rPr>
          <w:rFonts w:ascii="Arial" w:hAnsi="Arial"/>
          <w:sz w:val="20"/>
        </w:rPr>
        <w:t xml:space="preserve"> hard copy forms were later manually coded by different personnel and data inputted into a database.  There were many steps in the process where potential errors may have occurred.  However</w:t>
      </w:r>
      <w:r>
        <w:rPr>
          <w:rFonts w:ascii="Arial" w:hAnsi="Arial"/>
          <w:sz w:val="20"/>
        </w:rPr>
        <w:t>,</w:t>
      </w:r>
      <w:r w:rsidRPr="004B307D">
        <w:rPr>
          <w:rFonts w:ascii="Arial" w:hAnsi="Arial"/>
          <w:sz w:val="20"/>
        </w:rPr>
        <w:t xml:space="preserve"> in more recent years, the NDTRS has become electronic with treatment practitioners now entering data directly onto a web based system with integrated and instant validation checks.   </w:t>
      </w:r>
    </w:p>
    <w:p w:rsidR="003B0DEE" w:rsidRPr="002C347A" w:rsidRDefault="003B0DEE" w:rsidP="000D5D90">
      <w:pPr>
        <w:pStyle w:val="Heading2"/>
      </w:pPr>
      <w:bookmarkStart w:id="162" w:name="_Toc15331747"/>
      <w:r w:rsidRPr="002C347A">
        <w:t xml:space="preserve">Unique contribution </w:t>
      </w:r>
      <w:r w:rsidRPr="003E1B3B">
        <w:t>to</w:t>
      </w:r>
      <w:r w:rsidRPr="002C347A">
        <w:t xml:space="preserve"> knowledge</w:t>
      </w:r>
      <w:bookmarkEnd w:id="162"/>
    </w:p>
    <w:p w:rsidR="003B0DEE" w:rsidRDefault="003B0DEE" w:rsidP="000D5D90">
      <w:pPr>
        <w:widowControl w:val="0"/>
        <w:autoSpaceDE w:val="0"/>
        <w:autoSpaceDN w:val="0"/>
        <w:adjustRightInd w:val="0"/>
        <w:spacing w:line="360" w:lineRule="auto"/>
        <w:jc w:val="left"/>
        <w:rPr>
          <w:rFonts w:ascii="Arial" w:hAnsi="Arial"/>
          <w:sz w:val="20"/>
        </w:rPr>
      </w:pPr>
      <w:r w:rsidRPr="00CB4DC0">
        <w:rPr>
          <w:rFonts w:ascii="Arial" w:hAnsi="Arial"/>
          <w:sz w:val="20"/>
        </w:rPr>
        <w:t xml:space="preserve">This </w:t>
      </w:r>
      <w:r>
        <w:rPr>
          <w:rFonts w:ascii="Arial" w:hAnsi="Arial"/>
          <w:sz w:val="20"/>
        </w:rPr>
        <w:t xml:space="preserve">thesis </w:t>
      </w:r>
      <w:r w:rsidRPr="00CB4DC0">
        <w:rPr>
          <w:rFonts w:ascii="Arial" w:hAnsi="Arial"/>
          <w:sz w:val="20"/>
        </w:rPr>
        <w:t xml:space="preserve">contributed to knowledge concerning </w:t>
      </w:r>
      <w:r>
        <w:rPr>
          <w:rFonts w:ascii="Arial" w:hAnsi="Arial"/>
          <w:sz w:val="20"/>
        </w:rPr>
        <w:t xml:space="preserve">an </w:t>
      </w:r>
      <w:r w:rsidRPr="00CB4DC0">
        <w:rPr>
          <w:rFonts w:ascii="Arial" w:hAnsi="Arial"/>
          <w:sz w:val="20"/>
        </w:rPr>
        <w:t xml:space="preserve">ageing opioid treatment population in several ways: </w:t>
      </w:r>
    </w:p>
    <w:p w:rsidR="003B0DEE" w:rsidRPr="00F022FF" w:rsidRDefault="003B0DEE" w:rsidP="003B0DEE">
      <w:pPr>
        <w:pStyle w:val="ListParagraph"/>
        <w:widowControl w:val="0"/>
        <w:numPr>
          <w:ilvl w:val="0"/>
          <w:numId w:val="20"/>
        </w:numPr>
        <w:autoSpaceDE w:val="0"/>
        <w:autoSpaceDN w:val="0"/>
        <w:adjustRightInd w:val="0"/>
        <w:rPr>
          <w:rFonts w:cs="Arial"/>
        </w:rPr>
      </w:pPr>
      <w:r w:rsidRPr="00F022FF">
        <w:t>the systematic review that was undertaken in preparation of this study provides a unique rigorous overview of existing literature on the ageing of the opioid treatment population and their treatment outcomes</w:t>
      </w:r>
    </w:p>
    <w:p w:rsidR="003B0DEE" w:rsidRDefault="003B0DEE" w:rsidP="003B0DEE">
      <w:pPr>
        <w:pStyle w:val="ListParagraph"/>
        <w:widowControl w:val="0"/>
        <w:numPr>
          <w:ilvl w:val="0"/>
          <w:numId w:val="20"/>
        </w:numPr>
        <w:autoSpaceDE w:val="0"/>
        <w:autoSpaceDN w:val="0"/>
        <w:adjustRightInd w:val="0"/>
        <w:rPr>
          <w:rFonts w:cs="Arial"/>
        </w:rPr>
      </w:pPr>
      <w:proofErr w:type="gramStart"/>
      <w:r w:rsidRPr="00F022FF">
        <w:rPr>
          <w:rFonts w:cs="Arial"/>
        </w:rPr>
        <w:t>the</w:t>
      </w:r>
      <w:proofErr w:type="gramEnd"/>
      <w:r w:rsidRPr="00F022FF">
        <w:rPr>
          <w:rFonts w:cs="Arial"/>
        </w:rPr>
        <w:t xml:space="preserve"> lack of data is cited as the greatest limitation to understanding illicit substance use among older adults.  This study challenges the belief that data is the greatest limitation to understanding illicit substance use among older adults, and demonstrates how important and hidden aspects of the opioid crisis may be uncovered through </w:t>
      </w:r>
      <w:r>
        <w:rPr>
          <w:rFonts w:cs="Arial"/>
        </w:rPr>
        <w:t>‘</w:t>
      </w:r>
      <w:r w:rsidRPr="00F022FF">
        <w:rPr>
          <w:rFonts w:cs="Arial"/>
        </w:rPr>
        <w:t>data mining</w:t>
      </w:r>
      <w:r>
        <w:rPr>
          <w:rFonts w:cs="Arial"/>
        </w:rPr>
        <w:t>’</w:t>
      </w:r>
      <w:r w:rsidRPr="00F022FF">
        <w:rPr>
          <w:rFonts w:cs="Arial"/>
        </w:rPr>
        <w:t xml:space="preserve"> routinely gathered health surveillance data.  Data is not an obstacle, existing large scale international health surveillance systems have simply not being utilised effectively to understand the problem and move the field forward.  This study creates a new view that the understanding of the topic (ageing) is limited, not by the lack of data but by the failure to recognise the value of existing health surveillance systems.  This study applies established techniques to existing large scale health surveillance data to address gaps in </w:t>
      </w:r>
      <w:r w:rsidRPr="00F022FF">
        <w:rPr>
          <w:rFonts w:cs="Arial"/>
        </w:rPr>
        <w:lastRenderedPageBreak/>
        <w:t>the literature.  This study shows that secondary analysis permits valuable research to be conducted rapidly, efficiently, transparently and with no burden to the respondent.  Existing large scale heath surveillance systems should be investigated as a possible resource before valuable resources are invested in smaller scale studies.</w:t>
      </w:r>
    </w:p>
    <w:p w:rsidR="003B0DEE" w:rsidRDefault="003B0DEE" w:rsidP="003B0DEE">
      <w:pPr>
        <w:pStyle w:val="ListParagraph"/>
        <w:widowControl w:val="0"/>
        <w:numPr>
          <w:ilvl w:val="0"/>
          <w:numId w:val="20"/>
        </w:numPr>
        <w:autoSpaceDE w:val="0"/>
        <w:autoSpaceDN w:val="0"/>
        <w:adjustRightInd w:val="0"/>
        <w:rPr>
          <w:rFonts w:cs="Arial"/>
        </w:rPr>
      </w:pPr>
      <w:proofErr w:type="gramStart"/>
      <w:r>
        <w:rPr>
          <w:rFonts w:cs="Arial"/>
        </w:rPr>
        <w:t>t</w:t>
      </w:r>
      <w:r w:rsidRPr="00F022FF">
        <w:rPr>
          <w:rFonts w:cs="Arial"/>
        </w:rPr>
        <w:t>his</w:t>
      </w:r>
      <w:proofErr w:type="gramEnd"/>
      <w:r w:rsidRPr="00F022FF">
        <w:rPr>
          <w:rFonts w:cs="Arial"/>
        </w:rPr>
        <w:t xml:space="preserve"> study adds to the field of addiction by addressing the previously </w:t>
      </w:r>
      <w:r>
        <w:rPr>
          <w:rFonts w:cs="Arial"/>
        </w:rPr>
        <w:t>understated</w:t>
      </w:r>
      <w:r w:rsidRPr="00F022FF">
        <w:rPr>
          <w:rFonts w:cs="Arial"/>
        </w:rPr>
        <w:t xml:space="preserve"> topic of the ageing opioid-using population.  Older is defined in the literature based on chronological age, yet there is no consensus as to the definition of ‘old’.  Current knowledge is limited by the definition applied.  This study shows that it is not just chronological age that is important:  ‘old’ may be defined by (1) chronological age, and/or (2) duration of use.  This study opens up the neglected and overlooked topic definition.  The study findings expose the lack of consensus and justification for the numerous definitions used throughout the literature.  This study pushes the topic beyond the obvious focus of chronological age, highlighting the need to adequately define ‘old’ in order to move the field forward.  A data driven definition is proposed in this study for consideration by policy and practice experts.</w:t>
      </w:r>
    </w:p>
    <w:p w:rsidR="003B0DEE" w:rsidRDefault="003B0DEE" w:rsidP="003B0DEE">
      <w:pPr>
        <w:pStyle w:val="ListParagraph"/>
        <w:widowControl w:val="0"/>
        <w:numPr>
          <w:ilvl w:val="0"/>
          <w:numId w:val="20"/>
        </w:numPr>
        <w:autoSpaceDE w:val="0"/>
        <w:autoSpaceDN w:val="0"/>
        <w:adjustRightInd w:val="0"/>
        <w:rPr>
          <w:rFonts w:cs="Arial"/>
        </w:rPr>
      </w:pPr>
      <w:proofErr w:type="gramStart"/>
      <w:r>
        <w:rPr>
          <w:rFonts w:cs="Arial"/>
        </w:rPr>
        <w:t>t</w:t>
      </w:r>
      <w:r w:rsidRPr="00F022FF">
        <w:rPr>
          <w:rFonts w:cs="Arial"/>
        </w:rPr>
        <w:t>he</w:t>
      </w:r>
      <w:proofErr w:type="gramEnd"/>
      <w:r w:rsidRPr="00F022FF">
        <w:rPr>
          <w:rFonts w:cs="Arial"/>
        </w:rPr>
        <w:t xml:space="preserve"> literature indicates that the population who use opioid drugs are ageing.  This study is the first to use national data spanning more than two decades to specifically investigate ageing among people in treatment for opioid use and shows that ageing trends are driven only by subsets of the treatment population.  The first group driving ageing trends are people with early onset use of opioids (commenced use in their late teens/early twenties) and entered treatment for the first time for heroin use in their twenties.  In 2015, people fitting this description took approximately three years longer to enter treatment than in 2009.  The second group driving ageing trends is people with late onset use of opioids (commenced use in their early 30s) who entered treatment for heroin use in their mid-30s.  Although there were substantially fewer people with these profiles entering treatment in 2015 compared to 2009, the only statistically significant increases in age at treatment entry were for these groups.  </w:t>
      </w:r>
      <w:r>
        <w:t>There was no evidence that a</w:t>
      </w:r>
      <w:r w:rsidRPr="00F022FF">
        <w:rPr>
          <w:rFonts w:cs="Arial"/>
        </w:rPr>
        <w:t xml:space="preserve">geing trends were driven by over-the-counter or prescription opioid users despite the increase in the numbers of people seeking treatment for these problems.  </w:t>
      </w:r>
    </w:p>
    <w:p w:rsidR="003B0DEE" w:rsidRDefault="003B0DEE" w:rsidP="003B0DEE">
      <w:pPr>
        <w:pStyle w:val="ListParagraph"/>
        <w:widowControl w:val="0"/>
        <w:numPr>
          <w:ilvl w:val="0"/>
          <w:numId w:val="20"/>
        </w:numPr>
        <w:autoSpaceDE w:val="0"/>
        <w:autoSpaceDN w:val="0"/>
        <w:adjustRightInd w:val="0"/>
        <w:rPr>
          <w:rFonts w:cs="Arial"/>
        </w:rPr>
      </w:pPr>
      <w:proofErr w:type="gramStart"/>
      <w:r>
        <w:rPr>
          <w:rFonts w:cs="Arial"/>
        </w:rPr>
        <w:t>t</w:t>
      </w:r>
      <w:r w:rsidRPr="00F022FF">
        <w:rPr>
          <w:rFonts w:cs="Arial"/>
        </w:rPr>
        <w:t>his</w:t>
      </w:r>
      <w:proofErr w:type="gramEnd"/>
      <w:r w:rsidRPr="00F022FF">
        <w:rPr>
          <w:rFonts w:cs="Arial"/>
        </w:rPr>
        <w:t xml:space="preserve"> study shows that many people who entered treatment before turning 30 years of age (and considered ‘younger’ according to current literature definitions) have contributed to the ageing trends witnessed since 2009.  Therefore, it is not only chronological age that should be considered but, late onset use of opioids and also the length of time between opioid use onset and seeking treatment.  Within the systematic literature review, even the lowest age used to define ‘older’ at 37+ years, fails to capture this scenario due to the sole use </w:t>
      </w:r>
      <w:proofErr w:type="gramStart"/>
      <w:r w:rsidRPr="00F022FF">
        <w:rPr>
          <w:rFonts w:cs="Arial"/>
        </w:rPr>
        <w:t>of  chronological</w:t>
      </w:r>
      <w:proofErr w:type="gramEnd"/>
      <w:r w:rsidRPr="00F022FF">
        <w:rPr>
          <w:rFonts w:cs="Arial"/>
        </w:rPr>
        <w:t xml:space="preserve"> age</w:t>
      </w:r>
      <w:r>
        <w:rPr>
          <w:rFonts w:cs="Arial"/>
        </w:rPr>
        <w:t>.</w:t>
      </w:r>
      <w:r w:rsidRPr="00F022FF">
        <w:rPr>
          <w:rFonts w:cs="Arial"/>
        </w:rPr>
        <w:t xml:space="preserve">  </w:t>
      </w:r>
      <w:r>
        <w:rPr>
          <w:rFonts w:cs="Arial"/>
        </w:rPr>
        <w:t>T</w:t>
      </w:r>
      <w:r w:rsidRPr="00F022FF">
        <w:rPr>
          <w:rFonts w:cs="Arial"/>
        </w:rPr>
        <w:t>herefore</w:t>
      </w:r>
      <w:r>
        <w:rPr>
          <w:rFonts w:cs="Arial"/>
        </w:rPr>
        <w:t>,</w:t>
      </w:r>
      <w:r w:rsidRPr="00F022FF">
        <w:rPr>
          <w:rFonts w:cs="Arial"/>
        </w:rPr>
        <w:t xml:space="preserve"> these studies may have missed important trends due to their narrow view of ‘older’.  This study (1) calls into question the extent to which ageing is actually understood given the context of the published literature, </w:t>
      </w:r>
      <w:r>
        <w:rPr>
          <w:rFonts w:cs="Arial"/>
        </w:rPr>
        <w:t xml:space="preserve">and </w:t>
      </w:r>
      <w:r w:rsidRPr="00F022FF">
        <w:rPr>
          <w:rFonts w:cs="Arial"/>
        </w:rPr>
        <w:t>(2) highlights the need for the definition of ‘old’ to be evidence informed.</w:t>
      </w:r>
    </w:p>
    <w:p w:rsidR="003B0DEE" w:rsidRDefault="003B0DEE" w:rsidP="003B0DEE">
      <w:pPr>
        <w:pStyle w:val="ListParagraph"/>
        <w:widowControl w:val="0"/>
        <w:numPr>
          <w:ilvl w:val="0"/>
          <w:numId w:val="20"/>
        </w:numPr>
        <w:autoSpaceDE w:val="0"/>
        <w:autoSpaceDN w:val="0"/>
        <w:adjustRightInd w:val="0"/>
        <w:rPr>
          <w:rFonts w:cs="Arial"/>
        </w:rPr>
      </w:pPr>
      <w:proofErr w:type="gramStart"/>
      <w:r>
        <w:rPr>
          <w:rFonts w:cs="Arial"/>
        </w:rPr>
        <w:t>t</w:t>
      </w:r>
      <w:r w:rsidRPr="00F022FF">
        <w:rPr>
          <w:rFonts w:cs="Arial"/>
        </w:rPr>
        <w:t>he</w:t>
      </w:r>
      <w:proofErr w:type="gramEnd"/>
      <w:r w:rsidRPr="00F022FF">
        <w:rPr>
          <w:rFonts w:cs="Arial"/>
        </w:rPr>
        <w:t xml:space="preserve"> literature indicates that when younger and older age groups are compared, older groups achieve better treatment outcomes.  The study results indicate that chronological </w:t>
      </w:r>
      <w:r w:rsidRPr="00F022FF">
        <w:rPr>
          <w:rFonts w:cs="Arial"/>
        </w:rPr>
        <w:lastRenderedPageBreak/>
        <w:t xml:space="preserve">age is related to treatment completion.  The study findings show that older age at treatment entry is associated with reduced risk of treatment </w:t>
      </w:r>
      <w:proofErr w:type="gramStart"/>
      <w:r w:rsidRPr="00F022FF">
        <w:rPr>
          <w:rFonts w:cs="Arial"/>
        </w:rPr>
        <w:t>dropout,</w:t>
      </w:r>
      <w:proofErr w:type="gramEnd"/>
      <w:r w:rsidRPr="00F022FF">
        <w:rPr>
          <w:rFonts w:cs="Arial"/>
        </w:rPr>
        <w:t xml:space="preserve"> a one-year increase in age decreased the hazard of dropping out of treatment by approximately 1% within the opioid substitution and counselling only modalities.  The view regarding older age groups achieving better outcomes has been clarified, and only applies to certain treatment modalities.</w:t>
      </w:r>
    </w:p>
    <w:p w:rsidR="003B0DEE" w:rsidRPr="00F022FF" w:rsidRDefault="003B0DEE" w:rsidP="003B0DEE">
      <w:pPr>
        <w:pStyle w:val="ListParagraph"/>
        <w:widowControl w:val="0"/>
        <w:numPr>
          <w:ilvl w:val="0"/>
          <w:numId w:val="20"/>
        </w:numPr>
        <w:autoSpaceDE w:val="0"/>
        <w:autoSpaceDN w:val="0"/>
        <w:adjustRightInd w:val="0"/>
        <w:rPr>
          <w:rFonts w:cs="Arial"/>
        </w:rPr>
      </w:pPr>
      <w:proofErr w:type="gramStart"/>
      <w:r>
        <w:rPr>
          <w:rFonts w:cs="Arial"/>
        </w:rPr>
        <w:t>a</w:t>
      </w:r>
      <w:r w:rsidRPr="00F022FF">
        <w:rPr>
          <w:rFonts w:cs="Arial"/>
        </w:rPr>
        <w:t>lmost</w:t>
      </w:r>
      <w:proofErr w:type="gramEnd"/>
      <w:r w:rsidRPr="00F022FF">
        <w:rPr>
          <w:rFonts w:cs="Arial"/>
        </w:rPr>
        <w:t xml:space="preserve"> all studies in the systematic literature review involved small convenience samples from methadone treatment centres.  This study indicates that many people receive psychosocial treatments for opioid use and do not receive a pharmacological intervention.  It is possible to fill knowledge gaps for particular types of interventions using large scale pre-existing data.  What is ‘known’ in the literature about ageing among the opioid treatment population is limited by study design (small convenience samples receiving pharmacological treatments).  Generalisability of these studies to the wider opioid treatment population is limited, particularly those in receipt of non-pharmacological treatments.</w:t>
      </w:r>
    </w:p>
    <w:p w:rsidR="003B0DEE" w:rsidRDefault="003B0DEE" w:rsidP="000D5D90">
      <w:pPr>
        <w:widowControl w:val="0"/>
        <w:autoSpaceDE w:val="0"/>
        <w:autoSpaceDN w:val="0"/>
        <w:adjustRightInd w:val="0"/>
        <w:spacing w:line="360" w:lineRule="auto"/>
        <w:jc w:val="left"/>
        <w:rPr>
          <w:rFonts w:ascii="Arial" w:hAnsi="Arial" w:cs="Arial"/>
          <w:sz w:val="20"/>
        </w:rPr>
      </w:pPr>
      <w:r w:rsidRPr="00234B28">
        <w:rPr>
          <w:rFonts w:ascii="Arial" w:hAnsi="Arial" w:cs="Arial"/>
          <w:sz w:val="20"/>
        </w:rPr>
        <w:t xml:space="preserve">This </w:t>
      </w:r>
      <w:r>
        <w:rPr>
          <w:rFonts w:ascii="Arial" w:hAnsi="Arial" w:cs="Arial"/>
          <w:sz w:val="20"/>
        </w:rPr>
        <w:t xml:space="preserve">thesis is relevant in Ireland and also </w:t>
      </w:r>
      <w:r w:rsidRPr="00234B28">
        <w:rPr>
          <w:rFonts w:ascii="Arial" w:hAnsi="Arial" w:cs="Arial"/>
          <w:sz w:val="20"/>
        </w:rPr>
        <w:t xml:space="preserve">to a wide international audience as it highlights </w:t>
      </w:r>
      <w:r w:rsidRPr="003E1B3B">
        <w:rPr>
          <w:rFonts w:ascii="Arial" w:hAnsi="Arial" w:cs="Arial"/>
          <w:sz w:val="20"/>
        </w:rPr>
        <w:t>the complexities within an important opioid treatment population and begins to fill an important void.  The findings presented</w:t>
      </w:r>
      <w:r>
        <w:rPr>
          <w:rFonts w:ascii="Arial" w:hAnsi="Arial" w:cs="Arial"/>
          <w:sz w:val="20"/>
        </w:rPr>
        <w:t xml:space="preserve"> in this thesis</w:t>
      </w:r>
      <w:r w:rsidRPr="003E1B3B">
        <w:rPr>
          <w:rFonts w:ascii="Arial" w:hAnsi="Arial" w:cs="Arial"/>
          <w:sz w:val="20"/>
        </w:rPr>
        <w:t xml:space="preserve"> </w:t>
      </w:r>
      <w:r>
        <w:rPr>
          <w:rFonts w:ascii="Arial" w:hAnsi="Arial" w:cs="Arial"/>
          <w:sz w:val="20"/>
        </w:rPr>
        <w:t>provide</w:t>
      </w:r>
      <w:r w:rsidRPr="003E1B3B">
        <w:rPr>
          <w:rFonts w:ascii="Arial" w:hAnsi="Arial" w:cs="Arial"/>
          <w:sz w:val="20"/>
        </w:rPr>
        <w:t xml:space="preserve"> evidence that the opi</w:t>
      </w:r>
      <w:r>
        <w:rPr>
          <w:rFonts w:ascii="Arial" w:hAnsi="Arial" w:cs="Arial"/>
          <w:sz w:val="20"/>
        </w:rPr>
        <w:t>oid</w:t>
      </w:r>
      <w:r w:rsidRPr="003E1B3B">
        <w:rPr>
          <w:rFonts w:ascii="Arial" w:hAnsi="Arial" w:cs="Arial"/>
          <w:sz w:val="20"/>
        </w:rPr>
        <w:t xml:space="preserve"> treatment population is ageing and that important and unique subgroups exist.  Understanding the different types of opioid users provide</w:t>
      </w:r>
      <w:r>
        <w:rPr>
          <w:rFonts w:ascii="Arial" w:hAnsi="Arial" w:cs="Arial"/>
          <w:sz w:val="20"/>
        </w:rPr>
        <w:t>s</w:t>
      </w:r>
      <w:r w:rsidRPr="003E1B3B">
        <w:rPr>
          <w:rFonts w:ascii="Arial" w:hAnsi="Arial" w:cs="Arial"/>
          <w:sz w:val="20"/>
        </w:rPr>
        <w:t xml:space="preserve"> </w:t>
      </w:r>
      <w:r>
        <w:rPr>
          <w:rFonts w:ascii="Arial" w:hAnsi="Arial" w:cs="Arial"/>
          <w:sz w:val="20"/>
        </w:rPr>
        <w:t xml:space="preserve">new </w:t>
      </w:r>
      <w:r w:rsidRPr="003E1B3B">
        <w:rPr>
          <w:rFonts w:ascii="Arial" w:hAnsi="Arial" w:cs="Arial"/>
          <w:sz w:val="20"/>
        </w:rPr>
        <w:t>learning and allow</w:t>
      </w:r>
      <w:r>
        <w:rPr>
          <w:rFonts w:ascii="Arial" w:hAnsi="Arial" w:cs="Arial"/>
          <w:sz w:val="20"/>
        </w:rPr>
        <w:t>s</w:t>
      </w:r>
      <w:r w:rsidRPr="003E1B3B">
        <w:rPr>
          <w:rFonts w:ascii="Arial" w:hAnsi="Arial" w:cs="Arial"/>
          <w:sz w:val="20"/>
        </w:rPr>
        <w:t xml:space="preserve"> for interventions to be adapted for these groups.  </w:t>
      </w:r>
      <w:r w:rsidRPr="00234B28">
        <w:rPr>
          <w:rFonts w:ascii="Arial" w:hAnsi="Arial" w:cs="Arial"/>
          <w:sz w:val="20"/>
        </w:rPr>
        <w:t xml:space="preserve">Not </w:t>
      </w:r>
      <w:r>
        <w:rPr>
          <w:rFonts w:ascii="Arial" w:hAnsi="Arial" w:cs="Arial"/>
          <w:sz w:val="20"/>
        </w:rPr>
        <w:t>only does this study contribute</w:t>
      </w:r>
      <w:r w:rsidRPr="00234B28">
        <w:rPr>
          <w:rFonts w:ascii="Arial" w:hAnsi="Arial" w:cs="Arial"/>
          <w:sz w:val="20"/>
        </w:rPr>
        <w:t xml:space="preserve"> new knowledge to the field</w:t>
      </w:r>
      <w:r>
        <w:rPr>
          <w:rFonts w:ascii="Arial" w:hAnsi="Arial" w:cs="Arial"/>
          <w:sz w:val="20"/>
        </w:rPr>
        <w:t>, it</w:t>
      </w:r>
      <w:r w:rsidRPr="00234B28">
        <w:rPr>
          <w:rFonts w:ascii="Arial" w:hAnsi="Arial" w:cs="Arial"/>
          <w:sz w:val="20"/>
        </w:rPr>
        <w:t xml:space="preserve"> also offers an approach which can be replicated </w:t>
      </w:r>
      <w:r>
        <w:rPr>
          <w:rFonts w:ascii="Arial" w:hAnsi="Arial" w:cs="Arial"/>
          <w:sz w:val="20"/>
        </w:rPr>
        <w:t xml:space="preserve">with case level data </w:t>
      </w:r>
      <w:r w:rsidRPr="00234B28">
        <w:rPr>
          <w:rFonts w:ascii="Arial" w:hAnsi="Arial" w:cs="Arial"/>
          <w:sz w:val="20"/>
        </w:rPr>
        <w:t xml:space="preserve">across Europe and the United States, among other countries. </w:t>
      </w:r>
      <w:r>
        <w:rPr>
          <w:rFonts w:ascii="Arial" w:hAnsi="Arial" w:cs="Arial"/>
          <w:sz w:val="20"/>
        </w:rPr>
        <w:t xml:space="preserve"> Findings from this thesis were cited by the United Nations in a thematic segment about specific population groups within the World Drug Report 2018 </w:t>
      </w:r>
      <w:r>
        <w:rPr>
          <w:rFonts w:ascii="Arial" w:hAnsi="Arial" w:cs="Arial"/>
          <w:noProof/>
          <w:sz w:val="20"/>
        </w:rPr>
        <w:t>(United Nations Office on Drugs and Crime 2018)</w:t>
      </w:r>
      <w:r>
        <w:rPr>
          <w:rFonts w:ascii="Arial" w:hAnsi="Arial" w:cs="Arial"/>
          <w:sz w:val="20"/>
        </w:rPr>
        <w:t xml:space="preserve">.  In late 2018, the approach developed in </w:t>
      </w:r>
      <w:r w:rsidRPr="006E24DD">
        <w:rPr>
          <w:rFonts w:ascii="Arial" w:hAnsi="Arial" w:cs="Arial"/>
          <w:i/>
          <w:sz w:val="20"/>
        </w:rPr>
        <w:t>Chapter 4</w:t>
      </w:r>
      <w:r>
        <w:rPr>
          <w:rFonts w:ascii="Arial" w:hAnsi="Arial" w:cs="Arial"/>
          <w:sz w:val="20"/>
        </w:rPr>
        <w:t xml:space="preserve"> and published in a leading international addiction journal </w:t>
      </w:r>
      <w:r>
        <w:rPr>
          <w:rFonts w:ascii="Arial" w:hAnsi="Arial" w:cs="Arial"/>
          <w:noProof/>
          <w:sz w:val="20"/>
        </w:rPr>
        <w:t>(Carew &amp; Comiskey 2018b)</w:t>
      </w:r>
      <w:r>
        <w:rPr>
          <w:rFonts w:ascii="Arial" w:hAnsi="Arial" w:cs="Arial"/>
          <w:sz w:val="20"/>
        </w:rPr>
        <w:t xml:space="preserve"> was replicated by researchers in the United States to uncover hidden aspects of the U.S. opioid crisis </w:t>
      </w:r>
      <w:r>
        <w:rPr>
          <w:rFonts w:ascii="Arial" w:hAnsi="Arial" w:cs="Arial"/>
          <w:noProof/>
          <w:sz w:val="20"/>
        </w:rPr>
        <w:t>(Huhn</w:t>
      </w:r>
      <w:r w:rsidRPr="00791A95">
        <w:rPr>
          <w:rFonts w:ascii="Arial" w:hAnsi="Arial" w:cs="Arial"/>
          <w:i/>
          <w:noProof/>
          <w:sz w:val="20"/>
        </w:rPr>
        <w:t xml:space="preserve"> et al.</w:t>
      </w:r>
      <w:r>
        <w:rPr>
          <w:rFonts w:ascii="Arial" w:hAnsi="Arial" w:cs="Arial"/>
          <w:noProof/>
          <w:sz w:val="20"/>
        </w:rPr>
        <w:t xml:space="preserve"> 2018)</w:t>
      </w:r>
      <w:r>
        <w:rPr>
          <w:rFonts w:ascii="Arial" w:hAnsi="Arial" w:cs="Arial"/>
          <w:sz w:val="20"/>
        </w:rPr>
        <w:t xml:space="preserve">.  </w:t>
      </w:r>
    </w:p>
    <w:p w:rsidR="003B0DEE" w:rsidRDefault="003B0DEE" w:rsidP="000D5D90">
      <w:pPr>
        <w:pStyle w:val="Heading2"/>
      </w:pPr>
      <w:bookmarkStart w:id="163" w:name="_Toc15331748"/>
      <w:r w:rsidRPr="002C347A">
        <w:t>Conclusion of this study</w:t>
      </w:r>
      <w:bookmarkEnd w:id="163"/>
    </w:p>
    <w:p w:rsidR="003B0DEE" w:rsidRDefault="003B0DEE" w:rsidP="000D5D90">
      <w:pPr>
        <w:widowControl w:val="0"/>
        <w:autoSpaceDE w:val="0"/>
        <w:autoSpaceDN w:val="0"/>
        <w:adjustRightInd w:val="0"/>
        <w:spacing w:line="360" w:lineRule="auto"/>
        <w:jc w:val="left"/>
        <w:rPr>
          <w:rFonts w:ascii="Arial" w:hAnsi="Arial" w:cs="Arial"/>
          <w:sz w:val="20"/>
        </w:rPr>
      </w:pPr>
      <w:r w:rsidRPr="00820B9E">
        <w:rPr>
          <w:rFonts w:ascii="Arial" w:hAnsi="Arial" w:cs="Arial"/>
          <w:sz w:val="20"/>
        </w:rPr>
        <w:t xml:space="preserve">This study showed that </w:t>
      </w:r>
      <w:r>
        <w:rPr>
          <w:rFonts w:ascii="Arial" w:hAnsi="Arial" w:cs="Arial"/>
          <w:sz w:val="20"/>
        </w:rPr>
        <w:t>n</w:t>
      </w:r>
      <w:r w:rsidRPr="003E1B3B">
        <w:rPr>
          <w:rFonts w:ascii="Arial" w:hAnsi="Arial" w:cs="Arial"/>
          <w:sz w:val="20"/>
        </w:rPr>
        <w:t xml:space="preserve">ot only are people </w:t>
      </w:r>
      <w:r>
        <w:rPr>
          <w:rFonts w:ascii="Arial" w:hAnsi="Arial" w:cs="Arial"/>
          <w:sz w:val="20"/>
        </w:rPr>
        <w:t xml:space="preserve">who are </w:t>
      </w:r>
      <w:r w:rsidRPr="003E1B3B">
        <w:rPr>
          <w:rFonts w:ascii="Arial" w:hAnsi="Arial" w:cs="Arial"/>
          <w:sz w:val="20"/>
        </w:rPr>
        <w:t xml:space="preserve">admitted for opioid use treatment ageing, several hidden groups </w:t>
      </w:r>
      <w:proofErr w:type="gramStart"/>
      <w:r w:rsidRPr="003E1B3B">
        <w:rPr>
          <w:rFonts w:ascii="Arial" w:hAnsi="Arial" w:cs="Arial"/>
          <w:sz w:val="20"/>
        </w:rPr>
        <w:t>exist</w:t>
      </w:r>
      <w:proofErr w:type="gramEnd"/>
      <w:r w:rsidRPr="003E1B3B">
        <w:rPr>
          <w:rFonts w:ascii="Arial" w:hAnsi="Arial" w:cs="Arial"/>
          <w:sz w:val="20"/>
        </w:rPr>
        <w:t xml:space="preserve">. </w:t>
      </w:r>
      <w:r>
        <w:rPr>
          <w:rFonts w:ascii="Arial" w:hAnsi="Arial" w:cs="Arial"/>
          <w:sz w:val="20"/>
        </w:rPr>
        <w:t xml:space="preserve"> </w:t>
      </w:r>
      <w:r w:rsidRPr="00B76CA8">
        <w:rPr>
          <w:rFonts w:ascii="Arial" w:hAnsi="Arial" w:cs="Arial"/>
          <w:sz w:val="20"/>
        </w:rPr>
        <w:t xml:space="preserve">This presents a challenge for policy and practice to deliver appropriate care.  </w:t>
      </w:r>
      <w:r>
        <w:rPr>
          <w:rFonts w:ascii="Arial" w:hAnsi="Arial" w:cs="Arial"/>
          <w:sz w:val="20"/>
        </w:rPr>
        <w:t>Although t</w:t>
      </w:r>
      <w:r w:rsidRPr="00CF4963">
        <w:rPr>
          <w:rFonts w:ascii="Arial" w:hAnsi="Arial" w:cs="Arial"/>
          <w:sz w:val="20"/>
        </w:rPr>
        <w:t>he lack of data is cited as the greatest limitation to understanding illicit s</w:t>
      </w:r>
      <w:r>
        <w:rPr>
          <w:rFonts w:ascii="Arial" w:hAnsi="Arial" w:cs="Arial"/>
          <w:sz w:val="20"/>
        </w:rPr>
        <w:t xml:space="preserve">ubstance use among older adults, this study </w:t>
      </w:r>
      <w:r w:rsidRPr="00B76CA8">
        <w:rPr>
          <w:rFonts w:ascii="Arial" w:hAnsi="Arial" w:cs="Arial"/>
          <w:sz w:val="20"/>
        </w:rPr>
        <w:t>highlighted how existing, valuable health surveillance data is underutilised to provide insights into key drug use questions.</w:t>
      </w:r>
    </w:p>
    <w:p w:rsidR="003B0DEE" w:rsidRPr="00415182" w:rsidRDefault="003B0DEE" w:rsidP="000D5D90">
      <w:pPr>
        <w:spacing w:after="200" w:line="360" w:lineRule="auto"/>
        <w:rPr>
          <w:highlight w:val="yellow"/>
        </w:rPr>
      </w:pPr>
    </w:p>
    <w:p w:rsidR="003B0DEE" w:rsidRDefault="003B0DEE" w:rsidP="000D5D90">
      <w:pPr>
        <w:pStyle w:val="Caption"/>
        <w:sectPr w:rsidR="003B0DEE" w:rsidSect="000D5D90">
          <w:pgSz w:w="11907" w:h="16840" w:code="9"/>
          <w:pgMar w:top="1134" w:right="1134" w:bottom="1134" w:left="1985" w:header="709" w:footer="709" w:gutter="0"/>
          <w:cols w:space="708"/>
          <w:docGrid w:linePitch="360"/>
        </w:sectPr>
      </w:pPr>
    </w:p>
    <w:p w:rsidR="003B0DEE" w:rsidRPr="002D65B9" w:rsidRDefault="003B0DEE" w:rsidP="000D5D90">
      <w:pPr>
        <w:pStyle w:val="Heading1"/>
        <w:rPr>
          <w:color w:val="FFFFFF" w:themeColor="background1"/>
          <w:sz w:val="20"/>
        </w:rPr>
      </w:pPr>
      <w:bookmarkStart w:id="164" w:name="_Toc15331749"/>
      <w:r w:rsidRPr="002D65B9">
        <w:rPr>
          <w:color w:val="FFFFFF" w:themeColor="background1"/>
          <w:sz w:val="20"/>
        </w:rPr>
        <w:lastRenderedPageBreak/>
        <w:t>References</w:t>
      </w:r>
      <w:bookmarkEnd w:id="164"/>
    </w:p>
    <w:p w:rsidR="003B0DEE" w:rsidRPr="002E5ABE" w:rsidRDefault="003B0DEE" w:rsidP="000D5D90">
      <w:pPr>
        <w:pStyle w:val="Chapter"/>
      </w:pPr>
      <w:r>
        <w:t>References</w:t>
      </w:r>
    </w:p>
    <w:p w:rsidR="003B0DEE" w:rsidRPr="00CF4FC7" w:rsidRDefault="003B0DEE" w:rsidP="000D5D90">
      <w:pPr>
        <w:pStyle w:val="EndNoteBibliography"/>
      </w:pPr>
      <w:r w:rsidRPr="00CF4FC7">
        <w:rPr>
          <w:rFonts w:ascii="Arial" w:hAnsi="Arial" w:cs="Arial"/>
          <w:sz w:val="20"/>
        </w:rPr>
        <w:t xml:space="preserve">Adamson S.J., Sellman J.D. &amp; Frampton C.M.A. (2009) Patient predictors of alcohol treatment outcome: A systematic review.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36</w:t>
      </w:r>
      <w:r w:rsidRPr="00CF4FC7">
        <w:rPr>
          <w:rFonts w:ascii="Arial" w:hAnsi="Arial" w:cs="Arial"/>
          <w:sz w:val="20"/>
        </w:rPr>
        <w:t>(1), 75-86.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Adelekan M., Green A., Dasgupta N., Tallack F., Stimson G.V. &amp; Wells B. (1996) Reliability and validity of the Opiate Treatment Index among a sample of opioid users in the United Kingdom.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15</w:t>
      </w:r>
      <w:r w:rsidRPr="00CF4FC7">
        <w:rPr>
          <w:rFonts w:ascii="Arial" w:hAnsi="Arial" w:cs="Arial"/>
          <w:sz w:val="20"/>
        </w:rPr>
        <w:t>(3), 261-270.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Agar M. &amp; Reisinger H.S. (1999) Numbers and patterns: heroin indicators and what they represent. </w:t>
      </w:r>
      <w:r w:rsidRPr="00CF4FC7">
        <w:rPr>
          <w:rFonts w:ascii="Arial" w:hAnsi="Arial" w:cs="Arial"/>
          <w:i/>
          <w:sz w:val="20"/>
        </w:rPr>
        <w:t>Human Organization</w:t>
      </w:r>
      <w:r w:rsidRPr="00CF4FC7">
        <w:rPr>
          <w:rFonts w:ascii="Arial" w:hAnsi="Arial" w:cs="Arial"/>
          <w:sz w:val="20"/>
        </w:rPr>
        <w:t xml:space="preserve"> </w:t>
      </w:r>
      <w:r w:rsidRPr="00CF4FC7">
        <w:rPr>
          <w:rFonts w:ascii="Arial" w:hAnsi="Arial" w:cs="Arial"/>
          <w:b/>
          <w:sz w:val="20"/>
        </w:rPr>
        <w:t>58</w:t>
      </w:r>
      <w:r w:rsidRPr="00CF4FC7">
        <w:rPr>
          <w:rFonts w:ascii="Arial" w:hAnsi="Arial" w:cs="Arial"/>
          <w:sz w:val="20"/>
        </w:rPr>
        <w:t>(4), 365-374.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Aharonovich E., Liu X., Samet S., Nunes E., Waxman R. &amp; Hasin D. (2005) Postdischarge cannabis use and its relationship to cocaine, alcohol, and heroin use: a prospective study. </w:t>
      </w:r>
      <w:r w:rsidRPr="00CF4FC7">
        <w:rPr>
          <w:rFonts w:ascii="Arial" w:hAnsi="Arial" w:cs="Arial"/>
          <w:i/>
          <w:sz w:val="20"/>
        </w:rPr>
        <w:t>American Journal of Psychiatry</w:t>
      </w:r>
      <w:r w:rsidRPr="00CF4FC7">
        <w:rPr>
          <w:rFonts w:ascii="Arial" w:hAnsi="Arial" w:cs="Arial"/>
          <w:sz w:val="20"/>
        </w:rPr>
        <w:t xml:space="preserve"> </w:t>
      </w:r>
      <w:r w:rsidRPr="00CF4FC7">
        <w:rPr>
          <w:rFonts w:ascii="Arial" w:hAnsi="Arial" w:cs="Arial"/>
          <w:b/>
          <w:sz w:val="20"/>
        </w:rPr>
        <w:t>162</w:t>
      </w:r>
      <w:r w:rsidRPr="00CF4FC7">
        <w:rPr>
          <w:rFonts w:ascii="Arial" w:hAnsi="Arial" w:cs="Arial"/>
          <w:sz w:val="20"/>
        </w:rPr>
        <w:t>(8), 1507-1514.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Alblooshi H., Hulse G.K., El Kashef A., Al Hashmi H., Shawky M., Al Ghaferi H., Al Safar H. &amp; Tay G.K. (2016) The pattern of substance use disorder in the United Arab Emirates in 2015: results of a National Rehabilitation Centre cohort study. </w:t>
      </w:r>
      <w:r w:rsidRPr="00CF4FC7">
        <w:rPr>
          <w:rFonts w:ascii="Arial" w:hAnsi="Arial" w:cs="Arial"/>
          <w:i/>
          <w:sz w:val="20"/>
        </w:rPr>
        <w:t>Substance Abuse Treatment, Prevention, and Policy</w:t>
      </w:r>
      <w:r w:rsidRPr="00CF4FC7">
        <w:rPr>
          <w:rFonts w:ascii="Arial" w:hAnsi="Arial" w:cs="Arial"/>
          <w:sz w:val="20"/>
        </w:rPr>
        <w:t xml:space="preserve"> </w:t>
      </w:r>
      <w:r w:rsidRPr="00CF4FC7">
        <w:rPr>
          <w:rFonts w:ascii="Arial" w:hAnsi="Arial" w:cs="Arial"/>
          <w:b/>
          <w:sz w:val="20"/>
        </w:rPr>
        <w:t>11</w:t>
      </w:r>
      <w:r w:rsidRPr="00CF4FC7">
        <w:rPr>
          <w:rFonts w:ascii="Arial" w:hAnsi="Arial" w:cs="Arial"/>
          <w:sz w:val="20"/>
        </w:rPr>
        <w:t>(1), 19.</w:t>
      </w:r>
      <w:r>
        <w:rPr>
          <w:rFonts w:ascii="Arial" w:hAnsi="Arial" w:cs="Arial"/>
          <w:sz w:val="20"/>
        </w:rPr>
        <w:t xml:space="preserve"> DOI:</w:t>
      </w:r>
      <w:hyperlink r:id="rId26" w:tgtFrame="pmc_ext" w:history="1">
        <w:r w:rsidRPr="003B0DEE">
          <w:rPr>
            <w:rFonts w:ascii="Arial" w:hAnsi="Arial" w:cs="Arial"/>
            <w:sz w:val="20"/>
          </w:rPr>
          <w:t>10.1186/s13011-016-0062-5</w:t>
        </w:r>
      </w:hyperlink>
      <w:r>
        <w:rPr>
          <w:rFonts w:ascii="Arial" w:hAnsi="Arial" w:cs="Arial"/>
          <w:sz w:val="20"/>
        </w:rPr>
        <w:t>.</w:t>
      </w:r>
    </w:p>
    <w:p w:rsidR="003B0DEE" w:rsidRPr="00CF4FC7" w:rsidRDefault="003B0DEE" w:rsidP="000D5D90">
      <w:pPr>
        <w:pStyle w:val="EndNoteBibliography"/>
      </w:pPr>
      <w:r w:rsidRPr="00CF4FC7">
        <w:rPr>
          <w:rFonts w:ascii="Arial" w:hAnsi="Arial" w:cs="Arial"/>
          <w:sz w:val="20"/>
        </w:rPr>
        <w:t xml:space="preserve">Alterman A.I., McKay J.R., Mulvaney F.D. &amp; McLellan A.T. (1996) Prediction of attrition from day hospital treatment in lower socioeconomic cocaine-dependent men.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40</w:t>
      </w:r>
      <w:r w:rsidRPr="00CF4FC7">
        <w:rPr>
          <w:rFonts w:ascii="Arial" w:hAnsi="Arial" w:cs="Arial"/>
          <w:sz w:val="20"/>
        </w:rPr>
        <w:t>(3), 227-233.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Alterman A.I., Langenbucher J. &amp; Morrison R.L. (2001) State-level treatment outcome studies using administrative databases. </w:t>
      </w:r>
      <w:r w:rsidRPr="00CF4FC7">
        <w:rPr>
          <w:rFonts w:ascii="Arial" w:hAnsi="Arial" w:cs="Arial"/>
          <w:i/>
          <w:sz w:val="20"/>
        </w:rPr>
        <w:t>Evaluation Review</w:t>
      </w:r>
      <w:r w:rsidRPr="00CF4FC7">
        <w:rPr>
          <w:rFonts w:ascii="Arial" w:hAnsi="Arial" w:cs="Arial"/>
          <w:sz w:val="20"/>
        </w:rPr>
        <w:t xml:space="preserve"> </w:t>
      </w:r>
      <w:r w:rsidRPr="00CF4FC7">
        <w:rPr>
          <w:rFonts w:ascii="Arial" w:hAnsi="Arial" w:cs="Arial"/>
          <w:b/>
          <w:sz w:val="20"/>
        </w:rPr>
        <w:t>25</w:t>
      </w:r>
      <w:r w:rsidRPr="00CF4FC7">
        <w:rPr>
          <w:rFonts w:ascii="Arial" w:hAnsi="Arial" w:cs="Arial"/>
          <w:sz w:val="20"/>
        </w:rPr>
        <w:t>(2), 162-183.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Amato L., Minozzi S., Davoli M. &amp; Vecchi S. (2011a) Psychosocial and pharmacological treatments versus pharmacological treatments for opioid detoxification. </w:t>
      </w:r>
      <w:r w:rsidRPr="00CF4FC7">
        <w:rPr>
          <w:rFonts w:ascii="Arial" w:hAnsi="Arial" w:cs="Arial"/>
          <w:i/>
          <w:sz w:val="20"/>
        </w:rPr>
        <w:t>The Cochrane Database of Systematic Reviews</w:t>
      </w:r>
      <w:r w:rsidRPr="00CF4FC7">
        <w:rPr>
          <w:rFonts w:ascii="Arial" w:hAnsi="Arial" w:cs="Arial"/>
          <w:sz w:val="20"/>
        </w:rPr>
        <w:t xml:space="preserve"> (9).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Amato L., Minozzi S., Davoli M. &amp; Vecchi S. (2011b) Psychosocial combined with agonist maintenance treatments versus agonist maintenance treatments alone for treatment of opioid dependence. </w:t>
      </w:r>
      <w:r w:rsidRPr="00CF4FC7">
        <w:rPr>
          <w:rFonts w:ascii="Arial" w:hAnsi="Arial" w:cs="Arial"/>
          <w:i/>
          <w:sz w:val="20"/>
        </w:rPr>
        <w:t>The Cochrane Database of Systematic Reviews</w:t>
      </w:r>
      <w:r w:rsidRPr="00CF4FC7">
        <w:rPr>
          <w:rFonts w:ascii="Arial" w:hAnsi="Arial" w:cs="Arial"/>
          <w:sz w:val="20"/>
        </w:rPr>
        <w:t xml:space="preserve"> (10).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American Psychiatric Association (2013) </w:t>
      </w:r>
      <w:r w:rsidRPr="00CF4FC7">
        <w:rPr>
          <w:rFonts w:ascii="Arial" w:hAnsi="Arial" w:cs="Arial"/>
          <w:i/>
          <w:sz w:val="20"/>
        </w:rPr>
        <w:t>Diagnostic and statistical manual of mental disorders (DSM-5)</w:t>
      </w:r>
      <w:r w:rsidRPr="00CF4FC7">
        <w:rPr>
          <w:rFonts w:ascii="Arial" w:hAnsi="Arial" w:cs="Arial"/>
          <w:sz w:val="20"/>
        </w:rPr>
        <w:t>. 5th edn. American Psychiatric Association, Washington, DC.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Amiri S., Hirchak K., Lutz R., McDonell M.G., McPherson S.M., Roll J.M. &amp; Amram O. (2018) Three-year retention in methadone opioid agonist treatment: A survival analysis of clients by dose, area deprivation, and availability of alcohol and cannabis outlets.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193</w:t>
      </w:r>
      <w:r w:rsidRPr="00CF4FC7">
        <w:rPr>
          <w:rFonts w:ascii="Arial" w:hAnsi="Arial" w:cs="Arial"/>
          <w:sz w:val="20"/>
        </w:rPr>
        <w:t>, 63-68.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Anderson B.J. (2013) Is it farewell to codeine? </w:t>
      </w:r>
      <w:r w:rsidRPr="00CF4FC7">
        <w:rPr>
          <w:rFonts w:ascii="Arial" w:hAnsi="Arial" w:cs="Arial"/>
          <w:i/>
          <w:sz w:val="20"/>
        </w:rPr>
        <w:t>Archives of Disease in Childhood</w:t>
      </w:r>
      <w:r w:rsidRPr="00CF4FC7">
        <w:rPr>
          <w:rFonts w:ascii="Arial" w:hAnsi="Arial" w:cs="Arial"/>
          <w:sz w:val="20"/>
        </w:rPr>
        <w:t xml:space="preserve"> </w:t>
      </w:r>
      <w:r w:rsidRPr="00CF4FC7">
        <w:rPr>
          <w:rFonts w:ascii="Arial" w:hAnsi="Arial" w:cs="Arial"/>
          <w:b/>
          <w:sz w:val="20"/>
        </w:rPr>
        <w:t>98</w:t>
      </w:r>
      <w:r w:rsidRPr="00CF4FC7">
        <w:rPr>
          <w:rFonts w:ascii="Arial" w:hAnsi="Arial" w:cs="Arial"/>
          <w:sz w:val="20"/>
        </w:rPr>
        <w:t>(12), 986-988.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Antoine J., De Ridder K., Plettinckx E., Blanckaert P. &amp; Gremeaux L. (2016) Treatment for substance use disorders: the Belgian Treatment Demand Indicator registration protocol. </w:t>
      </w:r>
      <w:r w:rsidRPr="00CF4FC7">
        <w:rPr>
          <w:rFonts w:ascii="Arial" w:hAnsi="Arial" w:cs="Arial"/>
          <w:i/>
          <w:sz w:val="20"/>
        </w:rPr>
        <w:t>Archives of Public Health</w:t>
      </w:r>
      <w:r w:rsidRPr="00CF4FC7">
        <w:rPr>
          <w:rFonts w:ascii="Arial" w:hAnsi="Arial" w:cs="Arial"/>
          <w:sz w:val="20"/>
        </w:rPr>
        <w:t xml:space="preserve"> </w:t>
      </w:r>
      <w:r w:rsidRPr="00CF4FC7">
        <w:rPr>
          <w:rFonts w:ascii="Arial" w:hAnsi="Arial" w:cs="Arial"/>
          <w:b/>
          <w:sz w:val="20"/>
        </w:rPr>
        <w:t>74</w:t>
      </w:r>
      <w:r w:rsidRPr="00CF4FC7">
        <w:rPr>
          <w:rFonts w:ascii="Arial" w:hAnsi="Arial" w:cs="Arial"/>
          <w:sz w:val="20"/>
        </w:rPr>
        <w:t>(1), 27.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Arndt S., Acion L. &amp; White K. (2013) How the states stack up: Disparities in substance abuse outpatient treatment completion rates for minorities.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132</w:t>
      </w:r>
      <w:r w:rsidRPr="00CF4FC7">
        <w:rPr>
          <w:rFonts w:ascii="Arial" w:hAnsi="Arial" w:cs="Arial"/>
          <w:sz w:val="20"/>
        </w:rPr>
        <w:t>(3), 547-554.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Atkinson C. (2016) </w:t>
      </w:r>
      <w:r w:rsidRPr="00CF4FC7">
        <w:rPr>
          <w:rFonts w:ascii="Arial" w:hAnsi="Arial" w:cs="Arial"/>
          <w:i/>
          <w:sz w:val="20"/>
        </w:rPr>
        <w:t>Service responses for older high-risk drug users: a literature review.</w:t>
      </w:r>
      <w:r w:rsidRPr="00CF4FC7">
        <w:rPr>
          <w:rFonts w:ascii="Arial" w:hAnsi="Arial" w:cs="Arial"/>
          <w:sz w:val="20"/>
        </w:rPr>
        <w:t xml:space="preserve"> Scottish Centre for Crime and Justice Research, Glasgow.</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Australian Injecting Illicit Drug Users League (2011) </w:t>
      </w:r>
      <w:r w:rsidRPr="00CF4FC7">
        <w:rPr>
          <w:rFonts w:ascii="Arial" w:hAnsi="Arial" w:cs="Arial"/>
          <w:i/>
          <w:sz w:val="20"/>
        </w:rPr>
        <w:t>Double Jeopardy: Older Injecting Opioid Users in Australia: AIVL Discussion Paper</w:t>
      </w:r>
      <w:r w:rsidRPr="00CF4FC7">
        <w:rPr>
          <w:rFonts w:ascii="Arial" w:hAnsi="Arial" w:cs="Arial"/>
          <w:sz w:val="20"/>
        </w:rPr>
        <w:t>. Australian Injecting and Illicit Drug Users League, Canberra.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Babalonis S., Lofwall M.R., Nuzzo P.A., Siegel A.J. &amp; Walsh S.L. (2013) Abuse liability and reinforcing efficacy of oral tramadol in humans.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129</w:t>
      </w:r>
      <w:r w:rsidRPr="00CF4FC7">
        <w:rPr>
          <w:rFonts w:ascii="Arial" w:hAnsi="Arial" w:cs="Arial"/>
          <w:sz w:val="20"/>
        </w:rPr>
        <w:t>(1-2), 116-124.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Ball J.C. &amp; Ross A. (1991) </w:t>
      </w:r>
      <w:r w:rsidRPr="00CF4FC7">
        <w:rPr>
          <w:rFonts w:ascii="Arial" w:hAnsi="Arial" w:cs="Arial"/>
          <w:i/>
          <w:sz w:val="20"/>
        </w:rPr>
        <w:t>The effectiveness of methadone maintenance treatment: Patients, programs, services, and outcome</w:t>
      </w:r>
      <w:r w:rsidRPr="00CF4FC7">
        <w:rPr>
          <w:rFonts w:ascii="Arial" w:hAnsi="Arial" w:cs="Arial"/>
          <w:sz w:val="20"/>
        </w:rPr>
        <w:t>. Springer-Verlag Publishing, New York, NY.</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Barrio G., Montanari L., Bravo M.J., Guarita B., de la Fuente L., Pulido J. &amp; Vicente J. (2013) Trends of heroin use and heroin injection epidemics in Europe: findings from the EMCDDA treatment demand indicator (TDI).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45</w:t>
      </w:r>
      <w:r w:rsidRPr="00CF4FC7">
        <w:rPr>
          <w:rFonts w:ascii="Arial" w:hAnsi="Arial" w:cs="Arial"/>
          <w:sz w:val="20"/>
        </w:rPr>
        <w:t>(1), 19-30.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Bell J., Burrell T., Indig D. &amp; Gilmour S. (2006) Cycling in and out of treatment; participation in methadone treatment in NSW, 1990-2002.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81</w:t>
      </w:r>
      <w:r w:rsidRPr="00CF4FC7">
        <w:rPr>
          <w:rFonts w:ascii="Arial" w:hAnsi="Arial" w:cs="Arial"/>
          <w:sz w:val="20"/>
        </w:rPr>
        <w:t>(1), 55-61.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Beynon C. (2009) Drug use and ageing: older people do take drugs! </w:t>
      </w:r>
      <w:r w:rsidRPr="00CF4FC7">
        <w:rPr>
          <w:rFonts w:ascii="Arial" w:hAnsi="Arial" w:cs="Arial"/>
          <w:i/>
          <w:sz w:val="20"/>
        </w:rPr>
        <w:t>Age and Ageing</w:t>
      </w:r>
      <w:r w:rsidRPr="00CF4FC7">
        <w:rPr>
          <w:rFonts w:ascii="Arial" w:hAnsi="Arial" w:cs="Arial"/>
          <w:sz w:val="20"/>
        </w:rPr>
        <w:t xml:space="preserve"> </w:t>
      </w:r>
      <w:r w:rsidRPr="00CF4FC7">
        <w:rPr>
          <w:rFonts w:ascii="Arial" w:hAnsi="Arial" w:cs="Arial"/>
          <w:b/>
          <w:sz w:val="20"/>
        </w:rPr>
        <w:t>38</w:t>
      </w:r>
      <w:r w:rsidRPr="00CF4FC7">
        <w:rPr>
          <w:rFonts w:ascii="Arial" w:hAnsi="Arial" w:cs="Arial"/>
          <w:sz w:val="20"/>
        </w:rPr>
        <w:t>(1), 8-10.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Beynon C., McVeigh J., Hurst A. &amp; Marr A. (2010) Older and sicker: Changing mortality of drug users in treatment in the North West of England. </w:t>
      </w:r>
      <w:r w:rsidRPr="00CF4FC7">
        <w:rPr>
          <w:rFonts w:ascii="Arial" w:hAnsi="Arial" w:cs="Arial"/>
          <w:i/>
          <w:sz w:val="20"/>
        </w:rPr>
        <w:t>International Journal on Drug Policy</w:t>
      </w:r>
      <w:r w:rsidRPr="00CF4FC7">
        <w:rPr>
          <w:rFonts w:ascii="Arial" w:hAnsi="Arial" w:cs="Arial"/>
          <w:sz w:val="20"/>
        </w:rPr>
        <w:t xml:space="preserve"> </w:t>
      </w:r>
      <w:r w:rsidRPr="00CF4FC7">
        <w:rPr>
          <w:rFonts w:ascii="Arial" w:hAnsi="Arial" w:cs="Arial"/>
          <w:b/>
          <w:sz w:val="20"/>
        </w:rPr>
        <w:t>21</w:t>
      </w:r>
      <w:r w:rsidRPr="00CF4FC7">
        <w:rPr>
          <w:rFonts w:ascii="Arial" w:hAnsi="Arial" w:cs="Arial"/>
          <w:sz w:val="20"/>
        </w:rPr>
        <w:t>(5), 429-431.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Beynon C.M., McVeigh J. &amp; Roe B. (2007) Problematic drug use, ageing and older people: trends in the age of drug users in northwest England. </w:t>
      </w:r>
      <w:r w:rsidRPr="00CF4FC7">
        <w:rPr>
          <w:rFonts w:ascii="Arial" w:hAnsi="Arial" w:cs="Arial"/>
          <w:i/>
          <w:sz w:val="20"/>
        </w:rPr>
        <w:t>Ageing &amp; Society</w:t>
      </w:r>
      <w:r w:rsidRPr="00CF4FC7">
        <w:rPr>
          <w:rFonts w:ascii="Arial" w:hAnsi="Arial" w:cs="Arial"/>
          <w:sz w:val="20"/>
        </w:rPr>
        <w:t xml:space="preserve"> </w:t>
      </w:r>
      <w:r w:rsidRPr="00CF4FC7">
        <w:rPr>
          <w:rFonts w:ascii="Arial" w:hAnsi="Arial" w:cs="Arial"/>
          <w:b/>
          <w:sz w:val="20"/>
        </w:rPr>
        <w:t>27</w:t>
      </w:r>
      <w:r w:rsidRPr="00CF4FC7">
        <w:rPr>
          <w:rFonts w:ascii="Arial" w:hAnsi="Arial" w:cs="Arial"/>
          <w:sz w:val="20"/>
        </w:rPr>
        <w:t>(6), 799-810.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Bhatia U., Nadkarni A., Murthy P., Rao R. &amp; Crome I. (2015) Recent advances in treatment for older people with substance use problems: An updated systematic and narrative review. </w:t>
      </w:r>
      <w:r w:rsidRPr="00CF4FC7">
        <w:rPr>
          <w:rFonts w:ascii="Arial" w:hAnsi="Arial" w:cs="Arial"/>
          <w:i/>
          <w:sz w:val="20"/>
        </w:rPr>
        <w:t>European Geriatric Medicine</w:t>
      </w:r>
      <w:r w:rsidRPr="00CF4FC7">
        <w:rPr>
          <w:rFonts w:ascii="Arial" w:hAnsi="Arial" w:cs="Arial"/>
          <w:sz w:val="20"/>
        </w:rPr>
        <w:t xml:space="preserve"> </w:t>
      </w:r>
      <w:r w:rsidRPr="00CF4FC7">
        <w:rPr>
          <w:rFonts w:ascii="Arial" w:hAnsi="Arial" w:cs="Arial"/>
          <w:b/>
          <w:sz w:val="20"/>
        </w:rPr>
        <w:t>6</w:t>
      </w:r>
      <w:r w:rsidRPr="00CF4FC7">
        <w:rPr>
          <w:rFonts w:ascii="Arial" w:hAnsi="Arial" w:cs="Arial"/>
          <w:sz w:val="20"/>
        </w:rPr>
        <w:t>(6), 580–586.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Boeri M., Whalen T., Tyndall B. &amp; Ballard E. (2011) Drug use trajectory patterns among older drug users. </w:t>
      </w:r>
      <w:r w:rsidRPr="00CF4FC7">
        <w:rPr>
          <w:rFonts w:ascii="Arial" w:hAnsi="Arial" w:cs="Arial"/>
          <w:i/>
          <w:sz w:val="20"/>
        </w:rPr>
        <w:t>Substance Abuse and Rehabilitation</w:t>
      </w:r>
      <w:r w:rsidRPr="00CF4FC7">
        <w:rPr>
          <w:rFonts w:ascii="Arial" w:hAnsi="Arial" w:cs="Arial"/>
          <w:sz w:val="20"/>
        </w:rPr>
        <w:t xml:space="preserve"> </w:t>
      </w:r>
      <w:r w:rsidRPr="00CF4FC7">
        <w:rPr>
          <w:rFonts w:ascii="Arial" w:hAnsi="Arial" w:cs="Arial"/>
          <w:b/>
          <w:sz w:val="20"/>
        </w:rPr>
        <w:t>2011</w:t>
      </w:r>
      <w:r w:rsidRPr="00CF4FC7">
        <w:rPr>
          <w:rFonts w:ascii="Arial" w:hAnsi="Arial" w:cs="Arial"/>
          <w:sz w:val="20"/>
        </w:rPr>
        <w:t>(2), 89-102.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Bowling A. (2014) </w:t>
      </w:r>
      <w:r w:rsidRPr="00CF4FC7">
        <w:rPr>
          <w:rFonts w:ascii="Arial" w:hAnsi="Arial" w:cs="Arial"/>
          <w:i/>
          <w:sz w:val="20"/>
        </w:rPr>
        <w:t>Research methods in health investigating health and health services</w:t>
      </w:r>
      <w:r w:rsidRPr="00CF4FC7">
        <w:rPr>
          <w:rFonts w:ascii="Arial" w:hAnsi="Arial" w:cs="Arial"/>
          <w:sz w:val="20"/>
        </w:rPr>
        <w:t>. 4th edn. Open University Press, Buckingham, UK. .</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Bradburn M.J., Clark T.G., Love S.B. &amp; Altman D.G. (2003) Survival analysis Part III: multivariate data analysis -- choosing a model and assessing its adequacy and fit. </w:t>
      </w:r>
      <w:r w:rsidRPr="00CF4FC7">
        <w:rPr>
          <w:rFonts w:ascii="Arial" w:hAnsi="Arial" w:cs="Arial"/>
          <w:i/>
          <w:sz w:val="20"/>
        </w:rPr>
        <w:t>British Journal of Cancer</w:t>
      </w:r>
      <w:r w:rsidRPr="00CF4FC7">
        <w:rPr>
          <w:rFonts w:ascii="Arial" w:hAnsi="Arial" w:cs="Arial"/>
          <w:sz w:val="20"/>
        </w:rPr>
        <w:t xml:space="preserve"> </w:t>
      </w:r>
      <w:r w:rsidRPr="00CF4FC7">
        <w:rPr>
          <w:rFonts w:ascii="Arial" w:hAnsi="Arial" w:cs="Arial"/>
          <w:b/>
          <w:sz w:val="20"/>
        </w:rPr>
        <w:t>89</w:t>
      </w:r>
      <w:r w:rsidRPr="00CF4FC7">
        <w:rPr>
          <w:rFonts w:ascii="Arial" w:hAnsi="Arial" w:cs="Arial"/>
          <w:sz w:val="20"/>
        </w:rPr>
        <w:t>(4), 605-611.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Brewer D.D., Catalano R.F., Haggerty K., Gainey R.R. &amp; Fleming C.B. (1998) A meta-analysis of predictors of continued drug use during and after treatment for opiate addiction.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93</w:t>
      </w:r>
      <w:r w:rsidRPr="00CF4FC7">
        <w:rPr>
          <w:rFonts w:ascii="Arial" w:hAnsi="Arial" w:cs="Arial"/>
          <w:sz w:val="20"/>
        </w:rPr>
        <w:t>(1), 73-92.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Brorson H.H., Ajo Arnevik E., Rand-Hendriksen K. &amp; Duckert F. (2013) Drop-out from addiction treatment: a systematic review of risk factors. </w:t>
      </w:r>
      <w:r w:rsidRPr="00CF4FC7">
        <w:rPr>
          <w:rFonts w:ascii="Arial" w:hAnsi="Arial" w:cs="Arial"/>
          <w:i/>
          <w:sz w:val="20"/>
        </w:rPr>
        <w:t>Clinical Psychology Review</w:t>
      </w:r>
      <w:r w:rsidRPr="00CF4FC7">
        <w:rPr>
          <w:rFonts w:ascii="Arial" w:hAnsi="Arial" w:cs="Arial"/>
          <w:sz w:val="20"/>
        </w:rPr>
        <w:t xml:space="preserve"> </w:t>
      </w:r>
      <w:r w:rsidRPr="00CF4FC7">
        <w:rPr>
          <w:rFonts w:ascii="Arial" w:hAnsi="Arial" w:cs="Arial"/>
          <w:b/>
          <w:sz w:val="20"/>
        </w:rPr>
        <w:t>33</w:t>
      </w:r>
      <w:r w:rsidRPr="00CF4FC7">
        <w:rPr>
          <w:rFonts w:ascii="Arial" w:hAnsi="Arial" w:cs="Arial"/>
          <w:sz w:val="20"/>
        </w:rPr>
        <w:t>(8), 1010-1024.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Buchanich J.M., Balmert L.C., Pringle J.L., Williams K.E., Burke D.S. &amp; Marsh G.M. (2016) Patterns and trends in accidental poisoning death rates in the US, 1979-2014. </w:t>
      </w:r>
      <w:r w:rsidRPr="00CF4FC7">
        <w:rPr>
          <w:rFonts w:ascii="Arial" w:hAnsi="Arial" w:cs="Arial"/>
          <w:i/>
          <w:sz w:val="20"/>
        </w:rPr>
        <w:t>Preventive Medicine</w:t>
      </w:r>
      <w:r w:rsidRPr="00CF4FC7">
        <w:rPr>
          <w:rFonts w:ascii="Arial" w:hAnsi="Arial" w:cs="Arial"/>
          <w:sz w:val="20"/>
        </w:rPr>
        <w:t xml:space="preserve"> </w:t>
      </w:r>
      <w:r w:rsidRPr="00CF4FC7">
        <w:rPr>
          <w:rFonts w:ascii="Arial" w:hAnsi="Arial" w:cs="Arial"/>
          <w:b/>
          <w:sz w:val="20"/>
        </w:rPr>
        <w:t>89</w:t>
      </w:r>
      <w:r w:rsidRPr="00CF4FC7">
        <w:rPr>
          <w:rFonts w:ascii="Arial" w:hAnsi="Arial" w:cs="Arial"/>
          <w:sz w:val="20"/>
        </w:rPr>
        <w:t>, 317-323.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Bukten A., Skurtveit S., Waal H. &amp; Clausen T. (2014) Factors associated with dropout among patients in opioid maintenance treatment (OMT) and predictors of re-entry. A national registry-based study. </w:t>
      </w:r>
      <w:r w:rsidRPr="00CF4FC7">
        <w:rPr>
          <w:rFonts w:ascii="Arial" w:hAnsi="Arial" w:cs="Arial"/>
          <w:i/>
          <w:sz w:val="20"/>
        </w:rPr>
        <w:t>Addictive Behaviors</w:t>
      </w:r>
      <w:r w:rsidRPr="00CF4FC7">
        <w:rPr>
          <w:rFonts w:ascii="Arial" w:hAnsi="Arial" w:cs="Arial"/>
          <w:sz w:val="20"/>
        </w:rPr>
        <w:t xml:space="preserve"> </w:t>
      </w:r>
      <w:r w:rsidRPr="00CF4FC7">
        <w:rPr>
          <w:rFonts w:ascii="Arial" w:hAnsi="Arial" w:cs="Arial"/>
          <w:b/>
          <w:sz w:val="20"/>
        </w:rPr>
        <w:t>39</w:t>
      </w:r>
      <w:r w:rsidRPr="00CF4FC7">
        <w:rPr>
          <w:rFonts w:ascii="Arial" w:hAnsi="Arial" w:cs="Arial"/>
          <w:sz w:val="20"/>
        </w:rPr>
        <w:t>(10), 1504-1509.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Burns L., Randall D., Hall W.D., Law M., Butler T., Bell J. &amp; Degenhardt L. (2009) Opioid agonist pharmacotherapy in New South Wales from 1985 to 2006: patient characteristics and patterns and predictors of treatment retention.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104</w:t>
      </w:r>
      <w:r w:rsidRPr="00CF4FC7">
        <w:rPr>
          <w:rFonts w:ascii="Arial" w:hAnsi="Arial" w:cs="Arial"/>
          <w:sz w:val="20"/>
        </w:rPr>
        <w:t>(8), 1363-1372.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Burns N. &amp; Grove S.K. (2005) </w:t>
      </w:r>
      <w:r w:rsidRPr="00CF4FC7">
        <w:rPr>
          <w:rFonts w:ascii="Arial" w:hAnsi="Arial" w:cs="Arial"/>
          <w:i/>
          <w:sz w:val="20"/>
        </w:rPr>
        <w:t>The Practice of Nursing Research: Conduct, Critique and Utilization</w:t>
      </w:r>
      <w:r w:rsidRPr="00CF4FC7">
        <w:rPr>
          <w:rFonts w:ascii="Arial" w:hAnsi="Arial" w:cs="Arial"/>
          <w:sz w:val="20"/>
        </w:rPr>
        <w:t>. 5th edn. Elsevier Saunders, St. Louis, Missouri.</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Carew A.M., Bellerose D., Lyons S. &amp; Long J. (2009) </w:t>
      </w:r>
      <w:r w:rsidRPr="00CF4FC7">
        <w:rPr>
          <w:rFonts w:ascii="Arial" w:hAnsi="Arial" w:cs="Arial"/>
          <w:i/>
          <w:sz w:val="20"/>
        </w:rPr>
        <w:t>Trends in treated problem opiate use in Ireland, 2002 to 2007</w:t>
      </w:r>
      <w:r w:rsidRPr="00CF4FC7">
        <w:rPr>
          <w:rFonts w:ascii="Arial" w:hAnsi="Arial" w:cs="Arial"/>
          <w:sz w:val="20"/>
        </w:rPr>
        <w:t>. Health Research Board,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Carew A.M., Cafferty S., Long J., Bellerose D. &amp; Lyons S. (2013) Travellers accessing addiction services in Ireland (2007 to 2010): analysis of routine surveillance data. </w:t>
      </w:r>
      <w:r w:rsidRPr="00CF4FC7">
        <w:rPr>
          <w:rFonts w:ascii="Arial" w:hAnsi="Arial" w:cs="Arial"/>
          <w:i/>
          <w:sz w:val="20"/>
        </w:rPr>
        <w:t>Journal of Ethnicity in Substance Abuse</w:t>
      </w:r>
      <w:r w:rsidRPr="00CF4FC7">
        <w:rPr>
          <w:rFonts w:ascii="Arial" w:hAnsi="Arial" w:cs="Arial"/>
          <w:sz w:val="20"/>
        </w:rPr>
        <w:t xml:space="preserve"> </w:t>
      </w:r>
      <w:r w:rsidRPr="00CF4FC7">
        <w:rPr>
          <w:rFonts w:ascii="Arial" w:hAnsi="Arial" w:cs="Arial"/>
          <w:b/>
          <w:sz w:val="20"/>
        </w:rPr>
        <w:t>12</w:t>
      </w:r>
      <w:r w:rsidRPr="00CF4FC7">
        <w:rPr>
          <w:rFonts w:ascii="Arial" w:hAnsi="Arial" w:cs="Arial"/>
          <w:sz w:val="20"/>
        </w:rPr>
        <w:t>(4), 339-355.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Carew A.M., Murphy N., Long J., Hunter K., Lyons S., Walsh C. &amp; Thornton L. (2017) Incidence of hepatitis C among people who inject drugs in Ireland. </w:t>
      </w:r>
      <w:r w:rsidRPr="00CF4FC7">
        <w:rPr>
          <w:rFonts w:ascii="Arial" w:hAnsi="Arial" w:cs="Arial"/>
          <w:i/>
          <w:sz w:val="20"/>
        </w:rPr>
        <w:t>Hepatology, Medicine and Policy</w:t>
      </w:r>
      <w:r w:rsidRPr="00CF4FC7">
        <w:rPr>
          <w:rFonts w:ascii="Arial" w:hAnsi="Arial" w:cs="Arial"/>
          <w:sz w:val="20"/>
        </w:rPr>
        <w:t xml:space="preserve"> </w:t>
      </w:r>
      <w:r w:rsidRPr="00CF4FC7">
        <w:rPr>
          <w:rFonts w:ascii="Arial" w:hAnsi="Arial" w:cs="Arial"/>
          <w:b/>
          <w:sz w:val="20"/>
        </w:rPr>
        <w:t>2</w:t>
      </w:r>
      <w:r w:rsidRPr="00CF4FC7">
        <w:rPr>
          <w:rFonts w:ascii="Arial" w:hAnsi="Arial" w:cs="Arial"/>
          <w:sz w:val="20"/>
        </w:rPr>
        <w:t>(7).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Carew A.M. &amp; Comiskey C. (2018a) Treatment for opioid use and outcomes in older adults: a systematic literature review.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182</w:t>
      </w:r>
      <w:r w:rsidRPr="00CF4FC7">
        <w:rPr>
          <w:rFonts w:ascii="Arial" w:hAnsi="Arial" w:cs="Arial"/>
          <w:sz w:val="20"/>
        </w:rPr>
        <w:t>, 48-57.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Carew A.M. &amp; Comiskey C. (2018b) Rising incidence of ageing opioid users within the EU wide treatment demand indicator; The Irish opioid epidemic from 1996 to 2014.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192</w:t>
      </w:r>
      <w:r w:rsidRPr="00CF4FC7">
        <w:rPr>
          <w:rFonts w:ascii="Arial" w:hAnsi="Arial" w:cs="Arial"/>
          <w:sz w:val="20"/>
        </w:rPr>
        <w:t>, 329-337.</w:t>
      </w:r>
    </w:p>
    <w:p w:rsidR="003B0DEE" w:rsidRPr="00CF4FC7" w:rsidRDefault="003B0DEE" w:rsidP="000D5D90">
      <w:pPr>
        <w:pStyle w:val="EndNoteBibliography"/>
        <w:spacing w:after="0"/>
      </w:pPr>
    </w:p>
    <w:p w:rsidR="003B0DEE" w:rsidRPr="003B0DEE" w:rsidRDefault="003B0DEE" w:rsidP="000D5D90">
      <w:pPr>
        <w:pStyle w:val="EndNoteBibliography"/>
        <w:rPr>
          <w:rFonts w:ascii="Arial" w:hAnsi="Arial" w:cs="Arial"/>
          <w:sz w:val="20"/>
        </w:rPr>
      </w:pPr>
      <w:r w:rsidRPr="00CF4FC7">
        <w:rPr>
          <w:rFonts w:ascii="Arial" w:hAnsi="Arial" w:cs="Arial"/>
          <w:sz w:val="20"/>
        </w:rPr>
        <w:t xml:space="preserve">Chhatre S., Cook R., Mallik E. &amp; Jayadevappa R. (2017) Trends in substance use admissions among older adults. </w:t>
      </w:r>
      <w:r w:rsidRPr="00CF4FC7">
        <w:rPr>
          <w:rFonts w:ascii="Arial" w:hAnsi="Arial" w:cs="Arial"/>
          <w:i/>
          <w:sz w:val="20"/>
        </w:rPr>
        <w:t>BMC Health Services Research</w:t>
      </w:r>
      <w:r w:rsidRPr="00CF4FC7">
        <w:rPr>
          <w:rFonts w:ascii="Arial" w:hAnsi="Arial" w:cs="Arial"/>
          <w:sz w:val="20"/>
        </w:rPr>
        <w:t xml:space="preserve"> </w:t>
      </w:r>
      <w:r w:rsidRPr="00CF4FC7">
        <w:rPr>
          <w:rFonts w:ascii="Arial" w:hAnsi="Arial" w:cs="Arial"/>
          <w:b/>
          <w:sz w:val="20"/>
        </w:rPr>
        <w:t>17</w:t>
      </w:r>
      <w:r w:rsidRPr="00CF4FC7">
        <w:rPr>
          <w:rFonts w:ascii="Arial" w:hAnsi="Arial" w:cs="Arial"/>
          <w:sz w:val="20"/>
        </w:rPr>
        <w:t>(1), 584.</w:t>
      </w:r>
      <w:r>
        <w:rPr>
          <w:rFonts w:ascii="Arial" w:hAnsi="Arial" w:cs="Arial"/>
          <w:sz w:val="20"/>
        </w:rPr>
        <w:t xml:space="preserve"> DOI</w:t>
      </w:r>
      <w:r w:rsidRPr="003B0DEE">
        <w:rPr>
          <w:rFonts w:ascii="Arial" w:hAnsi="Arial" w:cs="Arial"/>
          <w:sz w:val="20"/>
        </w:rPr>
        <w:t>: 10.1186/s12913-017-2538-z</w:t>
      </w:r>
      <w:r>
        <w:rPr>
          <w:rFonts w:ascii="Arial" w:hAnsi="Arial" w:cs="Arial"/>
          <w:sz w:val="20"/>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Chiu T., Fang D., Chen J., Wang Y. &amp; Jeris C. (2001) A Robust and Scalable Clustering Algorithm for Mixed Type Attributes in Large Database Environment. 7th ACM SIGKDD International Conference on Knowledge Discovery and Data Mining 2001, San Francisco, California,</w:t>
      </w:r>
      <w:r w:rsidRPr="00CF4FC7">
        <w:rPr>
          <w:rFonts w:ascii="Arial" w:hAnsi="Arial" w:cs="Arial"/>
          <w:b/>
          <w:sz w:val="20"/>
        </w:rPr>
        <w:t xml:space="preserve"> </w:t>
      </w:r>
      <w:r w:rsidRPr="00CF4FC7">
        <w:rPr>
          <w:rFonts w:ascii="Arial" w:hAnsi="Arial" w:cs="Arial"/>
          <w:sz w:val="20"/>
        </w:rPr>
        <w:t>263–268.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Cicero T.J., Surratt H.L., Kurtz S., Ellis M.S. &amp; Inciardi J.A. (2012) Patterns of prescription opioid abuse and comorbidity in an aging treatment population.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42</w:t>
      </w:r>
      <w:r w:rsidRPr="00CF4FC7">
        <w:rPr>
          <w:rFonts w:ascii="Arial" w:hAnsi="Arial" w:cs="Arial"/>
          <w:sz w:val="20"/>
        </w:rPr>
        <w:t>(1), 87-94.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Clausen T. (2011) Mortality is reduced while on opiate maintenance treatment, but there is a temporary increase in mortality immediately after starting and stopping treatment, a finding that may vary by setting. </w:t>
      </w:r>
      <w:r w:rsidRPr="00CF4FC7">
        <w:rPr>
          <w:rFonts w:ascii="Arial" w:hAnsi="Arial" w:cs="Arial"/>
          <w:i/>
          <w:sz w:val="20"/>
        </w:rPr>
        <w:t>Evidence Based Medicine</w:t>
      </w:r>
      <w:r w:rsidRPr="00CF4FC7">
        <w:rPr>
          <w:rFonts w:ascii="Arial" w:hAnsi="Arial" w:cs="Arial"/>
          <w:sz w:val="20"/>
        </w:rPr>
        <w:t xml:space="preserve"> </w:t>
      </w:r>
      <w:r w:rsidRPr="00CF4FC7">
        <w:rPr>
          <w:rFonts w:ascii="Arial" w:hAnsi="Arial" w:cs="Arial"/>
          <w:b/>
          <w:sz w:val="20"/>
        </w:rPr>
        <w:t>16</w:t>
      </w:r>
      <w:r w:rsidRPr="00CF4FC7">
        <w:rPr>
          <w:rFonts w:ascii="Arial" w:hAnsi="Arial" w:cs="Arial"/>
          <w:sz w:val="20"/>
        </w:rPr>
        <w:t>(3), 94-95.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Collis J. &amp; Hussey R. (2014) </w:t>
      </w:r>
      <w:r w:rsidRPr="00CF4FC7">
        <w:rPr>
          <w:rFonts w:ascii="Arial" w:hAnsi="Arial" w:cs="Arial"/>
          <w:i/>
          <w:sz w:val="20"/>
        </w:rPr>
        <w:t>Business research : a practical guide for undergraduate and postgraduate students</w:t>
      </w:r>
      <w:r w:rsidRPr="00CF4FC7">
        <w:rPr>
          <w:rFonts w:ascii="Arial" w:hAnsi="Arial" w:cs="Arial"/>
          <w:sz w:val="20"/>
        </w:rPr>
        <w:t>. 4th edn. Basingstoke: Palgrave Macmillan, Hampshire.</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Colliver J.D., Compton W.M., Gfroerer J.C. &amp; Condon T. (2006) Projecting drug use among aging baby boomers in 2020. </w:t>
      </w:r>
      <w:r w:rsidRPr="00CF4FC7">
        <w:rPr>
          <w:rFonts w:ascii="Arial" w:hAnsi="Arial" w:cs="Arial"/>
          <w:i/>
          <w:sz w:val="20"/>
        </w:rPr>
        <w:t>Annals of Epidemiology</w:t>
      </w:r>
      <w:r w:rsidRPr="00CF4FC7">
        <w:rPr>
          <w:rFonts w:ascii="Arial" w:hAnsi="Arial" w:cs="Arial"/>
          <w:sz w:val="20"/>
        </w:rPr>
        <w:t xml:space="preserve"> </w:t>
      </w:r>
      <w:r w:rsidRPr="00CF4FC7">
        <w:rPr>
          <w:rFonts w:ascii="Arial" w:hAnsi="Arial" w:cs="Arial"/>
          <w:b/>
          <w:sz w:val="20"/>
        </w:rPr>
        <w:t>16</w:t>
      </w:r>
      <w:r w:rsidRPr="00CF4FC7">
        <w:rPr>
          <w:rFonts w:ascii="Arial" w:hAnsi="Arial" w:cs="Arial"/>
          <w:sz w:val="20"/>
        </w:rPr>
        <w:t>(4), 257-265.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Comptroller and Auditor General (2009) Comptroller and Auditor General special report: Drug addiction treatment and rehabilitation. Department of Community, Rural and Gaeltacht Affairs, Government of Ireland.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Creswell J. (2003) </w:t>
      </w:r>
      <w:r w:rsidRPr="00CF4FC7">
        <w:rPr>
          <w:rFonts w:ascii="Arial" w:hAnsi="Arial" w:cs="Arial"/>
          <w:i/>
          <w:sz w:val="20"/>
        </w:rPr>
        <w:t>Research Design: Qualitative and Quantitative and Mixed-Method Approaches</w:t>
      </w:r>
      <w:r w:rsidRPr="00CF4FC7">
        <w:rPr>
          <w:rFonts w:ascii="Arial" w:hAnsi="Arial" w:cs="Arial"/>
          <w:sz w:val="20"/>
        </w:rPr>
        <w:t>. 2nd edn. SAGE Publications, Inc., Thousand Oaks, CA.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Creswell J.W. (2014) Chapter 1, The Selection of a Research Approach. In </w:t>
      </w:r>
      <w:r w:rsidRPr="00CF4FC7">
        <w:rPr>
          <w:rFonts w:ascii="Arial" w:hAnsi="Arial" w:cs="Arial"/>
          <w:i/>
          <w:sz w:val="20"/>
        </w:rPr>
        <w:t>Research Design: Qualitative, Quantitative, and Mixed Methods Approaches</w:t>
      </w:r>
      <w:r w:rsidRPr="00CF4FC7">
        <w:rPr>
          <w:rFonts w:ascii="Arial" w:hAnsi="Arial" w:cs="Arial"/>
          <w:sz w:val="20"/>
        </w:rPr>
        <w:t>, 4th edn. (Creswell J.W., ed), SAGE Publications, Inc Los Angeles, London, New Delhi, Singapore, Washington DC, pp. 3-23.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Crome I., Sidhu H. &amp; Crome P. (2009) No longer only a young man’s disease — Illicit drugs and older people. </w:t>
      </w:r>
      <w:r w:rsidRPr="00CF4FC7">
        <w:rPr>
          <w:rFonts w:ascii="Arial" w:hAnsi="Arial" w:cs="Arial"/>
          <w:i/>
          <w:sz w:val="20"/>
        </w:rPr>
        <w:t>The Journal of Nutrition, Health &amp; Aging</w:t>
      </w:r>
      <w:r w:rsidRPr="00CF4FC7">
        <w:rPr>
          <w:rFonts w:ascii="Arial" w:hAnsi="Arial" w:cs="Arial"/>
          <w:sz w:val="20"/>
        </w:rPr>
        <w:t xml:space="preserve"> </w:t>
      </w:r>
      <w:r w:rsidRPr="00CF4FC7">
        <w:rPr>
          <w:rFonts w:ascii="Arial" w:hAnsi="Arial" w:cs="Arial"/>
          <w:b/>
          <w:sz w:val="20"/>
        </w:rPr>
        <w:t>13</w:t>
      </w:r>
      <w:r w:rsidRPr="00CF4FC7">
        <w:rPr>
          <w:rFonts w:ascii="Arial" w:hAnsi="Arial" w:cs="Arial"/>
          <w:sz w:val="20"/>
        </w:rPr>
        <w:t>(2), 141-143.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Crome I., Dar K., Janikiewicz S., Rao T. &amp; Tarbuck A. (2011a) </w:t>
      </w:r>
      <w:r w:rsidRPr="00CF4FC7">
        <w:rPr>
          <w:rFonts w:ascii="Arial" w:hAnsi="Arial" w:cs="Arial"/>
          <w:i/>
          <w:sz w:val="20"/>
        </w:rPr>
        <w:t>Our invisible addicts. First report of the older persons’ substance misuse working group of the Royal College of Psychiatrists.</w:t>
      </w:r>
      <w:r w:rsidRPr="00CF4FC7">
        <w:rPr>
          <w:rFonts w:ascii="Arial" w:hAnsi="Arial" w:cs="Arial"/>
          <w:sz w:val="20"/>
        </w:rPr>
        <w:t xml:space="preserve"> Royal College of Psychiatrists, London </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Crome I., Crome P. &amp; Rao R. (2011b) Addiction and ageing–awareness, assessment and action. </w:t>
      </w:r>
      <w:r w:rsidRPr="00CF4FC7">
        <w:rPr>
          <w:rFonts w:ascii="Arial" w:hAnsi="Arial" w:cs="Arial"/>
          <w:i/>
          <w:sz w:val="20"/>
        </w:rPr>
        <w:t>Age and Ageing</w:t>
      </w:r>
      <w:r w:rsidRPr="00CF4FC7">
        <w:rPr>
          <w:rFonts w:ascii="Arial" w:hAnsi="Arial" w:cs="Arial"/>
          <w:sz w:val="20"/>
        </w:rPr>
        <w:t xml:space="preserve"> </w:t>
      </w:r>
      <w:r w:rsidRPr="00CF4FC7">
        <w:rPr>
          <w:rFonts w:ascii="Arial" w:hAnsi="Arial" w:cs="Arial"/>
          <w:b/>
          <w:sz w:val="20"/>
        </w:rPr>
        <w:t>40</w:t>
      </w:r>
      <w:r w:rsidRPr="00CF4FC7">
        <w:rPr>
          <w:rFonts w:ascii="Arial" w:hAnsi="Arial" w:cs="Arial"/>
          <w:sz w:val="20"/>
        </w:rPr>
        <w:t>(6), 657-658.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Crome I., Wu L., Rao R. &amp; Crome P. (2015) </w:t>
      </w:r>
      <w:r w:rsidRPr="00CF4FC7">
        <w:rPr>
          <w:rFonts w:ascii="Arial" w:hAnsi="Arial" w:cs="Arial"/>
          <w:i/>
          <w:sz w:val="20"/>
        </w:rPr>
        <w:t>Substance use and older people</w:t>
      </w:r>
      <w:r w:rsidRPr="00CF4FC7">
        <w:rPr>
          <w:rFonts w:ascii="Arial" w:hAnsi="Arial" w:cs="Arial"/>
          <w:sz w:val="20"/>
        </w:rPr>
        <w:t>. 1 edn. John Wiley &amp; Sons Inc., West Sussex, UK.</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Crotty M. (1998) </w:t>
      </w:r>
      <w:r w:rsidRPr="00CF4FC7">
        <w:rPr>
          <w:rFonts w:ascii="Arial" w:hAnsi="Arial" w:cs="Arial"/>
          <w:i/>
          <w:sz w:val="20"/>
        </w:rPr>
        <w:t>The foundations of social research : meaning and perspective in the research process</w:t>
      </w:r>
      <w:r w:rsidRPr="00CF4FC7">
        <w:rPr>
          <w:rFonts w:ascii="Arial" w:hAnsi="Arial" w:cs="Arial"/>
          <w:sz w:val="20"/>
        </w:rPr>
        <w:t>. SAGE Publications, London.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Cullen W., O'Brien S., O'Carroll A., O'Kelly F.D. &amp; Bury G. (2009) Chronic illness and multimorbidity among problem drug users: a comparative cross sectional pilot study in primary care. </w:t>
      </w:r>
      <w:r w:rsidRPr="00CF4FC7">
        <w:rPr>
          <w:rFonts w:ascii="Arial" w:hAnsi="Arial" w:cs="Arial"/>
          <w:i/>
          <w:sz w:val="20"/>
        </w:rPr>
        <w:t>BMC Family Practice</w:t>
      </w:r>
      <w:r w:rsidRPr="00CF4FC7">
        <w:rPr>
          <w:rFonts w:ascii="Arial" w:hAnsi="Arial" w:cs="Arial"/>
          <w:sz w:val="20"/>
        </w:rPr>
        <w:t xml:space="preserve"> </w:t>
      </w:r>
      <w:r w:rsidRPr="00CF4FC7">
        <w:rPr>
          <w:rFonts w:ascii="Arial" w:hAnsi="Arial" w:cs="Arial"/>
          <w:b/>
          <w:sz w:val="20"/>
        </w:rPr>
        <w:t>10</w:t>
      </w:r>
      <w:r w:rsidRPr="00CF4FC7">
        <w:rPr>
          <w:rFonts w:ascii="Arial" w:hAnsi="Arial" w:cs="Arial"/>
          <w:sz w:val="20"/>
        </w:rPr>
        <w:t>, 25.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Dalsbø T.K., Hammerstrøm K.T., Vist G.E., Gjermo H., Smedslund G., Steiro A. &amp; Høie B. (2010) Psychosocial interventions for retention in drug abuse treatment. </w:t>
      </w:r>
      <w:r w:rsidRPr="00CF4FC7">
        <w:rPr>
          <w:rFonts w:ascii="Arial" w:hAnsi="Arial" w:cs="Arial"/>
          <w:i/>
          <w:sz w:val="20"/>
        </w:rPr>
        <w:t>Cochrane Database of Systematic Reviews</w:t>
      </w:r>
      <w:r w:rsidRPr="00CF4FC7">
        <w:rPr>
          <w:rFonts w:ascii="Arial" w:hAnsi="Arial" w:cs="Arial"/>
          <w:sz w:val="20"/>
        </w:rPr>
        <w:t xml:space="preserve"> (1).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 S. (1998) Self-report among injecting drug users: a review.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51</w:t>
      </w:r>
      <w:r w:rsidRPr="00CF4FC7">
        <w:rPr>
          <w:rFonts w:ascii="Arial" w:hAnsi="Arial" w:cs="Arial"/>
          <w:sz w:val="20"/>
        </w:rPr>
        <w:t>(3), 253-263.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 S., Mills K.L., Ross J., Williamson A., Havard A. &amp; Teesson M. (2009) The ageing heroin user: career length, clinical profile and outcomes across 36 months.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28</w:t>
      </w:r>
      <w:r w:rsidRPr="00CF4FC7">
        <w:rPr>
          <w:rFonts w:ascii="Arial" w:hAnsi="Arial" w:cs="Arial"/>
          <w:sz w:val="20"/>
        </w:rPr>
        <w:t>(3), 243-249.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 S., Mills K.L., Ross J. &amp; Teesson M. (2011) Rates and correlates of mortality amongst heroin users: findings from the Australian Treatment Outcome Study (ATOS), 2001-2009.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115</w:t>
      </w:r>
      <w:r w:rsidRPr="00CF4FC7">
        <w:rPr>
          <w:rFonts w:ascii="Arial" w:hAnsi="Arial" w:cs="Arial"/>
          <w:sz w:val="20"/>
        </w:rPr>
        <w:t>(3), 190-195.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 S. (2011) </w:t>
      </w:r>
      <w:r w:rsidRPr="00CF4FC7">
        <w:rPr>
          <w:rFonts w:ascii="Arial" w:hAnsi="Arial" w:cs="Arial"/>
          <w:i/>
          <w:sz w:val="20"/>
        </w:rPr>
        <w:t>The life of the heroin user: typical beginnings, trajectories and outcomes.</w:t>
      </w:r>
      <w:r w:rsidRPr="00CF4FC7">
        <w:rPr>
          <w:rFonts w:ascii="Arial" w:hAnsi="Arial" w:cs="Arial"/>
          <w:sz w:val="20"/>
        </w:rPr>
        <w:t>, 1st edn. Cambridge University Press, New York.</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 S.G., Ross J.E. &amp; Hall W.D. (1995) Benzodiazepine use among injecting heroin users. </w:t>
      </w:r>
      <w:r w:rsidRPr="00CF4FC7">
        <w:rPr>
          <w:rFonts w:ascii="Arial" w:hAnsi="Arial" w:cs="Arial"/>
          <w:i/>
          <w:sz w:val="20"/>
        </w:rPr>
        <w:t>Medical Journal of Australia</w:t>
      </w:r>
      <w:r w:rsidRPr="00CF4FC7">
        <w:rPr>
          <w:rFonts w:ascii="Arial" w:hAnsi="Arial" w:cs="Arial"/>
          <w:sz w:val="20"/>
        </w:rPr>
        <w:t xml:space="preserve"> </w:t>
      </w:r>
      <w:r w:rsidRPr="00CF4FC7">
        <w:rPr>
          <w:rFonts w:ascii="Arial" w:hAnsi="Arial" w:cs="Arial"/>
          <w:b/>
          <w:sz w:val="20"/>
        </w:rPr>
        <w:t>162</w:t>
      </w:r>
      <w:r w:rsidRPr="00CF4FC7">
        <w:rPr>
          <w:rFonts w:ascii="Arial" w:hAnsi="Arial" w:cs="Arial"/>
          <w:sz w:val="20"/>
        </w:rPr>
        <w:t>(12), 645-647.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Darker C.D., Ho J., Kelly G., Whiston L. &amp; Barry J. (2016) Demographic and clinical factors predicting retention in methadone maintenance: results from an Irish cohort. </w:t>
      </w:r>
      <w:r w:rsidRPr="00CF4FC7">
        <w:rPr>
          <w:rFonts w:ascii="Arial" w:hAnsi="Arial" w:cs="Arial"/>
          <w:i/>
          <w:sz w:val="20"/>
        </w:rPr>
        <w:t>Irish Journal of Medical Science</w:t>
      </w:r>
      <w:r w:rsidRPr="00CF4FC7">
        <w:rPr>
          <w:rFonts w:ascii="Arial" w:hAnsi="Arial" w:cs="Arial"/>
          <w:sz w:val="20"/>
        </w:rPr>
        <w:t xml:space="preserve"> </w:t>
      </w:r>
      <w:r w:rsidRPr="00CF4FC7">
        <w:rPr>
          <w:rFonts w:ascii="Arial" w:hAnsi="Arial" w:cs="Arial"/>
          <w:b/>
          <w:sz w:val="20"/>
        </w:rPr>
        <w:t>185</w:t>
      </w:r>
      <w:r w:rsidRPr="00CF4FC7">
        <w:rPr>
          <w:rFonts w:ascii="Arial" w:hAnsi="Arial" w:cs="Arial"/>
          <w:sz w:val="20"/>
        </w:rPr>
        <w:t>(2), 433-441.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Davstad I., Stenbacka M., Leifman A., Beck O., Korkmaz S. &amp; Romelsjo A. (2007) Patterns of illicit drug use and retention in a methadone program: a longitudinal study. </w:t>
      </w:r>
      <w:r w:rsidRPr="00CF4FC7">
        <w:rPr>
          <w:rFonts w:ascii="Arial" w:hAnsi="Arial" w:cs="Arial"/>
          <w:i/>
          <w:sz w:val="20"/>
        </w:rPr>
        <w:t>Journal of Opioid Management</w:t>
      </w:r>
      <w:r w:rsidRPr="00CF4FC7">
        <w:rPr>
          <w:rFonts w:ascii="Arial" w:hAnsi="Arial" w:cs="Arial"/>
          <w:sz w:val="20"/>
        </w:rPr>
        <w:t xml:space="preserve"> </w:t>
      </w:r>
      <w:r w:rsidRPr="00CF4FC7">
        <w:rPr>
          <w:rFonts w:ascii="Arial" w:hAnsi="Arial" w:cs="Arial"/>
          <w:b/>
          <w:sz w:val="20"/>
        </w:rPr>
        <w:t>3</w:t>
      </w:r>
      <w:r w:rsidRPr="00CF4FC7">
        <w:rPr>
          <w:rFonts w:ascii="Arial" w:hAnsi="Arial" w:cs="Arial"/>
          <w:sz w:val="20"/>
        </w:rPr>
        <w:t>(1), 27-34.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 la Fuente L., Lardelli P., Barrio G., Vincent J. &amp; Luna J. (1997) Declining prevalence of injection as main route of administration among heroin users treated in Spain, 1991–1993. </w:t>
      </w:r>
      <w:r w:rsidRPr="00CF4FC7">
        <w:rPr>
          <w:rFonts w:ascii="Arial" w:hAnsi="Arial" w:cs="Arial"/>
          <w:i/>
          <w:sz w:val="20"/>
        </w:rPr>
        <w:t>The European Journal of Public Health</w:t>
      </w:r>
      <w:r w:rsidRPr="00CF4FC7">
        <w:rPr>
          <w:rFonts w:ascii="Arial" w:hAnsi="Arial" w:cs="Arial"/>
          <w:sz w:val="20"/>
        </w:rPr>
        <w:t xml:space="preserve"> </w:t>
      </w:r>
      <w:r w:rsidRPr="00CF4FC7">
        <w:rPr>
          <w:rFonts w:ascii="Arial" w:hAnsi="Arial" w:cs="Arial"/>
          <w:b/>
          <w:sz w:val="20"/>
        </w:rPr>
        <w:t>7</w:t>
      </w:r>
      <w:r w:rsidRPr="00CF4FC7">
        <w:rPr>
          <w:rFonts w:ascii="Arial" w:hAnsi="Arial" w:cs="Arial"/>
          <w:sz w:val="20"/>
        </w:rPr>
        <w:t>(4), 421-426.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 la Fuente L., Bravo M.J., Toro C., Brugal M.T., Barrio G., Soriano V., Vallejo F. &amp; Ballesta R. (2006) Injecting and HIV prevalence among young heroin users in three Spanish cities and their association with the delayed implementation of harm reduction programmes. </w:t>
      </w:r>
      <w:r w:rsidRPr="00CF4FC7">
        <w:rPr>
          <w:rFonts w:ascii="Arial" w:hAnsi="Arial" w:cs="Arial"/>
          <w:i/>
          <w:sz w:val="20"/>
        </w:rPr>
        <w:t>Journal of Epidemiology and Community Health</w:t>
      </w:r>
      <w:r w:rsidRPr="00CF4FC7">
        <w:rPr>
          <w:rFonts w:ascii="Arial" w:hAnsi="Arial" w:cs="Arial"/>
          <w:sz w:val="20"/>
        </w:rPr>
        <w:t xml:space="preserve"> </w:t>
      </w:r>
      <w:r w:rsidRPr="00CF4FC7">
        <w:rPr>
          <w:rFonts w:ascii="Arial" w:hAnsi="Arial" w:cs="Arial"/>
          <w:b/>
          <w:sz w:val="20"/>
        </w:rPr>
        <w:t>60</w:t>
      </w:r>
      <w:r w:rsidRPr="00CF4FC7">
        <w:rPr>
          <w:rFonts w:ascii="Arial" w:hAnsi="Arial" w:cs="Arial"/>
          <w:sz w:val="20"/>
        </w:rPr>
        <w:t>(6), 537-542.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Degenhardt L., Larance B., Mathers B., Azim T., Kamarulzaman A., Mattick R., Panda S., Toufik A., Tyndall M. &amp; Wiessing L. (2008) </w:t>
      </w:r>
      <w:r w:rsidRPr="00CF4FC7">
        <w:rPr>
          <w:rFonts w:ascii="Arial" w:hAnsi="Arial" w:cs="Arial"/>
          <w:i/>
          <w:sz w:val="20"/>
        </w:rPr>
        <w:t>Benefits and risks of pharmaceutical opioids: Essential treatment and diverted medication. A global review of availability, extra-medical use, injection and the association with HIV</w:t>
      </w:r>
      <w:r w:rsidRPr="00CF4FC7">
        <w:rPr>
          <w:rFonts w:ascii="Arial" w:hAnsi="Arial" w:cs="Arial"/>
          <w:sz w:val="20"/>
        </w:rPr>
        <w:t>. National Drug and Alcohol Research Centre, University of New South Wales, Sydney.</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Delargy I., Crowley D. &amp; Van Hout M.C. (2019) Twenty years of the methadone treatment protocol in Ireland: reflections on the role of general practice. </w:t>
      </w:r>
      <w:r w:rsidRPr="00CF4FC7">
        <w:rPr>
          <w:rFonts w:ascii="Arial" w:hAnsi="Arial" w:cs="Arial"/>
          <w:i/>
          <w:sz w:val="20"/>
        </w:rPr>
        <w:t>Harm reduction journal</w:t>
      </w:r>
      <w:r w:rsidRPr="00CF4FC7">
        <w:rPr>
          <w:rFonts w:ascii="Arial" w:hAnsi="Arial" w:cs="Arial"/>
          <w:sz w:val="20"/>
        </w:rPr>
        <w:t xml:space="preserve"> </w:t>
      </w:r>
      <w:r w:rsidRPr="00CF4FC7">
        <w:rPr>
          <w:rFonts w:ascii="Arial" w:hAnsi="Arial" w:cs="Arial"/>
          <w:b/>
          <w:sz w:val="20"/>
        </w:rPr>
        <w:t>16</w:t>
      </w:r>
      <w:r w:rsidRPr="00CF4FC7">
        <w:rPr>
          <w:rFonts w:ascii="Arial" w:hAnsi="Arial" w:cs="Arial"/>
          <w:sz w:val="20"/>
        </w:rPr>
        <w:t>(1), 5.</w:t>
      </w:r>
      <w:r>
        <w:rPr>
          <w:rFonts w:ascii="Arial" w:hAnsi="Arial" w:cs="Arial"/>
          <w:sz w:val="20"/>
        </w:rPr>
        <w:t xml:space="preserve"> DOI:</w:t>
      </w:r>
      <w:r w:rsidRPr="003B0DEE">
        <w:rPr>
          <w:rFonts w:cstheme="minorHAnsi"/>
          <w:lang w:val="en"/>
        </w:rPr>
        <w:t xml:space="preserve"> </w:t>
      </w:r>
      <w:hyperlink r:id="rId27" w:tgtFrame="pmc_ext" w:history="1">
        <w:r w:rsidRPr="003B0DEE">
          <w:rPr>
            <w:rFonts w:ascii="Arial" w:hAnsi="Arial" w:cs="Arial"/>
            <w:sz w:val="20"/>
          </w:rPr>
          <w:t>10.1186/s12954-018-0272-4</w:t>
        </w:r>
      </w:hyperlink>
      <w:r>
        <w:rPr>
          <w:rFonts w:ascii="Arial" w:hAnsi="Arial" w:cs="Arial"/>
          <w:sz w:val="20"/>
        </w:rPr>
        <w:t xml:space="preserve">. </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Dennis M. &amp; Scott C.K. (2007) Managing addiction as a chronic condition. </w:t>
      </w:r>
      <w:r w:rsidRPr="00CF4FC7">
        <w:rPr>
          <w:rFonts w:ascii="Arial" w:hAnsi="Arial" w:cs="Arial"/>
          <w:i/>
          <w:sz w:val="20"/>
        </w:rPr>
        <w:t>Addiction Science &amp; Clinical Practice</w:t>
      </w:r>
      <w:r w:rsidRPr="00CF4FC7">
        <w:rPr>
          <w:rFonts w:ascii="Arial" w:hAnsi="Arial" w:cs="Arial"/>
          <w:sz w:val="20"/>
        </w:rPr>
        <w:t xml:space="preserve"> </w:t>
      </w:r>
      <w:r w:rsidRPr="00CF4FC7">
        <w:rPr>
          <w:rFonts w:ascii="Arial" w:hAnsi="Arial" w:cs="Arial"/>
          <w:b/>
          <w:sz w:val="20"/>
        </w:rPr>
        <w:t>4</w:t>
      </w:r>
      <w:r w:rsidRPr="00CF4FC7">
        <w:rPr>
          <w:rFonts w:ascii="Arial" w:hAnsi="Arial" w:cs="Arial"/>
          <w:sz w:val="20"/>
        </w:rPr>
        <w:t>(1), 45-55.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Department of Community Rural and Gaeltacht Affairs (2009) </w:t>
      </w:r>
      <w:r w:rsidRPr="00CF4FC7">
        <w:rPr>
          <w:rFonts w:ascii="Arial" w:hAnsi="Arial" w:cs="Arial"/>
          <w:i/>
          <w:sz w:val="20"/>
        </w:rPr>
        <w:t>National Drugs Strategy (interim) 2009–2016</w:t>
      </w:r>
      <w:r w:rsidRPr="00CF4FC7">
        <w:rPr>
          <w:rFonts w:ascii="Arial" w:hAnsi="Arial" w:cs="Arial"/>
          <w:sz w:val="20"/>
        </w:rPr>
        <w:t>. Department of Community, Rural and Gaeltacht Affairs,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Department of Health (2017a) </w:t>
      </w:r>
      <w:r w:rsidRPr="00CF4FC7">
        <w:rPr>
          <w:rFonts w:ascii="Arial" w:hAnsi="Arial" w:cs="Arial"/>
          <w:i/>
          <w:sz w:val="20"/>
        </w:rPr>
        <w:t>Reducing harm, supporting recovery. A health-led response to drug and alcohol use in Ireland 2017–2025</w:t>
      </w:r>
      <w:r w:rsidRPr="00CF4FC7">
        <w:rPr>
          <w:rFonts w:ascii="Arial" w:hAnsi="Arial" w:cs="Arial"/>
          <w:sz w:val="20"/>
        </w:rPr>
        <w:t>. Department of Health,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Department of Health (2017b) </w:t>
      </w:r>
      <w:r w:rsidRPr="00CF4FC7">
        <w:rPr>
          <w:rFonts w:ascii="Arial" w:hAnsi="Arial" w:cs="Arial"/>
          <w:i/>
          <w:sz w:val="20"/>
        </w:rPr>
        <w:t>Health in Ireland Key Trends 2017</w:t>
      </w:r>
      <w:r w:rsidRPr="00CF4FC7">
        <w:rPr>
          <w:rFonts w:ascii="Arial" w:hAnsi="Arial" w:cs="Arial"/>
          <w:sz w:val="20"/>
        </w:rPr>
        <w:t>. Department of Health,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Department of Tourism Sport and Recreation (2001) </w:t>
      </w:r>
      <w:r w:rsidRPr="00CF4FC7">
        <w:rPr>
          <w:rFonts w:ascii="Arial" w:hAnsi="Arial" w:cs="Arial"/>
          <w:i/>
          <w:sz w:val="20"/>
        </w:rPr>
        <w:t>Building on experience: National Drugs Strategy 2001–2008</w:t>
      </w:r>
      <w:r w:rsidRPr="00CF4FC7">
        <w:rPr>
          <w:rFonts w:ascii="Arial" w:hAnsi="Arial" w:cs="Arial"/>
          <w:sz w:val="20"/>
        </w:rPr>
        <w:t>. Department of Tourism, Sport and Recreation,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Doukas N. (2011) Older adults in methadone maintenance treatment: a literature review. </w:t>
      </w:r>
      <w:r w:rsidRPr="00CF4FC7">
        <w:rPr>
          <w:rFonts w:ascii="Arial" w:hAnsi="Arial" w:cs="Arial"/>
          <w:i/>
          <w:sz w:val="20"/>
        </w:rPr>
        <w:t>Journal of Social Work Practice in the Addictions</w:t>
      </w:r>
      <w:r w:rsidRPr="00CF4FC7">
        <w:rPr>
          <w:rFonts w:ascii="Arial" w:hAnsi="Arial" w:cs="Arial"/>
          <w:sz w:val="20"/>
        </w:rPr>
        <w:t xml:space="preserve"> </w:t>
      </w:r>
      <w:r w:rsidRPr="00CF4FC7">
        <w:rPr>
          <w:rFonts w:ascii="Arial" w:hAnsi="Arial" w:cs="Arial"/>
          <w:b/>
          <w:sz w:val="20"/>
        </w:rPr>
        <w:t>11</w:t>
      </w:r>
      <w:r w:rsidRPr="00CF4FC7">
        <w:rPr>
          <w:rFonts w:ascii="Arial" w:hAnsi="Arial" w:cs="Arial"/>
          <w:sz w:val="20"/>
        </w:rPr>
        <w:t>(3), 230-244.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Dugosh K., Abraham A., Seymour B., McLoyd K., Chalk M. &amp; Festinger D. (2016) A Systematic Review on the Use of Psychosocial Interventions in Conjunction With Medications for the Treatment of Opioid Addiction. </w:t>
      </w:r>
      <w:r w:rsidRPr="00CF4FC7">
        <w:rPr>
          <w:rFonts w:ascii="Arial" w:hAnsi="Arial" w:cs="Arial"/>
          <w:i/>
          <w:sz w:val="20"/>
        </w:rPr>
        <w:t>Journal of Addiction Medicine</w:t>
      </w:r>
      <w:r w:rsidRPr="00CF4FC7">
        <w:rPr>
          <w:rFonts w:ascii="Arial" w:hAnsi="Arial" w:cs="Arial"/>
          <w:sz w:val="20"/>
        </w:rPr>
        <w:t xml:space="preserve"> </w:t>
      </w:r>
      <w:r w:rsidRPr="00CF4FC7">
        <w:rPr>
          <w:rFonts w:ascii="Arial" w:hAnsi="Arial" w:cs="Arial"/>
          <w:b/>
          <w:sz w:val="20"/>
        </w:rPr>
        <w:t>10</w:t>
      </w:r>
      <w:r w:rsidRPr="00CF4FC7">
        <w:rPr>
          <w:rFonts w:ascii="Arial" w:hAnsi="Arial" w:cs="Arial"/>
          <w:sz w:val="20"/>
        </w:rPr>
        <w:t>(2), 93-103.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Eastwood B., Strang J. &amp; Marsden J. (2017) Effectiveness of treatment for opioid use disorder: A national, five-year, prospective, observational study in England.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176</w:t>
      </w:r>
      <w:r w:rsidRPr="00CF4FC7">
        <w:rPr>
          <w:rFonts w:ascii="Arial" w:hAnsi="Arial" w:cs="Arial"/>
          <w:sz w:val="20"/>
        </w:rPr>
        <w:t>, 139-147.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Ehrman R.N. &amp; Robbins S.J. (1994) Reliability and validity of 6-month timeline reports of cocaine and heroin use in a methadone population. </w:t>
      </w:r>
      <w:r w:rsidRPr="00CF4FC7">
        <w:rPr>
          <w:rFonts w:ascii="Arial" w:hAnsi="Arial" w:cs="Arial"/>
          <w:i/>
          <w:sz w:val="20"/>
        </w:rPr>
        <w:t>Journal of Consulting and Clinical Psychology</w:t>
      </w:r>
      <w:r w:rsidRPr="00CF4FC7">
        <w:rPr>
          <w:rFonts w:ascii="Arial" w:hAnsi="Arial" w:cs="Arial"/>
          <w:sz w:val="20"/>
        </w:rPr>
        <w:t xml:space="preserve"> </w:t>
      </w:r>
      <w:r w:rsidRPr="00CF4FC7">
        <w:rPr>
          <w:rFonts w:ascii="Arial" w:hAnsi="Arial" w:cs="Arial"/>
          <w:b/>
          <w:sz w:val="20"/>
        </w:rPr>
        <w:t>62</w:t>
      </w:r>
      <w:r w:rsidRPr="00CF4FC7">
        <w:rPr>
          <w:rFonts w:ascii="Arial" w:hAnsi="Arial" w:cs="Arial"/>
          <w:sz w:val="20"/>
        </w:rPr>
        <w:t>(4), 843-850.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Ernest P. (1994) </w:t>
      </w:r>
      <w:r w:rsidRPr="00CF4FC7">
        <w:rPr>
          <w:rFonts w:ascii="Arial" w:hAnsi="Arial" w:cs="Arial"/>
          <w:i/>
          <w:sz w:val="20"/>
        </w:rPr>
        <w:t>An Introduction to Research Methodology and Paradigms: Educational Research, Its Philosophy and Purpose</w:t>
      </w:r>
      <w:r w:rsidRPr="00CF4FC7">
        <w:rPr>
          <w:rFonts w:ascii="Arial" w:hAnsi="Arial" w:cs="Arial"/>
          <w:sz w:val="20"/>
        </w:rPr>
        <w:t>. Issue 1. University of Exeter, School of Education, Exeter.</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European Commission (2016) Eurostat online database - Population (Demography, Migration and Projections). European Union.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(2010a) </w:t>
      </w:r>
      <w:r w:rsidRPr="00CF4FC7">
        <w:rPr>
          <w:rFonts w:ascii="Arial" w:hAnsi="Arial" w:cs="Arial"/>
          <w:i/>
          <w:sz w:val="20"/>
        </w:rPr>
        <w:t>Treatment and care for older drug users</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(2010b) </w:t>
      </w:r>
      <w:r w:rsidRPr="00CF4FC7">
        <w:rPr>
          <w:rFonts w:ascii="Arial" w:hAnsi="Arial" w:cs="Arial"/>
          <w:i/>
          <w:sz w:val="20"/>
        </w:rPr>
        <w:t>Trends in Injecting Drug Use in Europe</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(2012a) </w:t>
      </w:r>
      <w:r w:rsidRPr="00CF4FC7">
        <w:rPr>
          <w:rFonts w:ascii="Arial" w:hAnsi="Arial" w:cs="Arial"/>
          <w:i/>
          <w:sz w:val="20"/>
        </w:rPr>
        <w:t>Treatment demand indicator (TDI) Standard protocol 3.0: Guidelines for reporting data on people entering drug treatment in European countries</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(2012b) </w:t>
      </w:r>
      <w:r w:rsidRPr="00CF4FC7">
        <w:rPr>
          <w:rFonts w:ascii="Arial" w:hAnsi="Arial" w:cs="Arial"/>
          <w:i/>
          <w:sz w:val="20"/>
        </w:rPr>
        <w:t>Drug-related research in Europe: recent developments and future perspectives</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(2012c) </w:t>
      </w:r>
      <w:r w:rsidRPr="00CF4FC7">
        <w:rPr>
          <w:rFonts w:ascii="Arial" w:hAnsi="Arial" w:cs="Arial"/>
          <w:i/>
          <w:sz w:val="20"/>
        </w:rPr>
        <w:t>2012 Annual report on the state of the drugs problem in Europe</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(2012d) </w:t>
      </w:r>
      <w:r w:rsidRPr="00CF4FC7">
        <w:rPr>
          <w:rFonts w:ascii="Arial" w:hAnsi="Arial" w:cs="Arial"/>
          <w:i/>
          <w:sz w:val="20"/>
        </w:rPr>
        <w:t>2012 EMCDDA Statistical Bulletin</w:t>
      </w:r>
      <w:r w:rsidRPr="00CF4FC7">
        <w:rPr>
          <w:rFonts w:ascii="Arial" w:hAnsi="Arial" w:cs="Arial"/>
          <w:sz w:val="20"/>
        </w:rPr>
        <w:t xml:space="preserve">. European Monitoring Centre for Drugs and Drug Addiction. Retrieved from </w:t>
      </w:r>
      <w:r w:rsidRPr="003B0DEE">
        <w:rPr>
          <w:rFonts w:ascii="Arial" w:hAnsi="Arial" w:cs="Arial"/>
          <w:sz w:val="20"/>
        </w:rPr>
        <w:t>http://www.emcdda.europa.eu/stats12</w:t>
      </w:r>
      <w:r w:rsidRPr="00CF4FC7">
        <w:rPr>
          <w:rFonts w:ascii="Arial" w:hAnsi="Arial" w:cs="Arial"/>
          <w:sz w:val="20"/>
        </w:rPr>
        <w:t xml:space="preserve"> on 10 September 2017.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(2013) </w:t>
      </w:r>
      <w:r w:rsidRPr="00CF4FC7">
        <w:rPr>
          <w:rFonts w:ascii="Arial" w:hAnsi="Arial" w:cs="Arial"/>
          <w:i/>
          <w:sz w:val="20"/>
        </w:rPr>
        <w:t>Trends in heroin use in Europe — what do treatment demand data tell us?</w:t>
      </w:r>
      <w:r w:rsidRPr="00CF4FC7">
        <w:rPr>
          <w:rFonts w:ascii="Arial" w:hAnsi="Arial" w:cs="Arial"/>
          <w:sz w:val="20"/>
        </w:rPr>
        <w:t xml:space="preserve"> European Monitoring Centre for Drugs and Drug Addiction, Lisbon.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(2016) </w:t>
      </w:r>
      <w:r w:rsidRPr="00CF4FC7">
        <w:rPr>
          <w:rFonts w:ascii="Arial" w:hAnsi="Arial" w:cs="Arial"/>
          <w:i/>
          <w:sz w:val="20"/>
        </w:rPr>
        <w:t xml:space="preserve">The role of psychosocial interventions in drug treatment </w:t>
      </w:r>
      <w:r w:rsidRPr="00CF4FC7">
        <w:rPr>
          <w:rFonts w:ascii="Arial" w:hAnsi="Arial" w:cs="Arial"/>
          <w:sz w:val="20"/>
        </w:rPr>
        <w:t>European Monitoring Centre for Drugs and Drug Addiction, Lisbon.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(2017a) </w:t>
      </w:r>
      <w:r w:rsidRPr="00CF4FC7">
        <w:rPr>
          <w:rFonts w:ascii="Arial" w:hAnsi="Arial" w:cs="Arial"/>
          <w:i/>
          <w:sz w:val="20"/>
        </w:rPr>
        <w:t>European drug report 2017 trends and developments</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(2017b) </w:t>
      </w:r>
      <w:r w:rsidRPr="00CF4FC7">
        <w:rPr>
          <w:rFonts w:ascii="Arial" w:hAnsi="Arial" w:cs="Arial"/>
          <w:i/>
          <w:sz w:val="20"/>
        </w:rPr>
        <w:t>Health and social responses to drug problems: a European guide</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(2017c) </w:t>
      </w:r>
      <w:r w:rsidRPr="00CF4FC7">
        <w:rPr>
          <w:rFonts w:ascii="Arial" w:hAnsi="Arial" w:cs="Arial"/>
          <w:i/>
          <w:sz w:val="20"/>
        </w:rPr>
        <w:t>Ireland, Country Drug Report 2017</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(2018a) </w:t>
      </w:r>
      <w:r w:rsidRPr="00CF4FC7">
        <w:rPr>
          <w:rFonts w:ascii="Arial" w:hAnsi="Arial" w:cs="Arial"/>
          <w:i/>
          <w:sz w:val="20"/>
        </w:rPr>
        <w:t>Statistical bulletin 2018 - Treatment demand. Treatment demand indicator (TDI)</w:t>
      </w:r>
      <w:r w:rsidRPr="00CF4FC7">
        <w:rPr>
          <w:rFonts w:ascii="Arial" w:hAnsi="Arial" w:cs="Arial"/>
          <w:sz w:val="20"/>
        </w:rPr>
        <w:t xml:space="preserve">. European Monitoring Centre for Drugs and Drug Addiction. Retrieved from </w:t>
      </w:r>
      <w:r w:rsidRPr="003B0DEE">
        <w:rPr>
          <w:rFonts w:ascii="Arial" w:hAnsi="Arial" w:cs="Arial"/>
          <w:sz w:val="20"/>
        </w:rPr>
        <w:t>http://www.emcdda.europa.eu/data/stats2018/tdi</w:t>
      </w:r>
      <w:r w:rsidRPr="00CF4FC7">
        <w:rPr>
          <w:rFonts w:ascii="Arial" w:hAnsi="Arial" w:cs="Arial"/>
          <w:sz w:val="20"/>
        </w:rPr>
        <w:t xml:space="preserve"> on 17 July 2018.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European Monitoring Centre for Drugs and Drug Addiction (2018b) </w:t>
      </w:r>
      <w:r w:rsidRPr="00CF4FC7">
        <w:rPr>
          <w:rFonts w:ascii="Arial" w:hAnsi="Arial" w:cs="Arial"/>
          <w:i/>
          <w:sz w:val="20"/>
        </w:rPr>
        <w:t>European drug report 2018 trends and developments</w:t>
      </w:r>
      <w:r w:rsidRPr="00CF4FC7">
        <w:rPr>
          <w:rFonts w:ascii="Arial" w:hAnsi="Arial" w:cs="Arial"/>
          <w:sz w:val="20"/>
        </w:rPr>
        <w:t>. European Monitoring Centre for Drugs and Drug Addiction,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Eurostat (2013) </w:t>
      </w:r>
      <w:r w:rsidRPr="00CF4FC7">
        <w:rPr>
          <w:rFonts w:ascii="Arial" w:hAnsi="Arial" w:cs="Arial"/>
          <w:i/>
          <w:sz w:val="20"/>
        </w:rPr>
        <w:t>Revision of the European Standard Population – Report of Eurostat’s Task Force</w:t>
      </w:r>
      <w:r w:rsidRPr="00CF4FC7">
        <w:rPr>
          <w:rFonts w:ascii="Arial" w:hAnsi="Arial" w:cs="Arial"/>
          <w:sz w:val="20"/>
        </w:rPr>
        <w:t>. European Commission, Luxembourg.</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Evans E., Li L. &amp; Hser Y.I. (2009) Client and program factors associated with dropout from court mandated drug treatment. </w:t>
      </w:r>
      <w:r w:rsidRPr="00CF4FC7">
        <w:rPr>
          <w:rFonts w:ascii="Arial" w:hAnsi="Arial" w:cs="Arial"/>
          <w:i/>
          <w:sz w:val="20"/>
        </w:rPr>
        <w:t>Evaluation and Program Planning</w:t>
      </w:r>
      <w:r w:rsidRPr="00CF4FC7">
        <w:rPr>
          <w:rFonts w:ascii="Arial" w:hAnsi="Arial" w:cs="Arial"/>
          <w:sz w:val="20"/>
        </w:rPr>
        <w:t xml:space="preserve"> </w:t>
      </w:r>
      <w:r w:rsidRPr="00CF4FC7">
        <w:rPr>
          <w:rFonts w:ascii="Arial" w:hAnsi="Arial" w:cs="Arial"/>
          <w:b/>
          <w:sz w:val="20"/>
        </w:rPr>
        <w:t>32</w:t>
      </w:r>
      <w:r w:rsidRPr="00CF4FC7">
        <w:rPr>
          <w:rFonts w:ascii="Arial" w:hAnsi="Arial" w:cs="Arial"/>
          <w:sz w:val="20"/>
        </w:rPr>
        <w:t>(3), 204-212.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Falcato L., Stohler R., Dürsteler-MacFarland K., Eichenberger A., Eich D. &amp; Rössler W. (2001) Closure of an open drug scene - a case register-based analysis of the impact on the demand for methadone maintenance treatment.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96</w:t>
      </w:r>
      <w:r w:rsidRPr="00CF4FC7">
        <w:rPr>
          <w:rFonts w:ascii="Arial" w:hAnsi="Arial" w:cs="Arial"/>
          <w:sz w:val="20"/>
        </w:rPr>
        <w:t>(4), 623-628.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Fareed A., Casarella J., Amar R., Vayalapalli S. &amp; Drexler K. (2009) Benefits of retention in methadone maintenance and chronic medical conditions as risk factors for premature death among older heroin addicts. </w:t>
      </w:r>
      <w:r w:rsidRPr="00CF4FC7">
        <w:rPr>
          <w:rFonts w:ascii="Arial" w:hAnsi="Arial" w:cs="Arial"/>
          <w:i/>
          <w:sz w:val="20"/>
        </w:rPr>
        <w:t>Journal of Psychiatric Practice</w:t>
      </w:r>
      <w:r w:rsidRPr="00CF4FC7">
        <w:rPr>
          <w:rFonts w:ascii="Arial" w:hAnsi="Arial" w:cs="Arial"/>
          <w:sz w:val="20"/>
        </w:rPr>
        <w:t xml:space="preserve"> </w:t>
      </w:r>
      <w:r w:rsidRPr="00CF4FC7">
        <w:rPr>
          <w:rFonts w:ascii="Arial" w:hAnsi="Arial" w:cs="Arial"/>
          <w:b/>
          <w:sz w:val="20"/>
        </w:rPr>
        <w:t>15</w:t>
      </w:r>
      <w:r w:rsidRPr="00CF4FC7">
        <w:rPr>
          <w:rFonts w:ascii="Arial" w:hAnsi="Arial" w:cs="Arial"/>
          <w:sz w:val="20"/>
        </w:rPr>
        <w:t>(3), 227-234.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Farrell M. &amp; Barry J. (2010) </w:t>
      </w:r>
      <w:r w:rsidRPr="00CF4FC7">
        <w:rPr>
          <w:rFonts w:ascii="Arial" w:hAnsi="Arial" w:cs="Arial"/>
          <w:i/>
          <w:sz w:val="20"/>
        </w:rPr>
        <w:t>The introduction of the opioid treatment protocol</w:t>
      </w:r>
      <w:r w:rsidRPr="00CF4FC7">
        <w:rPr>
          <w:rFonts w:ascii="Arial" w:hAnsi="Arial" w:cs="Arial"/>
          <w:sz w:val="20"/>
        </w:rPr>
        <w:t>. Health Service Executive,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Firoz S. &amp; Carlson G. (2004) Characteristics and treatment outcome of older methadone-maintenance patients. </w:t>
      </w:r>
      <w:r w:rsidRPr="00CF4FC7">
        <w:rPr>
          <w:rFonts w:ascii="Arial" w:hAnsi="Arial" w:cs="Arial"/>
          <w:i/>
          <w:sz w:val="20"/>
        </w:rPr>
        <w:t>American Journal of Geriatric Psychiatry</w:t>
      </w:r>
      <w:r w:rsidRPr="00CF4FC7">
        <w:rPr>
          <w:rFonts w:ascii="Arial" w:hAnsi="Arial" w:cs="Arial"/>
          <w:sz w:val="20"/>
        </w:rPr>
        <w:t xml:space="preserve"> </w:t>
      </w:r>
      <w:r w:rsidRPr="00CF4FC7">
        <w:rPr>
          <w:rFonts w:ascii="Arial" w:hAnsi="Arial" w:cs="Arial"/>
          <w:b/>
          <w:sz w:val="20"/>
        </w:rPr>
        <w:t>12</w:t>
      </w:r>
      <w:r w:rsidRPr="00CF4FC7">
        <w:rPr>
          <w:rFonts w:ascii="Arial" w:hAnsi="Arial" w:cs="Arial"/>
          <w:sz w:val="20"/>
        </w:rPr>
        <w:t>(5), 539-541.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Fischer B. &amp; Argento E. (2012) Prescription opioid related misuse, harms, diversion and interventions in Canada: a review. </w:t>
      </w:r>
      <w:r w:rsidRPr="00CF4FC7">
        <w:rPr>
          <w:rFonts w:ascii="Arial" w:hAnsi="Arial" w:cs="Arial"/>
          <w:i/>
          <w:sz w:val="20"/>
        </w:rPr>
        <w:t>Pain Physician</w:t>
      </w:r>
      <w:r w:rsidRPr="00CF4FC7">
        <w:rPr>
          <w:rFonts w:ascii="Arial" w:hAnsi="Arial" w:cs="Arial"/>
          <w:sz w:val="20"/>
        </w:rPr>
        <w:t xml:space="preserve"> </w:t>
      </w:r>
      <w:r w:rsidRPr="00CF4FC7">
        <w:rPr>
          <w:rFonts w:ascii="Arial" w:hAnsi="Arial" w:cs="Arial"/>
          <w:b/>
          <w:sz w:val="20"/>
        </w:rPr>
        <w:t>15</w:t>
      </w:r>
      <w:r w:rsidRPr="00CF4FC7">
        <w:rPr>
          <w:rFonts w:ascii="Arial" w:hAnsi="Arial" w:cs="Arial"/>
          <w:sz w:val="20"/>
        </w:rPr>
        <w:t>(3), 191-203.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Ford C. &amp; Law F. (2014) </w:t>
      </w:r>
      <w:r w:rsidRPr="00CF4FC7">
        <w:rPr>
          <w:rFonts w:ascii="Arial" w:hAnsi="Arial" w:cs="Arial"/>
          <w:i/>
          <w:sz w:val="20"/>
        </w:rPr>
        <w:t>Guidance for the use and reduction of misuse of benzodiazepines and other hypnotics and anxiolytics in general practice. A Report for Substance Misuse Management in General Practice</w:t>
      </w:r>
      <w:r w:rsidRPr="00CF4FC7">
        <w:rPr>
          <w:rFonts w:ascii="Arial" w:hAnsi="Arial" w:cs="Arial"/>
          <w:sz w:val="20"/>
        </w:rPr>
        <w:t>. Substance Misuse Management Good Practice, London.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Frances R.J. (2011) Geriatric Addictions. </w:t>
      </w:r>
      <w:r w:rsidRPr="00CF4FC7">
        <w:rPr>
          <w:rFonts w:ascii="Arial" w:hAnsi="Arial" w:cs="Arial"/>
          <w:i/>
          <w:sz w:val="20"/>
        </w:rPr>
        <w:t>American Journal of Geriatric Psychiatry</w:t>
      </w:r>
      <w:r w:rsidRPr="00CF4FC7">
        <w:rPr>
          <w:rFonts w:ascii="Arial" w:hAnsi="Arial" w:cs="Arial"/>
          <w:sz w:val="20"/>
        </w:rPr>
        <w:t xml:space="preserve"> </w:t>
      </w:r>
      <w:r w:rsidRPr="00CF4FC7">
        <w:rPr>
          <w:rFonts w:ascii="Arial" w:hAnsi="Arial" w:cs="Arial"/>
          <w:b/>
          <w:sz w:val="20"/>
        </w:rPr>
        <w:t>19</w:t>
      </w:r>
      <w:r w:rsidRPr="00CF4FC7">
        <w:rPr>
          <w:rFonts w:ascii="Arial" w:hAnsi="Arial" w:cs="Arial"/>
          <w:sz w:val="20"/>
        </w:rPr>
        <w:t>(8), 681-684.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Frei M.Y., Nielsen S., Dobbin M.D. &amp; Tobin C.L. (2010) Serious morbidity associated with misuse of over-the-counter codeine-ibuprofen analgesics: a series of 27 cases. </w:t>
      </w:r>
      <w:r w:rsidRPr="00CF4FC7">
        <w:rPr>
          <w:rFonts w:ascii="Arial" w:hAnsi="Arial" w:cs="Arial"/>
          <w:i/>
          <w:sz w:val="20"/>
        </w:rPr>
        <w:t>The Medical Journal of Australia</w:t>
      </w:r>
      <w:r w:rsidRPr="00CF4FC7">
        <w:rPr>
          <w:rFonts w:ascii="Arial" w:hAnsi="Arial" w:cs="Arial"/>
          <w:sz w:val="20"/>
        </w:rPr>
        <w:t xml:space="preserve"> </w:t>
      </w:r>
      <w:r w:rsidRPr="00CF4FC7">
        <w:rPr>
          <w:rFonts w:ascii="Arial" w:hAnsi="Arial" w:cs="Arial"/>
          <w:b/>
          <w:sz w:val="20"/>
        </w:rPr>
        <w:t>193</w:t>
      </w:r>
      <w:r w:rsidRPr="00CF4FC7">
        <w:rPr>
          <w:rFonts w:ascii="Arial" w:hAnsi="Arial" w:cs="Arial"/>
          <w:sz w:val="20"/>
        </w:rPr>
        <w:t>(5), 294-296.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Fuller S. (2013) </w:t>
      </w:r>
      <w:r w:rsidRPr="00CF4FC7">
        <w:rPr>
          <w:rFonts w:ascii="Arial" w:hAnsi="Arial" w:cs="Arial"/>
          <w:i/>
          <w:sz w:val="20"/>
        </w:rPr>
        <w:t>The Philosophy of Science and Technology Studies</w:t>
      </w:r>
      <w:r w:rsidRPr="00CF4FC7">
        <w:rPr>
          <w:rFonts w:ascii="Arial" w:hAnsi="Arial" w:cs="Arial"/>
          <w:sz w:val="20"/>
        </w:rPr>
        <w:t>. Routledge, New York, London.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Gao L., Dimitropoulou P., Robertson J.R., McTaggart S., Bennie M. &amp; Bird S.M. (2016) Risk-factors for methadone-specific deaths in Scotland's methadone-prescription clients between 2009 and 2013.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167</w:t>
      </w:r>
      <w:r w:rsidRPr="00CF4FC7">
        <w:rPr>
          <w:rFonts w:ascii="Arial" w:hAnsi="Arial" w:cs="Arial"/>
          <w:sz w:val="20"/>
        </w:rPr>
        <w:t>, 214-223.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Garnick D.W., Lee M.T., Horgan C.M. &amp; Acevedo A. (2009) Adapting Washington Circle performance measures for public sector substance abuse treatment systems.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36</w:t>
      </w:r>
      <w:r w:rsidRPr="00CF4FC7">
        <w:rPr>
          <w:rFonts w:ascii="Arial" w:hAnsi="Arial" w:cs="Arial"/>
          <w:sz w:val="20"/>
        </w:rPr>
        <w:t>(3), 265-277.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Gfroerer J., Penne M., Pemberton M. &amp; Folsom R. (2003) Substance abuse treatment need among older adults in 2020: the impact of the aging baby-boom cohort.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69</w:t>
      </w:r>
      <w:r w:rsidRPr="00CF4FC7">
        <w:rPr>
          <w:rFonts w:ascii="Arial" w:hAnsi="Arial" w:cs="Arial"/>
          <w:sz w:val="20"/>
        </w:rPr>
        <w:t>(2), 127-135.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Gilchrist G., Langohr K., Fonseca F., Muga R. &amp; Torrens M. (2012) Factors associated with discharge against medical advice from an inpatient alcohol and drug detoxification unit in Barcelona during 1993-2006. </w:t>
      </w:r>
      <w:r w:rsidRPr="00CF4FC7">
        <w:rPr>
          <w:rFonts w:ascii="Arial" w:hAnsi="Arial" w:cs="Arial"/>
          <w:i/>
          <w:sz w:val="20"/>
        </w:rPr>
        <w:t>Heroin Addiction and Related Clinical Problems</w:t>
      </w:r>
      <w:r w:rsidRPr="00CF4FC7">
        <w:rPr>
          <w:rFonts w:ascii="Arial" w:hAnsi="Arial" w:cs="Arial"/>
          <w:sz w:val="20"/>
        </w:rPr>
        <w:t xml:space="preserve"> </w:t>
      </w:r>
      <w:r w:rsidRPr="00CF4FC7">
        <w:rPr>
          <w:rFonts w:ascii="Arial" w:hAnsi="Arial" w:cs="Arial"/>
          <w:b/>
          <w:sz w:val="20"/>
        </w:rPr>
        <w:t>14</w:t>
      </w:r>
      <w:r w:rsidRPr="00CF4FC7">
        <w:rPr>
          <w:rFonts w:ascii="Arial" w:hAnsi="Arial" w:cs="Arial"/>
          <w:sz w:val="20"/>
        </w:rPr>
        <w:t>(1), 35-44.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Goodwin J. (2012) </w:t>
      </w:r>
      <w:r w:rsidRPr="00CF4FC7">
        <w:rPr>
          <w:rFonts w:ascii="Arial" w:hAnsi="Arial" w:cs="Arial"/>
          <w:i/>
          <w:sz w:val="20"/>
        </w:rPr>
        <w:t>SAGE Secondary Data Analysis</w:t>
      </w:r>
      <w:r w:rsidRPr="00CF4FC7">
        <w:rPr>
          <w:rFonts w:ascii="Arial" w:hAnsi="Arial" w:cs="Arial"/>
          <w:sz w:val="20"/>
        </w:rPr>
        <w:t>. Volume 1 Using Secondary Sources and Secondary Analysis. SAGE Publications, Los Angeles, London, New Delhi, Singapore, Washington DC.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Gossop M., Marsden J., Stewart D., Lehmann P. &amp; Strang J. (1999) Methadone treatment practices and outcome for opiate addicts treated in drug clinics and in general practice: results from the National Treatment Outcome Research Study. </w:t>
      </w:r>
      <w:r w:rsidRPr="00CF4FC7">
        <w:rPr>
          <w:rFonts w:ascii="Arial" w:hAnsi="Arial" w:cs="Arial"/>
          <w:i/>
          <w:sz w:val="20"/>
        </w:rPr>
        <w:t>British Journal of General Practice</w:t>
      </w:r>
      <w:r w:rsidRPr="00CF4FC7">
        <w:rPr>
          <w:rFonts w:ascii="Arial" w:hAnsi="Arial" w:cs="Arial"/>
          <w:sz w:val="20"/>
        </w:rPr>
        <w:t xml:space="preserve"> </w:t>
      </w:r>
      <w:r w:rsidRPr="00CF4FC7">
        <w:rPr>
          <w:rFonts w:ascii="Arial" w:hAnsi="Arial" w:cs="Arial"/>
          <w:b/>
          <w:sz w:val="20"/>
        </w:rPr>
        <w:t>49</w:t>
      </w:r>
      <w:r w:rsidRPr="00CF4FC7">
        <w:rPr>
          <w:rFonts w:ascii="Arial" w:hAnsi="Arial" w:cs="Arial"/>
          <w:sz w:val="20"/>
        </w:rPr>
        <w:t>(438), 31-34.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Gossop M., Stewart D., Browne N. &amp; Marsden J. (2002) Factors associated with abstinence, lapse or relapse to heroin use after residential treatment: protective effect of coping responses.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97</w:t>
      </w:r>
      <w:r w:rsidRPr="00CF4FC7">
        <w:rPr>
          <w:rFonts w:ascii="Arial" w:hAnsi="Arial" w:cs="Arial"/>
          <w:sz w:val="20"/>
        </w:rPr>
        <w:t>(10), 1259-1267.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Gossop M. (2008) </w:t>
      </w:r>
      <w:r w:rsidRPr="00CF4FC7">
        <w:rPr>
          <w:rFonts w:ascii="Arial" w:hAnsi="Arial" w:cs="Arial"/>
          <w:i/>
          <w:sz w:val="20"/>
        </w:rPr>
        <w:t>Substance use among older adults: a neglected problem.</w:t>
      </w:r>
      <w:r w:rsidRPr="00CF4FC7">
        <w:rPr>
          <w:rFonts w:ascii="Arial" w:hAnsi="Arial" w:cs="Arial"/>
          <w:sz w:val="20"/>
        </w:rPr>
        <w:t xml:space="preserve"> European Monitoring Centre for Drugs and Drug Addiction, Lisbon.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Grella C.E. &amp; Lovinger K. (2011) 30-year trajectories of heroin and other drug use among men and women sampled from methadone treatment in California.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118</w:t>
      </w:r>
      <w:r w:rsidRPr="00CF4FC7">
        <w:rPr>
          <w:rFonts w:ascii="Arial" w:hAnsi="Arial" w:cs="Arial"/>
          <w:sz w:val="20"/>
        </w:rPr>
        <w:t>(2-3), 251-258.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Grimes D.A. &amp; Schulz K.F. (2002) An overview of clinical research: the lay of the land. </w:t>
      </w:r>
      <w:r w:rsidRPr="00CF4FC7">
        <w:rPr>
          <w:rFonts w:ascii="Arial" w:hAnsi="Arial" w:cs="Arial"/>
          <w:i/>
          <w:sz w:val="20"/>
        </w:rPr>
        <w:t>Lancet</w:t>
      </w:r>
      <w:r w:rsidRPr="00CF4FC7">
        <w:rPr>
          <w:rFonts w:ascii="Arial" w:hAnsi="Arial" w:cs="Arial"/>
          <w:sz w:val="20"/>
        </w:rPr>
        <w:t xml:space="preserve"> </w:t>
      </w:r>
      <w:r w:rsidRPr="00CF4FC7">
        <w:rPr>
          <w:rFonts w:ascii="Arial" w:hAnsi="Arial" w:cs="Arial"/>
          <w:b/>
          <w:sz w:val="20"/>
        </w:rPr>
        <w:t>359</w:t>
      </w:r>
      <w:r w:rsidRPr="00CF4FC7">
        <w:rPr>
          <w:rFonts w:ascii="Arial" w:hAnsi="Arial" w:cs="Arial"/>
          <w:sz w:val="20"/>
        </w:rPr>
        <w:t>(9300), 57-61.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Hakansson A. &amp; Hallén E. (2014) Predictors of dropout from inpatient opioid detoxification with buprenorphine: a chart review. </w:t>
      </w:r>
      <w:r w:rsidRPr="00CF4FC7">
        <w:rPr>
          <w:rFonts w:ascii="Arial" w:hAnsi="Arial" w:cs="Arial"/>
          <w:i/>
          <w:sz w:val="20"/>
        </w:rPr>
        <w:t>Journal Of Addiction</w:t>
      </w:r>
      <w:r w:rsidRPr="00CF4FC7">
        <w:rPr>
          <w:rFonts w:ascii="Arial" w:hAnsi="Arial" w:cs="Arial"/>
          <w:sz w:val="20"/>
        </w:rPr>
        <w:t xml:space="preserve"> </w:t>
      </w:r>
      <w:r w:rsidRPr="00CF4FC7">
        <w:rPr>
          <w:rFonts w:ascii="Arial" w:hAnsi="Arial" w:cs="Arial"/>
          <w:b/>
          <w:sz w:val="20"/>
        </w:rPr>
        <w:t>2014</w:t>
      </w:r>
      <w:r w:rsidRPr="00CF4FC7">
        <w:rPr>
          <w:rFonts w:ascii="Arial" w:hAnsi="Arial" w:cs="Arial"/>
          <w:sz w:val="20"/>
        </w:rPr>
        <w:t>, 5.</w:t>
      </w:r>
      <w:r>
        <w:rPr>
          <w:rFonts w:ascii="Arial" w:hAnsi="Arial" w:cs="Arial"/>
          <w:sz w:val="20"/>
        </w:rPr>
        <w:t xml:space="preserve"> </w:t>
      </w:r>
      <w:r>
        <w:rPr>
          <w:rFonts w:ascii="Arial" w:eastAsiaTheme="minorHAnsi" w:hAnsi="Arial" w:cs="Arial"/>
          <w:sz w:val="20"/>
          <w:szCs w:val="20"/>
          <w:lang w:val="en-IE"/>
        </w:rPr>
        <w:t>DOI</w:t>
      </w:r>
      <w:r w:rsidRPr="00631456">
        <w:rPr>
          <w:rFonts w:ascii="Arial" w:eastAsiaTheme="minorHAnsi" w:hAnsi="Arial" w:cs="Arial"/>
          <w:sz w:val="20"/>
          <w:szCs w:val="20"/>
          <w:lang w:val="en-IE"/>
        </w:rPr>
        <w:t>: </w:t>
      </w:r>
      <w:hyperlink r:id="rId28" w:tgtFrame="pmc_ext" w:history="1">
        <w:r w:rsidRPr="00631456">
          <w:rPr>
            <w:rFonts w:ascii="Arial" w:eastAsiaTheme="minorHAnsi" w:hAnsi="Arial" w:cs="Arial"/>
            <w:sz w:val="20"/>
            <w:szCs w:val="20"/>
            <w:lang w:val="en-IE"/>
          </w:rPr>
          <w:t>10.1155/2014/965267</w:t>
        </w:r>
      </w:hyperlink>
      <w:r>
        <w:rPr>
          <w:rFonts w:ascii="Arial" w:eastAsiaTheme="minorHAnsi"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Han B., Gfroerer J.C., Colliver J.D. &amp; Penne M.A. (2009a) Substance use disorder among older adults in the United States in 2020.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104</w:t>
      </w:r>
      <w:r w:rsidRPr="00CF4FC7">
        <w:rPr>
          <w:rFonts w:ascii="Arial" w:hAnsi="Arial" w:cs="Arial"/>
          <w:sz w:val="20"/>
        </w:rPr>
        <w:t>(1), 88-96.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Han B., Gfroerer J. &amp; Colliver J. (2009b) </w:t>
      </w:r>
      <w:r w:rsidRPr="00CF4FC7">
        <w:rPr>
          <w:rFonts w:ascii="Arial" w:hAnsi="Arial" w:cs="Arial"/>
          <w:i/>
          <w:sz w:val="20"/>
        </w:rPr>
        <w:t>An examination of trends in illicit drug use among adults aged 50 to 59 in the United States</w:t>
      </w:r>
      <w:r w:rsidRPr="00CF4FC7">
        <w:rPr>
          <w:rFonts w:ascii="Arial" w:hAnsi="Arial" w:cs="Arial"/>
          <w:sz w:val="20"/>
        </w:rPr>
        <w:t>. Office of Applied Studies, Substance Abuse and Mental Health Service Administration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Han B., Polydorou S., Ferris R., Blaum C.S., Ross S. &amp; McNeely J. (2015) Demographic Trends of Adults in New York City Opioid Treatment Programs-An Aging Population. </w:t>
      </w:r>
      <w:r w:rsidRPr="00CF4FC7">
        <w:rPr>
          <w:rFonts w:ascii="Arial" w:hAnsi="Arial" w:cs="Arial"/>
          <w:i/>
          <w:sz w:val="20"/>
        </w:rPr>
        <w:t>Substance Use and Misuse</w:t>
      </w:r>
      <w:r w:rsidRPr="00CF4FC7">
        <w:rPr>
          <w:rFonts w:ascii="Arial" w:hAnsi="Arial" w:cs="Arial"/>
          <w:sz w:val="20"/>
        </w:rPr>
        <w:t xml:space="preserve"> </w:t>
      </w:r>
      <w:r w:rsidRPr="00CF4FC7">
        <w:rPr>
          <w:rFonts w:ascii="Arial" w:hAnsi="Arial" w:cs="Arial"/>
          <w:b/>
          <w:sz w:val="20"/>
        </w:rPr>
        <w:t>50</w:t>
      </w:r>
      <w:r w:rsidRPr="00CF4FC7">
        <w:rPr>
          <w:rFonts w:ascii="Arial" w:hAnsi="Arial" w:cs="Arial"/>
          <w:sz w:val="20"/>
        </w:rPr>
        <w:t>(13), 1660-1667.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Hartnoll R., Gyarmathy A. &amp; Zabransky T. (2010) Variations in problem drug use patterns and their implications for harm reduction. In </w:t>
      </w:r>
      <w:r w:rsidRPr="00CF4FC7">
        <w:rPr>
          <w:rFonts w:ascii="Arial" w:hAnsi="Arial" w:cs="Arial"/>
          <w:i/>
          <w:sz w:val="20"/>
        </w:rPr>
        <w:t>Harm reduction: Evidence, impacts and challenges</w:t>
      </w:r>
      <w:r w:rsidRPr="00CF4FC7">
        <w:rPr>
          <w:rFonts w:ascii="Arial" w:hAnsi="Arial" w:cs="Arial"/>
          <w:sz w:val="20"/>
        </w:rPr>
        <w:t xml:space="preserve"> (Rhodes T. &amp; Hedrich D., eds), Publications Office of the European Union, Luxembourg pp. 405-432.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Hartnoll R.L. (1986) Current situation relating to drug abuse assessment in European countries. </w:t>
      </w:r>
      <w:r w:rsidRPr="00CF4FC7">
        <w:rPr>
          <w:rFonts w:ascii="Arial" w:hAnsi="Arial" w:cs="Arial"/>
          <w:i/>
          <w:sz w:val="20"/>
        </w:rPr>
        <w:t>Bulletin on Narcotics</w:t>
      </w:r>
      <w:r w:rsidRPr="00CF4FC7">
        <w:rPr>
          <w:rFonts w:ascii="Arial" w:hAnsi="Arial" w:cs="Arial"/>
          <w:sz w:val="20"/>
        </w:rPr>
        <w:t xml:space="preserve"> </w:t>
      </w:r>
      <w:r w:rsidRPr="00CF4FC7">
        <w:rPr>
          <w:rFonts w:ascii="Arial" w:hAnsi="Arial" w:cs="Arial"/>
          <w:b/>
          <w:sz w:val="20"/>
        </w:rPr>
        <w:t>38</w:t>
      </w:r>
      <w:r w:rsidRPr="00CF4FC7">
        <w:rPr>
          <w:rFonts w:ascii="Arial" w:hAnsi="Arial" w:cs="Arial"/>
          <w:sz w:val="20"/>
        </w:rPr>
        <w:t>(1-2), 65-80.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Haughwout S.P., Harford T.C., Castle I.J. &amp; Grant B.F. (2016) Treatment Utilization Among Adolescent Substance Users: Findings from the 2002 to 2013 National Survey on Drug Use and Health. </w:t>
      </w:r>
      <w:r w:rsidRPr="00CF4FC7">
        <w:rPr>
          <w:rFonts w:ascii="Arial" w:hAnsi="Arial" w:cs="Arial"/>
          <w:i/>
          <w:sz w:val="20"/>
        </w:rPr>
        <w:t>Alcoholism, Clinical and Experimental Research</w:t>
      </w:r>
      <w:r w:rsidRPr="00CF4FC7">
        <w:rPr>
          <w:rFonts w:ascii="Arial" w:hAnsi="Arial" w:cs="Arial"/>
          <w:sz w:val="20"/>
        </w:rPr>
        <w:t xml:space="preserve"> </w:t>
      </w:r>
      <w:r w:rsidRPr="00CF4FC7">
        <w:rPr>
          <w:rFonts w:ascii="Arial" w:hAnsi="Arial" w:cs="Arial"/>
          <w:b/>
          <w:sz w:val="20"/>
        </w:rPr>
        <w:t>40</w:t>
      </w:r>
      <w:r w:rsidRPr="00CF4FC7">
        <w:rPr>
          <w:rFonts w:ascii="Arial" w:hAnsi="Arial" w:cs="Arial"/>
          <w:sz w:val="20"/>
        </w:rPr>
        <w:t>(8), 1717-1727.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Hay G., Jaddoa A., Oyston J., Webster J., Van Hout M.C. &amp; Rael dos Santos A. (2017) </w:t>
      </w:r>
      <w:r w:rsidRPr="00CF4FC7">
        <w:rPr>
          <w:rFonts w:ascii="Arial" w:hAnsi="Arial" w:cs="Arial"/>
          <w:i/>
          <w:sz w:val="20"/>
        </w:rPr>
        <w:t>Estimating the prevalence of problematic opiate use in Ireland using indirect statistical methods.</w:t>
      </w:r>
      <w:r w:rsidRPr="00CF4FC7">
        <w:rPr>
          <w:rFonts w:ascii="Arial" w:hAnsi="Arial" w:cs="Arial"/>
          <w:sz w:val="20"/>
        </w:rPr>
        <w:t xml:space="preserve"> National Advisory Committee on Drugs and Alcohol,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Health Research Board (2013) National Drug Treatment Reporting System (NDTRS): Training Protocol. Health Research Board, Dublin, Ireland.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Health Research Board (2017) </w:t>
      </w:r>
      <w:r w:rsidRPr="00CF4FC7">
        <w:rPr>
          <w:rFonts w:ascii="Arial" w:hAnsi="Arial" w:cs="Arial"/>
          <w:i/>
          <w:sz w:val="20"/>
        </w:rPr>
        <w:t>Ireland: national report for 2016 - treatment</w:t>
      </w:r>
      <w:r w:rsidRPr="00CF4FC7">
        <w:rPr>
          <w:rFonts w:ascii="Arial" w:hAnsi="Arial" w:cs="Arial"/>
          <w:sz w:val="20"/>
        </w:rPr>
        <w:t>. Health Research Board,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Health Research Board (2018) </w:t>
      </w:r>
      <w:r w:rsidRPr="00CF4FC7">
        <w:rPr>
          <w:rFonts w:ascii="Arial" w:hAnsi="Arial" w:cs="Arial"/>
          <w:i/>
          <w:sz w:val="20"/>
        </w:rPr>
        <w:t>Ireland: national report for 2017 - treatment</w:t>
      </w:r>
      <w:r w:rsidRPr="00CF4FC7">
        <w:rPr>
          <w:rFonts w:ascii="Arial" w:hAnsi="Arial" w:cs="Arial"/>
          <w:sz w:val="20"/>
        </w:rPr>
        <w:t>. Health Research Board,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Health Service Executive (2014) </w:t>
      </w:r>
      <w:r w:rsidRPr="00CF4FC7">
        <w:rPr>
          <w:rFonts w:ascii="Arial" w:hAnsi="Arial" w:cs="Arial"/>
          <w:i/>
          <w:sz w:val="20"/>
        </w:rPr>
        <w:t>Management Data Report December 2014</w:t>
      </w:r>
      <w:r w:rsidRPr="00CF4FC7">
        <w:rPr>
          <w:rFonts w:ascii="Arial" w:hAnsi="Arial" w:cs="Arial"/>
          <w:sz w:val="20"/>
        </w:rPr>
        <w:t>. Health Service Executive,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Health Service Executive (2016) </w:t>
      </w:r>
      <w:r w:rsidRPr="00CF4FC7">
        <w:rPr>
          <w:rFonts w:ascii="Arial" w:hAnsi="Arial" w:cs="Arial"/>
          <w:i/>
          <w:sz w:val="20"/>
        </w:rPr>
        <w:t>Central Treatment List: Summary Report for HSE Mid-West Clinic</w:t>
      </w:r>
      <w:r w:rsidRPr="00CF4FC7">
        <w:rPr>
          <w:rFonts w:ascii="Arial" w:hAnsi="Arial" w:cs="Arial"/>
          <w:sz w:val="20"/>
        </w:rPr>
        <w:t>. Health Service Executive.</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Howlett B., Rogo E. &amp; Shelton T.G. (2013) </w:t>
      </w:r>
      <w:r w:rsidRPr="00CF4FC7">
        <w:rPr>
          <w:rFonts w:ascii="Arial" w:hAnsi="Arial" w:cs="Arial"/>
          <w:i/>
          <w:sz w:val="20"/>
        </w:rPr>
        <w:t>Evidence-Based Practice for Health Professionals</w:t>
      </w:r>
      <w:r w:rsidRPr="00CF4FC7">
        <w:rPr>
          <w:rFonts w:ascii="Arial" w:hAnsi="Arial" w:cs="Arial"/>
          <w:sz w:val="20"/>
        </w:rPr>
        <w:t>. Jones &amp; Bartlett Learning, Burlington, MA.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Hser Y.I., Hoffman V., Grella C.E. &amp; Anglin M.D. (2001) A 33-year follow-up of narcotics addicts. </w:t>
      </w:r>
      <w:r w:rsidRPr="00CF4FC7">
        <w:rPr>
          <w:rFonts w:ascii="Arial" w:hAnsi="Arial" w:cs="Arial"/>
          <w:i/>
          <w:sz w:val="20"/>
        </w:rPr>
        <w:t>Archives of General Psychiatry</w:t>
      </w:r>
      <w:r w:rsidRPr="00CF4FC7">
        <w:rPr>
          <w:rFonts w:ascii="Arial" w:hAnsi="Arial" w:cs="Arial"/>
          <w:sz w:val="20"/>
        </w:rPr>
        <w:t xml:space="preserve"> </w:t>
      </w:r>
      <w:r w:rsidRPr="00CF4FC7">
        <w:rPr>
          <w:rFonts w:ascii="Arial" w:hAnsi="Arial" w:cs="Arial"/>
          <w:b/>
          <w:sz w:val="20"/>
        </w:rPr>
        <w:t>58</w:t>
      </w:r>
      <w:r w:rsidRPr="00CF4FC7">
        <w:rPr>
          <w:rFonts w:ascii="Arial" w:hAnsi="Arial" w:cs="Arial"/>
          <w:sz w:val="20"/>
        </w:rPr>
        <w:t>(5), 503-508.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Hser Y.I., Gelberg L., Hoffman V., Grella C.E., McCarthy W. &amp; Anglin M.D. (2004) Health conditions among aging narcotics addicts: medical examination results. </w:t>
      </w:r>
      <w:r w:rsidRPr="00CF4FC7">
        <w:rPr>
          <w:rFonts w:ascii="Arial" w:hAnsi="Arial" w:cs="Arial"/>
          <w:i/>
          <w:sz w:val="20"/>
        </w:rPr>
        <w:t>Journal of Behavioral Medicine</w:t>
      </w:r>
      <w:r w:rsidRPr="00CF4FC7">
        <w:rPr>
          <w:rFonts w:ascii="Arial" w:hAnsi="Arial" w:cs="Arial"/>
          <w:sz w:val="20"/>
        </w:rPr>
        <w:t xml:space="preserve"> </w:t>
      </w:r>
      <w:r w:rsidRPr="00CF4FC7">
        <w:rPr>
          <w:rFonts w:ascii="Arial" w:hAnsi="Arial" w:cs="Arial"/>
          <w:b/>
          <w:sz w:val="20"/>
        </w:rPr>
        <w:t>27</w:t>
      </w:r>
      <w:r w:rsidRPr="00CF4FC7">
        <w:rPr>
          <w:rFonts w:ascii="Arial" w:hAnsi="Arial" w:cs="Arial"/>
          <w:sz w:val="20"/>
        </w:rPr>
        <w:t>(6), 607-622.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Hser Y.I., Huang D., Chou C.P. &amp; Anglin M.D. (2007) Trajectories of heroin addiction: growth mixture modeling results based on a 33-year follow-up study. </w:t>
      </w:r>
      <w:r w:rsidRPr="00CF4FC7">
        <w:rPr>
          <w:rFonts w:ascii="Arial" w:hAnsi="Arial" w:cs="Arial"/>
          <w:i/>
          <w:sz w:val="20"/>
        </w:rPr>
        <w:t>Evaluation Review</w:t>
      </w:r>
      <w:r w:rsidRPr="00CF4FC7">
        <w:rPr>
          <w:rFonts w:ascii="Arial" w:hAnsi="Arial" w:cs="Arial"/>
          <w:sz w:val="20"/>
        </w:rPr>
        <w:t xml:space="preserve"> </w:t>
      </w:r>
      <w:r w:rsidRPr="00CF4FC7">
        <w:rPr>
          <w:rFonts w:ascii="Arial" w:hAnsi="Arial" w:cs="Arial"/>
          <w:b/>
          <w:sz w:val="20"/>
        </w:rPr>
        <w:t>31</w:t>
      </w:r>
      <w:r w:rsidRPr="00CF4FC7">
        <w:rPr>
          <w:rFonts w:ascii="Arial" w:hAnsi="Arial" w:cs="Arial"/>
          <w:sz w:val="20"/>
        </w:rPr>
        <w:t>(6), 548-563.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Hser Y.I. (2007) Predicting long-term stable recovery from heroin addiction: findings from a 33-year follow-up study. </w:t>
      </w:r>
      <w:r w:rsidRPr="00CF4FC7">
        <w:rPr>
          <w:rFonts w:ascii="Arial" w:hAnsi="Arial" w:cs="Arial"/>
          <w:i/>
          <w:sz w:val="20"/>
        </w:rPr>
        <w:t>Journal of Addictive Diseases</w:t>
      </w:r>
      <w:r w:rsidRPr="00CF4FC7">
        <w:rPr>
          <w:rFonts w:ascii="Arial" w:hAnsi="Arial" w:cs="Arial"/>
          <w:sz w:val="20"/>
        </w:rPr>
        <w:t xml:space="preserve"> </w:t>
      </w:r>
      <w:r w:rsidRPr="00CF4FC7">
        <w:rPr>
          <w:rFonts w:ascii="Arial" w:hAnsi="Arial" w:cs="Arial"/>
          <w:b/>
          <w:sz w:val="20"/>
        </w:rPr>
        <w:t>26</w:t>
      </w:r>
      <w:r w:rsidRPr="00CF4FC7">
        <w:rPr>
          <w:rFonts w:ascii="Arial" w:hAnsi="Arial" w:cs="Arial"/>
          <w:sz w:val="20"/>
        </w:rPr>
        <w:t>(1), 51-60.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Hubbard R.L., Marsden M.E., Rachal J.V., Harwood H.J., Cavanaugh E.R. &amp; Ginzburg H.M. (1989) </w:t>
      </w:r>
      <w:r w:rsidRPr="00CF4FC7">
        <w:rPr>
          <w:rFonts w:ascii="Arial" w:hAnsi="Arial" w:cs="Arial"/>
          <w:i/>
          <w:sz w:val="20"/>
        </w:rPr>
        <w:t>Drug abuse treatment: A national study of effectiveness</w:t>
      </w:r>
      <w:r w:rsidRPr="00CF4FC7">
        <w:rPr>
          <w:rFonts w:ascii="Arial" w:hAnsi="Arial" w:cs="Arial"/>
          <w:sz w:val="20"/>
        </w:rPr>
        <w:t>. University of North Carolina Press, Chapel Hill, NC.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Hubbard R.L., Craddock S.G. &amp; Anderson J. (2003) Overview of 5-year followup outcomes in the drug abuse treatment outcome studies (DATOS).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25</w:t>
      </w:r>
      <w:r w:rsidRPr="00CF4FC7">
        <w:rPr>
          <w:rFonts w:ascii="Arial" w:hAnsi="Arial" w:cs="Arial"/>
          <w:sz w:val="20"/>
        </w:rPr>
        <w:t>(3), 125-134.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Huhn A.S., Strain E.C., Tompkins D.A. &amp; Dunn K.E. (2018) A hidden aspect of the U.S. opioid crisis: Rise in first-time treatment admissions for older adults with opioid use disorder.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193</w:t>
      </w:r>
      <w:r w:rsidRPr="00CF4FC7">
        <w:rPr>
          <w:rFonts w:ascii="Arial" w:hAnsi="Arial" w:cs="Arial"/>
          <w:sz w:val="20"/>
        </w:rPr>
        <w:t>, 142-147.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IBM Corporation (2013) IBM SPSS Statistics for Windows, Version 22.0 edn. IBM Corporation, Armonk, NY.</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Institute of Medicine (2012) </w:t>
      </w:r>
      <w:r w:rsidRPr="00CF4FC7">
        <w:rPr>
          <w:rFonts w:ascii="Arial" w:hAnsi="Arial" w:cs="Arial"/>
          <w:i/>
          <w:sz w:val="20"/>
        </w:rPr>
        <w:t>The Mental Health and Substance Use Workforce for Older Adults: In Whose Hands?</w:t>
      </w:r>
      <w:r w:rsidRPr="00CF4FC7">
        <w:rPr>
          <w:rFonts w:ascii="Arial" w:hAnsi="Arial" w:cs="Arial"/>
          <w:sz w:val="20"/>
        </w:rPr>
        <w:t xml:space="preserve"> The National Academies Press, Washington, DC.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Jiang H., Han Y., Du J., Wu F., Zhang R., Zhang H., Wang J., Zhou Z., Hser Y.I. &amp; Zhao M. (2014) Factors associated with one year retention to methadone maintenance treatment program among patients with heroin dependence in China. </w:t>
      </w:r>
      <w:r w:rsidRPr="00CF4FC7">
        <w:rPr>
          <w:rFonts w:ascii="Arial" w:hAnsi="Arial" w:cs="Arial"/>
          <w:i/>
          <w:sz w:val="20"/>
        </w:rPr>
        <w:t>Substance Abuse Treatment, Prevention, and Policy</w:t>
      </w:r>
      <w:r w:rsidRPr="00CF4FC7">
        <w:rPr>
          <w:rFonts w:ascii="Arial" w:hAnsi="Arial" w:cs="Arial"/>
          <w:sz w:val="20"/>
        </w:rPr>
        <w:t xml:space="preserve"> </w:t>
      </w:r>
      <w:r w:rsidRPr="00CF4FC7">
        <w:rPr>
          <w:rFonts w:ascii="Arial" w:hAnsi="Arial" w:cs="Arial"/>
          <w:b/>
          <w:sz w:val="20"/>
        </w:rPr>
        <w:t>9</w:t>
      </w:r>
      <w:r w:rsidRPr="00CF4FC7">
        <w:rPr>
          <w:rFonts w:ascii="Arial" w:hAnsi="Arial" w:cs="Arial"/>
          <w:sz w:val="20"/>
        </w:rPr>
        <w:t>, 11.</w:t>
      </w:r>
      <w:r>
        <w:rPr>
          <w:rFonts w:ascii="Arial" w:hAnsi="Arial" w:cs="Arial"/>
          <w:sz w:val="20"/>
        </w:rPr>
        <w:t xml:space="preserve"> </w:t>
      </w:r>
      <w:r>
        <w:rPr>
          <w:rFonts w:ascii="Arial" w:hAnsi="Arial" w:cs="Arial"/>
          <w:sz w:val="20"/>
          <w:szCs w:val="20"/>
          <w:lang w:val="en-IE"/>
        </w:rPr>
        <w:t>DOI</w:t>
      </w:r>
      <w:r w:rsidRPr="00631456">
        <w:rPr>
          <w:rFonts w:ascii="Arial" w:hAnsi="Arial" w:cs="Arial"/>
          <w:sz w:val="20"/>
          <w:szCs w:val="20"/>
          <w:lang w:val="en-IE"/>
        </w:rPr>
        <w:t>: </w:t>
      </w:r>
      <w:hyperlink r:id="rId29" w:tgtFrame="pmc_ext" w:history="1">
        <w:r w:rsidRPr="00631456">
          <w:rPr>
            <w:rFonts w:ascii="Arial" w:hAnsi="Arial" w:cs="Arial"/>
            <w:sz w:val="20"/>
            <w:szCs w:val="20"/>
            <w:lang w:val="en-IE"/>
          </w:rPr>
          <w:t>10.1186/1747-597X-9-11</w:t>
        </w:r>
      </w:hyperlink>
      <w:r>
        <w:rPr>
          <w:rFonts w:ascii="Arial"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Johnson P.B. &amp; Sung H.-E. (2009) Substance Abuse among Aging Baby Boomers: Health and Treatment Implications. </w:t>
      </w:r>
      <w:r w:rsidRPr="00CF4FC7">
        <w:rPr>
          <w:rFonts w:ascii="Arial" w:hAnsi="Arial" w:cs="Arial"/>
          <w:i/>
          <w:sz w:val="20"/>
        </w:rPr>
        <w:t>Journal of Addictions Nursing</w:t>
      </w:r>
      <w:r w:rsidRPr="00CF4FC7">
        <w:rPr>
          <w:rFonts w:ascii="Arial" w:hAnsi="Arial" w:cs="Arial"/>
          <w:sz w:val="20"/>
        </w:rPr>
        <w:t xml:space="preserve"> </w:t>
      </w:r>
      <w:r w:rsidRPr="00CF4FC7">
        <w:rPr>
          <w:rFonts w:ascii="Arial" w:hAnsi="Arial" w:cs="Arial"/>
          <w:b/>
          <w:sz w:val="20"/>
        </w:rPr>
        <w:t>20</w:t>
      </w:r>
      <w:r w:rsidRPr="00CF4FC7">
        <w:rPr>
          <w:rFonts w:ascii="Arial" w:hAnsi="Arial" w:cs="Arial"/>
          <w:sz w:val="20"/>
        </w:rPr>
        <w:t>(3), 124-126.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Johnstone L., Liddell D., Browne K. &amp; Priyadarshi S. (2017) </w:t>
      </w:r>
      <w:r w:rsidRPr="00CF4FC7">
        <w:rPr>
          <w:rFonts w:ascii="Arial" w:hAnsi="Arial" w:cs="Arial"/>
          <w:i/>
          <w:sz w:val="20"/>
        </w:rPr>
        <w:t xml:space="preserve">Responding to the needs of ageing drug users </w:t>
      </w:r>
      <w:r w:rsidRPr="00CF4FC7">
        <w:rPr>
          <w:rFonts w:ascii="Arial" w:hAnsi="Arial" w:cs="Arial"/>
          <w:sz w:val="20"/>
        </w:rPr>
        <w:t>European Monitoring Centre for Drugs and Drug Addiction, Lisbon.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Jones J.D., Mogali S. &amp; Comer S.D. (2012) Polydrug abuse: A review of opioid and benzodiazepine combination use.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125</w:t>
      </w:r>
      <w:r w:rsidRPr="00CF4FC7">
        <w:rPr>
          <w:rFonts w:ascii="Arial" w:hAnsi="Arial" w:cs="Arial"/>
          <w:sz w:val="20"/>
        </w:rPr>
        <w:t>(1), 8-18.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Judson G., Bird R., O'Connor P., Bevin T., Loan R., Schroder M., McGrath R., Weatherall M., Moriarty H. &amp; Robinson G. (2010) Drug injecting in patients in New Zealand Methadone Maintenance Treatment programs: an anonymous survey.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29</w:t>
      </w:r>
      <w:r w:rsidRPr="00CF4FC7">
        <w:rPr>
          <w:rFonts w:ascii="Arial" w:hAnsi="Arial" w:cs="Arial"/>
          <w:sz w:val="20"/>
        </w:rPr>
        <w:t>(1), 41-46.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Kalapatapu R.K. &amp; Sullivan M.A. (2010) Prescription Use Disorders in Older Adults. </w:t>
      </w:r>
      <w:r w:rsidRPr="00CF4FC7">
        <w:rPr>
          <w:rFonts w:ascii="Arial" w:hAnsi="Arial" w:cs="Arial"/>
          <w:i/>
          <w:sz w:val="20"/>
        </w:rPr>
        <w:t>The American Journal on Addictions</w:t>
      </w:r>
      <w:r w:rsidRPr="00CF4FC7">
        <w:rPr>
          <w:rFonts w:ascii="Arial" w:hAnsi="Arial" w:cs="Arial"/>
          <w:sz w:val="20"/>
        </w:rPr>
        <w:t xml:space="preserve"> </w:t>
      </w:r>
      <w:r w:rsidRPr="00CF4FC7">
        <w:rPr>
          <w:rFonts w:ascii="Arial" w:hAnsi="Arial" w:cs="Arial"/>
          <w:b/>
          <w:sz w:val="20"/>
        </w:rPr>
        <w:t>19</w:t>
      </w:r>
      <w:r w:rsidRPr="00CF4FC7">
        <w:rPr>
          <w:rFonts w:ascii="Arial" w:hAnsi="Arial" w:cs="Arial"/>
          <w:sz w:val="20"/>
        </w:rPr>
        <w:t>(6), 515-522.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Kaufman L. &amp; Rousseeuw P.J. (1990) </w:t>
      </w:r>
      <w:r w:rsidRPr="00CF4FC7">
        <w:rPr>
          <w:rFonts w:ascii="Arial" w:hAnsi="Arial" w:cs="Arial"/>
          <w:i/>
          <w:sz w:val="20"/>
        </w:rPr>
        <w:t>Finding Groups in Data: An Introduction to Cluster Analysis</w:t>
      </w:r>
      <w:r w:rsidRPr="00CF4FC7">
        <w:rPr>
          <w:rFonts w:ascii="Arial" w:hAnsi="Arial" w:cs="Arial"/>
          <w:sz w:val="20"/>
        </w:rPr>
        <w:t>. Wiley &amp; Sons, New York.</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Kelly A., Carvalho M. &amp; Teljeur C. (2003) </w:t>
      </w:r>
      <w:r w:rsidRPr="00CF4FC7">
        <w:rPr>
          <w:rFonts w:ascii="Arial" w:hAnsi="Arial" w:cs="Arial"/>
          <w:i/>
          <w:sz w:val="20"/>
        </w:rPr>
        <w:t>A 3-source capture recapture study of the prevalence of opiate use in Ireland 2000 to 2001: key findings summary tables</w:t>
      </w:r>
      <w:r w:rsidRPr="00CF4FC7">
        <w:rPr>
          <w:rFonts w:ascii="Arial" w:hAnsi="Arial" w:cs="Arial"/>
          <w:sz w:val="20"/>
        </w:rPr>
        <w:t>. Department of Community Health &amp; General Practice, Trinity College Dublin,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Kelly A., Teljeur C. &amp; Carvalho M. (2009) </w:t>
      </w:r>
      <w:r w:rsidRPr="00CF4FC7">
        <w:rPr>
          <w:rFonts w:ascii="Arial" w:hAnsi="Arial" w:cs="Arial"/>
          <w:i/>
          <w:sz w:val="20"/>
        </w:rPr>
        <w:t>Prevalence of opiate use in Ireland 2006: a 3-Source capture recapture study</w:t>
      </w:r>
      <w:r w:rsidRPr="00CF4FC7">
        <w:rPr>
          <w:rFonts w:ascii="Arial" w:hAnsi="Arial" w:cs="Arial"/>
          <w:sz w:val="20"/>
        </w:rPr>
        <w:t>. National Advisory Committee on Drugs,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Kelly S.M., O'Grady K.E., Mitchell S.G., Brown B.S. &amp; Schwartz R.P. (2011) Predictors of methadone treatment retention from a multi-site study: a survival analysis.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117</w:t>
      </w:r>
      <w:r w:rsidRPr="00CF4FC7">
        <w:rPr>
          <w:rFonts w:ascii="Arial" w:hAnsi="Arial" w:cs="Arial"/>
          <w:sz w:val="20"/>
        </w:rPr>
        <w:t>(2-3), 170-175.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Kim H.-J., Fay M.P., Feuer E.J. &amp; Midthune D.N. (2000) Permutation tests for joinpoint regression with applications to cancer rates. </w:t>
      </w:r>
      <w:r w:rsidRPr="00CF4FC7">
        <w:rPr>
          <w:rFonts w:ascii="Arial" w:hAnsi="Arial" w:cs="Arial"/>
          <w:i/>
          <w:sz w:val="20"/>
        </w:rPr>
        <w:t>Statistics in Medicine</w:t>
      </w:r>
      <w:r w:rsidRPr="00CF4FC7">
        <w:rPr>
          <w:rFonts w:ascii="Arial" w:hAnsi="Arial" w:cs="Arial"/>
          <w:sz w:val="20"/>
        </w:rPr>
        <w:t xml:space="preserve"> </w:t>
      </w:r>
      <w:r w:rsidRPr="00CF4FC7">
        <w:rPr>
          <w:rFonts w:ascii="Arial" w:hAnsi="Arial" w:cs="Arial"/>
          <w:b/>
          <w:sz w:val="20"/>
        </w:rPr>
        <w:t>19</w:t>
      </w:r>
      <w:r w:rsidRPr="00CF4FC7">
        <w:rPr>
          <w:rFonts w:ascii="Arial" w:hAnsi="Arial" w:cs="Arial"/>
          <w:sz w:val="20"/>
        </w:rPr>
        <w:t>(3), 335-351.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Kleber H.D., Weiss R.D., Anton R.F., Jr., George T.P., Greenfield S.F., Kosten T.R., O'Brien C.P., Rounsaville B.J., Strain E.C., Ziedonis D.M., Hennessy G., Connery H.S., McIntyre J.S., Charles S.C., Anzia D.J., Cook I.A., Finnerty M.T., Johnson B.R., Nininger J.E., Summergrad P., Woods S.M., Yager J., Pyles R., Cross C.D., Peele R., Shemo J.P., Lurie L., Walker R.D., Barnovitz M.A., Gray S.H., Saxena S., Tonnu T., Kunkle R., Albert A.B., Fochtmann L.J., Hart C. &amp; Regier D. (2007) Treatment of patients with substance use disorders, second edition. American Psychiatric Association. </w:t>
      </w:r>
      <w:r w:rsidRPr="00CF4FC7">
        <w:rPr>
          <w:rFonts w:ascii="Arial" w:hAnsi="Arial" w:cs="Arial"/>
          <w:i/>
          <w:sz w:val="20"/>
        </w:rPr>
        <w:t>The American journal of psychiatry</w:t>
      </w:r>
      <w:r w:rsidRPr="00CF4FC7">
        <w:rPr>
          <w:rFonts w:ascii="Arial" w:hAnsi="Arial" w:cs="Arial"/>
          <w:sz w:val="20"/>
        </w:rPr>
        <w:t xml:space="preserve"> </w:t>
      </w:r>
      <w:r w:rsidRPr="00CF4FC7">
        <w:rPr>
          <w:rFonts w:ascii="Arial" w:hAnsi="Arial" w:cs="Arial"/>
          <w:b/>
          <w:sz w:val="20"/>
        </w:rPr>
        <w:t>164</w:t>
      </w:r>
      <w:r w:rsidRPr="00CF4FC7">
        <w:rPr>
          <w:rFonts w:ascii="Arial" w:hAnsi="Arial" w:cs="Arial"/>
          <w:sz w:val="20"/>
        </w:rPr>
        <w:t>(4 Suppl), 5-123.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Korper S. &amp; Council C. (2002) </w:t>
      </w:r>
      <w:r w:rsidRPr="00CF4FC7">
        <w:rPr>
          <w:rFonts w:ascii="Arial" w:hAnsi="Arial" w:cs="Arial"/>
          <w:i/>
          <w:sz w:val="20"/>
        </w:rPr>
        <w:t>Substance Use by Older Adults: Estimates of Future Impact on the Treatment System</w:t>
      </w:r>
      <w:r w:rsidRPr="00CF4FC7">
        <w:rPr>
          <w:rFonts w:ascii="Arial" w:hAnsi="Arial" w:cs="Arial"/>
          <w:sz w:val="20"/>
        </w:rPr>
        <w:t>. Substance Abuse and Mental Health Services Administration, Office of Applied Studies, Rockville, MD.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Krawczyk N., Feder K.A., Saloner B., Crum R.M., Kealhofer M. &amp; Mojtabai R. (2017) The association of psychiatric comorbidity with treatment completion among clients admitted to substance use treatment programs in a U.S. national sample.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175</w:t>
      </w:r>
      <w:r w:rsidRPr="00CF4FC7">
        <w:rPr>
          <w:rFonts w:ascii="Arial" w:hAnsi="Arial" w:cs="Arial"/>
          <w:sz w:val="20"/>
        </w:rPr>
        <w:t>, 157-163.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Lader M. (2014) Benzodiazepine harm: how can it be reduced? </w:t>
      </w:r>
      <w:r w:rsidRPr="00CF4FC7">
        <w:rPr>
          <w:rFonts w:ascii="Arial" w:hAnsi="Arial" w:cs="Arial"/>
          <w:i/>
          <w:sz w:val="20"/>
        </w:rPr>
        <w:t>British Journal of Clinical Pharmacology</w:t>
      </w:r>
      <w:r w:rsidRPr="00CF4FC7">
        <w:rPr>
          <w:rFonts w:ascii="Arial" w:hAnsi="Arial" w:cs="Arial"/>
          <w:sz w:val="20"/>
        </w:rPr>
        <w:t xml:space="preserve"> </w:t>
      </w:r>
      <w:r w:rsidRPr="00CF4FC7">
        <w:rPr>
          <w:rFonts w:ascii="Arial" w:hAnsi="Arial" w:cs="Arial"/>
          <w:b/>
          <w:sz w:val="20"/>
        </w:rPr>
        <w:t>77</w:t>
      </w:r>
      <w:r w:rsidRPr="00CF4FC7">
        <w:rPr>
          <w:rFonts w:ascii="Arial" w:hAnsi="Arial" w:cs="Arial"/>
          <w:sz w:val="20"/>
        </w:rPr>
        <w:t>(2), 295-301.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Lang M.A. &amp; Belenko S. (2000) Predicting retention in a residential drug treatment alternative to prison program.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19</w:t>
      </w:r>
      <w:r w:rsidRPr="00CF4FC7">
        <w:rPr>
          <w:rFonts w:ascii="Arial" w:hAnsi="Arial" w:cs="Arial"/>
          <w:sz w:val="20"/>
        </w:rPr>
        <w:t>(2), 145-160.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Lee J.-F., Lo S.-M., Chang Y.-H., Chang Y.-C. &amp; Lee S.-Y. (2017) Factors associated with retention in a methadone maintenance treatment program in heroin-dependent Han Chinese in Taiwan. </w:t>
      </w:r>
      <w:r w:rsidRPr="00CF4FC7">
        <w:rPr>
          <w:rFonts w:ascii="Arial" w:hAnsi="Arial" w:cs="Arial"/>
          <w:i/>
          <w:sz w:val="20"/>
        </w:rPr>
        <w:t>Neuropsychiatry</w:t>
      </w:r>
      <w:r w:rsidRPr="00CF4FC7">
        <w:rPr>
          <w:rFonts w:ascii="Arial" w:hAnsi="Arial" w:cs="Arial"/>
          <w:sz w:val="20"/>
        </w:rPr>
        <w:t xml:space="preserve"> </w:t>
      </w:r>
      <w:r w:rsidRPr="00CF4FC7">
        <w:rPr>
          <w:rFonts w:ascii="Arial" w:hAnsi="Arial" w:cs="Arial"/>
          <w:b/>
          <w:sz w:val="20"/>
        </w:rPr>
        <w:t>7</w:t>
      </w:r>
      <w:r w:rsidRPr="00CF4FC7">
        <w:rPr>
          <w:rFonts w:ascii="Arial" w:hAnsi="Arial" w:cs="Arial"/>
          <w:sz w:val="20"/>
        </w:rPr>
        <w:t>(3), 204-211.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Lincoln Y. &amp; Guba E. (2000) Paradigmatic controversies, contradictions, and emerging confluences In </w:t>
      </w:r>
      <w:r w:rsidRPr="00CF4FC7">
        <w:rPr>
          <w:rFonts w:ascii="Arial" w:hAnsi="Arial" w:cs="Arial"/>
          <w:i/>
          <w:sz w:val="20"/>
        </w:rPr>
        <w:t>The Sage handbook of qualitatitive research</w:t>
      </w:r>
      <w:r w:rsidRPr="00CF4FC7">
        <w:rPr>
          <w:rFonts w:ascii="Arial" w:hAnsi="Arial" w:cs="Arial"/>
          <w:sz w:val="20"/>
        </w:rPr>
        <w:t>, 2nd edn. (Denzin N.K. &amp; Lincoln Y.S., eds), SAGE Publications, Thousand Oaks, CA, pp. 163-188.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Ling W., Wesson D.R., Charuvastra C. &amp; Klett C.J. (1996) A Controlled Trial Comparing Buprenorphine and Methadone Maintenance in Opioid Dependence. </w:t>
      </w:r>
      <w:r w:rsidRPr="00CF4FC7">
        <w:rPr>
          <w:rFonts w:ascii="Arial" w:hAnsi="Arial" w:cs="Arial"/>
          <w:i/>
          <w:sz w:val="20"/>
        </w:rPr>
        <w:t>Archives of General Psychiatry</w:t>
      </w:r>
      <w:r w:rsidRPr="00CF4FC7">
        <w:rPr>
          <w:rFonts w:ascii="Arial" w:hAnsi="Arial" w:cs="Arial"/>
          <w:sz w:val="20"/>
        </w:rPr>
        <w:t xml:space="preserve"> </w:t>
      </w:r>
      <w:r w:rsidRPr="00CF4FC7">
        <w:rPr>
          <w:rFonts w:ascii="Arial" w:hAnsi="Arial" w:cs="Arial"/>
          <w:b/>
          <w:sz w:val="20"/>
        </w:rPr>
        <w:t>53</w:t>
      </w:r>
      <w:r w:rsidRPr="00CF4FC7">
        <w:rPr>
          <w:rFonts w:ascii="Arial" w:hAnsi="Arial" w:cs="Arial"/>
          <w:sz w:val="20"/>
        </w:rPr>
        <w:t>(5), 401-407.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Liu C., Liu P.L., Dong Q.L., Luo L., Xu J., Zhou W. &amp; Wang X. (2017) Social-demographic shift in drug users at the first-ever- methadone maintenance treatment in Wuhan, China. </w:t>
      </w:r>
      <w:r w:rsidRPr="00CF4FC7">
        <w:rPr>
          <w:rFonts w:ascii="Arial" w:hAnsi="Arial" w:cs="Arial"/>
          <w:i/>
          <w:sz w:val="20"/>
        </w:rPr>
        <w:t>Scientific Reports</w:t>
      </w:r>
      <w:r w:rsidRPr="00CF4FC7">
        <w:rPr>
          <w:rFonts w:ascii="Arial" w:hAnsi="Arial" w:cs="Arial"/>
          <w:sz w:val="20"/>
        </w:rPr>
        <w:t xml:space="preserve"> </w:t>
      </w:r>
      <w:r w:rsidRPr="00CF4FC7">
        <w:rPr>
          <w:rFonts w:ascii="Arial" w:hAnsi="Arial" w:cs="Arial"/>
          <w:b/>
          <w:sz w:val="20"/>
        </w:rPr>
        <w:t>7</w:t>
      </w:r>
      <w:r w:rsidRPr="00CF4FC7">
        <w:rPr>
          <w:rFonts w:ascii="Arial" w:hAnsi="Arial" w:cs="Arial"/>
          <w:sz w:val="20"/>
        </w:rPr>
        <w:t>(1), 11446.</w:t>
      </w:r>
      <w:r>
        <w:rPr>
          <w:rFonts w:ascii="Arial" w:hAnsi="Arial" w:cs="Arial"/>
          <w:sz w:val="20"/>
        </w:rPr>
        <w:t xml:space="preserve"> </w:t>
      </w:r>
      <w:r>
        <w:rPr>
          <w:rFonts w:ascii="Arial" w:hAnsi="Arial" w:cs="Arial"/>
          <w:sz w:val="20"/>
          <w:szCs w:val="20"/>
          <w:lang w:val="en-IE"/>
        </w:rPr>
        <w:t>DOI</w:t>
      </w:r>
      <w:r w:rsidRPr="00631456">
        <w:rPr>
          <w:rFonts w:ascii="Arial" w:hAnsi="Arial" w:cs="Arial"/>
          <w:sz w:val="20"/>
          <w:szCs w:val="20"/>
          <w:lang w:val="en-IE"/>
        </w:rPr>
        <w:t>: 10.1038/s41598-017-11888-5</w:t>
      </w:r>
      <w:r>
        <w:rPr>
          <w:rFonts w:ascii="Arial"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Liu E., Liang T., Shen L., Zhong H., Wang B., Wu Z. &amp; Detels R. (2009) Correlates of methadone client retention: a prospective cohort study in Guizhou province, China. </w:t>
      </w:r>
      <w:r w:rsidRPr="00CF4FC7">
        <w:rPr>
          <w:rFonts w:ascii="Arial" w:hAnsi="Arial" w:cs="Arial"/>
          <w:i/>
          <w:sz w:val="20"/>
        </w:rPr>
        <w:t>International Journal on Drug Policy</w:t>
      </w:r>
      <w:r w:rsidRPr="00CF4FC7">
        <w:rPr>
          <w:rFonts w:ascii="Arial" w:hAnsi="Arial" w:cs="Arial"/>
          <w:sz w:val="20"/>
        </w:rPr>
        <w:t xml:space="preserve"> </w:t>
      </w:r>
      <w:r w:rsidRPr="00CF4FC7">
        <w:rPr>
          <w:rFonts w:ascii="Arial" w:hAnsi="Arial" w:cs="Arial"/>
          <w:b/>
          <w:sz w:val="20"/>
        </w:rPr>
        <w:t>20</w:t>
      </w:r>
      <w:r w:rsidRPr="00CF4FC7">
        <w:rPr>
          <w:rFonts w:ascii="Arial" w:hAnsi="Arial" w:cs="Arial"/>
          <w:sz w:val="20"/>
        </w:rPr>
        <w:t>(4), 304-308.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Lofwall M., Schuster A. &amp; Strain E. (2008) Changing Profile of Abused Substances by Older Persons Entering Treatment. </w:t>
      </w:r>
      <w:r w:rsidRPr="00CF4FC7">
        <w:rPr>
          <w:rFonts w:ascii="Arial" w:hAnsi="Arial" w:cs="Arial"/>
          <w:i/>
          <w:sz w:val="20"/>
        </w:rPr>
        <w:t>Journal of Nervous and Mental Disease</w:t>
      </w:r>
      <w:r w:rsidRPr="00CF4FC7">
        <w:rPr>
          <w:rFonts w:ascii="Arial" w:hAnsi="Arial" w:cs="Arial"/>
          <w:sz w:val="20"/>
        </w:rPr>
        <w:t xml:space="preserve"> </w:t>
      </w:r>
      <w:r w:rsidRPr="00CF4FC7">
        <w:rPr>
          <w:rFonts w:ascii="Arial" w:hAnsi="Arial" w:cs="Arial"/>
          <w:b/>
          <w:sz w:val="20"/>
        </w:rPr>
        <w:t>196</w:t>
      </w:r>
      <w:r w:rsidRPr="00CF4FC7">
        <w:rPr>
          <w:rFonts w:ascii="Arial" w:hAnsi="Arial" w:cs="Arial"/>
          <w:sz w:val="20"/>
        </w:rPr>
        <w:t>(12), 898-905.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Lofwall M.R., Brooner R.K., Bigelow G.E., Kindbom K. &amp; Strain E.C. (2005) Characteristics of older opioid maintenance patients.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28</w:t>
      </w:r>
      <w:r w:rsidRPr="00CF4FC7">
        <w:rPr>
          <w:rFonts w:ascii="Arial" w:hAnsi="Arial" w:cs="Arial"/>
          <w:sz w:val="20"/>
        </w:rPr>
        <w:t>(3), 265-272.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Lynn E. (2019) </w:t>
      </w:r>
      <w:r w:rsidRPr="00CF4FC7">
        <w:rPr>
          <w:rFonts w:ascii="Arial" w:hAnsi="Arial" w:cs="Arial"/>
          <w:i/>
          <w:sz w:val="20"/>
        </w:rPr>
        <w:t xml:space="preserve">Personal Communication </w:t>
      </w:r>
      <w:r w:rsidRPr="00CF4FC7">
        <w:rPr>
          <w:rFonts w:ascii="Arial" w:hAnsi="Arial" w:cs="Arial"/>
          <w:sz w:val="20"/>
        </w:rPr>
        <w:t>Personal Communication.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Magura S., Nwakeze P.C. &amp; Demsky S.Y. (1998) Pre- and in-treatment predictors of retention in methadone treatment using survival analysis.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93</w:t>
      </w:r>
      <w:r w:rsidRPr="00CF4FC7">
        <w:rPr>
          <w:rFonts w:ascii="Arial" w:hAnsi="Arial" w:cs="Arial"/>
          <w:sz w:val="20"/>
        </w:rPr>
        <w:t>(1), 51-60.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Mann C.J. (2003) Observational research methods. Research design II: cohort, cross sectional, and case-control studies. </w:t>
      </w:r>
      <w:r w:rsidRPr="00CF4FC7">
        <w:rPr>
          <w:rFonts w:ascii="Arial" w:hAnsi="Arial" w:cs="Arial"/>
          <w:i/>
          <w:sz w:val="20"/>
        </w:rPr>
        <w:t>Emergency Medicine Journal</w:t>
      </w:r>
      <w:r w:rsidRPr="00CF4FC7">
        <w:rPr>
          <w:rFonts w:ascii="Arial" w:hAnsi="Arial" w:cs="Arial"/>
          <w:sz w:val="20"/>
        </w:rPr>
        <w:t xml:space="preserve"> </w:t>
      </w:r>
      <w:r w:rsidRPr="00CF4FC7">
        <w:rPr>
          <w:rFonts w:ascii="Arial" w:hAnsi="Arial" w:cs="Arial"/>
          <w:b/>
          <w:sz w:val="20"/>
        </w:rPr>
        <w:t>20</w:t>
      </w:r>
      <w:r w:rsidRPr="00CF4FC7">
        <w:rPr>
          <w:rFonts w:ascii="Arial" w:hAnsi="Arial" w:cs="Arial"/>
          <w:sz w:val="20"/>
        </w:rPr>
        <w:t>(1), 54-60.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Matheson C., Liddell D., Hamilton E. &amp; Wallace J. (2017) </w:t>
      </w:r>
      <w:r w:rsidRPr="00CF4FC7">
        <w:rPr>
          <w:rFonts w:ascii="Arial" w:hAnsi="Arial" w:cs="Arial"/>
          <w:i/>
          <w:sz w:val="20"/>
        </w:rPr>
        <w:t>Older people with drug problems in Scotland. A mixed methods study exploring health and social support needs.</w:t>
      </w:r>
      <w:r w:rsidRPr="00CF4FC7">
        <w:rPr>
          <w:rFonts w:ascii="Arial" w:hAnsi="Arial" w:cs="Arial"/>
          <w:sz w:val="20"/>
        </w:rPr>
        <w:t xml:space="preserve"> Scottish Drugs Forum, Glasgow.</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Maxwell J.C. (2011) The prescription drug epidemic in the United States: a perfect storm.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30</w:t>
      </w:r>
      <w:r w:rsidRPr="00CF4FC7">
        <w:rPr>
          <w:rFonts w:ascii="Arial" w:hAnsi="Arial" w:cs="Arial"/>
          <w:sz w:val="20"/>
        </w:rPr>
        <w:t>(3), 264-270.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Mayet S., Farrell M., Ferri M., Amato L. &amp; Davoli M. (2014) Psychosocial treatment for opiate abuse and dependence. </w:t>
      </w:r>
      <w:r w:rsidRPr="00CF4FC7">
        <w:rPr>
          <w:rFonts w:ascii="Arial" w:hAnsi="Arial" w:cs="Arial"/>
          <w:i/>
          <w:sz w:val="20"/>
        </w:rPr>
        <w:t>Cochrane Database of Systematic Reviews</w:t>
      </w:r>
      <w:r w:rsidRPr="00CF4FC7">
        <w:rPr>
          <w:rFonts w:ascii="Arial" w:hAnsi="Arial" w:cs="Arial"/>
          <w:sz w:val="20"/>
        </w:rPr>
        <w:t xml:space="preserve"> (1), Cd004330.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McCall Jones C., Baldwin G.T. &amp; Compton W.M. (2017) Recent Increases in Cocaine-Related Overdose Deaths and the Role of Opioids. </w:t>
      </w:r>
      <w:r w:rsidRPr="00CF4FC7">
        <w:rPr>
          <w:rFonts w:ascii="Arial" w:hAnsi="Arial" w:cs="Arial"/>
          <w:i/>
          <w:sz w:val="20"/>
        </w:rPr>
        <w:t>American Journal of Public Health</w:t>
      </w:r>
      <w:r w:rsidRPr="00CF4FC7">
        <w:rPr>
          <w:rFonts w:ascii="Arial" w:hAnsi="Arial" w:cs="Arial"/>
          <w:sz w:val="20"/>
        </w:rPr>
        <w:t xml:space="preserve"> </w:t>
      </w:r>
      <w:r w:rsidRPr="00CF4FC7">
        <w:rPr>
          <w:rFonts w:ascii="Arial" w:hAnsi="Arial" w:cs="Arial"/>
          <w:b/>
          <w:sz w:val="20"/>
        </w:rPr>
        <w:t>107</w:t>
      </w:r>
      <w:r w:rsidRPr="00CF4FC7">
        <w:rPr>
          <w:rFonts w:ascii="Arial" w:hAnsi="Arial" w:cs="Arial"/>
          <w:sz w:val="20"/>
        </w:rPr>
        <w:t>(3), 430-432.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McKenna H., Pajnkihar M. &amp; Murphy F. (2014) </w:t>
      </w:r>
      <w:r w:rsidRPr="00CF4FC7">
        <w:rPr>
          <w:rFonts w:ascii="Arial" w:hAnsi="Arial" w:cs="Arial"/>
          <w:i/>
          <w:sz w:val="20"/>
        </w:rPr>
        <w:t>Fundamentals of nursing models, theories and practice</w:t>
      </w:r>
      <w:r w:rsidRPr="00CF4FC7">
        <w:rPr>
          <w:rFonts w:ascii="Arial" w:hAnsi="Arial" w:cs="Arial"/>
          <w:sz w:val="20"/>
        </w:rPr>
        <w:t>. 2nd edn. John Wiley &amp; Sons, Chichester, West Sussex.</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McLellan A.T., McKay J.R., Forman R., Cacciola J. &amp; Kemp J. (2005) Reconsidering the evaluation of addiction treatment: from retrospective follow-up to concurrent recovery monitoring.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100</w:t>
      </w:r>
      <w:r w:rsidRPr="00CF4FC7">
        <w:rPr>
          <w:rFonts w:ascii="Arial" w:hAnsi="Arial" w:cs="Arial"/>
          <w:sz w:val="20"/>
        </w:rPr>
        <w:t>(4), 447-458.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Mennis J. &amp; Stahler G.J. (2016) Racial and Ethnic Disparities in Outpatient Substance Use Disorder Treatment Episode Completion for Different Substances.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63</w:t>
      </w:r>
      <w:r w:rsidRPr="00CF4FC7">
        <w:rPr>
          <w:rFonts w:ascii="Arial" w:hAnsi="Arial" w:cs="Arial"/>
          <w:sz w:val="20"/>
        </w:rPr>
        <w:t>, 25-33.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Messina N., Wish E. &amp; Nemes S. (2000) Predictors of treatment outcomes in men and women admitted to a therapeutic community. </w:t>
      </w:r>
      <w:r w:rsidRPr="00CF4FC7">
        <w:rPr>
          <w:rFonts w:ascii="Arial" w:hAnsi="Arial" w:cs="Arial"/>
          <w:i/>
          <w:sz w:val="20"/>
        </w:rPr>
        <w:t>American Journal of Drug and Alcohol Abuse</w:t>
      </w:r>
      <w:r w:rsidRPr="00CF4FC7">
        <w:rPr>
          <w:rFonts w:ascii="Arial" w:hAnsi="Arial" w:cs="Arial"/>
          <w:sz w:val="20"/>
        </w:rPr>
        <w:t xml:space="preserve"> </w:t>
      </w:r>
      <w:r w:rsidRPr="00CF4FC7">
        <w:rPr>
          <w:rFonts w:ascii="Arial" w:hAnsi="Arial" w:cs="Arial"/>
          <w:b/>
          <w:sz w:val="20"/>
        </w:rPr>
        <w:t>26</w:t>
      </w:r>
      <w:r w:rsidRPr="00CF4FC7">
        <w:rPr>
          <w:rFonts w:ascii="Arial" w:hAnsi="Arial" w:cs="Arial"/>
          <w:sz w:val="20"/>
        </w:rPr>
        <w:t>(2), 207-227.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Mill D., Johnson J.L., Cock V., Monaghan E. &amp; Hotham E.D. (2018) Counting the cost of over-the-counter codeine containing analgesic misuse: A retrospective review of hospital admissions over a 5 year period.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37</w:t>
      </w:r>
      <w:r w:rsidRPr="00CF4FC7">
        <w:rPr>
          <w:rFonts w:ascii="Arial" w:hAnsi="Arial" w:cs="Arial"/>
          <w:sz w:val="20"/>
        </w:rPr>
        <w:t>(2), 247-256.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Ministerial Task Force on Measures to Reduce the Demand for Drugs (1996) </w:t>
      </w:r>
      <w:r w:rsidRPr="00CF4FC7">
        <w:rPr>
          <w:rFonts w:ascii="Arial" w:hAnsi="Arial" w:cs="Arial"/>
          <w:i/>
          <w:sz w:val="20"/>
        </w:rPr>
        <w:t>First report of the Ministerial Task Force on Measures to Reduce the Demand for Drugs</w:t>
      </w:r>
      <w:r w:rsidRPr="00CF4FC7">
        <w:rPr>
          <w:rFonts w:ascii="Arial" w:hAnsi="Arial" w:cs="Arial"/>
          <w:sz w:val="20"/>
        </w:rPr>
        <w:t>. Ministerial Task Force on Measures to Reduce the Demand for Drugs,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Moher D., Liberati A., Tetzlaff J. &amp; Altman D.G. (2010) Preferred reporting items for systematic reviews and meta-analyses: The PRISMA statement. </w:t>
      </w:r>
      <w:r w:rsidRPr="00CF4FC7">
        <w:rPr>
          <w:rFonts w:ascii="Arial" w:hAnsi="Arial" w:cs="Arial"/>
          <w:i/>
          <w:sz w:val="20"/>
        </w:rPr>
        <w:t>International Journal of Surgery</w:t>
      </w:r>
      <w:r w:rsidRPr="00CF4FC7">
        <w:rPr>
          <w:rFonts w:ascii="Arial" w:hAnsi="Arial" w:cs="Arial"/>
          <w:sz w:val="20"/>
        </w:rPr>
        <w:t xml:space="preserve"> </w:t>
      </w:r>
      <w:r w:rsidRPr="00CF4FC7">
        <w:rPr>
          <w:rFonts w:ascii="Arial" w:hAnsi="Arial" w:cs="Arial"/>
          <w:b/>
          <w:sz w:val="20"/>
        </w:rPr>
        <w:t>8</w:t>
      </w:r>
      <w:r w:rsidRPr="00CF4FC7">
        <w:rPr>
          <w:rFonts w:ascii="Arial" w:hAnsi="Arial" w:cs="Arial"/>
          <w:sz w:val="20"/>
        </w:rPr>
        <w:t>(5), 336-341.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Molist G., Brugal M.T., Barrio G., Mesias B., Bosque-Prous M., Pares-Badell O. &amp; de la Fuente L. (2018) Effect of ageing and time since first heroin and cocaine use on mortality from external and natural causes in a Spanish cohort of drug users. </w:t>
      </w:r>
      <w:r w:rsidRPr="00CF4FC7">
        <w:rPr>
          <w:rFonts w:ascii="Arial" w:hAnsi="Arial" w:cs="Arial"/>
          <w:i/>
          <w:sz w:val="20"/>
        </w:rPr>
        <w:t>The International Journal on Drug Policy</w:t>
      </w:r>
      <w:r w:rsidRPr="00CF4FC7">
        <w:rPr>
          <w:rFonts w:ascii="Arial" w:hAnsi="Arial" w:cs="Arial"/>
          <w:sz w:val="20"/>
        </w:rPr>
        <w:t xml:space="preserve"> </w:t>
      </w:r>
      <w:r w:rsidRPr="00CF4FC7">
        <w:rPr>
          <w:rFonts w:ascii="Arial" w:hAnsi="Arial" w:cs="Arial"/>
          <w:b/>
          <w:sz w:val="20"/>
        </w:rPr>
        <w:t>53</w:t>
      </w:r>
      <w:r w:rsidRPr="00CF4FC7">
        <w:rPr>
          <w:rFonts w:ascii="Arial" w:hAnsi="Arial" w:cs="Arial"/>
          <w:sz w:val="20"/>
        </w:rPr>
        <w:t>(March), 8-16.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Montanari L., Serafini M., Maffli E., Busch M., Kontogeorgiou K., Kuijpers W., Ouwehand A., Pouloudi M., Simon R. &amp; Spyropoulou M. (2011) Gender and regional differences in client characteristics among substance abuse treatment clients in the Europe. </w:t>
      </w:r>
      <w:r w:rsidRPr="00CF4FC7">
        <w:rPr>
          <w:rFonts w:ascii="Arial" w:hAnsi="Arial" w:cs="Arial"/>
          <w:i/>
          <w:sz w:val="20"/>
        </w:rPr>
        <w:t>Drugs: Education, Prevention and Policy</w:t>
      </w:r>
      <w:r w:rsidRPr="00CF4FC7">
        <w:rPr>
          <w:rFonts w:ascii="Arial" w:hAnsi="Arial" w:cs="Arial"/>
          <w:sz w:val="20"/>
        </w:rPr>
        <w:t xml:space="preserve"> </w:t>
      </w:r>
      <w:r w:rsidRPr="00CF4FC7">
        <w:rPr>
          <w:rFonts w:ascii="Arial" w:hAnsi="Arial" w:cs="Arial"/>
          <w:b/>
          <w:sz w:val="20"/>
        </w:rPr>
        <w:t>18</w:t>
      </w:r>
      <w:r w:rsidRPr="00CF4FC7">
        <w:rPr>
          <w:rFonts w:ascii="Arial" w:hAnsi="Arial" w:cs="Arial"/>
          <w:sz w:val="20"/>
        </w:rPr>
        <w:t>(1), 24-31.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Montanari L., Pasinetti M., Guarita B., Royuela L., Mulligan K., Vicente J., Klempova D., Pirona A. &amp; Gyarmathy A. (2013) Stimulant use among clients entering drug treatment in Europe. </w:t>
      </w:r>
      <w:r w:rsidRPr="00CF4FC7">
        <w:rPr>
          <w:rFonts w:ascii="Arial" w:hAnsi="Arial" w:cs="Arial"/>
          <w:i/>
          <w:sz w:val="20"/>
        </w:rPr>
        <w:t>Drugs: Education, Prevention and Policy</w:t>
      </w:r>
      <w:r w:rsidRPr="00CF4FC7">
        <w:rPr>
          <w:rFonts w:ascii="Arial" w:hAnsi="Arial" w:cs="Arial"/>
          <w:sz w:val="20"/>
        </w:rPr>
        <w:t xml:space="preserve"> </w:t>
      </w:r>
      <w:r w:rsidRPr="00CF4FC7">
        <w:rPr>
          <w:rFonts w:ascii="Arial" w:hAnsi="Arial" w:cs="Arial"/>
          <w:b/>
          <w:sz w:val="20"/>
        </w:rPr>
        <w:t>20</w:t>
      </w:r>
      <w:r w:rsidRPr="00CF4FC7">
        <w:rPr>
          <w:rFonts w:ascii="Arial" w:hAnsi="Arial" w:cs="Arial"/>
          <w:sz w:val="20"/>
        </w:rPr>
        <w:t>(1), 48-55.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Montanari L., Royuela L., Pasinetti M., Giraudon I., Wiessing L. &amp; Vicente J. (2014) Drug use and related consequences among prison populations in European countries. In </w:t>
      </w:r>
      <w:r w:rsidRPr="00CF4FC7">
        <w:rPr>
          <w:rFonts w:ascii="Arial" w:hAnsi="Arial" w:cs="Arial"/>
          <w:i/>
          <w:sz w:val="20"/>
        </w:rPr>
        <w:t>Prisons and Health</w:t>
      </w:r>
      <w:r w:rsidRPr="00CF4FC7">
        <w:rPr>
          <w:rFonts w:ascii="Arial" w:hAnsi="Arial" w:cs="Arial"/>
          <w:sz w:val="20"/>
        </w:rPr>
        <w:t>, Vol. 107 (Enggist S., Møller L., Galea G. &amp; Udesen C., eds), World Health Organization, Copenhagen, pp. 107-112.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Montanari L., Guarita B., Mounteney J., Zipfel N. &amp; Simon R. (2017) Cannabis Use among People Entering Drug Treatment in Europe: A Growing Phenomenon? </w:t>
      </w:r>
      <w:r w:rsidRPr="00CF4FC7">
        <w:rPr>
          <w:rFonts w:ascii="Arial" w:hAnsi="Arial" w:cs="Arial"/>
          <w:i/>
          <w:sz w:val="20"/>
        </w:rPr>
        <w:t>European Addiction Research</w:t>
      </w:r>
      <w:r w:rsidRPr="00CF4FC7">
        <w:rPr>
          <w:rFonts w:ascii="Arial" w:hAnsi="Arial" w:cs="Arial"/>
          <w:sz w:val="20"/>
        </w:rPr>
        <w:t xml:space="preserve"> </w:t>
      </w:r>
      <w:r w:rsidRPr="00CF4FC7">
        <w:rPr>
          <w:rFonts w:ascii="Arial" w:hAnsi="Arial" w:cs="Arial"/>
          <w:b/>
          <w:sz w:val="20"/>
        </w:rPr>
        <w:t>23</w:t>
      </w:r>
      <w:r w:rsidRPr="00CF4FC7">
        <w:rPr>
          <w:rFonts w:ascii="Arial" w:hAnsi="Arial" w:cs="Arial"/>
          <w:sz w:val="20"/>
        </w:rPr>
        <w:t>(3), 113-121.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Montanari L., Pirona A., Guarita B., Hedrich D., Mounteney J. &amp; Vicente J. (2019) The Experience of the Treatment Demand Indicator in Europe: A Common Monitoring Tool Across 30 Countries. </w:t>
      </w:r>
      <w:r w:rsidRPr="00CF4FC7">
        <w:rPr>
          <w:rFonts w:ascii="Arial" w:hAnsi="Arial" w:cs="Arial"/>
          <w:i/>
          <w:sz w:val="20"/>
        </w:rPr>
        <w:t>Journal of studies on alcohol and drugs. Supplement.</w:t>
      </w:r>
      <w:r w:rsidRPr="00CF4FC7">
        <w:rPr>
          <w:rFonts w:ascii="Arial" w:hAnsi="Arial" w:cs="Arial"/>
          <w:sz w:val="20"/>
        </w:rPr>
        <w:t xml:space="preserve"> </w:t>
      </w:r>
      <w:r w:rsidRPr="00CF4FC7">
        <w:rPr>
          <w:rFonts w:ascii="Arial" w:hAnsi="Arial" w:cs="Arial"/>
          <w:b/>
          <w:sz w:val="20"/>
        </w:rPr>
        <w:t>Sup 18</w:t>
      </w:r>
      <w:r w:rsidRPr="00CF4FC7">
        <w:rPr>
          <w:rFonts w:ascii="Arial" w:hAnsi="Arial" w:cs="Arial"/>
          <w:sz w:val="20"/>
        </w:rPr>
        <w:t>, 139-151.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Moos R.H., Pettit B. &amp; Gruber V.A. (1995) Characteristics and outcomes of three models of community residential care for abuse patients. </w:t>
      </w:r>
      <w:r w:rsidRPr="00CF4FC7">
        <w:rPr>
          <w:rFonts w:ascii="Arial" w:hAnsi="Arial" w:cs="Arial"/>
          <w:i/>
          <w:sz w:val="20"/>
        </w:rPr>
        <w:t>Journal of Substance Abuse</w:t>
      </w:r>
      <w:r w:rsidRPr="00CF4FC7">
        <w:rPr>
          <w:rFonts w:ascii="Arial" w:hAnsi="Arial" w:cs="Arial"/>
          <w:sz w:val="20"/>
        </w:rPr>
        <w:t xml:space="preserve"> </w:t>
      </w:r>
      <w:r w:rsidRPr="00CF4FC7">
        <w:rPr>
          <w:rFonts w:ascii="Arial" w:hAnsi="Arial" w:cs="Arial"/>
          <w:b/>
          <w:sz w:val="20"/>
        </w:rPr>
        <w:t>7</w:t>
      </w:r>
      <w:r w:rsidRPr="00CF4FC7">
        <w:rPr>
          <w:rFonts w:ascii="Arial" w:hAnsi="Arial" w:cs="Arial"/>
          <w:sz w:val="20"/>
        </w:rPr>
        <w:t>(1), 99-116.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Moran L., Keenan E. &amp; Elmusharaf K. (2018) Barriers to progressing through a methadone maintenance treatment programme: perspectives of the clients in the Mid-West of Ireland's drug and alcohol services. </w:t>
      </w:r>
      <w:r w:rsidRPr="00CF4FC7">
        <w:rPr>
          <w:rFonts w:ascii="Arial" w:hAnsi="Arial" w:cs="Arial"/>
          <w:i/>
          <w:sz w:val="20"/>
        </w:rPr>
        <w:t>BMC Health Services Research</w:t>
      </w:r>
      <w:r w:rsidRPr="00CF4FC7">
        <w:rPr>
          <w:rFonts w:ascii="Arial" w:hAnsi="Arial" w:cs="Arial"/>
          <w:sz w:val="20"/>
        </w:rPr>
        <w:t xml:space="preserve"> </w:t>
      </w:r>
      <w:r w:rsidRPr="00CF4FC7">
        <w:rPr>
          <w:rFonts w:ascii="Arial" w:hAnsi="Arial" w:cs="Arial"/>
          <w:b/>
          <w:sz w:val="20"/>
        </w:rPr>
        <w:t>18</w:t>
      </w:r>
      <w:r w:rsidRPr="00CF4FC7">
        <w:rPr>
          <w:rFonts w:ascii="Arial" w:hAnsi="Arial" w:cs="Arial"/>
          <w:sz w:val="20"/>
        </w:rPr>
        <w:t>(1), 911.</w:t>
      </w:r>
      <w:r>
        <w:rPr>
          <w:rFonts w:ascii="Arial" w:hAnsi="Arial" w:cs="Arial"/>
          <w:sz w:val="20"/>
        </w:rPr>
        <w:t xml:space="preserve"> </w:t>
      </w:r>
      <w:r>
        <w:rPr>
          <w:rFonts w:ascii="Arial" w:hAnsi="Arial" w:cs="Arial"/>
          <w:sz w:val="20"/>
          <w:szCs w:val="20"/>
          <w:lang w:val="en-IE"/>
        </w:rPr>
        <w:t>DOI</w:t>
      </w:r>
      <w:r w:rsidRPr="00631456">
        <w:rPr>
          <w:rFonts w:ascii="Arial" w:hAnsi="Arial" w:cs="Arial"/>
          <w:sz w:val="20"/>
          <w:szCs w:val="20"/>
          <w:lang w:val="en-IE"/>
        </w:rPr>
        <w:t>: 10.1186/s12913-018-3717-2</w:t>
      </w:r>
      <w:r>
        <w:rPr>
          <w:rFonts w:ascii="Arial"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Mounteney J., Griffiths P., Sedefov R., Noor A., Vicente J. &amp; Simon R. (2016) The drug situation in Europe: an overview of data available on illicit drugs and new psychoactive substances from European monitoring in 2015.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111</w:t>
      </w:r>
      <w:r w:rsidRPr="00CF4FC7">
        <w:rPr>
          <w:rFonts w:ascii="Arial" w:hAnsi="Arial" w:cs="Arial"/>
          <w:sz w:val="20"/>
        </w:rPr>
        <w:t>(1), 34-48.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Moy I., Crome P., Crome I. &amp; Fisher M. (2011) Systematic and narrative review of treatment for older people with substance problems. </w:t>
      </w:r>
      <w:r w:rsidRPr="00CF4FC7">
        <w:rPr>
          <w:rFonts w:ascii="Arial" w:hAnsi="Arial" w:cs="Arial"/>
          <w:i/>
          <w:sz w:val="20"/>
        </w:rPr>
        <w:t>European Geriatric Medicine</w:t>
      </w:r>
      <w:r w:rsidRPr="00CF4FC7">
        <w:rPr>
          <w:rFonts w:ascii="Arial" w:hAnsi="Arial" w:cs="Arial"/>
          <w:sz w:val="20"/>
        </w:rPr>
        <w:t xml:space="preserve"> </w:t>
      </w:r>
      <w:r w:rsidRPr="00CF4FC7">
        <w:rPr>
          <w:rFonts w:ascii="Arial" w:hAnsi="Arial" w:cs="Arial"/>
          <w:b/>
          <w:sz w:val="20"/>
        </w:rPr>
        <w:t>2</w:t>
      </w:r>
      <w:r w:rsidRPr="00CF4FC7">
        <w:rPr>
          <w:rFonts w:ascii="Arial" w:hAnsi="Arial" w:cs="Arial"/>
          <w:sz w:val="20"/>
        </w:rPr>
        <w:t>(4), 212-236.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Mullen L., Barry J., Long J., Keenan E., Mulholland D., Grogan L. &amp; Delargy I. (2012) A national study of the retention of Irish opiate users in methadone substitution treatment. </w:t>
      </w:r>
      <w:r w:rsidRPr="00CF4FC7">
        <w:rPr>
          <w:rFonts w:ascii="Arial" w:hAnsi="Arial" w:cs="Arial"/>
          <w:i/>
          <w:sz w:val="20"/>
        </w:rPr>
        <w:t>American Journal of Drug and Alcohol Abuse</w:t>
      </w:r>
      <w:r w:rsidRPr="00CF4FC7">
        <w:rPr>
          <w:rFonts w:ascii="Arial" w:hAnsi="Arial" w:cs="Arial"/>
          <w:sz w:val="20"/>
        </w:rPr>
        <w:t xml:space="preserve"> </w:t>
      </w:r>
      <w:r w:rsidRPr="00CF4FC7">
        <w:rPr>
          <w:rFonts w:ascii="Arial" w:hAnsi="Arial" w:cs="Arial"/>
          <w:b/>
          <w:sz w:val="20"/>
        </w:rPr>
        <w:t>38</w:t>
      </w:r>
      <w:r w:rsidRPr="00CF4FC7">
        <w:rPr>
          <w:rFonts w:ascii="Arial" w:hAnsi="Arial" w:cs="Arial"/>
          <w:sz w:val="20"/>
        </w:rPr>
        <w:t>(6), 551-558.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Myers B., Siegfried N. &amp; Parry C.D. (2003) Over-the-counter and prescription medicine misuse in Cape Town--findings from specialist treatment centres. </w:t>
      </w:r>
      <w:r w:rsidRPr="00CF4FC7">
        <w:rPr>
          <w:rFonts w:ascii="Arial" w:hAnsi="Arial" w:cs="Arial"/>
          <w:i/>
          <w:sz w:val="20"/>
        </w:rPr>
        <w:t>South African Medical Journal</w:t>
      </w:r>
      <w:r w:rsidRPr="00CF4FC7">
        <w:rPr>
          <w:rFonts w:ascii="Arial" w:hAnsi="Arial" w:cs="Arial"/>
          <w:sz w:val="20"/>
        </w:rPr>
        <w:t xml:space="preserve"> </w:t>
      </w:r>
      <w:r w:rsidRPr="00CF4FC7">
        <w:rPr>
          <w:rFonts w:ascii="Arial" w:hAnsi="Arial" w:cs="Arial"/>
          <w:b/>
          <w:sz w:val="20"/>
        </w:rPr>
        <w:t>93</w:t>
      </w:r>
      <w:r w:rsidRPr="00CF4FC7">
        <w:rPr>
          <w:rFonts w:ascii="Arial" w:hAnsi="Arial" w:cs="Arial"/>
          <w:sz w:val="20"/>
        </w:rPr>
        <w:t>(5), 367-370.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National Co-ordinating Committee on Drug Abuse (1991) </w:t>
      </w:r>
      <w:r w:rsidRPr="00CF4FC7">
        <w:rPr>
          <w:rFonts w:ascii="Arial" w:hAnsi="Arial" w:cs="Arial"/>
          <w:i/>
          <w:sz w:val="20"/>
        </w:rPr>
        <w:t>Government strategy to prevent drug misuse</w:t>
      </w:r>
      <w:r w:rsidRPr="00CF4FC7">
        <w:rPr>
          <w:rFonts w:ascii="Arial" w:hAnsi="Arial" w:cs="Arial"/>
          <w:sz w:val="20"/>
        </w:rPr>
        <w:t>. Department of Health, Dublin.</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National Institute on Drug Abuse (2018) </w:t>
      </w:r>
      <w:r w:rsidRPr="00CF4FC7">
        <w:rPr>
          <w:rFonts w:ascii="Arial" w:hAnsi="Arial" w:cs="Arial"/>
          <w:i/>
          <w:sz w:val="20"/>
        </w:rPr>
        <w:t>Principles of drug addiction treatment: a research based guide</w:t>
      </w:r>
      <w:r w:rsidRPr="00CF4FC7">
        <w:rPr>
          <w:rFonts w:ascii="Arial" w:hAnsi="Arial" w:cs="Arial"/>
          <w:sz w:val="20"/>
        </w:rPr>
        <w:t>. National Institute on Drug Abuse, Bethesda, MD.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Nielsen S., Murnion B., Dunlop A., Degenhardt L., Demirkol A., Muhleisen P. &amp; Lintzeris N. (2015a) Comparing treatment-seeking codeine users and strong opioid users: Findings from a novel case series.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34</w:t>
      </w:r>
      <w:r w:rsidRPr="00CF4FC7">
        <w:rPr>
          <w:rFonts w:ascii="Arial" w:hAnsi="Arial" w:cs="Arial"/>
          <w:sz w:val="20"/>
        </w:rPr>
        <w:t>(3), 304-311.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Nielsen S., Roxburgh A., Bruno R., Lintzeris N., Jefferson A. &amp; Degenhardt L. (2015b) Changes in non-opioid substitution treatment episodes for pharmaceutical opioids and heroin from 2002 to 2011.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149</w:t>
      </w:r>
      <w:r w:rsidRPr="00CF4FC7">
        <w:rPr>
          <w:rFonts w:ascii="Arial" w:hAnsi="Arial" w:cs="Arial"/>
          <w:sz w:val="20"/>
        </w:rPr>
        <w:t>, 212-219.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Nielsen S., MacDonald T. &amp; Johnson J.L. (2018) Identifying and treating codeine dependence: a systematic review. </w:t>
      </w:r>
      <w:r w:rsidRPr="00CF4FC7">
        <w:rPr>
          <w:rFonts w:ascii="Arial" w:hAnsi="Arial" w:cs="Arial"/>
          <w:i/>
          <w:sz w:val="20"/>
        </w:rPr>
        <w:t>Medical Journal of Australia</w:t>
      </w:r>
      <w:r w:rsidRPr="00CF4FC7">
        <w:rPr>
          <w:rFonts w:ascii="Arial" w:hAnsi="Arial" w:cs="Arial"/>
          <w:sz w:val="20"/>
        </w:rPr>
        <w:t xml:space="preserve"> </w:t>
      </w:r>
      <w:r w:rsidRPr="00CF4FC7">
        <w:rPr>
          <w:rFonts w:ascii="Arial" w:hAnsi="Arial" w:cs="Arial"/>
          <w:b/>
          <w:sz w:val="20"/>
        </w:rPr>
        <w:t>208</w:t>
      </w:r>
      <w:r w:rsidRPr="00CF4FC7">
        <w:rPr>
          <w:rFonts w:ascii="Arial" w:hAnsi="Arial" w:cs="Arial"/>
          <w:sz w:val="20"/>
        </w:rPr>
        <w:t>(10), 451-461.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Norusis M. (2011) </w:t>
      </w:r>
      <w:r w:rsidRPr="00CF4FC7">
        <w:rPr>
          <w:rFonts w:ascii="Arial" w:hAnsi="Arial" w:cs="Arial"/>
          <w:i/>
          <w:sz w:val="20"/>
        </w:rPr>
        <w:t>IBM SPSS Statistics 19 Advanced Statistical Procedures Companion</w:t>
      </w:r>
      <w:r w:rsidRPr="00CF4FC7">
        <w:rPr>
          <w:rFonts w:ascii="Arial" w:hAnsi="Arial" w:cs="Arial"/>
          <w:sz w:val="20"/>
        </w:rPr>
        <w:t>. 1 edn. Prentice Hall, Upper Saddle River, New Jersey.</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Outlaw F.H., Marquart J.M., Roy A., Luellen J.K., Moran M., Willis A. &amp; Doub T. (2012) Treatment Outcomes for Older Adults Who Abuse Substances. </w:t>
      </w:r>
      <w:r w:rsidRPr="00CF4FC7">
        <w:rPr>
          <w:rFonts w:ascii="Arial" w:hAnsi="Arial" w:cs="Arial"/>
          <w:i/>
          <w:sz w:val="20"/>
        </w:rPr>
        <w:t>Journal of Applied Gerontology</w:t>
      </w:r>
      <w:r w:rsidRPr="00CF4FC7">
        <w:rPr>
          <w:rFonts w:ascii="Arial" w:hAnsi="Arial" w:cs="Arial"/>
          <w:sz w:val="20"/>
        </w:rPr>
        <w:t xml:space="preserve"> </w:t>
      </w:r>
      <w:r w:rsidRPr="00CF4FC7">
        <w:rPr>
          <w:rFonts w:ascii="Arial" w:hAnsi="Arial" w:cs="Arial"/>
          <w:b/>
          <w:sz w:val="20"/>
        </w:rPr>
        <w:t>31</w:t>
      </w:r>
      <w:r w:rsidRPr="00CF4FC7">
        <w:rPr>
          <w:rFonts w:ascii="Arial" w:hAnsi="Arial" w:cs="Arial"/>
          <w:sz w:val="20"/>
        </w:rPr>
        <w:t>(1), 78-100.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Papanikolaou P.N., Christidi G.D. &amp; Ioannidis J.P. (2006) Comparison of evidence on harms of medical interventions in randomized and nonrandomized studies. </w:t>
      </w:r>
      <w:r w:rsidRPr="00CF4FC7">
        <w:rPr>
          <w:rFonts w:ascii="Arial" w:hAnsi="Arial" w:cs="Arial"/>
          <w:i/>
          <w:sz w:val="20"/>
        </w:rPr>
        <w:t>Canadian Medical Association Journal</w:t>
      </w:r>
      <w:r w:rsidRPr="00CF4FC7">
        <w:rPr>
          <w:rFonts w:ascii="Arial" w:hAnsi="Arial" w:cs="Arial"/>
          <w:sz w:val="20"/>
        </w:rPr>
        <w:t xml:space="preserve"> </w:t>
      </w:r>
      <w:r w:rsidRPr="00CF4FC7">
        <w:rPr>
          <w:rFonts w:ascii="Arial" w:hAnsi="Arial" w:cs="Arial"/>
          <w:b/>
          <w:sz w:val="20"/>
        </w:rPr>
        <w:t>174</w:t>
      </w:r>
      <w:r w:rsidRPr="00CF4FC7">
        <w:rPr>
          <w:rFonts w:ascii="Arial" w:hAnsi="Arial" w:cs="Arial"/>
          <w:sz w:val="20"/>
        </w:rPr>
        <w:t>(5), 635-641.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Peles E., Schreiber S. &amp; Adelson M. (2006) Factors predicting retention in treatment: 10-year experience of a methadone maintenance treatment (MMT) clinic in Israel.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82</w:t>
      </w:r>
      <w:r w:rsidRPr="00CF4FC7">
        <w:rPr>
          <w:rFonts w:ascii="Arial" w:hAnsi="Arial" w:cs="Arial"/>
          <w:sz w:val="20"/>
        </w:rPr>
        <w:t>(3), 211-217.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Peles E., Linzy S., Kreek M. &amp; Adelson M. (2008) One-year and cumulative retention as predictors of success in methadone maintenance treatment: a comparison of two clinics in the United States and Israel. </w:t>
      </w:r>
      <w:r w:rsidRPr="00CF4FC7">
        <w:rPr>
          <w:rFonts w:ascii="Arial" w:hAnsi="Arial" w:cs="Arial"/>
          <w:i/>
          <w:sz w:val="20"/>
        </w:rPr>
        <w:t>Journal of Addictive Diseases</w:t>
      </w:r>
      <w:r w:rsidRPr="00CF4FC7">
        <w:rPr>
          <w:rFonts w:ascii="Arial" w:hAnsi="Arial" w:cs="Arial"/>
          <w:sz w:val="20"/>
        </w:rPr>
        <w:t xml:space="preserve"> </w:t>
      </w:r>
      <w:r w:rsidRPr="00CF4FC7">
        <w:rPr>
          <w:rFonts w:ascii="Arial" w:hAnsi="Arial" w:cs="Arial"/>
          <w:b/>
          <w:sz w:val="20"/>
        </w:rPr>
        <w:t>27</w:t>
      </w:r>
      <w:r w:rsidRPr="00CF4FC7">
        <w:rPr>
          <w:rFonts w:ascii="Arial" w:hAnsi="Arial" w:cs="Arial"/>
          <w:sz w:val="20"/>
        </w:rPr>
        <w:t>(4), 11-25.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Persaud T.V. (1997) </w:t>
      </w:r>
      <w:r w:rsidRPr="00CF4FC7">
        <w:rPr>
          <w:rFonts w:ascii="Arial" w:hAnsi="Arial" w:cs="Arial"/>
          <w:i/>
          <w:sz w:val="20"/>
        </w:rPr>
        <w:t>A history of anatomy: the post-Vesalian era</w:t>
      </w:r>
      <w:r w:rsidRPr="00CF4FC7">
        <w:rPr>
          <w:rFonts w:ascii="Arial" w:hAnsi="Arial" w:cs="Arial"/>
          <w:sz w:val="20"/>
        </w:rPr>
        <w:t>. Charles C. Thomas Publisher, Springfield, Illinois.</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Peterfi A., Tarjan A., Horvath G.C., Csesztregi T. &amp; Nyirady A. (2014) Changes in patterns of injecting drug use in Hungary: a shift to synthetic cathinones. </w:t>
      </w:r>
      <w:r w:rsidRPr="00CF4FC7">
        <w:rPr>
          <w:rFonts w:ascii="Arial" w:hAnsi="Arial" w:cs="Arial"/>
          <w:i/>
          <w:sz w:val="20"/>
        </w:rPr>
        <w:t>Drug Testing And Analysis</w:t>
      </w:r>
      <w:r w:rsidRPr="00CF4FC7">
        <w:rPr>
          <w:rFonts w:ascii="Arial" w:hAnsi="Arial" w:cs="Arial"/>
          <w:sz w:val="20"/>
        </w:rPr>
        <w:t xml:space="preserve"> </w:t>
      </w:r>
      <w:r w:rsidRPr="00CF4FC7">
        <w:rPr>
          <w:rFonts w:ascii="Arial" w:hAnsi="Arial" w:cs="Arial"/>
          <w:b/>
          <w:sz w:val="20"/>
        </w:rPr>
        <w:t>6</w:t>
      </w:r>
      <w:r w:rsidRPr="00CF4FC7">
        <w:rPr>
          <w:rFonts w:ascii="Arial" w:hAnsi="Arial" w:cs="Arial"/>
          <w:sz w:val="20"/>
        </w:rPr>
        <w:t>(7-8), 825-831.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Phillips D.C. &amp; Burbules N.C. (2000) </w:t>
      </w:r>
      <w:r w:rsidRPr="00CF4FC7">
        <w:rPr>
          <w:rFonts w:ascii="Arial" w:hAnsi="Arial" w:cs="Arial"/>
          <w:i/>
          <w:sz w:val="20"/>
        </w:rPr>
        <w:t>Postpositivism and Educational Research</w:t>
      </w:r>
      <w:r w:rsidRPr="00CF4FC7">
        <w:rPr>
          <w:rFonts w:ascii="Arial" w:hAnsi="Arial" w:cs="Arial"/>
          <w:sz w:val="20"/>
        </w:rPr>
        <w:t>. Rowman &amp; Littlefield Publishers Inc., Lanham, Bolder, New York, Oxford.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Pierce M., Millar T., Robertson J.R. &amp; Bird S.M. (2018) Ageing opioid users' increased risk of methadone-specific death in the UK. </w:t>
      </w:r>
      <w:r w:rsidRPr="00CF4FC7">
        <w:rPr>
          <w:rFonts w:ascii="Arial" w:hAnsi="Arial" w:cs="Arial"/>
          <w:i/>
          <w:sz w:val="20"/>
        </w:rPr>
        <w:t>International Journal of Drug Policy</w:t>
      </w:r>
      <w:r w:rsidRPr="00CF4FC7">
        <w:rPr>
          <w:rFonts w:ascii="Arial" w:hAnsi="Arial" w:cs="Arial"/>
          <w:sz w:val="20"/>
        </w:rPr>
        <w:t xml:space="preserve"> </w:t>
      </w:r>
      <w:r w:rsidRPr="00CF4FC7">
        <w:rPr>
          <w:rFonts w:ascii="Arial" w:hAnsi="Arial" w:cs="Arial"/>
          <w:b/>
          <w:sz w:val="20"/>
        </w:rPr>
        <w:t>55</w:t>
      </w:r>
      <w:r w:rsidRPr="00CF4FC7">
        <w:rPr>
          <w:rFonts w:ascii="Arial" w:hAnsi="Arial" w:cs="Arial"/>
          <w:sz w:val="20"/>
        </w:rPr>
        <w:t>, 121-127.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Pirona A., Guarita B., Montanari L. &amp; Noor A. (2015) Ageing and addiction: challenges for treatment systems. </w:t>
      </w:r>
      <w:r w:rsidRPr="00CF4FC7">
        <w:rPr>
          <w:rFonts w:ascii="Arial" w:hAnsi="Arial" w:cs="Arial"/>
          <w:i/>
          <w:sz w:val="20"/>
        </w:rPr>
        <w:t>Lisbon Addictions 2015</w:t>
      </w:r>
      <w:r w:rsidRPr="00CF4FC7">
        <w:rPr>
          <w:rFonts w:ascii="Arial" w:hAnsi="Arial" w:cs="Arial"/>
          <w:sz w:val="20"/>
        </w:rPr>
        <w:t xml:space="preserve">. Lisbon, Portugal. 23–25 September 2015. Retrieved from </w:t>
      </w:r>
      <w:r w:rsidRPr="003B0DEE">
        <w:rPr>
          <w:rFonts w:ascii="Arial" w:hAnsi="Arial" w:cs="Arial"/>
          <w:sz w:val="20"/>
        </w:rPr>
        <w:t>http://www.emcdda.europa.eu/publications/posters/2016/ageing-and-addiction-challenges-treatment-systems_en</w:t>
      </w:r>
      <w:r w:rsidRPr="00CF4FC7">
        <w:rPr>
          <w:rFonts w:ascii="Arial" w:hAnsi="Arial" w:cs="Arial"/>
          <w:sz w:val="20"/>
        </w:rPr>
        <w:t xml:space="preserve"> on 30 September 2016.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Polit D.F. &amp; Beck C.T. (2017) </w:t>
      </w:r>
      <w:r w:rsidRPr="00CF4FC7">
        <w:rPr>
          <w:rFonts w:ascii="Arial" w:hAnsi="Arial" w:cs="Arial"/>
          <w:i/>
          <w:sz w:val="20"/>
        </w:rPr>
        <w:t>Resource manual for Nursing research : generating and assessing evidence for nursing practice</w:t>
      </w:r>
      <w:r w:rsidRPr="00CF4FC7">
        <w:rPr>
          <w:rFonts w:ascii="Arial" w:hAnsi="Arial" w:cs="Arial"/>
          <w:sz w:val="20"/>
        </w:rPr>
        <w:t>. 10th edn. Wolters Kluwer, Philadelphia.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Popper K.R. (1968) </w:t>
      </w:r>
      <w:r w:rsidRPr="00CF4FC7">
        <w:rPr>
          <w:rFonts w:ascii="Arial" w:hAnsi="Arial" w:cs="Arial"/>
          <w:i/>
          <w:sz w:val="20"/>
        </w:rPr>
        <w:t>The logic of scientific discovery</w:t>
      </w:r>
      <w:r w:rsidRPr="00CF4FC7">
        <w:rPr>
          <w:rFonts w:ascii="Arial" w:hAnsi="Arial" w:cs="Arial"/>
          <w:sz w:val="20"/>
        </w:rPr>
        <w:t>. 2 edn. Harper &amp; Row, New York.</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Pring R. (2000) </w:t>
      </w:r>
      <w:r w:rsidRPr="00CF4FC7">
        <w:rPr>
          <w:rFonts w:ascii="Arial" w:hAnsi="Arial" w:cs="Arial"/>
          <w:i/>
          <w:sz w:val="20"/>
        </w:rPr>
        <w:t>Philosophy of educational research</w:t>
      </w:r>
      <w:r w:rsidRPr="00CF4FC7">
        <w:rPr>
          <w:rFonts w:ascii="Arial" w:hAnsi="Arial" w:cs="Arial"/>
          <w:sz w:val="20"/>
        </w:rPr>
        <w:t>. 1 edn. Continuum International Publishing, London, New York.</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Raffoul P.R., Cooper J.K. &amp; Love D.W. (1981) Drug misuse in older people. </w:t>
      </w:r>
      <w:r w:rsidRPr="00CF4FC7">
        <w:rPr>
          <w:rFonts w:ascii="Arial" w:hAnsi="Arial" w:cs="Arial"/>
          <w:i/>
          <w:sz w:val="20"/>
        </w:rPr>
        <w:t>Gerontologist</w:t>
      </w:r>
      <w:r w:rsidRPr="00CF4FC7">
        <w:rPr>
          <w:rFonts w:ascii="Arial" w:hAnsi="Arial" w:cs="Arial"/>
          <w:sz w:val="20"/>
        </w:rPr>
        <w:t xml:space="preserve"> </w:t>
      </w:r>
      <w:r w:rsidRPr="00CF4FC7">
        <w:rPr>
          <w:rFonts w:ascii="Arial" w:hAnsi="Arial" w:cs="Arial"/>
          <w:b/>
          <w:sz w:val="20"/>
        </w:rPr>
        <w:t>21</w:t>
      </w:r>
      <w:r w:rsidRPr="00CF4FC7">
        <w:rPr>
          <w:rFonts w:ascii="Arial" w:hAnsi="Arial" w:cs="Arial"/>
          <w:sz w:val="20"/>
        </w:rPr>
        <w:t>(2), 146-150.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Rajaratnam R., Sivesind D., Todman M., Roane D. &amp; Seewald R. (2009) The aging methadone maintenance patient: treatment adjustment, long-term success, and quality of life. </w:t>
      </w:r>
      <w:r w:rsidRPr="00CF4FC7">
        <w:rPr>
          <w:rFonts w:ascii="Arial" w:hAnsi="Arial" w:cs="Arial"/>
          <w:i/>
          <w:sz w:val="20"/>
        </w:rPr>
        <w:t>Journal of Opioid Management</w:t>
      </w:r>
      <w:r w:rsidRPr="00CF4FC7">
        <w:rPr>
          <w:rFonts w:ascii="Arial" w:hAnsi="Arial" w:cs="Arial"/>
          <w:sz w:val="20"/>
        </w:rPr>
        <w:t xml:space="preserve"> </w:t>
      </w:r>
      <w:r w:rsidRPr="00CF4FC7">
        <w:rPr>
          <w:rFonts w:ascii="Arial" w:hAnsi="Arial" w:cs="Arial"/>
          <w:b/>
          <w:sz w:val="20"/>
        </w:rPr>
        <w:t>5</w:t>
      </w:r>
      <w:r w:rsidRPr="00CF4FC7">
        <w:rPr>
          <w:rFonts w:ascii="Arial" w:hAnsi="Arial" w:cs="Arial"/>
          <w:sz w:val="20"/>
        </w:rPr>
        <w:t>(1), 27-37.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Rao R. &amp; Roche A. (2017) Substance misuse in older people. </w:t>
      </w:r>
      <w:r w:rsidRPr="00CF4FC7">
        <w:rPr>
          <w:rFonts w:ascii="Arial" w:hAnsi="Arial" w:cs="Arial"/>
          <w:i/>
          <w:sz w:val="20"/>
        </w:rPr>
        <w:t>British Medical Journal</w:t>
      </w:r>
      <w:r w:rsidRPr="00CF4FC7">
        <w:rPr>
          <w:rFonts w:ascii="Arial" w:hAnsi="Arial" w:cs="Arial"/>
          <w:sz w:val="20"/>
        </w:rPr>
        <w:t xml:space="preserve"> </w:t>
      </w:r>
      <w:r w:rsidRPr="00CF4FC7">
        <w:rPr>
          <w:rFonts w:ascii="Arial" w:hAnsi="Arial" w:cs="Arial"/>
          <w:b/>
          <w:sz w:val="20"/>
        </w:rPr>
        <w:t>358</w:t>
      </w:r>
      <w:r w:rsidRPr="00CF4FC7">
        <w:rPr>
          <w:rFonts w:ascii="Arial" w:hAnsi="Arial" w:cs="Arial"/>
          <w:sz w:val="20"/>
        </w:rPr>
        <w:t>.</w:t>
      </w:r>
      <w:r>
        <w:rPr>
          <w:rFonts w:ascii="Arial" w:hAnsi="Arial" w:cs="Arial"/>
          <w:sz w:val="20"/>
        </w:rPr>
        <w:t xml:space="preserve"> </w:t>
      </w:r>
      <w:r w:rsidRPr="00631456">
        <w:rPr>
          <w:rFonts w:ascii="Arial" w:eastAsiaTheme="minorHAnsi" w:hAnsi="Arial" w:cs="Arial"/>
          <w:sz w:val="20"/>
          <w:szCs w:val="20"/>
          <w:lang w:val="en-IE"/>
        </w:rPr>
        <w:t xml:space="preserve">DOI: </w:t>
      </w:r>
      <w:hyperlink r:id="rId30" w:tgtFrame="_blank" w:history="1">
        <w:r w:rsidRPr="00631456">
          <w:rPr>
            <w:rFonts w:ascii="Arial" w:eastAsiaTheme="minorHAnsi" w:hAnsi="Arial" w:cs="Arial"/>
            <w:sz w:val="20"/>
            <w:szCs w:val="20"/>
            <w:lang w:val="en-IE"/>
          </w:rPr>
          <w:t>10.1136/bmj.j3885</w:t>
        </w:r>
      </w:hyperlink>
      <w:r>
        <w:rPr>
          <w:rFonts w:ascii="Arial" w:eastAsiaTheme="minorHAnsi"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Roe B., Beynon C., Pickering L. &amp; Duffy P. (2010) Experiences of drug use and ageing: health, quality of life, relationship and service implications. </w:t>
      </w:r>
      <w:r w:rsidRPr="00CF4FC7">
        <w:rPr>
          <w:rFonts w:ascii="Arial" w:hAnsi="Arial" w:cs="Arial"/>
          <w:i/>
          <w:sz w:val="20"/>
        </w:rPr>
        <w:t>Journal of Advanced Nursing</w:t>
      </w:r>
      <w:r w:rsidRPr="00CF4FC7">
        <w:rPr>
          <w:rFonts w:ascii="Arial" w:hAnsi="Arial" w:cs="Arial"/>
          <w:sz w:val="20"/>
        </w:rPr>
        <w:t xml:space="preserve"> </w:t>
      </w:r>
      <w:r w:rsidRPr="00CF4FC7">
        <w:rPr>
          <w:rFonts w:ascii="Arial" w:hAnsi="Arial" w:cs="Arial"/>
          <w:b/>
          <w:sz w:val="20"/>
        </w:rPr>
        <w:t>66</w:t>
      </w:r>
      <w:r w:rsidRPr="00CF4FC7">
        <w:rPr>
          <w:rFonts w:ascii="Arial" w:hAnsi="Arial" w:cs="Arial"/>
          <w:sz w:val="20"/>
        </w:rPr>
        <w:t>(9), 1968-1979.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Rosen D., Smith M.L. &amp; Reynolds C.F. (2008) The prevalence of mental and physical health disorders among older methadone patients. </w:t>
      </w:r>
      <w:r w:rsidRPr="00CF4FC7">
        <w:rPr>
          <w:rFonts w:ascii="Arial" w:hAnsi="Arial" w:cs="Arial"/>
          <w:i/>
          <w:sz w:val="20"/>
        </w:rPr>
        <w:t>American Journal of Geriatric Psychiatry</w:t>
      </w:r>
      <w:r w:rsidRPr="00CF4FC7">
        <w:rPr>
          <w:rFonts w:ascii="Arial" w:hAnsi="Arial" w:cs="Arial"/>
          <w:sz w:val="20"/>
        </w:rPr>
        <w:t xml:space="preserve"> </w:t>
      </w:r>
      <w:r w:rsidRPr="00CF4FC7">
        <w:rPr>
          <w:rFonts w:ascii="Arial" w:hAnsi="Arial" w:cs="Arial"/>
          <w:b/>
          <w:sz w:val="20"/>
        </w:rPr>
        <w:t>16</w:t>
      </w:r>
      <w:r w:rsidRPr="00CF4FC7">
        <w:rPr>
          <w:rFonts w:ascii="Arial" w:hAnsi="Arial" w:cs="Arial"/>
          <w:sz w:val="20"/>
        </w:rPr>
        <w:t>(6), 488-497.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Rosen D., Hunsaker A., Albert S.M., Cornelius J.R. &amp; Reynolds C.F. (2011) Characteristics and consequences of heroin use among older adults in the United States: a review of the literature, treatment implications, and recommendations for further research. </w:t>
      </w:r>
      <w:r w:rsidRPr="00CF4FC7">
        <w:rPr>
          <w:rFonts w:ascii="Arial" w:hAnsi="Arial" w:cs="Arial"/>
          <w:i/>
          <w:sz w:val="20"/>
        </w:rPr>
        <w:t>Addictive Behaviors</w:t>
      </w:r>
      <w:r w:rsidRPr="00CF4FC7">
        <w:rPr>
          <w:rFonts w:ascii="Arial" w:hAnsi="Arial" w:cs="Arial"/>
          <w:sz w:val="20"/>
        </w:rPr>
        <w:t xml:space="preserve"> </w:t>
      </w:r>
      <w:r w:rsidRPr="00CF4FC7">
        <w:rPr>
          <w:rFonts w:ascii="Arial" w:hAnsi="Arial" w:cs="Arial"/>
          <w:b/>
          <w:sz w:val="20"/>
        </w:rPr>
        <w:t>36</w:t>
      </w:r>
      <w:r w:rsidRPr="00CF4FC7">
        <w:rPr>
          <w:rFonts w:ascii="Arial" w:hAnsi="Arial" w:cs="Arial"/>
          <w:sz w:val="20"/>
        </w:rPr>
        <w:t>(4), 279-285.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Ross J., Teesson M., Darke S., Lynskey M., Ali R., Ritter A. &amp; Cooke R. (2005) The characteristics of heroin users entering treatment: findings from the Australian treatment outcome study (ATOS).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24</w:t>
      </w:r>
      <w:r w:rsidRPr="00CF4FC7">
        <w:rPr>
          <w:rFonts w:ascii="Arial" w:hAnsi="Arial" w:cs="Arial"/>
          <w:sz w:val="20"/>
        </w:rPr>
        <w:t>(5), 411-418.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Sahker E., Acion L. &amp; Arndt S. (2015) National analysis of differences among substance abuse treatment outcomes: College student and nonstudent emerging adults. </w:t>
      </w:r>
      <w:r w:rsidRPr="00CF4FC7">
        <w:rPr>
          <w:rFonts w:ascii="Arial" w:hAnsi="Arial" w:cs="Arial"/>
          <w:i/>
          <w:sz w:val="20"/>
        </w:rPr>
        <w:t>Journal of American College Health S2- Journal of the American College Health Association</w:t>
      </w:r>
      <w:r w:rsidRPr="00CF4FC7">
        <w:rPr>
          <w:rFonts w:ascii="Arial" w:hAnsi="Arial" w:cs="Arial"/>
          <w:sz w:val="20"/>
        </w:rPr>
        <w:t xml:space="preserve"> </w:t>
      </w:r>
      <w:r w:rsidRPr="00CF4FC7">
        <w:rPr>
          <w:rFonts w:ascii="Arial" w:hAnsi="Arial" w:cs="Arial"/>
          <w:b/>
          <w:sz w:val="20"/>
        </w:rPr>
        <w:t>63</w:t>
      </w:r>
      <w:r w:rsidRPr="00CF4FC7">
        <w:rPr>
          <w:rFonts w:ascii="Arial" w:hAnsi="Arial" w:cs="Arial"/>
          <w:sz w:val="20"/>
        </w:rPr>
        <w:t>(2), 118-124.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Satre D.D., Mertens J., Areán P.A. &amp; Weisner C. (2003) Contrasting outcomes of older versus middle-aged and younger adult chemical dependency patients in a managed care program. </w:t>
      </w:r>
      <w:r w:rsidRPr="00CF4FC7">
        <w:rPr>
          <w:rFonts w:ascii="Arial" w:hAnsi="Arial" w:cs="Arial"/>
          <w:i/>
          <w:sz w:val="20"/>
        </w:rPr>
        <w:t>Journal of Studies on Alcohol</w:t>
      </w:r>
      <w:r w:rsidRPr="00CF4FC7">
        <w:rPr>
          <w:rFonts w:ascii="Arial" w:hAnsi="Arial" w:cs="Arial"/>
          <w:sz w:val="20"/>
        </w:rPr>
        <w:t xml:space="preserve"> </w:t>
      </w:r>
      <w:r w:rsidRPr="00CF4FC7">
        <w:rPr>
          <w:rFonts w:ascii="Arial" w:hAnsi="Arial" w:cs="Arial"/>
          <w:b/>
          <w:sz w:val="20"/>
        </w:rPr>
        <w:t>64</w:t>
      </w:r>
      <w:r w:rsidRPr="00CF4FC7">
        <w:rPr>
          <w:rFonts w:ascii="Arial" w:hAnsi="Arial" w:cs="Arial"/>
          <w:sz w:val="20"/>
        </w:rPr>
        <w:t>(4), 520-530.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Satre D.D., Mertens J.R., Arean P.A. &amp; Weisner C. (2004) Five-year alcohol and drug treatment outcomes of older adults versus middle-aged and younger adults in a managed care program.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99</w:t>
      </w:r>
      <w:r w:rsidRPr="00CF4FC7">
        <w:rPr>
          <w:rFonts w:ascii="Arial" w:hAnsi="Arial" w:cs="Arial"/>
          <w:sz w:val="20"/>
        </w:rPr>
        <w:t>(10), 1286-1297.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Satre D.D., Blow F.C., Chi F.W. &amp; Weisner C. (2007) Gender differences in seven-year alcohol and drug treatment outcomes among older adults. </w:t>
      </w:r>
      <w:r w:rsidRPr="00CF4FC7">
        <w:rPr>
          <w:rFonts w:ascii="Arial" w:hAnsi="Arial" w:cs="Arial"/>
          <w:i/>
          <w:sz w:val="20"/>
        </w:rPr>
        <w:t>The American Journal on Addictions</w:t>
      </w:r>
      <w:r w:rsidRPr="00CF4FC7">
        <w:rPr>
          <w:rFonts w:ascii="Arial" w:hAnsi="Arial" w:cs="Arial"/>
          <w:sz w:val="20"/>
        </w:rPr>
        <w:t xml:space="preserve"> </w:t>
      </w:r>
      <w:r w:rsidRPr="00CF4FC7">
        <w:rPr>
          <w:rFonts w:ascii="Arial" w:hAnsi="Arial" w:cs="Arial"/>
          <w:b/>
          <w:sz w:val="20"/>
        </w:rPr>
        <w:t>16</w:t>
      </w:r>
      <w:r w:rsidRPr="00CF4FC7">
        <w:rPr>
          <w:rFonts w:ascii="Arial" w:hAnsi="Arial" w:cs="Arial"/>
          <w:sz w:val="20"/>
        </w:rPr>
        <w:t>(3), 216-221.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 xml:space="preserve">Scalise D.A., Berkel L. &amp; Van Whitlock R. (2010) Client factors associated with treatment completion in a substance abuse treatment facility AU - Scalise, Dominick A. </w:t>
      </w:r>
      <w:r w:rsidRPr="00CF4FC7">
        <w:rPr>
          <w:rFonts w:ascii="Arial" w:hAnsi="Arial" w:cs="Arial"/>
          <w:i/>
          <w:sz w:val="20"/>
        </w:rPr>
        <w:t>Addiction Research &amp; Theory</w:t>
      </w:r>
      <w:r w:rsidRPr="00CF4FC7">
        <w:rPr>
          <w:rFonts w:ascii="Arial" w:hAnsi="Arial" w:cs="Arial"/>
          <w:sz w:val="20"/>
        </w:rPr>
        <w:t xml:space="preserve"> </w:t>
      </w:r>
      <w:r w:rsidRPr="00CF4FC7">
        <w:rPr>
          <w:rFonts w:ascii="Arial" w:hAnsi="Arial" w:cs="Arial"/>
          <w:b/>
          <w:sz w:val="20"/>
        </w:rPr>
        <w:t>18</w:t>
      </w:r>
      <w:r w:rsidRPr="00CF4FC7">
        <w:rPr>
          <w:rFonts w:ascii="Arial" w:hAnsi="Arial" w:cs="Arial"/>
          <w:sz w:val="20"/>
        </w:rPr>
        <w:t>(6), 667-680.</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Schonfeld L., Dupree L.W., Dickson-Euhrmann E., Royer C.M., McDermott C.H., Rosansky J.S., Taylor S. &amp; Jarvik L.F. (2000) Cognitive-behavioral treatment of older veterans with substance abuse problems. </w:t>
      </w:r>
      <w:r w:rsidRPr="00CF4FC7">
        <w:rPr>
          <w:rFonts w:ascii="Arial" w:hAnsi="Arial" w:cs="Arial"/>
          <w:i/>
          <w:sz w:val="20"/>
        </w:rPr>
        <w:t>Journal of Geriatric Psychiatry and Neurology</w:t>
      </w:r>
      <w:r w:rsidRPr="00CF4FC7">
        <w:rPr>
          <w:rFonts w:ascii="Arial" w:hAnsi="Arial" w:cs="Arial"/>
          <w:sz w:val="20"/>
        </w:rPr>
        <w:t xml:space="preserve"> </w:t>
      </w:r>
      <w:r w:rsidRPr="00CF4FC7">
        <w:rPr>
          <w:rFonts w:ascii="Arial" w:hAnsi="Arial" w:cs="Arial"/>
          <w:b/>
          <w:sz w:val="20"/>
        </w:rPr>
        <w:t>13</w:t>
      </w:r>
      <w:r w:rsidRPr="00CF4FC7">
        <w:rPr>
          <w:rFonts w:ascii="Arial" w:hAnsi="Arial" w:cs="Arial"/>
          <w:sz w:val="20"/>
        </w:rPr>
        <w:t>(3), 124-129.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Schwarz G. (1978) Estimating the Dimension of a Model. </w:t>
      </w:r>
      <w:r w:rsidRPr="00CF4FC7">
        <w:rPr>
          <w:rFonts w:ascii="Arial" w:hAnsi="Arial" w:cs="Arial"/>
          <w:i/>
          <w:sz w:val="20"/>
        </w:rPr>
        <w:t>The Annals of Statistics</w:t>
      </w:r>
      <w:r w:rsidRPr="00CF4FC7">
        <w:rPr>
          <w:rFonts w:ascii="Arial" w:hAnsi="Arial" w:cs="Arial"/>
          <w:sz w:val="20"/>
        </w:rPr>
        <w:t xml:space="preserve"> </w:t>
      </w:r>
      <w:r w:rsidRPr="00CF4FC7">
        <w:rPr>
          <w:rFonts w:ascii="Arial" w:hAnsi="Arial" w:cs="Arial"/>
          <w:b/>
          <w:sz w:val="20"/>
        </w:rPr>
        <w:t>6</w:t>
      </w:r>
      <w:r w:rsidRPr="00CF4FC7">
        <w:rPr>
          <w:rFonts w:ascii="Arial" w:hAnsi="Arial" w:cs="Arial"/>
          <w:sz w:val="20"/>
        </w:rPr>
        <w:t>(2), 461-464.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Scotland J. (2012) Exploring the Philosophical Underpinnings of Research: Relating Ontology and Epistemology to the Methodology and Methods of the Scientific, Interpretive, and Critical Research Paradigms. </w:t>
      </w:r>
      <w:r w:rsidRPr="00CF4FC7">
        <w:rPr>
          <w:rFonts w:ascii="Arial" w:hAnsi="Arial" w:cs="Arial"/>
          <w:i/>
          <w:sz w:val="20"/>
        </w:rPr>
        <w:t>English Language Teaching</w:t>
      </w:r>
      <w:r w:rsidRPr="00CF4FC7">
        <w:rPr>
          <w:rFonts w:ascii="Arial" w:hAnsi="Arial" w:cs="Arial"/>
          <w:sz w:val="20"/>
        </w:rPr>
        <w:t xml:space="preserve"> </w:t>
      </w:r>
      <w:r w:rsidRPr="00CF4FC7">
        <w:rPr>
          <w:rFonts w:ascii="Arial" w:hAnsi="Arial" w:cs="Arial"/>
          <w:b/>
          <w:sz w:val="20"/>
        </w:rPr>
        <w:t>5</w:t>
      </w:r>
      <w:r w:rsidRPr="00CF4FC7">
        <w:rPr>
          <w:rFonts w:ascii="Arial" w:hAnsi="Arial" w:cs="Arial"/>
          <w:sz w:val="20"/>
        </w:rPr>
        <w:t>(9), 9-16.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Simoni-Wastila L. &amp; Yang H.K. (2006) Psychoactive drug abuse in older adults. </w:t>
      </w:r>
      <w:r w:rsidRPr="00CF4FC7">
        <w:rPr>
          <w:rFonts w:ascii="Arial" w:hAnsi="Arial" w:cs="Arial"/>
          <w:i/>
          <w:sz w:val="20"/>
        </w:rPr>
        <w:t>The American Journal of Geriatric Pharmacotherapy</w:t>
      </w:r>
      <w:r w:rsidRPr="00CF4FC7">
        <w:rPr>
          <w:rFonts w:ascii="Arial" w:hAnsi="Arial" w:cs="Arial"/>
          <w:sz w:val="20"/>
        </w:rPr>
        <w:t xml:space="preserve"> </w:t>
      </w:r>
      <w:r w:rsidRPr="00CF4FC7">
        <w:rPr>
          <w:rFonts w:ascii="Arial" w:hAnsi="Arial" w:cs="Arial"/>
          <w:b/>
          <w:sz w:val="20"/>
        </w:rPr>
        <w:t>4</w:t>
      </w:r>
      <w:r w:rsidRPr="00CF4FC7">
        <w:rPr>
          <w:rFonts w:ascii="Arial" w:hAnsi="Arial" w:cs="Arial"/>
          <w:sz w:val="20"/>
        </w:rPr>
        <w:t>(4), 380-394.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Simpson D.D. (1979) The relation of time spent in drug abuse treatment to posttreatment outcome. </w:t>
      </w:r>
      <w:r w:rsidRPr="00CF4FC7">
        <w:rPr>
          <w:rFonts w:ascii="Arial" w:hAnsi="Arial" w:cs="Arial"/>
          <w:i/>
          <w:sz w:val="20"/>
        </w:rPr>
        <w:t>American Journal of Psychiatry</w:t>
      </w:r>
      <w:r w:rsidRPr="00CF4FC7">
        <w:rPr>
          <w:rFonts w:ascii="Arial" w:hAnsi="Arial" w:cs="Arial"/>
          <w:sz w:val="20"/>
        </w:rPr>
        <w:t xml:space="preserve"> </w:t>
      </w:r>
      <w:r w:rsidRPr="00CF4FC7">
        <w:rPr>
          <w:rFonts w:ascii="Arial" w:hAnsi="Arial" w:cs="Arial"/>
          <w:b/>
          <w:sz w:val="20"/>
        </w:rPr>
        <w:t>136</w:t>
      </w:r>
      <w:r w:rsidRPr="00CF4FC7">
        <w:rPr>
          <w:rFonts w:ascii="Arial" w:hAnsi="Arial" w:cs="Arial"/>
          <w:sz w:val="20"/>
        </w:rPr>
        <w:t>(11), 1449-1453.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Simpson D.D. &amp; Joe G.W. (1993) Motivation as a predictor of early dropout from drug abuse treatment. </w:t>
      </w:r>
      <w:r w:rsidRPr="00CF4FC7">
        <w:rPr>
          <w:rFonts w:ascii="Arial" w:hAnsi="Arial" w:cs="Arial"/>
          <w:i/>
          <w:sz w:val="20"/>
        </w:rPr>
        <w:t>Psychotherapy: Theory, research, practice, training</w:t>
      </w:r>
      <w:r w:rsidRPr="00CF4FC7">
        <w:rPr>
          <w:rFonts w:ascii="Arial" w:hAnsi="Arial" w:cs="Arial"/>
          <w:sz w:val="20"/>
        </w:rPr>
        <w:t xml:space="preserve"> </w:t>
      </w:r>
      <w:r w:rsidRPr="00CF4FC7">
        <w:rPr>
          <w:rFonts w:ascii="Arial" w:hAnsi="Arial" w:cs="Arial"/>
          <w:b/>
          <w:sz w:val="20"/>
        </w:rPr>
        <w:t>30</w:t>
      </w:r>
      <w:r w:rsidRPr="00CF4FC7">
        <w:rPr>
          <w:rFonts w:ascii="Arial" w:hAnsi="Arial" w:cs="Arial"/>
          <w:sz w:val="20"/>
        </w:rPr>
        <w:t>(2), 357-368.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Simpson D.D., Joe G.W., Rowan-Szal G. &amp; Greener J. (1995) Client engagement and change during drug abuse treatment. </w:t>
      </w:r>
      <w:r w:rsidRPr="00CF4FC7">
        <w:rPr>
          <w:rFonts w:ascii="Arial" w:hAnsi="Arial" w:cs="Arial"/>
          <w:i/>
          <w:sz w:val="20"/>
        </w:rPr>
        <w:t>Journal of Substance Abuse</w:t>
      </w:r>
      <w:r w:rsidRPr="00CF4FC7">
        <w:rPr>
          <w:rFonts w:ascii="Arial" w:hAnsi="Arial" w:cs="Arial"/>
          <w:sz w:val="20"/>
        </w:rPr>
        <w:t xml:space="preserve"> </w:t>
      </w:r>
      <w:r w:rsidRPr="00CF4FC7">
        <w:rPr>
          <w:rFonts w:ascii="Arial" w:hAnsi="Arial" w:cs="Arial"/>
          <w:b/>
          <w:sz w:val="20"/>
        </w:rPr>
        <w:t>7</w:t>
      </w:r>
      <w:r w:rsidRPr="00CF4FC7">
        <w:rPr>
          <w:rFonts w:ascii="Arial" w:hAnsi="Arial" w:cs="Arial"/>
          <w:sz w:val="20"/>
        </w:rPr>
        <w:t>(1), 117-134.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Simpson D.D., Joe G.W. &amp; Brown B.S. (1997) Treatment retention and follow-up outcomes in the Drug Abuse Treatment Outcome Study (DATOS). </w:t>
      </w:r>
      <w:r w:rsidRPr="00CF4FC7">
        <w:rPr>
          <w:rFonts w:ascii="Arial" w:hAnsi="Arial" w:cs="Arial"/>
          <w:i/>
          <w:sz w:val="20"/>
        </w:rPr>
        <w:t>Psychology of Addictive Behaviors S2- Bulletin of the Society of Psychologists in Addictive Behaviors S2- Bulletin of the Society of Psychologists in Substance Abuse</w:t>
      </w:r>
      <w:r w:rsidRPr="00CF4FC7">
        <w:rPr>
          <w:rFonts w:ascii="Arial" w:hAnsi="Arial" w:cs="Arial"/>
          <w:sz w:val="20"/>
        </w:rPr>
        <w:t xml:space="preserve"> </w:t>
      </w:r>
      <w:r w:rsidRPr="00CF4FC7">
        <w:rPr>
          <w:rFonts w:ascii="Arial" w:hAnsi="Arial" w:cs="Arial"/>
          <w:b/>
          <w:sz w:val="20"/>
        </w:rPr>
        <w:t>11</w:t>
      </w:r>
      <w:r w:rsidRPr="00CF4FC7">
        <w:rPr>
          <w:rFonts w:ascii="Arial" w:hAnsi="Arial" w:cs="Arial"/>
          <w:sz w:val="20"/>
        </w:rPr>
        <w:t>(4), 294-307.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Smith J.K. (1983) Quantitative Versus Qualitative Research: An Attempt to Clarify the Issue. </w:t>
      </w:r>
      <w:r w:rsidRPr="00CF4FC7">
        <w:rPr>
          <w:rFonts w:ascii="Arial" w:hAnsi="Arial" w:cs="Arial"/>
          <w:i/>
          <w:sz w:val="20"/>
        </w:rPr>
        <w:t>Educational Researcher</w:t>
      </w:r>
      <w:r w:rsidRPr="00CF4FC7">
        <w:rPr>
          <w:rFonts w:ascii="Arial" w:hAnsi="Arial" w:cs="Arial"/>
          <w:sz w:val="20"/>
        </w:rPr>
        <w:t xml:space="preserve"> </w:t>
      </w:r>
      <w:r w:rsidRPr="00CF4FC7">
        <w:rPr>
          <w:rFonts w:ascii="Arial" w:hAnsi="Arial" w:cs="Arial"/>
          <w:b/>
          <w:sz w:val="20"/>
        </w:rPr>
        <w:t>12</w:t>
      </w:r>
      <w:r w:rsidRPr="00CF4FC7">
        <w:rPr>
          <w:rFonts w:ascii="Arial" w:hAnsi="Arial" w:cs="Arial"/>
          <w:sz w:val="20"/>
        </w:rPr>
        <w:t>(3), 6-13.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Smyth B.P., O'Brien M. &amp; Barry J. (2000) Trends in treated opiate misuse in Dublin: the emergence of chasing the dragon.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95</w:t>
      </w:r>
      <w:r w:rsidRPr="00CF4FC7">
        <w:rPr>
          <w:rFonts w:ascii="Arial" w:hAnsi="Arial" w:cs="Arial"/>
          <w:sz w:val="20"/>
        </w:rPr>
        <w:t>(8), 1217-1223.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Smyth B.P., Lyons S. &amp; Cullen W. (2017) Decline in new psychoactive substance use disorders following legislation targeting headshops: Evidence from national addiction treatment data.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36</w:t>
      </w:r>
      <w:r w:rsidRPr="00CF4FC7">
        <w:rPr>
          <w:rFonts w:ascii="Arial" w:hAnsi="Arial" w:cs="Arial"/>
          <w:sz w:val="20"/>
        </w:rPr>
        <w:t>(5), 609-617.</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Specka M., Buchholz A., Kuhlmann T., Rist F. &amp; Scherbaum N. (2011) Prediction of the outcome of inpatient opiate detoxification treatment: results from a multicenter study. </w:t>
      </w:r>
      <w:r w:rsidRPr="00CF4FC7">
        <w:rPr>
          <w:rFonts w:ascii="Arial" w:hAnsi="Arial" w:cs="Arial"/>
          <w:i/>
          <w:sz w:val="20"/>
        </w:rPr>
        <w:t>European Addiction Research</w:t>
      </w:r>
      <w:r w:rsidRPr="00CF4FC7">
        <w:rPr>
          <w:rFonts w:ascii="Arial" w:hAnsi="Arial" w:cs="Arial"/>
          <w:sz w:val="20"/>
        </w:rPr>
        <w:t xml:space="preserve"> </w:t>
      </w:r>
      <w:r w:rsidRPr="00CF4FC7">
        <w:rPr>
          <w:rFonts w:ascii="Arial" w:hAnsi="Arial" w:cs="Arial"/>
          <w:b/>
          <w:sz w:val="20"/>
        </w:rPr>
        <w:t>17</w:t>
      </w:r>
      <w:r w:rsidRPr="00CF4FC7">
        <w:rPr>
          <w:rFonts w:ascii="Arial" w:hAnsi="Arial" w:cs="Arial"/>
          <w:sz w:val="20"/>
        </w:rPr>
        <w:t>(4), 178-184.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Sproule B.A., Busto U.E., Somer G., Romach M.K. &amp; Sellers E.M. (1999) Characteristics of dependent and nondependent regular users of codeine. </w:t>
      </w:r>
      <w:r w:rsidRPr="00CF4FC7">
        <w:rPr>
          <w:rFonts w:ascii="Arial" w:hAnsi="Arial" w:cs="Arial"/>
          <w:i/>
          <w:sz w:val="20"/>
        </w:rPr>
        <w:t>Journal of Clinical Psychopharmacology</w:t>
      </w:r>
      <w:r w:rsidRPr="00CF4FC7">
        <w:rPr>
          <w:rFonts w:ascii="Arial" w:hAnsi="Arial" w:cs="Arial"/>
          <w:sz w:val="20"/>
        </w:rPr>
        <w:t xml:space="preserve"> </w:t>
      </w:r>
      <w:r w:rsidRPr="00CF4FC7">
        <w:rPr>
          <w:rFonts w:ascii="Arial" w:hAnsi="Arial" w:cs="Arial"/>
          <w:b/>
          <w:sz w:val="20"/>
        </w:rPr>
        <w:t>19</w:t>
      </w:r>
      <w:r w:rsidRPr="00CF4FC7">
        <w:rPr>
          <w:rFonts w:ascii="Arial" w:hAnsi="Arial" w:cs="Arial"/>
          <w:sz w:val="20"/>
        </w:rPr>
        <w:t>(4), 367-372.</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Stahler G.J., Mennis J. &amp; DuCette J.P. (2016) Residential and outpatient treatment completion for substance use disorders in the U.S.: Moderation analysis by demographics and drug of choice. </w:t>
      </w:r>
      <w:r w:rsidRPr="00CF4FC7">
        <w:rPr>
          <w:rFonts w:ascii="Arial" w:hAnsi="Arial" w:cs="Arial"/>
          <w:i/>
          <w:sz w:val="20"/>
        </w:rPr>
        <w:t>Addictive Behaviors</w:t>
      </w:r>
      <w:r w:rsidRPr="00CF4FC7">
        <w:rPr>
          <w:rFonts w:ascii="Arial" w:hAnsi="Arial" w:cs="Arial"/>
          <w:sz w:val="20"/>
        </w:rPr>
        <w:t xml:space="preserve"> </w:t>
      </w:r>
      <w:r w:rsidRPr="00CF4FC7">
        <w:rPr>
          <w:rFonts w:ascii="Arial" w:hAnsi="Arial" w:cs="Arial"/>
          <w:b/>
          <w:sz w:val="20"/>
        </w:rPr>
        <w:t>58</w:t>
      </w:r>
      <w:r w:rsidRPr="00CF4FC7">
        <w:rPr>
          <w:rFonts w:ascii="Arial" w:hAnsi="Arial" w:cs="Arial"/>
          <w:sz w:val="20"/>
        </w:rPr>
        <w:t>, 129-135.</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Stahler G.J. &amp; Mennis J. (2018) Treatment outcome disparities for opioid users: Are there racial and ethnic differences in treatment completion across large US metropolitan areas? </w:t>
      </w:r>
      <w:r w:rsidRPr="00CF4FC7">
        <w:rPr>
          <w:rFonts w:ascii="Arial" w:hAnsi="Arial" w:cs="Arial"/>
          <w:i/>
          <w:sz w:val="20"/>
        </w:rPr>
        <w:t>Drug and Alcohol Dependence</w:t>
      </w:r>
      <w:r w:rsidRPr="00CF4FC7">
        <w:rPr>
          <w:rFonts w:ascii="Arial" w:hAnsi="Arial" w:cs="Arial"/>
          <w:sz w:val="20"/>
        </w:rPr>
        <w:t xml:space="preserve"> </w:t>
      </w:r>
      <w:r w:rsidRPr="00CF4FC7">
        <w:rPr>
          <w:rFonts w:ascii="Arial" w:hAnsi="Arial" w:cs="Arial"/>
          <w:b/>
          <w:sz w:val="20"/>
        </w:rPr>
        <w:t>190</w:t>
      </w:r>
      <w:r w:rsidRPr="00CF4FC7">
        <w:rPr>
          <w:rFonts w:ascii="Arial" w:hAnsi="Arial" w:cs="Arial"/>
          <w:sz w:val="20"/>
        </w:rPr>
        <w:t>, 170-178.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Stark M.J. (1992) Dropping out of substance abuse treatment: A clinically oriented review. </w:t>
      </w:r>
      <w:r w:rsidRPr="00CF4FC7">
        <w:rPr>
          <w:rFonts w:ascii="Arial" w:hAnsi="Arial" w:cs="Arial"/>
          <w:i/>
          <w:sz w:val="20"/>
        </w:rPr>
        <w:t>Clinical Psychology Review</w:t>
      </w:r>
      <w:r w:rsidRPr="00CF4FC7">
        <w:rPr>
          <w:rFonts w:ascii="Arial" w:hAnsi="Arial" w:cs="Arial"/>
          <w:sz w:val="20"/>
        </w:rPr>
        <w:t xml:space="preserve"> </w:t>
      </w:r>
      <w:r w:rsidRPr="00CF4FC7">
        <w:rPr>
          <w:rFonts w:ascii="Arial" w:hAnsi="Arial" w:cs="Arial"/>
          <w:b/>
          <w:sz w:val="20"/>
        </w:rPr>
        <w:t>12</w:t>
      </w:r>
      <w:r w:rsidRPr="00CF4FC7">
        <w:rPr>
          <w:rFonts w:ascii="Arial" w:hAnsi="Arial" w:cs="Arial"/>
          <w:sz w:val="20"/>
        </w:rPr>
        <w:t>(1), 93-116.</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Statistical Methodology and Applications Branch (2017) Joinpoint Regression Programme: Version 4.5.0.1, 4.5.0.1 edn. National Cancer Institute, Bethesda, Maryland, USA.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Storti C.C., De Grauwe P., Sabadash A. &amp; Montanari L. (2011) Unemployment and drug treatment. </w:t>
      </w:r>
      <w:r w:rsidRPr="00CF4FC7">
        <w:rPr>
          <w:rFonts w:ascii="Arial" w:hAnsi="Arial" w:cs="Arial"/>
          <w:i/>
          <w:sz w:val="20"/>
        </w:rPr>
        <w:t>International Journal of Drug Policy</w:t>
      </w:r>
      <w:r w:rsidRPr="00CF4FC7">
        <w:rPr>
          <w:rFonts w:ascii="Arial" w:hAnsi="Arial" w:cs="Arial"/>
          <w:sz w:val="20"/>
        </w:rPr>
        <w:t xml:space="preserve"> </w:t>
      </w:r>
      <w:r w:rsidRPr="00CF4FC7">
        <w:rPr>
          <w:rFonts w:ascii="Arial" w:hAnsi="Arial" w:cs="Arial"/>
          <w:b/>
          <w:sz w:val="20"/>
        </w:rPr>
        <w:t>22</w:t>
      </w:r>
      <w:r w:rsidRPr="00CF4FC7">
        <w:rPr>
          <w:rFonts w:ascii="Arial" w:hAnsi="Arial" w:cs="Arial"/>
          <w:sz w:val="20"/>
        </w:rPr>
        <w:t>(5), 366-373.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Strashny A. (2014) Age of Substance Use Initiation Among Treatment Admissions Aged 18 to 30. In </w:t>
      </w:r>
      <w:r w:rsidRPr="00CF4FC7">
        <w:rPr>
          <w:rFonts w:ascii="Arial" w:hAnsi="Arial" w:cs="Arial"/>
          <w:i/>
          <w:sz w:val="20"/>
        </w:rPr>
        <w:t>The CBHSQ Report</w:t>
      </w:r>
      <w:r w:rsidRPr="00CF4FC7">
        <w:rPr>
          <w:rFonts w:ascii="Arial" w:hAnsi="Arial" w:cs="Arial"/>
          <w:sz w:val="20"/>
        </w:rPr>
        <w:t>, Center for Behavioral Health Statistics and Quality, Substance Abuse and Mental Health Services Administration (SAMHSA), Rockville (MD), pp. 1-9.</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Substance Abuse and Mental Health Services Administration (1998) </w:t>
      </w:r>
      <w:r w:rsidRPr="00CF4FC7">
        <w:rPr>
          <w:rFonts w:ascii="Arial" w:hAnsi="Arial" w:cs="Arial"/>
          <w:i/>
          <w:sz w:val="20"/>
        </w:rPr>
        <w:t>Substance abuse among older adults</w:t>
      </w:r>
      <w:r w:rsidRPr="00CF4FC7">
        <w:rPr>
          <w:rFonts w:ascii="Arial" w:hAnsi="Arial" w:cs="Arial"/>
          <w:sz w:val="20"/>
        </w:rPr>
        <w:t>. Substance Abuse and Mental Health Services Administration (SAMHSA), Rockville, MD.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Substance Abuse and Mental Health Services Administration (2007) </w:t>
      </w:r>
      <w:r w:rsidRPr="00CF4FC7">
        <w:rPr>
          <w:rFonts w:ascii="Arial" w:hAnsi="Arial" w:cs="Arial"/>
          <w:i/>
          <w:sz w:val="20"/>
        </w:rPr>
        <w:t>The DASIS Report: Adults Aged 65 or Older in Substance Abuse Treatment: 2005</w:t>
      </w:r>
      <w:r w:rsidRPr="00CF4FC7">
        <w:rPr>
          <w:rFonts w:ascii="Arial" w:hAnsi="Arial" w:cs="Arial"/>
          <w:sz w:val="20"/>
        </w:rPr>
        <w:t>. Office of Applied Studies, Substance Abuse and Mental Health Services Administration (SAMHSA), Rockville, MD.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Substance Abuse and Mental Health Services Administration (2012) </w:t>
      </w:r>
      <w:r w:rsidRPr="00CF4FC7">
        <w:rPr>
          <w:rFonts w:ascii="Arial" w:hAnsi="Arial" w:cs="Arial"/>
          <w:i/>
          <w:sz w:val="20"/>
        </w:rPr>
        <w:t>Results from the 2011 National Survey on Drug Use and Health: Summary of National Findings</w:t>
      </w:r>
      <w:r w:rsidRPr="00CF4FC7">
        <w:rPr>
          <w:rFonts w:ascii="Arial" w:hAnsi="Arial" w:cs="Arial"/>
          <w:sz w:val="20"/>
        </w:rPr>
        <w:t>. Substance Abuse and Mental Health Services Administration (SAMHSA), Rockville, MD.</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Taylor M.H. &amp; Grossberg G.T. (2012) The growing problem of illicit substance abuse in the elderly: a review. </w:t>
      </w:r>
      <w:r w:rsidRPr="00CF4FC7">
        <w:rPr>
          <w:rFonts w:ascii="Arial" w:hAnsi="Arial" w:cs="Arial"/>
          <w:i/>
          <w:sz w:val="20"/>
        </w:rPr>
        <w:t>Primary Care Companion to CNS Disorders</w:t>
      </w:r>
      <w:r w:rsidRPr="00CF4FC7">
        <w:rPr>
          <w:rFonts w:ascii="Arial" w:hAnsi="Arial" w:cs="Arial"/>
          <w:sz w:val="20"/>
        </w:rPr>
        <w:t xml:space="preserve"> </w:t>
      </w:r>
      <w:r w:rsidRPr="00CF4FC7">
        <w:rPr>
          <w:rFonts w:ascii="Arial" w:hAnsi="Arial" w:cs="Arial"/>
          <w:b/>
          <w:sz w:val="20"/>
        </w:rPr>
        <w:t>14</w:t>
      </w:r>
      <w:r w:rsidRPr="00CF4FC7">
        <w:rPr>
          <w:rFonts w:ascii="Arial" w:hAnsi="Arial" w:cs="Arial"/>
          <w:sz w:val="20"/>
        </w:rPr>
        <w:t>(4).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Teesson M., Mills K., Ross J., Darke S., Williamson A. &amp; Havard A. (2007) The impact of treatment on 3 years' outcome for heroin dependence: findings from the Australian Treatment Outcome Study (ATOS).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103</w:t>
      </w:r>
      <w:r w:rsidRPr="00CF4FC7">
        <w:rPr>
          <w:rFonts w:ascii="Arial" w:hAnsi="Arial" w:cs="Arial"/>
          <w:sz w:val="20"/>
        </w:rPr>
        <w:t>(1), 80-88.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lastRenderedPageBreak/>
        <w:t>Teesson M., Marel C., Darke S., Ross J., Slade T., Burns L., Lynskey M., Memedovic S., White J. &amp; Mills K.L. (2015) Long‐term mortality, remission, criminality and psychiatric comorbidity of heroin dependence: 11</w:t>
      </w:r>
      <w:r w:rsidRPr="00CF4FC7">
        <w:rPr>
          <w:rFonts w:ascii="Cambria Math" w:hAnsi="Cambria Math" w:cs="Cambria Math"/>
          <w:sz w:val="20"/>
        </w:rPr>
        <w:t>‐</w:t>
      </w:r>
      <w:r w:rsidRPr="00CF4FC7">
        <w:rPr>
          <w:rFonts w:ascii="Arial" w:hAnsi="Arial" w:cs="Arial"/>
          <w:sz w:val="20"/>
        </w:rPr>
        <w:t xml:space="preserve">year findings from the Australian Treatment Outcome Study.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110</w:t>
      </w:r>
      <w:r w:rsidRPr="00CF4FC7">
        <w:rPr>
          <w:rFonts w:ascii="Arial" w:hAnsi="Arial" w:cs="Arial"/>
          <w:sz w:val="20"/>
        </w:rPr>
        <w:t>(6), 986-993.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The TOPPS-II Interstate Cooperative Study Group (2003) Drug treatment completion and post-discharge employment in the TOPPS-II Interstate Cooperative Study.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25</w:t>
      </w:r>
      <w:r w:rsidRPr="00CF4FC7">
        <w:rPr>
          <w:rFonts w:ascii="Arial" w:hAnsi="Arial" w:cs="Arial"/>
          <w:sz w:val="20"/>
        </w:rPr>
        <w:t>(1), 9-18.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United Nations Office on Drugs and Crime (2012) </w:t>
      </w:r>
      <w:r w:rsidRPr="00CF4FC7">
        <w:rPr>
          <w:rFonts w:ascii="Arial" w:hAnsi="Arial" w:cs="Arial"/>
          <w:i/>
          <w:sz w:val="20"/>
        </w:rPr>
        <w:t>World Drug Report 2012</w:t>
      </w:r>
      <w:r w:rsidRPr="00CF4FC7">
        <w:rPr>
          <w:rFonts w:ascii="Arial" w:hAnsi="Arial" w:cs="Arial"/>
          <w:sz w:val="20"/>
        </w:rPr>
        <w:t>. United Nations, Vienna.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United Nations Office on Drugs and Crime (2017) </w:t>
      </w:r>
      <w:r w:rsidRPr="00CF4FC7">
        <w:rPr>
          <w:rFonts w:ascii="Arial" w:hAnsi="Arial" w:cs="Arial"/>
          <w:i/>
          <w:sz w:val="20"/>
        </w:rPr>
        <w:t>World Drug Report 2017</w:t>
      </w:r>
      <w:r w:rsidRPr="00CF4FC7">
        <w:rPr>
          <w:rFonts w:ascii="Arial" w:hAnsi="Arial" w:cs="Arial"/>
          <w:sz w:val="20"/>
        </w:rPr>
        <w:t>. United Nations, Vienna.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United Nations Office on Drugs and Crime (2018) </w:t>
      </w:r>
      <w:r w:rsidRPr="00CF4FC7">
        <w:rPr>
          <w:rFonts w:ascii="Arial" w:hAnsi="Arial" w:cs="Arial"/>
          <w:i/>
          <w:sz w:val="20"/>
        </w:rPr>
        <w:t>World Drug Report 2018</w:t>
      </w:r>
      <w:r w:rsidRPr="00CF4FC7">
        <w:rPr>
          <w:rFonts w:ascii="Arial" w:hAnsi="Arial" w:cs="Arial"/>
          <w:sz w:val="20"/>
        </w:rPr>
        <w:t>. United Nations, Vienna.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United States Department of Health &amp; Human Services. Substance Abuse Mental Health Services Administration. Center for Behavioral Health Statistics Quality (2015) Treatment Episode Data Set -- Admissions (TEDS-A) -- Concatenated, 1992 to 2012, ICPSR25221-v10 edn. Inter-university Consortium for Political and Social Research.</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Vaughn B. &amp; Kleber H.D. (2015) Opioid detoxification. In </w:t>
      </w:r>
      <w:r w:rsidRPr="00CF4FC7">
        <w:rPr>
          <w:rFonts w:ascii="Arial" w:hAnsi="Arial" w:cs="Arial"/>
          <w:i/>
          <w:sz w:val="20"/>
        </w:rPr>
        <w:t>The American Psychiatric Publishing Textbook of Substance Abuse Treatment</w:t>
      </w:r>
      <w:r w:rsidRPr="00CF4FC7">
        <w:rPr>
          <w:rFonts w:ascii="Arial" w:hAnsi="Arial" w:cs="Arial"/>
          <w:sz w:val="20"/>
        </w:rPr>
        <w:t xml:space="preserve"> (Galanter M., Kleber H.D. &amp; Brady K.T., eds), American Psychiatric Publishing, Washington, DC.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Vincent G.K. &amp; Velkoff V.A. (2011) </w:t>
      </w:r>
      <w:r w:rsidRPr="00CF4FC7">
        <w:rPr>
          <w:rFonts w:ascii="Arial" w:hAnsi="Arial" w:cs="Arial"/>
          <w:i/>
          <w:sz w:val="20"/>
        </w:rPr>
        <w:t>The next four decades, the older population in the United States: 2010 to 2050. Population Estimates and Projections Current Population Reports</w:t>
      </w:r>
      <w:r w:rsidRPr="00CF4FC7">
        <w:rPr>
          <w:rFonts w:ascii="Arial" w:hAnsi="Arial" w:cs="Arial"/>
          <w:sz w:val="20"/>
        </w:rPr>
        <w:t>. US Department of Commerce, Economics and Statistics Administration, US Census Bureau, Washington, DC.</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Vogt I. (2009) Life Situations and Health of Older Drug Addicts: A Literature Report. </w:t>
      </w:r>
      <w:r w:rsidRPr="00CF4FC7">
        <w:rPr>
          <w:rFonts w:ascii="Arial" w:hAnsi="Arial" w:cs="Arial"/>
          <w:i/>
          <w:sz w:val="20"/>
        </w:rPr>
        <w:t>Suchttherapie</w:t>
      </w:r>
      <w:r w:rsidRPr="00CF4FC7">
        <w:rPr>
          <w:rFonts w:ascii="Arial" w:hAnsi="Arial" w:cs="Arial"/>
          <w:sz w:val="20"/>
        </w:rPr>
        <w:t xml:space="preserve"> </w:t>
      </w:r>
      <w:r w:rsidRPr="00CF4FC7">
        <w:rPr>
          <w:rFonts w:ascii="Arial" w:hAnsi="Arial" w:cs="Arial"/>
          <w:b/>
          <w:sz w:val="20"/>
        </w:rPr>
        <w:t>10</w:t>
      </w:r>
      <w:r w:rsidRPr="00CF4FC7">
        <w:rPr>
          <w:rFonts w:ascii="Arial" w:hAnsi="Arial" w:cs="Arial"/>
          <w:sz w:val="20"/>
        </w:rPr>
        <w:t>(1), 17–24.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Waal H. (2007) Merits and problems in high-threshold methadone maintenance treatment. Evaluation of medication-assisted rehabilitation in Norway 1998-2004. </w:t>
      </w:r>
      <w:r w:rsidRPr="00CF4FC7">
        <w:rPr>
          <w:rFonts w:ascii="Arial" w:hAnsi="Arial" w:cs="Arial"/>
          <w:i/>
          <w:sz w:val="20"/>
        </w:rPr>
        <w:t>European Addiction Research</w:t>
      </w:r>
      <w:r w:rsidRPr="00CF4FC7">
        <w:rPr>
          <w:rFonts w:ascii="Arial" w:hAnsi="Arial" w:cs="Arial"/>
          <w:sz w:val="20"/>
        </w:rPr>
        <w:t xml:space="preserve"> </w:t>
      </w:r>
      <w:r w:rsidRPr="00CF4FC7">
        <w:rPr>
          <w:rFonts w:ascii="Arial" w:hAnsi="Arial" w:cs="Arial"/>
          <w:b/>
          <w:sz w:val="20"/>
        </w:rPr>
        <w:t>13</w:t>
      </w:r>
      <w:r w:rsidRPr="00CF4FC7">
        <w:rPr>
          <w:rFonts w:ascii="Arial" w:hAnsi="Arial" w:cs="Arial"/>
          <w:sz w:val="20"/>
        </w:rPr>
        <w:t>(2), 66-73.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Weisner C., Mertens J., Parthasarathy S., Moore C. &amp; Lu Y. (2001) Integrating primary medical care with addiction treatment: a randomized controlled trial. </w:t>
      </w:r>
      <w:r w:rsidRPr="00CF4FC7">
        <w:rPr>
          <w:rFonts w:ascii="Arial" w:hAnsi="Arial" w:cs="Arial"/>
          <w:i/>
          <w:sz w:val="20"/>
        </w:rPr>
        <w:t>Journal of the American Medical Association</w:t>
      </w:r>
      <w:r w:rsidRPr="00CF4FC7">
        <w:rPr>
          <w:rFonts w:ascii="Arial" w:hAnsi="Arial" w:cs="Arial"/>
          <w:sz w:val="20"/>
        </w:rPr>
        <w:t xml:space="preserve"> </w:t>
      </w:r>
      <w:r w:rsidRPr="00CF4FC7">
        <w:rPr>
          <w:rFonts w:ascii="Arial" w:hAnsi="Arial" w:cs="Arial"/>
          <w:b/>
          <w:sz w:val="20"/>
        </w:rPr>
        <w:t>286</w:t>
      </w:r>
      <w:r w:rsidRPr="00CF4FC7">
        <w:rPr>
          <w:rFonts w:ascii="Arial" w:hAnsi="Arial" w:cs="Arial"/>
          <w:sz w:val="20"/>
        </w:rPr>
        <w:t>(14), 1715-1723.</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Wiessing L., Ferri M., Darke S., Simon R. &amp; Griffiths P. (2018) Large variation in measures used to assess outcomes of opioid dependence treatment: A systematic review of longitudinal observational studies. </w:t>
      </w:r>
      <w:r w:rsidRPr="00CF4FC7">
        <w:rPr>
          <w:rFonts w:ascii="Arial" w:hAnsi="Arial" w:cs="Arial"/>
          <w:i/>
          <w:sz w:val="20"/>
        </w:rPr>
        <w:t>Drug and Alcohol Review</w:t>
      </w:r>
      <w:r w:rsidRPr="00CF4FC7">
        <w:rPr>
          <w:rFonts w:ascii="Arial" w:hAnsi="Arial" w:cs="Arial"/>
          <w:sz w:val="20"/>
        </w:rPr>
        <w:t xml:space="preserve"> </w:t>
      </w:r>
      <w:r w:rsidRPr="00CF4FC7">
        <w:rPr>
          <w:rFonts w:ascii="Arial" w:hAnsi="Arial" w:cs="Arial"/>
          <w:b/>
          <w:sz w:val="20"/>
        </w:rPr>
        <w:t>37 Suppl 1</w:t>
      </w:r>
      <w:r w:rsidRPr="00CF4FC7">
        <w:rPr>
          <w:rFonts w:ascii="Arial" w:hAnsi="Arial" w:cs="Arial"/>
          <w:sz w:val="20"/>
        </w:rPr>
        <w:t>, S323-s338.</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Working Group of the Senior Drug Dependents and Care Structure Project (2010) </w:t>
      </w:r>
      <w:r w:rsidRPr="00CF4FC7">
        <w:rPr>
          <w:rFonts w:ascii="Arial" w:hAnsi="Arial" w:cs="Arial"/>
          <w:i/>
          <w:sz w:val="20"/>
        </w:rPr>
        <w:t>Recommendations at the EU level for services and responses. Executive Agency for Health and Consumers</w:t>
      </w:r>
      <w:r w:rsidRPr="00CF4FC7">
        <w:rPr>
          <w:rFonts w:ascii="Arial" w:hAnsi="Arial" w:cs="Arial"/>
          <w:sz w:val="20"/>
        </w:rPr>
        <w:t>, Frankfurt.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World Health Organization (1994) </w:t>
      </w:r>
      <w:r w:rsidRPr="00CF4FC7">
        <w:rPr>
          <w:rFonts w:ascii="Arial" w:hAnsi="Arial" w:cs="Arial"/>
          <w:i/>
          <w:sz w:val="20"/>
        </w:rPr>
        <w:t>Lexicon of alcohol and drug terms</w:t>
      </w:r>
      <w:r w:rsidRPr="00CF4FC7">
        <w:rPr>
          <w:rFonts w:ascii="Arial" w:hAnsi="Arial" w:cs="Arial"/>
          <w:sz w:val="20"/>
        </w:rPr>
        <w:t>. World Health Organization, Geneva.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World Health Organization (2005) </w:t>
      </w:r>
      <w:r w:rsidRPr="00CF4FC7">
        <w:rPr>
          <w:rFonts w:ascii="Arial" w:hAnsi="Arial" w:cs="Arial"/>
          <w:i/>
          <w:sz w:val="20"/>
        </w:rPr>
        <w:t>Preventing chronic diseases: a vital investment</w:t>
      </w:r>
      <w:r w:rsidRPr="00CF4FC7">
        <w:rPr>
          <w:rFonts w:ascii="Arial" w:hAnsi="Arial" w:cs="Arial"/>
          <w:sz w:val="20"/>
        </w:rPr>
        <w:t>. World Health Organization, Geneva.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World Health Organization (2017) </w:t>
      </w:r>
      <w:r w:rsidRPr="00CF4FC7">
        <w:rPr>
          <w:rFonts w:ascii="Arial" w:hAnsi="Arial" w:cs="Arial"/>
          <w:i/>
          <w:sz w:val="20"/>
        </w:rPr>
        <w:t>Global strategy and action plan on ageing and health</w:t>
      </w:r>
      <w:r w:rsidRPr="00CF4FC7">
        <w:rPr>
          <w:rFonts w:ascii="Arial" w:hAnsi="Arial" w:cs="Arial"/>
          <w:sz w:val="20"/>
        </w:rPr>
        <w:t>. World Health Organization, Geneva.</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Wu L.T. &amp; Blazer D.G. (2011) Illicit and nonmedical drug use among older adults: a review. </w:t>
      </w:r>
      <w:r w:rsidRPr="00CF4FC7">
        <w:rPr>
          <w:rFonts w:ascii="Arial" w:hAnsi="Arial" w:cs="Arial"/>
          <w:i/>
          <w:sz w:val="20"/>
        </w:rPr>
        <w:t>Journal of Aging and Health</w:t>
      </w:r>
      <w:r w:rsidRPr="00CF4FC7">
        <w:rPr>
          <w:rFonts w:ascii="Arial" w:hAnsi="Arial" w:cs="Arial"/>
          <w:sz w:val="20"/>
        </w:rPr>
        <w:t xml:space="preserve"> </w:t>
      </w:r>
      <w:r w:rsidRPr="00CF4FC7">
        <w:rPr>
          <w:rFonts w:ascii="Arial" w:hAnsi="Arial" w:cs="Arial"/>
          <w:b/>
          <w:sz w:val="20"/>
        </w:rPr>
        <w:t>23</w:t>
      </w:r>
      <w:r w:rsidRPr="00CF4FC7">
        <w:rPr>
          <w:rFonts w:ascii="Arial" w:hAnsi="Arial" w:cs="Arial"/>
          <w:sz w:val="20"/>
        </w:rPr>
        <w:t>(3), 481-504.</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Yang F., Lin P., Li Y., He Q., Long Q., Fu X. &amp; Luo Y. (2013) Predictors of retention in community-based methadone maintenance treatment program in Pearl River Delta, China. </w:t>
      </w:r>
      <w:r w:rsidRPr="00CF4FC7">
        <w:rPr>
          <w:rFonts w:ascii="Arial" w:hAnsi="Arial" w:cs="Arial"/>
          <w:i/>
          <w:sz w:val="20"/>
        </w:rPr>
        <w:t>Harm reduction journal</w:t>
      </w:r>
      <w:r w:rsidRPr="00CF4FC7">
        <w:rPr>
          <w:rFonts w:ascii="Arial" w:hAnsi="Arial" w:cs="Arial"/>
          <w:sz w:val="20"/>
        </w:rPr>
        <w:t xml:space="preserve"> </w:t>
      </w:r>
      <w:r w:rsidRPr="00CF4FC7">
        <w:rPr>
          <w:rFonts w:ascii="Arial" w:hAnsi="Arial" w:cs="Arial"/>
          <w:b/>
          <w:sz w:val="20"/>
        </w:rPr>
        <w:t>10</w:t>
      </w:r>
      <w:r w:rsidRPr="00CF4FC7">
        <w:rPr>
          <w:rFonts w:ascii="Arial" w:hAnsi="Arial" w:cs="Arial"/>
          <w:sz w:val="20"/>
        </w:rPr>
        <w:t>, 3.</w:t>
      </w:r>
      <w:r>
        <w:rPr>
          <w:rFonts w:ascii="Arial" w:hAnsi="Arial" w:cs="Arial"/>
          <w:sz w:val="20"/>
        </w:rPr>
        <w:t xml:space="preserve"> </w:t>
      </w:r>
      <w:r>
        <w:rPr>
          <w:rFonts w:ascii="Arial" w:hAnsi="Arial" w:cs="Arial"/>
          <w:sz w:val="20"/>
          <w:szCs w:val="20"/>
          <w:lang w:val="en-IE"/>
        </w:rPr>
        <w:t>DOI</w:t>
      </w:r>
      <w:r w:rsidRPr="00631456">
        <w:rPr>
          <w:rFonts w:ascii="Arial" w:hAnsi="Arial" w:cs="Arial"/>
          <w:sz w:val="20"/>
          <w:szCs w:val="20"/>
          <w:lang w:val="en-IE"/>
        </w:rPr>
        <w:t>: </w:t>
      </w:r>
      <w:hyperlink r:id="rId31" w:tgtFrame="pmc_ext" w:history="1">
        <w:r w:rsidRPr="00631456">
          <w:rPr>
            <w:rFonts w:ascii="Arial" w:hAnsi="Arial" w:cs="Arial"/>
            <w:sz w:val="20"/>
            <w:szCs w:val="20"/>
            <w:lang w:val="en-IE"/>
          </w:rPr>
          <w:t>10.1186/1477-7517-10-3</w:t>
        </w:r>
      </w:hyperlink>
      <w:r>
        <w:rPr>
          <w:rFonts w:ascii="Arial" w:hAnsi="Arial" w:cs="Arial"/>
          <w:sz w:val="20"/>
          <w:szCs w:val="20"/>
          <w:lang w:val="en-IE"/>
        </w:rPr>
        <w:t>.</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Zarkin G.A., Dunlap L.J., Bray J.W. &amp; Wechsberg W.M. (2002) The effect of treatment completion and length of stay on employment and crime in outpatient drug-free treatment. </w:t>
      </w:r>
      <w:r w:rsidRPr="00CF4FC7">
        <w:rPr>
          <w:rFonts w:ascii="Arial" w:hAnsi="Arial" w:cs="Arial"/>
          <w:i/>
          <w:sz w:val="20"/>
        </w:rPr>
        <w:t>Journal of Substance Abuse Treatment</w:t>
      </w:r>
      <w:r w:rsidRPr="00CF4FC7">
        <w:rPr>
          <w:rFonts w:ascii="Arial" w:hAnsi="Arial" w:cs="Arial"/>
          <w:sz w:val="20"/>
        </w:rPr>
        <w:t xml:space="preserve"> </w:t>
      </w:r>
      <w:r w:rsidRPr="00CF4FC7">
        <w:rPr>
          <w:rFonts w:ascii="Arial" w:hAnsi="Arial" w:cs="Arial"/>
          <w:b/>
          <w:sz w:val="20"/>
        </w:rPr>
        <w:t>23</w:t>
      </w:r>
      <w:r w:rsidRPr="00CF4FC7">
        <w:rPr>
          <w:rFonts w:ascii="Arial" w:hAnsi="Arial" w:cs="Arial"/>
          <w:sz w:val="20"/>
        </w:rPr>
        <w:t>(4), 261-271.</w:t>
      </w:r>
    </w:p>
    <w:p w:rsidR="003B0DEE" w:rsidRPr="00CF4FC7" w:rsidRDefault="003B0DEE" w:rsidP="000D5D90">
      <w:pPr>
        <w:pStyle w:val="EndNoteBibliography"/>
        <w:spacing w:after="0"/>
      </w:pPr>
    </w:p>
    <w:p w:rsidR="003B0DEE" w:rsidRPr="00CF4FC7" w:rsidRDefault="003B0DEE" w:rsidP="000D5D90">
      <w:pPr>
        <w:pStyle w:val="EndNoteBibliography"/>
      </w:pPr>
      <w:r w:rsidRPr="00CF4FC7">
        <w:rPr>
          <w:rFonts w:ascii="Arial" w:hAnsi="Arial" w:cs="Arial"/>
          <w:sz w:val="20"/>
        </w:rPr>
        <w:t xml:space="preserve">Zhang Z., Friedmann P.D. &amp; Gerstein D.R. (2003) Does retention matter? Treatment duration and improvement in drug use. </w:t>
      </w:r>
      <w:r w:rsidRPr="00CF4FC7">
        <w:rPr>
          <w:rFonts w:ascii="Arial" w:hAnsi="Arial" w:cs="Arial"/>
          <w:i/>
          <w:sz w:val="20"/>
        </w:rPr>
        <w:t>Addiction</w:t>
      </w:r>
      <w:r w:rsidRPr="00CF4FC7">
        <w:rPr>
          <w:rFonts w:ascii="Arial" w:hAnsi="Arial" w:cs="Arial"/>
          <w:sz w:val="20"/>
        </w:rPr>
        <w:t xml:space="preserve"> </w:t>
      </w:r>
      <w:r w:rsidRPr="00CF4FC7">
        <w:rPr>
          <w:rFonts w:ascii="Arial" w:hAnsi="Arial" w:cs="Arial"/>
          <w:b/>
          <w:sz w:val="20"/>
        </w:rPr>
        <w:t>98</w:t>
      </w:r>
      <w:r w:rsidRPr="00CF4FC7">
        <w:rPr>
          <w:rFonts w:ascii="Arial" w:hAnsi="Arial" w:cs="Arial"/>
          <w:sz w:val="20"/>
        </w:rPr>
        <w:t>(5), 673-684.</w:t>
      </w:r>
    </w:p>
    <w:p w:rsidR="003B0DEE" w:rsidRPr="00CF4FC7" w:rsidRDefault="003B0DEE" w:rsidP="000D5D90">
      <w:pPr>
        <w:pStyle w:val="EndNoteBibliography"/>
      </w:pPr>
    </w:p>
    <w:p w:rsidR="003B0DEE" w:rsidRDefault="003B0DEE" w:rsidP="000D5D90">
      <w:pPr>
        <w:pStyle w:val="EndNoteBibliography"/>
        <w:rPr>
          <w:rFonts w:cs="Arial"/>
          <w:sz w:val="20"/>
          <w:szCs w:val="20"/>
        </w:rPr>
        <w:sectPr w:rsidR="003B0DEE" w:rsidSect="000D5D90">
          <w:footerReference w:type="default" r:id="rId32"/>
          <w:pgSz w:w="11906" w:h="16838" w:code="9"/>
          <w:pgMar w:top="1134" w:right="1134" w:bottom="1134" w:left="1985" w:header="709" w:footer="709" w:gutter="0"/>
          <w:cols w:space="708"/>
          <w:docGrid w:linePitch="360"/>
        </w:sectPr>
      </w:pPr>
    </w:p>
    <w:p w:rsidR="003B0DEE" w:rsidRPr="0099003E" w:rsidRDefault="003B0DEE" w:rsidP="000D5D90">
      <w:pPr>
        <w:pStyle w:val="Heading1"/>
        <w:rPr>
          <w:color w:val="FFFFFF" w:themeColor="background1"/>
          <w:sz w:val="20"/>
        </w:rPr>
      </w:pPr>
      <w:r w:rsidRPr="0099003E">
        <w:rPr>
          <w:color w:val="FFFFFF" w:themeColor="background1"/>
          <w:sz w:val="20"/>
        </w:rPr>
        <w:lastRenderedPageBreak/>
        <w:t xml:space="preserve"> </w:t>
      </w:r>
      <w:bookmarkStart w:id="165" w:name="_Toc15331750"/>
      <w:r w:rsidRPr="0099003E">
        <w:rPr>
          <w:color w:val="FFFFFF" w:themeColor="background1"/>
          <w:sz w:val="20"/>
        </w:rPr>
        <w:t>Appendices</w:t>
      </w:r>
      <w:bookmarkEnd w:id="165"/>
    </w:p>
    <w:p w:rsidR="003B0DEE" w:rsidRPr="00654BD2" w:rsidRDefault="003B0DEE" w:rsidP="000D5D90">
      <w:pPr>
        <w:pStyle w:val="Chapter"/>
      </w:pPr>
      <w:r w:rsidRPr="00654BD2">
        <w:t>Appendices</w:t>
      </w:r>
    </w:p>
    <w:p w:rsidR="003B0DEE" w:rsidRPr="00751640" w:rsidRDefault="003B0DEE" w:rsidP="000D5D90">
      <w:pPr>
        <w:pStyle w:val="Chapter"/>
        <w:spacing w:line="360" w:lineRule="auto"/>
        <w:jc w:val="both"/>
        <w:rPr>
          <w:rFonts w:cs="Arial"/>
          <w:b w:val="0"/>
          <w:sz w:val="20"/>
          <w:szCs w:val="20"/>
        </w:rPr>
      </w:pPr>
      <w:r w:rsidRPr="00751640">
        <w:rPr>
          <w:rFonts w:cs="Arial"/>
          <w:sz w:val="20"/>
          <w:szCs w:val="20"/>
        </w:rPr>
        <w:t>Appendix 1</w:t>
      </w:r>
      <w:r w:rsidRPr="00751640">
        <w:rPr>
          <w:rFonts w:cs="Arial"/>
          <w:b w:val="0"/>
          <w:sz w:val="20"/>
          <w:szCs w:val="20"/>
        </w:rPr>
        <w:t xml:space="preserve">  Description of variables used in the analysis…………………………………………...1</w:t>
      </w:r>
      <w:r w:rsidR="00551CD8">
        <w:rPr>
          <w:rFonts w:cs="Arial"/>
          <w:b w:val="0"/>
          <w:sz w:val="20"/>
          <w:szCs w:val="20"/>
        </w:rPr>
        <w:t>51</w:t>
      </w:r>
    </w:p>
    <w:p w:rsidR="003B0DEE" w:rsidRPr="00751640" w:rsidRDefault="003B0DEE" w:rsidP="000D5D90">
      <w:pPr>
        <w:pStyle w:val="Chapter"/>
        <w:spacing w:line="360" w:lineRule="auto"/>
        <w:jc w:val="both"/>
        <w:rPr>
          <w:rFonts w:cs="Arial"/>
          <w:b w:val="0"/>
          <w:sz w:val="20"/>
          <w:szCs w:val="20"/>
        </w:rPr>
      </w:pPr>
      <w:r w:rsidRPr="00751640">
        <w:rPr>
          <w:rFonts w:cs="Arial"/>
          <w:sz w:val="20"/>
          <w:szCs w:val="20"/>
        </w:rPr>
        <w:t>Appendix 2</w:t>
      </w:r>
      <w:r w:rsidRPr="00751640">
        <w:rPr>
          <w:rFonts w:cs="Arial"/>
          <w:b w:val="0"/>
          <w:sz w:val="20"/>
          <w:szCs w:val="20"/>
        </w:rPr>
        <w:t xml:space="preserve">  Ethical approval……………………………….…………………………………………...1</w:t>
      </w:r>
      <w:r w:rsidR="00551CD8">
        <w:rPr>
          <w:rFonts w:cs="Arial"/>
          <w:b w:val="0"/>
          <w:sz w:val="20"/>
          <w:szCs w:val="20"/>
        </w:rPr>
        <w:t>52</w:t>
      </w:r>
    </w:p>
    <w:p w:rsidR="003B0DEE" w:rsidRPr="00751640" w:rsidRDefault="003B0DEE" w:rsidP="000D5D90">
      <w:pPr>
        <w:pStyle w:val="Chapter"/>
        <w:spacing w:line="360" w:lineRule="auto"/>
        <w:jc w:val="both"/>
        <w:rPr>
          <w:rFonts w:cs="Arial"/>
          <w:b w:val="0"/>
          <w:sz w:val="20"/>
          <w:szCs w:val="20"/>
        </w:rPr>
      </w:pPr>
      <w:r w:rsidRPr="00751640">
        <w:rPr>
          <w:rFonts w:cs="Arial"/>
          <w:sz w:val="20"/>
        </w:rPr>
        <w:t xml:space="preserve">Appendix 3  </w:t>
      </w:r>
      <w:r w:rsidRPr="00751640">
        <w:rPr>
          <w:rFonts w:cs="Arial"/>
          <w:b w:val="0"/>
          <w:sz w:val="20"/>
        </w:rPr>
        <w:t>Permission to use NDTRS data</w:t>
      </w:r>
      <w:r w:rsidRPr="00751640">
        <w:rPr>
          <w:rFonts w:cs="Arial"/>
          <w:b w:val="0"/>
          <w:sz w:val="20"/>
          <w:szCs w:val="20"/>
        </w:rPr>
        <w:t>………………………………………...………………..</w:t>
      </w:r>
      <w:r w:rsidR="00551CD8">
        <w:rPr>
          <w:rFonts w:cs="Arial"/>
          <w:b w:val="0"/>
          <w:sz w:val="20"/>
          <w:szCs w:val="20"/>
        </w:rPr>
        <w:t>153</w:t>
      </w:r>
    </w:p>
    <w:p w:rsidR="003B0DEE" w:rsidRDefault="003B0DEE" w:rsidP="000D5D90">
      <w:pPr>
        <w:pStyle w:val="Chapter"/>
        <w:spacing w:line="360" w:lineRule="auto"/>
        <w:jc w:val="both"/>
        <w:rPr>
          <w:rFonts w:cs="Arial"/>
          <w:b w:val="0"/>
          <w:sz w:val="20"/>
        </w:rPr>
      </w:pPr>
      <w:r w:rsidRPr="00751640">
        <w:rPr>
          <w:rFonts w:cs="Arial"/>
          <w:sz w:val="20"/>
        </w:rPr>
        <w:t xml:space="preserve">Appendix 4  </w:t>
      </w:r>
      <w:r w:rsidRPr="00751640">
        <w:rPr>
          <w:rFonts w:cs="Arial"/>
          <w:b w:val="0"/>
          <w:sz w:val="20"/>
        </w:rPr>
        <w:t>Supplementary survival analysis tables</w:t>
      </w:r>
      <w:r w:rsidR="00551CD8">
        <w:rPr>
          <w:rFonts w:cs="Arial"/>
          <w:b w:val="0"/>
          <w:sz w:val="20"/>
        </w:rPr>
        <w:t>…………………………………………………154</w:t>
      </w:r>
    </w:p>
    <w:p w:rsidR="003B0DEE" w:rsidRPr="00751640" w:rsidRDefault="003B0DEE" w:rsidP="000D5D90">
      <w:pPr>
        <w:pStyle w:val="Chapter"/>
        <w:spacing w:line="360" w:lineRule="auto"/>
        <w:jc w:val="both"/>
        <w:rPr>
          <w:rFonts w:cs="Arial"/>
          <w:sz w:val="20"/>
        </w:rPr>
      </w:pPr>
      <w:r w:rsidRPr="00C324A6">
        <w:rPr>
          <w:rFonts w:cs="Arial"/>
          <w:sz w:val="20"/>
        </w:rPr>
        <w:t>Appendix 5</w:t>
      </w:r>
      <w:r>
        <w:rPr>
          <w:rFonts w:cs="Arial"/>
          <w:b w:val="0"/>
          <w:sz w:val="20"/>
        </w:rPr>
        <w:t xml:space="preserve">  Post hoc analysis of treatment modality by place of residence</w:t>
      </w:r>
      <w:r w:rsidRPr="00751640">
        <w:rPr>
          <w:rFonts w:cs="Arial"/>
          <w:b w:val="0"/>
          <w:sz w:val="20"/>
        </w:rPr>
        <w:t>…………………</w:t>
      </w:r>
      <w:r w:rsidR="00551CD8">
        <w:rPr>
          <w:rFonts w:cs="Arial"/>
          <w:b w:val="0"/>
          <w:sz w:val="20"/>
        </w:rPr>
        <w:t>……165</w:t>
      </w:r>
    </w:p>
    <w:p w:rsidR="003B0DEE" w:rsidRDefault="003B0DEE" w:rsidP="000D5D90">
      <w:pPr>
        <w:pStyle w:val="Chapter"/>
        <w:spacing w:line="360" w:lineRule="auto"/>
        <w:jc w:val="both"/>
        <w:rPr>
          <w:rFonts w:cs="Arial"/>
          <w:sz w:val="20"/>
        </w:rPr>
      </w:pPr>
      <w:r>
        <w:rPr>
          <w:rFonts w:cs="Arial"/>
          <w:sz w:val="20"/>
          <w:szCs w:val="20"/>
        </w:rPr>
        <w:br w:type="page"/>
      </w:r>
    </w:p>
    <w:p w:rsidR="003B0DEE" w:rsidRDefault="003B0DEE">
      <w:pPr>
        <w:spacing w:line="240" w:lineRule="auto"/>
        <w:jc w:val="left"/>
        <w:rPr>
          <w:rFonts w:eastAsia="Calibri" w:cs="Arial"/>
          <w:noProof/>
          <w:sz w:val="20"/>
          <w:lang w:val="en-US" w:eastAsia="en-US"/>
        </w:rPr>
      </w:pPr>
    </w:p>
    <w:p w:rsidR="003B0DEE" w:rsidRDefault="003B0DEE" w:rsidP="000D5D90">
      <w:pPr>
        <w:pStyle w:val="Chapter"/>
      </w:pPr>
      <w:r>
        <w:t>Appendix 1</w:t>
      </w:r>
    </w:p>
    <w:p w:rsidR="003B0DEE" w:rsidRDefault="003B0DEE" w:rsidP="000D5D90">
      <w:pPr>
        <w:pStyle w:val="Chapter"/>
      </w:pPr>
      <w:r>
        <w:t>Description of variables used in the analysis</w:t>
      </w:r>
    </w:p>
    <w:tbl>
      <w:tblPr>
        <w:tblW w:w="0" w:type="auto"/>
        <w:tblBorders>
          <w:top w:val="single" w:sz="8" w:space="0" w:color="000000"/>
          <w:bottom w:val="single" w:sz="8" w:space="0" w:color="000000"/>
        </w:tblBorders>
        <w:shd w:val="clear" w:color="auto" w:fill="FFFFFF"/>
        <w:tblLook w:val="04A0" w:firstRow="1" w:lastRow="0" w:firstColumn="1" w:lastColumn="0" w:noHBand="0" w:noVBand="1"/>
      </w:tblPr>
      <w:tblGrid>
        <w:gridCol w:w="995"/>
        <w:gridCol w:w="5497"/>
        <w:gridCol w:w="1762"/>
      </w:tblGrid>
      <w:tr w:rsidR="003B0DEE" w:rsidRPr="00774ECE" w:rsidTr="000D5D90">
        <w:trPr>
          <w:trHeight w:val="20"/>
        </w:trPr>
        <w:tc>
          <w:tcPr>
            <w:tcW w:w="0" w:type="auto"/>
            <w:tcBorders>
              <w:top w:val="single" w:sz="8" w:space="0" w:color="000000"/>
              <w:left w:val="nil"/>
              <w:bottom w:val="single" w:sz="8" w:space="0" w:color="000000"/>
              <w:right w:val="nil"/>
            </w:tcBorders>
            <w:shd w:val="clear" w:color="auto" w:fill="FFFFFF"/>
          </w:tcPr>
          <w:p w:rsidR="003B0DEE" w:rsidRPr="00774ECE" w:rsidRDefault="003B0DEE" w:rsidP="000D5D90">
            <w:pPr>
              <w:spacing w:line="360" w:lineRule="auto"/>
              <w:jc w:val="left"/>
              <w:rPr>
                <w:rFonts w:ascii="Arial" w:hAnsi="Arial" w:cs="Arial"/>
                <w:b/>
                <w:bCs/>
                <w:color w:val="000000"/>
                <w:sz w:val="20"/>
                <w:lang w:eastAsia="en-US"/>
              </w:rPr>
            </w:pPr>
            <w:r w:rsidRPr="00774ECE">
              <w:rPr>
                <w:rFonts w:ascii="Arial" w:hAnsi="Arial" w:cs="Arial"/>
                <w:b/>
                <w:bCs/>
                <w:sz w:val="20"/>
                <w:lang w:eastAsia="en-US"/>
              </w:rPr>
              <w:t>Variable</w:t>
            </w:r>
          </w:p>
        </w:tc>
        <w:tc>
          <w:tcPr>
            <w:tcW w:w="0" w:type="auto"/>
            <w:tcBorders>
              <w:top w:val="single" w:sz="8" w:space="0" w:color="000000"/>
              <w:left w:val="nil"/>
              <w:bottom w:val="single" w:sz="8" w:space="0" w:color="000000"/>
              <w:right w:val="nil"/>
            </w:tcBorders>
            <w:shd w:val="clear" w:color="auto" w:fill="F2F2F2"/>
          </w:tcPr>
          <w:p w:rsidR="003B0DEE" w:rsidRPr="00774ECE" w:rsidRDefault="003B0DEE" w:rsidP="000D5D90">
            <w:pPr>
              <w:spacing w:line="360" w:lineRule="auto"/>
              <w:jc w:val="left"/>
              <w:rPr>
                <w:rFonts w:ascii="Arial" w:hAnsi="Arial" w:cs="Arial"/>
                <w:b/>
                <w:bCs/>
                <w:color w:val="000000"/>
                <w:sz w:val="20"/>
                <w:lang w:eastAsia="en-US"/>
              </w:rPr>
            </w:pPr>
            <w:r w:rsidRPr="00774ECE">
              <w:rPr>
                <w:rFonts w:ascii="Arial" w:hAnsi="Arial" w:cs="Arial"/>
                <w:b/>
                <w:bCs/>
                <w:sz w:val="20"/>
                <w:lang w:eastAsia="en-US"/>
              </w:rPr>
              <w:t>Description</w:t>
            </w:r>
          </w:p>
        </w:tc>
        <w:tc>
          <w:tcPr>
            <w:tcW w:w="0" w:type="auto"/>
            <w:tcBorders>
              <w:top w:val="single" w:sz="8" w:space="0" w:color="000000"/>
              <w:left w:val="nil"/>
              <w:bottom w:val="single" w:sz="8" w:space="0" w:color="000000"/>
              <w:right w:val="nil"/>
            </w:tcBorders>
            <w:shd w:val="clear" w:color="auto" w:fill="FFFFFF"/>
          </w:tcPr>
          <w:p w:rsidR="003B0DEE" w:rsidRPr="00774ECE" w:rsidRDefault="003B0DEE" w:rsidP="000D5D90">
            <w:pPr>
              <w:spacing w:line="360" w:lineRule="auto"/>
              <w:jc w:val="left"/>
              <w:rPr>
                <w:rFonts w:ascii="Arial" w:hAnsi="Arial" w:cs="Arial"/>
                <w:b/>
                <w:bCs/>
                <w:color w:val="000000"/>
                <w:sz w:val="20"/>
                <w:lang w:eastAsia="en-US"/>
              </w:rPr>
            </w:pPr>
            <w:r w:rsidRPr="00774ECE">
              <w:rPr>
                <w:rFonts w:ascii="Arial" w:hAnsi="Arial" w:cs="Arial"/>
                <w:b/>
                <w:bCs/>
                <w:color w:val="000000"/>
                <w:sz w:val="20"/>
                <w:lang w:eastAsia="en-US"/>
              </w:rPr>
              <w:t>Derived variable</w:t>
            </w:r>
          </w:p>
        </w:tc>
      </w:tr>
      <w:tr w:rsidR="003B0DEE" w:rsidRPr="00774ECE" w:rsidTr="000D5D90">
        <w:trPr>
          <w:trHeight w:val="20"/>
        </w:trPr>
        <w:tc>
          <w:tcPr>
            <w:tcW w:w="0" w:type="auto"/>
            <w:gridSpan w:val="3"/>
            <w:tcBorders>
              <w:top w:val="single" w:sz="8" w:space="0" w:color="000000"/>
              <w:bottom w:val="single" w:sz="8" w:space="0" w:color="000000"/>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r w:rsidRPr="00774ECE">
              <w:rPr>
                <w:rFonts w:ascii="Arial" w:hAnsi="Arial" w:cs="Arial"/>
                <w:b/>
                <w:bCs/>
                <w:color w:val="000000"/>
                <w:sz w:val="20"/>
                <w:lang w:eastAsia="en-US"/>
              </w:rPr>
              <w:t>Sociodemographic variables</w:t>
            </w:r>
          </w:p>
        </w:tc>
      </w:tr>
      <w:tr w:rsidR="003B0DEE" w:rsidRPr="00774ECE" w:rsidTr="000D5D90">
        <w:trPr>
          <w:trHeight w:val="20"/>
        </w:trPr>
        <w:tc>
          <w:tcPr>
            <w:tcW w:w="0" w:type="auto"/>
            <w:tcBorders>
              <w:top w:val="single" w:sz="8" w:space="0" w:color="000000"/>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single" w:sz="8" w:space="0" w:color="000000"/>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entering treatment</w:t>
            </w:r>
          </w:p>
        </w:tc>
        <w:tc>
          <w:tcPr>
            <w:tcW w:w="0" w:type="auto"/>
            <w:tcBorders>
              <w:top w:val="single" w:sz="8" w:space="0" w:color="000000"/>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group entering treatment (years)</w:t>
            </w:r>
          </w:p>
        </w:tc>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Gender</w:t>
            </w:r>
          </w:p>
        </w:tc>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Region of residence (Dublin, outside Dublin)</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Type of living accommodation</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Type of living arrangements</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Employment status</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left school</w:t>
            </w:r>
          </w:p>
        </w:tc>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Left before age 16 years</w:t>
            </w:r>
          </w:p>
        </w:tc>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single" w:sz="8" w:space="0" w:color="000000"/>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single" w:sz="8" w:space="0" w:color="000000"/>
            </w:tcBorders>
            <w:shd w:val="clear" w:color="auto" w:fill="F2F2F2"/>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Level of education</w:t>
            </w:r>
          </w:p>
        </w:tc>
        <w:tc>
          <w:tcPr>
            <w:tcW w:w="0" w:type="auto"/>
            <w:tcBorders>
              <w:top w:val="nil"/>
              <w:bottom w:val="single" w:sz="8" w:space="0" w:color="000000"/>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gridSpan w:val="3"/>
            <w:tcBorders>
              <w:top w:val="single" w:sz="8" w:space="0" w:color="000000"/>
              <w:bottom w:val="single" w:sz="8" w:space="0" w:color="000000"/>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
                <w:bCs/>
                <w:color w:val="000000"/>
                <w:sz w:val="20"/>
                <w:lang w:eastAsia="en-US"/>
              </w:rPr>
              <w:t>Drug-using career / behaviours</w:t>
            </w:r>
          </w:p>
        </w:tc>
      </w:tr>
      <w:tr w:rsidR="003B0DEE" w:rsidRPr="00774ECE" w:rsidTr="000D5D90">
        <w:trPr>
          <w:trHeight w:val="20"/>
        </w:trPr>
        <w:tc>
          <w:tcPr>
            <w:tcW w:w="0" w:type="auto"/>
            <w:tcBorders>
              <w:top w:val="single" w:sz="8" w:space="0" w:color="000000"/>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single" w:sz="8" w:space="0" w:color="000000"/>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Main type of problem opioid</w:t>
            </w:r>
          </w:p>
        </w:tc>
        <w:tc>
          <w:tcPr>
            <w:tcW w:w="0" w:type="auto"/>
            <w:tcBorders>
              <w:top w:val="single" w:sz="8" w:space="0" w:color="000000"/>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 xml:space="preserve">Route of administration </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Frequency of use in month prior to treatment</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first used any drug</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68"/>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first used opioids</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Polysubstance use</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 xml:space="preserve">Number of problem substances </w:t>
            </w:r>
            <w:r>
              <w:rPr>
                <w:rFonts w:ascii="Arial" w:hAnsi="Arial" w:cs="Arial"/>
                <w:bCs/>
                <w:color w:val="000000"/>
                <w:sz w:val="20"/>
                <w:lang w:eastAsia="en-US"/>
              </w:rPr>
              <w:t>reported</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Additional problem substances used</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Ever injected</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51"/>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Currently injecting</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Age first injected (years)</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Ever shared injecting equipment</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bottom"/>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Time lag between first use of opioids and seeking treatment</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center"/>
          </w:tcPr>
          <w:p w:rsidR="003B0DE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Time lag (in years) between first used opioids and</w:t>
            </w:r>
          </w:p>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 xml:space="preserve">commencing  injecting </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Time lag (in years) between commencing injecting and</w:t>
            </w:r>
          </w:p>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 xml:space="preserve">seeking treatment </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Time smoking opioids before seeking treatment (years)</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183"/>
        </w:trPr>
        <w:tc>
          <w:tcPr>
            <w:tcW w:w="0" w:type="auto"/>
            <w:gridSpan w:val="3"/>
            <w:tcBorders>
              <w:top w:val="single" w:sz="8" w:space="0" w:color="000000"/>
              <w:bottom w:val="single" w:sz="8" w:space="0" w:color="000000"/>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
                <w:bCs/>
                <w:color w:val="000000"/>
                <w:sz w:val="20"/>
                <w:lang w:eastAsia="en-US"/>
              </w:rPr>
              <w:t>Treatment details</w:t>
            </w:r>
          </w:p>
        </w:tc>
      </w:tr>
      <w:tr w:rsidR="003B0DEE" w:rsidRPr="00774ECE" w:rsidTr="000D5D90">
        <w:trPr>
          <w:trHeight w:val="20"/>
        </w:trPr>
        <w:tc>
          <w:tcPr>
            <w:tcW w:w="0" w:type="auto"/>
            <w:tcBorders>
              <w:top w:val="single" w:sz="8" w:space="0" w:color="000000"/>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single" w:sz="8" w:space="0" w:color="000000"/>
              <w:bottom w:val="nil"/>
            </w:tcBorders>
            <w:shd w:val="clear" w:color="auto" w:fill="F2F2F2"/>
            <w:vAlign w:val="bottom"/>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Year commenced treatment</w:t>
            </w:r>
          </w:p>
        </w:tc>
        <w:tc>
          <w:tcPr>
            <w:tcW w:w="0" w:type="auto"/>
            <w:tcBorders>
              <w:top w:val="single" w:sz="8" w:space="0" w:color="000000"/>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Treatment setting</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Referral source</w:t>
            </w:r>
          </w:p>
        </w:tc>
        <w:tc>
          <w:tcPr>
            <w:tcW w:w="0" w:type="auto"/>
            <w:tcBorders>
              <w:top w:val="nil"/>
              <w:bottom w:val="nil"/>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Treatment modality</w:t>
            </w:r>
          </w:p>
        </w:tc>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r w:rsidR="003B0DEE" w:rsidRPr="00774ECE" w:rsidTr="000D5D90">
        <w:trPr>
          <w:trHeight w:val="177"/>
        </w:trPr>
        <w:tc>
          <w:tcPr>
            <w:tcW w:w="0" w:type="auto"/>
            <w:gridSpan w:val="3"/>
            <w:tcBorders>
              <w:top w:val="single" w:sz="8" w:space="0" w:color="000000"/>
              <w:bottom w:val="single" w:sz="8" w:space="0" w:color="000000"/>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
                <w:bCs/>
                <w:color w:val="000000"/>
                <w:sz w:val="20"/>
                <w:lang w:eastAsia="en-US"/>
              </w:rPr>
              <w:t>Exit details</w:t>
            </w:r>
          </w:p>
        </w:tc>
      </w:tr>
      <w:tr w:rsidR="003B0DEE" w:rsidRPr="00774ECE" w:rsidTr="000D5D90">
        <w:trPr>
          <w:trHeight w:val="20"/>
        </w:trPr>
        <w:tc>
          <w:tcPr>
            <w:tcW w:w="0" w:type="auto"/>
            <w:tcBorders>
              <w:top w:val="single" w:sz="8" w:space="0" w:color="000000"/>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single" w:sz="8" w:space="0" w:color="000000"/>
              <w:bottom w:val="nil"/>
            </w:tcBorders>
            <w:shd w:val="clear" w:color="auto" w:fill="F2F2F2"/>
            <w:vAlign w:val="bottom"/>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Reason for discharge</w:t>
            </w:r>
          </w:p>
        </w:tc>
        <w:tc>
          <w:tcPr>
            <w:tcW w:w="0" w:type="auto"/>
            <w:tcBorders>
              <w:top w:val="single" w:sz="8" w:space="0" w:color="000000"/>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nil"/>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nil"/>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Exit date</w:t>
            </w:r>
          </w:p>
        </w:tc>
        <w:tc>
          <w:tcPr>
            <w:tcW w:w="0" w:type="auto"/>
            <w:tcBorders>
              <w:top w:val="nil"/>
              <w:bottom w:val="nil"/>
            </w:tcBorders>
            <w:shd w:val="clear" w:color="auto" w:fill="FFFFFF"/>
          </w:tcPr>
          <w:p w:rsidR="003B0DEE" w:rsidRPr="00774ECE" w:rsidRDefault="003B0DEE" w:rsidP="000D5D90">
            <w:pPr>
              <w:jc w:val="left"/>
              <w:rPr>
                <w:rFonts w:ascii="Arial" w:hAnsi="Arial" w:cs="Arial"/>
                <w:bCs/>
                <w:color w:val="000000"/>
                <w:sz w:val="20"/>
                <w:lang w:eastAsia="en-US"/>
              </w:rPr>
            </w:pPr>
            <w:r w:rsidRPr="00774ECE">
              <w:rPr>
                <w:rFonts w:ascii="Arial" w:hAnsi="Arial" w:cs="Arial"/>
                <w:bCs/>
                <w:color w:val="000000"/>
                <w:sz w:val="20"/>
                <w:lang w:eastAsia="en-US"/>
              </w:rPr>
              <w:t>No</w:t>
            </w:r>
          </w:p>
        </w:tc>
      </w:tr>
      <w:tr w:rsidR="003B0DEE" w:rsidRPr="00774ECE" w:rsidTr="000D5D90">
        <w:trPr>
          <w:trHeight w:val="20"/>
        </w:trPr>
        <w:tc>
          <w:tcPr>
            <w:tcW w:w="0" w:type="auto"/>
            <w:tcBorders>
              <w:top w:val="nil"/>
              <w:bottom w:val="single" w:sz="8" w:space="0" w:color="000000"/>
            </w:tcBorders>
            <w:shd w:val="clear" w:color="auto" w:fill="FFFFFF"/>
          </w:tcPr>
          <w:p w:rsidR="003B0DEE" w:rsidRPr="00774ECE" w:rsidRDefault="003B0DEE" w:rsidP="000D5D90">
            <w:pPr>
              <w:spacing w:line="240" w:lineRule="auto"/>
              <w:jc w:val="left"/>
              <w:rPr>
                <w:rFonts w:ascii="Arial" w:hAnsi="Arial" w:cs="Arial"/>
                <w:b/>
                <w:bCs/>
                <w:color w:val="000000"/>
                <w:sz w:val="20"/>
                <w:lang w:eastAsia="en-US"/>
              </w:rPr>
            </w:pPr>
          </w:p>
        </w:tc>
        <w:tc>
          <w:tcPr>
            <w:tcW w:w="0" w:type="auto"/>
            <w:tcBorders>
              <w:top w:val="nil"/>
              <w:bottom w:val="single" w:sz="8" w:space="0" w:color="000000"/>
            </w:tcBorders>
            <w:shd w:val="clear" w:color="auto" w:fill="F2F2F2"/>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Length of stay in treatment (in days)</w:t>
            </w:r>
          </w:p>
        </w:tc>
        <w:tc>
          <w:tcPr>
            <w:tcW w:w="0" w:type="auto"/>
            <w:tcBorders>
              <w:top w:val="nil"/>
              <w:bottom w:val="single" w:sz="8" w:space="0" w:color="000000"/>
            </w:tcBorders>
            <w:shd w:val="clear" w:color="auto" w:fill="FFFFFF"/>
            <w:vAlign w:val="center"/>
          </w:tcPr>
          <w:p w:rsidR="003B0DEE" w:rsidRPr="00774ECE" w:rsidRDefault="003B0DEE" w:rsidP="000D5D90">
            <w:pPr>
              <w:spacing w:line="240" w:lineRule="auto"/>
              <w:jc w:val="left"/>
              <w:rPr>
                <w:rFonts w:ascii="Arial" w:hAnsi="Arial" w:cs="Arial"/>
                <w:bCs/>
                <w:color w:val="000000"/>
                <w:sz w:val="20"/>
                <w:lang w:eastAsia="en-US"/>
              </w:rPr>
            </w:pPr>
            <w:r w:rsidRPr="00774ECE">
              <w:rPr>
                <w:rFonts w:ascii="Arial" w:hAnsi="Arial" w:cs="Arial"/>
                <w:bCs/>
                <w:color w:val="000000"/>
                <w:sz w:val="20"/>
                <w:lang w:eastAsia="en-US"/>
              </w:rPr>
              <w:t>Yes</w:t>
            </w:r>
          </w:p>
        </w:tc>
      </w:tr>
    </w:tbl>
    <w:p w:rsidR="003B0DEE" w:rsidRPr="00C424CA" w:rsidRDefault="003B0DEE" w:rsidP="000D5D90">
      <w:pPr>
        <w:pStyle w:val="Heading1"/>
        <w:rPr>
          <w:color w:val="FFFFFF"/>
          <w:sz w:val="16"/>
        </w:rPr>
      </w:pPr>
      <w:r w:rsidRPr="00C424CA">
        <w:rPr>
          <w:color w:val="FFFFFF"/>
          <w:sz w:val="16"/>
        </w:rPr>
        <w:br w:type="page"/>
      </w:r>
    </w:p>
    <w:p w:rsidR="003B0DEE" w:rsidRPr="00654BD2" w:rsidRDefault="003B0DEE" w:rsidP="000D5D90">
      <w:pPr>
        <w:pStyle w:val="BodyText"/>
        <w:jc w:val="center"/>
        <w:rPr>
          <w:b/>
          <w:sz w:val="32"/>
        </w:rPr>
      </w:pPr>
      <w:r w:rsidRPr="00654BD2">
        <w:rPr>
          <w:b/>
          <w:sz w:val="32"/>
        </w:rPr>
        <w:lastRenderedPageBreak/>
        <w:t>Appendix 2</w:t>
      </w:r>
    </w:p>
    <w:p w:rsidR="003B0DEE" w:rsidRPr="00654BD2" w:rsidRDefault="003B0DEE" w:rsidP="000D5D90">
      <w:pPr>
        <w:pStyle w:val="BodyText"/>
        <w:jc w:val="center"/>
        <w:rPr>
          <w:b/>
          <w:sz w:val="32"/>
        </w:rPr>
      </w:pPr>
      <w:r w:rsidRPr="00654BD2">
        <w:rPr>
          <w:b/>
          <w:sz w:val="32"/>
        </w:rPr>
        <w:t>Ethical approval</w:t>
      </w:r>
    </w:p>
    <w:p w:rsidR="003B0DEE" w:rsidRDefault="003B0DEE" w:rsidP="000D5D90">
      <w:pPr>
        <w:pStyle w:val="Chapter"/>
      </w:pPr>
      <w:r w:rsidRPr="00D02A86">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2pt;height:567pt" o:ole="">
            <v:imagedata r:id="rId33" o:title=""/>
          </v:shape>
          <o:OLEObject Type="Embed" ProgID="AcroExch.Document.DC" ShapeID="_x0000_i1025" DrawAspect="Content" ObjectID="_1627324121" r:id="rId34"/>
        </w:object>
      </w:r>
    </w:p>
    <w:p w:rsidR="003B0DEE" w:rsidRPr="00C424CA" w:rsidRDefault="003B0DEE" w:rsidP="000D5D90">
      <w:pPr>
        <w:pStyle w:val="Heading1"/>
        <w:numPr>
          <w:ilvl w:val="0"/>
          <w:numId w:val="0"/>
        </w:numPr>
        <w:ind w:left="432"/>
        <w:rPr>
          <w:color w:val="FFFFFF"/>
          <w:sz w:val="16"/>
        </w:rPr>
      </w:pPr>
      <w:r>
        <w:br w:type="page"/>
      </w:r>
    </w:p>
    <w:p w:rsidR="003B0DEE" w:rsidRPr="00654BD2" w:rsidRDefault="003B0DEE" w:rsidP="000D5D90">
      <w:pPr>
        <w:pStyle w:val="BodyText"/>
        <w:jc w:val="center"/>
        <w:rPr>
          <w:b/>
          <w:sz w:val="32"/>
        </w:rPr>
      </w:pPr>
      <w:r w:rsidRPr="00654BD2">
        <w:rPr>
          <w:b/>
          <w:sz w:val="32"/>
        </w:rPr>
        <w:lastRenderedPageBreak/>
        <w:t>Appendix 3</w:t>
      </w:r>
    </w:p>
    <w:p w:rsidR="003B0DEE" w:rsidRPr="00654BD2" w:rsidRDefault="003B0DEE" w:rsidP="000D5D90">
      <w:pPr>
        <w:pStyle w:val="BodyText"/>
        <w:jc w:val="center"/>
        <w:rPr>
          <w:b/>
          <w:sz w:val="32"/>
        </w:rPr>
      </w:pPr>
      <w:r w:rsidRPr="00654BD2">
        <w:rPr>
          <w:b/>
          <w:sz w:val="32"/>
        </w:rPr>
        <w:t>Permission to use NDTRS data</w:t>
      </w:r>
    </w:p>
    <w:p w:rsidR="003B0DEE" w:rsidRPr="00C424CA" w:rsidRDefault="003B0DEE" w:rsidP="000D5D90">
      <w:pPr>
        <w:pStyle w:val="Chapter"/>
        <w:rPr>
          <w:color w:val="FFFFFF"/>
        </w:rPr>
      </w:pPr>
      <w:r>
        <w:rPr>
          <w:noProof/>
        </w:rPr>
        <w:drawing>
          <wp:inline distT="0" distB="0" distL="0" distR="0" wp14:anchorId="173F7E3F" wp14:editId="79DAFBF8">
            <wp:extent cx="5349240" cy="7581900"/>
            <wp:effectExtent l="0" t="0" r="381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49240" cy="7581900"/>
                    </a:xfrm>
                    <a:prstGeom prst="rect">
                      <a:avLst/>
                    </a:prstGeom>
                    <a:noFill/>
                    <a:ln>
                      <a:noFill/>
                    </a:ln>
                  </pic:spPr>
                </pic:pic>
              </a:graphicData>
            </a:graphic>
          </wp:inline>
        </w:drawing>
      </w:r>
      <w:r>
        <w:rPr>
          <w:color w:val="FFFFFF"/>
        </w:rPr>
        <w:br w:type="page"/>
      </w:r>
    </w:p>
    <w:p w:rsidR="003B0DEE" w:rsidRPr="00D80030" w:rsidRDefault="003B0DEE" w:rsidP="000D5D90">
      <w:pPr>
        <w:pStyle w:val="BodyText"/>
        <w:jc w:val="center"/>
        <w:rPr>
          <w:b/>
          <w:sz w:val="32"/>
        </w:rPr>
      </w:pPr>
      <w:r w:rsidRPr="00D80030">
        <w:rPr>
          <w:b/>
          <w:sz w:val="32"/>
        </w:rPr>
        <w:lastRenderedPageBreak/>
        <w:t>Appendix 4</w:t>
      </w:r>
    </w:p>
    <w:p w:rsidR="003B0DEE" w:rsidRPr="008E1E0C" w:rsidRDefault="003B0DEE" w:rsidP="000D5D90">
      <w:pPr>
        <w:pStyle w:val="Caption"/>
        <w:keepNext/>
        <w:spacing w:line="240" w:lineRule="auto"/>
      </w:pPr>
      <w:bookmarkStart w:id="166" w:name="_Toc2458906"/>
      <w:bookmarkStart w:id="167" w:name="_Toc5976192"/>
      <w:bookmarkStart w:id="168" w:name="_Toc7018749"/>
      <w:bookmarkStart w:id="169" w:name="_Toc15332017"/>
      <w:r>
        <w:t>Table A4</w:t>
      </w:r>
      <w:r>
        <w:noBreakHyphen/>
      </w:r>
      <w:fldSimple w:instr=" SEQ Table \* ARABIC \s 1 ">
        <w:r>
          <w:rPr>
            <w:noProof/>
          </w:rPr>
          <w:t>1</w:t>
        </w:r>
      </w:fldSimple>
      <w:r>
        <w:t xml:space="preserve">  </w:t>
      </w:r>
      <w:r w:rsidRPr="00526B14">
        <w:t>Survival analysis (all modalities):</w:t>
      </w:r>
      <w:r w:rsidRPr="008E1E0C">
        <w:rPr>
          <w:b w:val="0"/>
        </w:rPr>
        <w:t xml:space="preserve"> Frequencies, percentages censored or </w:t>
      </w:r>
      <w:r>
        <w:rPr>
          <w:b w:val="0"/>
        </w:rPr>
        <w:t>dropping out</w:t>
      </w:r>
      <w:r w:rsidRPr="008E1E0C">
        <w:rPr>
          <w:b w:val="0"/>
        </w:rPr>
        <w:t xml:space="preserve"> of treatment, and chi-squared test results for client sociodemographic characteristics used in the survival analysis</w:t>
      </w:r>
      <w:bookmarkEnd w:id="166"/>
      <w:bookmarkEnd w:id="167"/>
      <w:bookmarkEnd w:id="168"/>
      <w:bookmarkEnd w:id="169"/>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1673"/>
        <w:gridCol w:w="1822"/>
        <w:gridCol w:w="648"/>
        <w:gridCol w:w="756"/>
        <w:gridCol w:w="639"/>
        <w:gridCol w:w="755"/>
        <w:gridCol w:w="639"/>
        <w:gridCol w:w="756"/>
        <w:gridCol w:w="1315"/>
      </w:tblGrid>
      <w:tr w:rsidR="003B0DEE" w:rsidRPr="000806DA" w:rsidTr="000D5D90">
        <w:trPr>
          <w:trHeight w:val="20"/>
        </w:trPr>
        <w:tc>
          <w:tcPr>
            <w:tcW w:w="929"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Characteristic</w:t>
            </w:r>
          </w:p>
        </w:tc>
        <w:tc>
          <w:tcPr>
            <w:tcW w:w="101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sz w:val="19"/>
                <w:szCs w:val="19"/>
                <w:lang w:eastAsia="en-US"/>
              </w:rPr>
              <w:t>Values</w:t>
            </w:r>
          </w:p>
        </w:tc>
        <w:tc>
          <w:tcPr>
            <w:tcW w:w="780"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Survival Sample</w:t>
            </w:r>
          </w:p>
        </w:tc>
        <w:tc>
          <w:tcPr>
            <w:tcW w:w="774"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Censored</w:t>
            </w:r>
          </w:p>
        </w:tc>
        <w:tc>
          <w:tcPr>
            <w:tcW w:w="775"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Treatment dropout</w:t>
            </w:r>
          </w:p>
        </w:tc>
        <w:tc>
          <w:tcPr>
            <w:tcW w:w="730"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left"/>
              <w:rPr>
                <w:rFonts w:ascii="Arial" w:hAnsi="Arial" w:cs="Arial"/>
                <w:b/>
                <w:bCs/>
                <w:color w:val="000000"/>
                <w:sz w:val="19"/>
                <w:szCs w:val="19"/>
                <w:lang w:eastAsia="en-US"/>
              </w:rPr>
            </w:pPr>
            <w:r>
              <w:rPr>
                <w:rFonts w:ascii="Arial" w:hAnsi="Arial" w:cs="Arial"/>
                <w:b/>
                <w:bCs/>
                <w:color w:val="000000"/>
                <w:sz w:val="19"/>
                <w:szCs w:val="19"/>
                <w:lang w:eastAsia="en-US"/>
              </w:rPr>
              <w:t>Test of significance</w:t>
            </w:r>
          </w:p>
        </w:tc>
      </w:tr>
      <w:tr w:rsidR="003B0DEE" w:rsidRPr="000806DA" w:rsidTr="000D5D90">
        <w:trPr>
          <w:trHeight w:val="48"/>
        </w:trPr>
        <w:tc>
          <w:tcPr>
            <w:tcW w:w="929"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p>
        </w:tc>
        <w:tc>
          <w:tcPr>
            <w:tcW w:w="2329" w:type="pct"/>
            <w:gridSpan w:val="6"/>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Age (years)</w:t>
            </w:r>
          </w:p>
        </w:tc>
        <w:tc>
          <w:tcPr>
            <w:tcW w:w="730"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F / U (p)</w:t>
            </w:r>
          </w:p>
        </w:tc>
      </w:tr>
      <w:tr w:rsidR="003B0DEE" w:rsidRPr="000806DA" w:rsidTr="000D5D90">
        <w:trPr>
          <w:trHeight w:val="48"/>
        </w:trPr>
        <w:tc>
          <w:tcPr>
            <w:tcW w:w="929" w:type="pct"/>
            <w:vMerge w:val="restart"/>
            <w:tcBorders>
              <w:top w:val="single" w:sz="8" w:space="0" w:color="000000"/>
              <w:left w:val="nil"/>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Age entering treatment</w:t>
            </w:r>
          </w:p>
        </w:tc>
        <w:tc>
          <w:tcPr>
            <w:tcW w:w="1012"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Mean age </w:t>
            </w:r>
          </w:p>
        </w:tc>
        <w:tc>
          <w:tcPr>
            <w:tcW w:w="780" w:type="pct"/>
            <w:gridSpan w:val="2"/>
            <w:tcBorders>
              <w:top w:val="single" w:sz="8" w:space="0" w:color="000000"/>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30</w:t>
            </w:r>
          </w:p>
        </w:tc>
        <w:tc>
          <w:tcPr>
            <w:tcW w:w="774" w:type="pct"/>
            <w:gridSpan w:val="2"/>
            <w:tcBorders>
              <w:top w:val="single" w:sz="8" w:space="0" w:color="000000"/>
              <w:left w:val="nil"/>
              <w:bottom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30</w:t>
            </w:r>
          </w:p>
        </w:tc>
        <w:tc>
          <w:tcPr>
            <w:tcW w:w="775" w:type="pct"/>
            <w:gridSpan w:val="2"/>
            <w:tcBorders>
              <w:top w:val="single" w:sz="8" w:space="0" w:color="000000"/>
              <w:left w:val="nil"/>
              <w:bottom w:val="nil"/>
              <w:right w:val="nil"/>
            </w:tcBorders>
            <w:shd w:val="clear" w:color="auto" w:fill="FFFFFF"/>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31</w:t>
            </w:r>
          </w:p>
        </w:tc>
        <w:tc>
          <w:tcPr>
            <w:tcW w:w="730"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center"/>
              <w:rPr>
                <w:rFonts w:ascii="Arial" w:hAnsi="Arial" w:cs="Arial"/>
                <w:sz w:val="19"/>
                <w:szCs w:val="19"/>
                <w:lang w:eastAsia="en-US"/>
              </w:rPr>
            </w:pPr>
            <w:r w:rsidRPr="000806DA">
              <w:rPr>
                <w:rFonts w:ascii="Arial" w:hAnsi="Arial" w:cs="Arial"/>
                <w:sz w:val="19"/>
                <w:szCs w:val="19"/>
                <w:lang w:eastAsia="en-US"/>
              </w:rPr>
              <w:t>9.966 (p=0.002)</w:t>
            </w:r>
          </w:p>
        </w:tc>
      </w:tr>
      <w:tr w:rsidR="003B0DEE" w:rsidRPr="000806DA" w:rsidTr="000D5D90">
        <w:trPr>
          <w:trHeight w:val="48"/>
        </w:trPr>
        <w:tc>
          <w:tcPr>
            <w:tcW w:w="929" w:type="pct"/>
            <w:vMerge/>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Median age </w:t>
            </w:r>
          </w:p>
        </w:tc>
        <w:tc>
          <w:tcPr>
            <w:tcW w:w="780" w:type="pct"/>
            <w:gridSpan w:val="2"/>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29</w:t>
            </w:r>
          </w:p>
        </w:tc>
        <w:tc>
          <w:tcPr>
            <w:tcW w:w="774" w:type="pct"/>
            <w:gridSpan w:val="2"/>
            <w:tcBorders>
              <w:top w:val="nil"/>
              <w:left w:val="nil"/>
              <w:bottom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29</w:t>
            </w:r>
          </w:p>
        </w:tc>
        <w:tc>
          <w:tcPr>
            <w:tcW w:w="775" w:type="pct"/>
            <w:gridSpan w:val="2"/>
            <w:tcBorders>
              <w:top w:val="nil"/>
              <w:left w:val="nil"/>
              <w:bottom w:val="nil"/>
              <w:right w:val="nil"/>
            </w:tcBorders>
            <w:shd w:val="clear" w:color="auto" w:fill="FFFFFF"/>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29</w:t>
            </w:r>
          </w:p>
        </w:tc>
        <w:tc>
          <w:tcPr>
            <w:tcW w:w="730" w:type="pct"/>
            <w:tcBorders>
              <w:top w:val="nil"/>
              <w:left w:val="nil"/>
              <w:bottom w:val="nil"/>
              <w:right w:val="nil"/>
            </w:tcBorders>
            <w:shd w:val="clear" w:color="auto" w:fill="F2F2F2"/>
          </w:tcPr>
          <w:p w:rsidR="003B0DEE" w:rsidRPr="000806DA" w:rsidRDefault="003B0DEE" w:rsidP="000D5D90">
            <w:pPr>
              <w:spacing w:line="240" w:lineRule="auto"/>
              <w:jc w:val="center"/>
              <w:rPr>
                <w:rFonts w:ascii="Arial" w:hAnsi="Arial" w:cs="Arial"/>
                <w:sz w:val="19"/>
                <w:szCs w:val="19"/>
                <w:lang w:eastAsia="en-US"/>
              </w:rPr>
            </w:pPr>
            <w:r w:rsidRPr="000806DA">
              <w:rPr>
                <w:rFonts w:ascii="Arial" w:hAnsi="Arial" w:cs="Arial"/>
                <w:sz w:val="19"/>
                <w:szCs w:val="19"/>
                <w:lang w:eastAsia="en-US"/>
              </w:rPr>
              <w:t>4.822 (p=0.028)</w:t>
            </w:r>
          </w:p>
        </w:tc>
      </w:tr>
      <w:tr w:rsidR="003B0DEE" w:rsidRPr="000806DA" w:rsidTr="000D5D90">
        <w:trPr>
          <w:trHeight w:val="48"/>
        </w:trPr>
        <w:tc>
          <w:tcPr>
            <w:tcW w:w="929" w:type="pct"/>
            <w:vMerge/>
            <w:tcBorders>
              <w:left w:val="nil"/>
              <w:bottom w:val="single" w:sz="8" w:space="0" w:color="000000"/>
              <w:right w:val="nil"/>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p>
        </w:tc>
        <w:tc>
          <w:tcPr>
            <w:tcW w:w="1012"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Range (5th-95th percentiles)</w:t>
            </w:r>
          </w:p>
        </w:tc>
        <w:tc>
          <w:tcPr>
            <w:tcW w:w="780" w:type="pct"/>
            <w:gridSpan w:val="2"/>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color w:val="000000"/>
                <w:sz w:val="19"/>
                <w:szCs w:val="19"/>
                <w:lang w:eastAsia="en-US"/>
              </w:rPr>
            </w:pPr>
            <w:r w:rsidRPr="000806DA">
              <w:rPr>
                <w:rFonts w:ascii="Arial" w:hAnsi="Arial" w:cs="Arial"/>
                <w:color w:val="000000"/>
                <w:sz w:val="19"/>
                <w:szCs w:val="19"/>
                <w:lang w:eastAsia="en-US"/>
              </w:rPr>
              <w:t>(20-46)</w:t>
            </w:r>
          </w:p>
        </w:tc>
        <w:tc>
          <w:tcPr>
            <w:tcW w:w="774" w:type="pct"/>
            <w:gridSpan w:val="2"/>
            <w:tcBorders>
              <w:top w:val="nil"/>
              <w:left w:val="nil"/>
              <w:bottom w:val="single" w:sz="8" w:space="0" w:color="000000"/>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(20-47)</w:t>
            </w:r>
          </w:p>
        </w:tc>
        <w:tc>
          <w:tcPr>
            <w:tcW w:w="775" w:type="pct"/>
            <w:gridSpan w:val="2"/>
            <w:tcBorders>
              <w:top w:val="nil"/>
              <w:left w:val="nil"/>
              <w:bottom w:val="single" w:sz="8" w:space="0" w:color="000000"/>
              <w:right w:val="nil"/>
            </w:tcBorders>
            <w:shd w:val="clear" w:color="auto" w:fill="FFFFFF"/>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color w:val="000000"/>
                <w:sz w:val="19"/>
                <w:szCs w:val="19"/>
                <w:lang w:eastAsia="en-US"/>
              </w:rPr>
              <w:t>(19-44)</w:t>
            </w:r>
          </w:p>
        </w:tc>
        <w:tc>
          <w:tcPr>
            <w:tcW w:w="730"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p>
        </w:tc>
      </w:tr>
      <w:tr w:rsidR="003B0DEE" w:rsidRPr="000806DA" w:rsidTr="000D5D90">
        <w:trPr>
          <w:trHeight w:val="48"/>
        </w:trPr>
        <w:tc>
          <w:tcPr>
            <w:tcW w:w="929"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p>
        </w:tc>
        <w:tc>
          <w:tcPr>
            <w:tcW w:w="360"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20"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55"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19"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55"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20"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730"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bCs/>
                <w:color w:val="000000"/>
                <w:sz w:val="19"/>
                <w:szCs w:val="19"/>
                <w:lang w:eastAsia="en-US"/>
              </w:rPr>
              <w:t>Pearson chi-squared</w:t>
            </w:r>
          </w:p>
        </w:tc>
      </w:tr>
      <w:tr w:rsidR="003B0DEE" w:rsidRPr="000806DA" w:rsidTr="000D5D90">
        <w:trPr>
          <w:trHeight w:val="20"/>
        </w:trPr>
        <w:tc>
          <w:tcPr>
            <w:tcW w:w="929" w:type="pct"/>
            <w:vMerge w:val="restart"/>
            <w:tcBorders>
              <w:top w:val="single" w:sz="8" w:space="0" w:color="000000"/>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Gender</w:t>
            </w:r>
          </w:p>
        </w:tc>
        <w:tc>
          <w:tcPr>
            <w:tcW w:w="1012" w:type="pct"/>
            <w:tcBorders>
              <w:top w:val="single" w:sz="8" w:space="0" w:color="000000"/>
              <w:bottom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Male</w:t>
            </w:r>
          </w:p>
        </w:tc>
        <w:tc>
          <w:tcPr>
            <w:tcW w:w="360"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3157</w:t>
            </w:r>
          </w:p>
        </w:tc>
        <w:tc>
          <w:tcPr>
            <w:tcW w:w="420"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67.0</w:t>
            </w:r>
          </w:p>
        </w:tc>
        <w:tc>
          <w:tcPr>
            <w:tcW w:w="355"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1499</w:t>
            </w:r>
          </w:p>
        </w:tc>
        <w:tc>
          <w:tcPr>
            <w:tcW w:w="419"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68.2</w:t>
            </w:r>
          </w:p>
        </w:tc>
        <w:tc>
          <w:tcPr>
            <w:tcW w:w="3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1658</w:t>
            </w:r>
          </w:p>
        </w:tc>
        <w:tc>
          <w:tcPr>
            <w:tcW w:w="420"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66.0</w:t>
            </w:r>
          </w:p>
        </w:tc>
        <w:tc>
          <w:tcPr>
            <w:tcW w:w="730"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929" w:type="pct"/>
            <w:vMerge/>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rPr>
                <w:rFonts w:ascii="Arial" w:hAnsi="Arial" w:cs="Arial"/>
                <w:b/>
                <w:bCs/>
                <w:sz w:val="19"/>
                <w:szCs w:val="19"/>
                <w:lang w:eastAsia="en-US"/>
              </w:rPr>
            </w:pPr>
          </w:p>
        </w:tc>
        <w:tc>
          <w:tcPr>
            <w:tcW w:w="1012"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Female</w:t>
            </w:r>
          </w:p>
        </w:tc>
        <w:tc>
          <w:tcPr>
            <w:tcW w:w="36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1556</w:t>
            </w:r>
          </w:p>
        </w:tc>
        <w:tc>
          <w:tcPr>
            <w:tcW w:w="42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33.0</w:t>
            </w:r>
          </w:p>
        </w:tc>
        <w:tc>
          <w:tcPr>
            <w:tcW w:w="355"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700</w:t>
            </w:r>
          </w:p>
        </w:tc>
        <w:tc>
          <w:tcPr>
            <w:tcW w:w="419"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31.8</w:t>
            </w:r>
          </w:p>
        </w:tc>
        <w:tc>
          <w:tcPr>
            <w:tcW w:w="3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856</w:t>
            </w:r>
          </w:p>
        </w:tc>
        <w:tc>
          <w:tcPr>
            <w:tcW w:w="42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34.0</w:t>
            </w:r>
          </w:p>
        </w:tc>
        <w:tc>
          <w:tcPr>
            <w:tcW w:w="730"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929" w:type="pct"/>
            <w:vMerge w:val="restart"/>
            <w:tcBorders>
              <w:top w:val="single" w:sz="8" w:space="0" w:color="000000"/>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Employment status</w:t>
            </w:r>
          </w:p>
        </w:tc>
        <w:tc>
          <w:tcPr>
            <w:tcW w:w="1012" w:type="pct"/>
            <w:tcBorders>
              <w:top w:val="single" w:sz="8" w:space="0" w:color="000000"/>
            </w:tcBorders>
            <w:shd w:val="clear" w:color="auto" w:fill="F2F2F2"/>
            <w:vAlign w:val="center"/>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Regular employment</w:t>
            </w:r>
          </w:p>
        </w:tc>
        <w:tc>
          <w:tcPr>
            <w:tcW w:w="360"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414</w:t>
            </w:r>
          </w:p>
        </w:tc>
        <w:tc>
          <w:tcPr>
            <w:tcW w:w="420"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8.8</w:t>
            </w:r>
          </w:p>
        </w:tc>
        <w:tc>
          <w:tcPr>
            <w:tcW w:w="355"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226</w:t>
            </w:r>
          </w:p>
        </w:tc>
        <w:tc>
          <w:tcPr>
            <w:tcW w:w="419"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10.2</w:t>
            </w:r>
          </w:p>
        </w:tc>
        <w:tc>
          <w:tcPr>
            <w:tcW w:w="3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188</w:t>
            </w:r>
          </w:p>
        </w:tc>
        <w:tc>
          <w:tcPr>
            <w:tcW w:w="420"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7.5</w:t>
            </w:r>
          </w:p>
        </w:tc>
        <w:tc>
          <w:tcPr>
            <w:tcW w:w="730" w:type="pct"/>
            <w:vMerge w:val="restar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99.809 (p&lt;0.001)</w:t>
            </w:r>
          </w:p>
        </w:tc>
      </w:tr>
      <w:tr w:rsidR="003B0DEE" w:rsidRPr="000806DA" w:rsidTr="000D5D90">
        <w:trPr>
          <w:trHeight w:val="20"/>
        </w:trPr>
        <w:tc>
          <w:tcPr>
            <w:tcW w:w="929" w:type="pct"/>
            <w:vMerge/>
            <w:tcBorders>
              <w:top w:val="single" w:sz="8" w:space="0" w:color="000000"/>
              <w:left w:val="nil"/>
              <w:right w:val="nil"/>
            </w:tcBorders>
            <w:shd w:val="clear" w:color="auto" w:fill="FFFFFF"/>
            <w:vAlign w:val="center"/>
          </w:tcPr>
          <w:p w:rsidR="003B0DEE" w:rsidRPr="000806DA" w:rsidRDefault="003B0DEE" w:rsidP="000D5D90">
            <w:pPr>
              <w:spacing w:line="240" w:lineRule="auto"/>
              <w:rPr>
                <w:rFonts w:ascii="Arial" w:hAnsi="Arial" w:cs="Arial"/>
                <w:b/>
                <w:bCs/>
                <w:sz w:val="19"/>
                <w:szCs w:val="19"/>
                <w:lang w:eastAsia="en-US"/>
              </w:rPr>
            </w:pPr>
          </w:p>
        </w:tc>
        <w:tc>
          <w:tcPr>
            <w:tcW w:w="1012"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Student</w:t>
            </w:r>
          </w:p>
        </w:tc>
        <w:tc>
          <w:tcPr>
            <w:tcW w:w="36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72</w:t>
            </w:r>
          </w:p>
        </w:tc>
        <w:tc>
          <w:tcPr>
            <w:tcW w:w="42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w:t>
            </w:r>
          </w:p>
        </w:tc>
        <w:tc>
          <w:tcPr>
            <w:tcW w:w="355"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41</w:t>
            </w:r>
          </w:p>
        </w:tc>
        <w:tc>
          <w:tcPr>
            <w:tcW w:w="419"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w:t>
            </w:r>
          </w:p>
        </w:tc>
        <w:tc>
          <w:tcPr>
            <w:tcW w:w="35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31</w:t>
            </w:r>
          </w:p>
        </w:tc>
        <w:tc>
          <w:tcPr>
            <w:tcW w:w="42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w:t>
            </w:r>
          </w:p>
        </w:tc>
        <w:tc>
          <w:tcPr>
            <w:tcW w:w="730"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012" w:type="pct"/>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Retired/disability/at home</w:t>
            </w:r>
          </w:p>
        </w:tc>
        <w:tc>
          <w:tcPr>
            <w:tcW w:w="360"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658</w:t>
            </w:r>
          </w:p>
        </w:tc>
        <w:tc>
          <w:tcPr>
            <w:tcW w:w="420"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13.9</w:t>
            </w:r>
          </w:p>
        </w:tc>
        <w:tc>
          <w:tcPr>
            <w:tcW w:w="355" w:type="pct"/>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409</w:t>
            </w:r>
          </w:p>
        </w:tc>
        <w:tc>
          <w:tcPr>
            <w:tcW w:w="419" w:type="pct"/>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18.5</w:t>
            </w:r>
          </w:p>
        </w:tc>
        <w:tc>
          <w:tcPr>
            <w:tcW w:w="355"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249</w:t>
            </w:r>
          </w:p>
        </w:tc>
        <w:tc>
          <w:tcPr>
            <w:tcW w:w="420"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9.9</w:t>
            </w:r>
          </w:p>
        </w:tc>
        <w:tc>
          <w:tcPr>
            <w:tcW w:w="730" w:type="pct"/>
            <w:vMerge/>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012" w:type="pct"/>
            <w:tcBorders>
              <w:left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Unemployed</w:t>
            </w:r>
          </w:p>
        </w:tc>
        <w:tc>
          <w:tcPr>
            <w:tcW w:w="36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3428</w:t>
            </w:r>
          </w:p>
        </w:tc>
        <w:tc>
          <w:tcPr>
            <w:tcW w:w="42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72.6</w:t>
            </w:r>
          </w:p>
        </w:tc>
        <w:tc>
          <w:tcPr>
            <w:tcW w:w="355"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1466</w:t>
            </w:r>
          </w:p>
        </w:tc>
        <w:tc>
          <w:tcPr>
            <w:tcW w:w="419"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66.5</w:t>
            </w:r>
          </w:p>
        </w:tc>
        <w:tc>
          <w:tcPr>
            <w:tcW w:w="35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1962</w:t>
            </w:r>
          </w:p>
        </w:tc>
        <w:tc>
          <w:tcPr>
            <w:tcW w:w="420"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78.0</w:t>
            </w:r>
          </w:p>
        </w:tc>
        <w:tc>
          <w:tcPr>
            <w:tcW w:w="730"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012"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Other</w:t>
            </w:r>
          </w:p>
        </w:tc>
        <w:tc>
          <w:tcPr>
            <w:tcW w:w="360"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94</w:t>
            </w:r>
          </w:p>
        </w:tc>
        <w:tc>
          <w:tcPr>
            <w:tcW w:w="420" w:type="pct"/>
            <w:tcBorders>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w:t>
            </w:r>
          </w:p>
        </w:tc>
        <w:tc>
          <w:tcPr>
            <w:tcW w:w="355" w:type="pct"/>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43</w:t>
            </w:r>
          </w:p>
        </w:tc>
        <w:tc>
          <w:tcPr>
            <w:tcW w:w="419" w:type="pct"/>
            <w:tcBorders>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w:t>
            </w:r>
          </w:p>
        </w:tc>
        <w:tc>
          <w:tcPr>
            <w:tcW w:w="355"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51</w:t>
            </w:r>
          </w:p>
        </w:tc>
        <w:tc>
          <w:tcPr>
            <w:tcW w:w="420" w:type="pct"/>
            <w:tcBorders>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w:t>
            </w:r>
          </w:p>
        </w:tc>
        <w:tc>
          <w:tcPr>
            <w:tcW w:w="730" w:type="pct"/>
            <w:vMerge/>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012"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Unknown</w:t>
            </w:r>
          </w:p>
        </w:tc>
        <w:tc>
          <w:tcPr>
            <w:tcW w:w="36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56</w:t>
            </w:r>
          </w:p>
        </w:tc>
        <w:tc>
          <w:tcPr>
            <w:tcW w:w="42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w:t>
            </w:r>
          </w:p>
        </w:tc>
        <w:tc>
          <w:tcPr>
            <w:tcW w:w="355"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w:t>
            </w:r>
          </w:p>
        </w:tc>
        <w:tc>
          <w:tcPr>
            <w:tcW w:w="419"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w:t>
            </w:r>
          </w:p>
        </w:tc>
        <w:tc>
          <w:tcPr>
            <w:tcW w:w="3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35</w:t>
            </w:r>
          </w:p>
        </w:tc>
        <w:tc>
          <w:tcPr>
            <w:tcW w:w="420"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w:t>
            </w:r>
          </w:p>
        </w:tc>
        <w:tc>
          <w:tcPr>
            <w:tcW w:w="730" w:type="pct"/>
            <w:vMerge/>
            <w:tcBorders>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val="restart"/>
            <w:tcBorders>
              <w:top w:val="single" w:sz="8" w:space="0" w:color="000000"/>
            </w:tcBorders>
            <w:shd w:val="clear" w:color="auto" w:fill="FFFFFF"/>
          </w:tcPr>
          <w:p w:rsidR="003B0DEE" w:rsidRPr="00D726BF" w:rsidRDefault="003B0DEE" w:rsidP="000D5D90">
            <w:pPr>
              <w:spacing w:line="240" w:lineRule="auto"/>
              <w:rPr>
                <w:rFonts w:ascii="Arial" w:hAnsi="Arial" w:cs="Arial"/>
                <w:b/>
                <w:bCs/>
                <w:sz w:val="19"/>
                <w:szCs w:val="19"/>
                <w:lang w:eastAsia="en-US"/>
              </w:rPr>
            </w:pPr>
            <w:r w:rsidRPr="00D726BF">
              <w:rPr>
                <w:rFonts w:ascii="Arial" w:hAnsi="Arial" w:cs="Arial"/>
                <w:b/>
                <w:bCs/>
                <w:color w:val="000000"/>
                <w:sz w:val="19"/>
                <w:szCs w:val="19"/>
                <w:lang w:eastAsia="en-US"/>
              </w:rPr>
              <w:t>Living accommodation</w:t>
            </w:r>
          </w:p>
        </w:tc>
        <w:tc>
          <w:tcPr>
            <w:tcW w:w="1012" w:type="pct"/>
            <w:tcBorders>
              <w:top w:val="single" w:sz="8" w:space="0" w:color="000000"/>
            </w:tcBorders>
            <w:shd w:val="clear" w:color="auto" w:fill="F2F2F2"/>
          </w:tcPr>
          <w:p w:rsidR="003B0DEE" w:rsidRPr="00D726BF" w:rsidRDefault="003B0DEE" w:rsidP="000D5D90">
            <w:pPr>
              <w:spacing w:line="240" w:lineRule="auto"/>
              <w:jc w:val="left"/>
              <w:rPr>
                <w:rFonts w:ascii="Arial" w:hAnsi="Arial" w:cs="Arial"/>
                <w:color w:val="000000"/>
                <w:sz w:val="19"/>
                <w:szCs w:val="19"/>
                <w:lang w:eastAsia="en-US"/>
              </w:rPr>
            </w:pPr>
            <w:r w:rsidRPr="00D726BF">
              <w:rPr>
                <w:rFonts w:ascii="Arial" w:hAnsi="Arial" w:cs="Arial"/>
                <w:color w:val="000000"/>
                <w:sz w:val="19"/>
                <w:szCs w:val="19"/>
                <w:lang w:eastAsia="en-US"/>
              </w:rPr>
              <w:t>Stable accommodation</w:t>
            </w:r>
          </w:p>
        </w:tc>
        <w:tc>
          <w:tcPr>
            <w:tcW w:w="360" w:type="pct"/>
            <w:tcBorders>
              <w:top w:val="single" w:sz="8" w:space="0" w:color="000000"/>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3577</w:t>
            </w:r>
          </w:p>
        </w:tc>
        <w:tc>
          <w:tcPr>
            <w:tcW w:w="420" w:type="pct"/>
            <w:tcBorders>
              <w:top w:val="single" w:sz="8" w:space="0" w:color="000000"/>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75.8</w:t>
            </w:r>
          </w:p>
        </w:tc>
        <w:tc>
          <w:tcPr>
            <w:tcW w:w="355" w:type="pct"/>
            <w:tcBorders>
              <w:top w:val="single" w:sz="8" w:space="0" w:color="000000"/>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1633</w:t>
            </w:r>
          </w:p>
        </w:tc>
        <w:tc>
          <w:tcPr>
            <w:tcW w:w="419" w:type="pct"/>
            <w:tcBorders>
              <w:top w:val="single" w:sz="8" w:space="0" w:color="000000"/>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74.0</w:t>
            </w:r>
          </w:p>
        </w:tc>
        <w:tc>
          <w:tcPr>
            <w:tcW w:w="355" w:type="pct"/>
            <w:tcBorders>
              <w:top w:val="single" w:sz="8" w:space="0" w:color="000000"/>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1944</w:t>
            </w:r>
          </w:p>
        </w:tc>
        <w:tc>
          <w:tcPr>
            <w:tcW w:w="420" w:type="pct"/>
            <w:tcBorders>
              <w:top w:val="single" w:sz="8" w:space="0" w:color="000000"/>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77.3</w:t>
            </w:r>
          </w:p>
        </w:tc>
        <w:tc>
          <w:tcPr>
            <w:tcW w:w="730" w:type="pct"/>
            <w:tcBorders>
              <w:top w:val="single" w:sz="8" w:space="0" w:color="000000"/>
            </w:tcBorders>
            <w:shd w:val="clear" w:color="auto" w:fill="F2F2F2"/>
          </w:tcPr>
          <w:p w:rsidR="003B0DEE" w:rsidRPr="00D726BF" w:rsidRDefault="003B0DEE" w:rsidP="000D5D90">
            <w:pPr>
              <w:spacing w:line="240" w:lineRule="auto"/>
              <w:jc w:val="right"/>
              <w:rPr>
                <w:rFonts w:ascii="Arial" w:hAnsi="Arial" w:cs="Arial"/>
                <w:sz w:val="19"/>
                <w:szCs w:val="19"/>
                <w:lang w:eastAsia="en-US"/>
              </w:rPr>
            </w:pPr>
            <w:r w:rsidRPr="00D726BF">
              <w:rPr>
                <w:rFonts w:ascii="Arial" w:hAnsi="Arial" w:cs="Arial"/>
                <w:sz w:val="19"/>
                <w:szCs w:val="19"/>
                <w:lang w:eastAsia="en-US"/>
              </w:rPr>
              <w:t>37.572 (p&lt;0.001)</w:t>
            </w:r>
          </w:p>
        </w:tc>
      </w:tr>
      <w:tr w:rsidR="003B0DEE" w:rsidRPr="000806DA" w:rsidTr="000D5D90">
        <w:trPr>
          <w:trHeight w:val="20"/>
        </w:trPr>
        <w:tc>
          <w:tcPr>
            <w:tcW w:w="929" w:type="pct"/>
            <w:vMerge/>
            <w:tcBorders>
              <w:top w:val="single" w:sz="8" w:space="0" w:color="000000"/>
              <w:left w:val="nil"/>
              <w:right w:val="nil"/>
            </w:tcBorders>
            <w:shd w:val="clear" w:color="auto" w:fill="FFFFFF"/>
            <w:vAlign w:val="bottom"/>
          </w:tcPr>
          <w:p w:rsidR="003B0DEE" w:rsidRPr="00D726BF" w:rsidRDefault="003B0DEE" w:rsidP="000D5D90">
            <w:pPr>
              <w:spacing w:line="240" w:lineRule="auto"/>
              <w:rPr>
                <w:rFonts w:ascii="Arial" w:hAnsi="Arial" w:cs="Arial"/>
                <w:b/>
                <w:bCs/>
                <w:sz w:val="19"/>
                <w:szCs w:val="19"/>
                <w:lang w:eastAsia="en-US"/>
              </w:rPr>
            </w:pPr>
          </w:p>
        </w:tc>
        <w:tc>
          <w:tcPr>
            <w:tcW w:w="1012" w:type="pct"/>
            <w:tcBorders>
              <w:left w:val="nil"/>
              <w:right w:val="nil"/>
            </w:tcBorders>
            <w:shd w:val="clear" w:color="auto" w:fill="F2F2F2"/>
          </w:tcPr>
          <w:p w:rsidR="003B0DEE" w:rsidRPr="00D726BF" w:rsidRDefault="003B0DEE" w:rsidP="000D5D90">
            <w:pPr>
              <w:spacing w:line="240" w:lineRule="auto"/>
              <w:jc w:val="left"/>
              <w:rPr>
                <w:rFonts w:ascii="Arial" w:hAnsi="Arial" w:cs="Arial"/>
                <w:color w:val="000000"/>
                <w:sz w:val="19"/>
                <w:szCs w:val="19"/>
                <w:lang w:eastAsia="en-US"/>
              </w:rPr>
            </w:pPr>
            <w:r w:rsidRPr="00D726BF">
              <w:rPr>
                <w:rFonts w:ascii="Arial" w:hAnsi="Arial" w:cs="Arial"/>
                <w:color w:val="000000"/>
                <w:sz w:val="19"/>
                <w:szCs w:val="19"/>
                <w:lang w:eastAsia="en-US"/>
              </w:rPr>
              <w:t>Unstable</w:t>
            </w:r>
          </w:p>
        </w:tc>
        <w:tc>
          <w:tcPr>
            <w:tcW w:w="360" w:type="pct"/>
            <w:tcBorders>
              <w:left w:val="nil"/>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456</w:t>
            </w:r>
          </w:p>
        </w:tc>
        <w:tc>
          <w:tcPr>
            <w:tcW w:w="420" w:type="pct"/>
            <w:tcBorders>
              <w:left w:val="nil"/>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9.7</w:t>
            </w:r>
          </w:p>
        </w:tc>
        <w:tc>
          <w:tcPr>
            <w:tcW w:w="355" w:type="pct"/>
            <w:tcBorders>
              <w:left w:val="nil"/>
              <w:right w:val="nil"/>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198</w:t>
            </w:r>
          </w:p>
        </w:tc>
        <w:tc>
          <w:tcPr>
            <w:tcW w:w="419" w:type="pct"/>
            <w:tcBorders>
              <w:left w:val="nil"/>
              <w:right w:val="nil"/>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9.0</w:t>
            </w:r>
          </w:p>
        </w:tc>
        <w:tc>
          <w:tcPr>
            <w:tcW w:w="355" w:type="pct"/>
            <w:tcBorders>
              <w:left w:val="nil"/>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258</w:t>
            </w:r>
          </w:p>
        </w:tc>
        <w:tc>
          <w:tcPr>
            <w:tcW w:w="420" w:type="pct"/>
            <w:tcBorders>
              <w:left w:val="nil"/>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10.3</w:t>
            </w:r>
          </w:p>
        </w:tc>
        <w:tc>
          <w:tcPr>
            <w:tcW w:w="730" w:type="pct"/>
            <w:tcBorders>
              <w:left w:val="nil"/>
              <w:right w:val="nil"/>
            </w:tcBorders>
            <w:shd w:val="clear" w:color="auto" w:fill="F2F2F2"/>
          </w:tcPr>
          <w:p w:rsidR="003B0DEE" w:rsidRPr="00D726BF"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tcBorders>
            <w:shd w:val="clear" w:color="auto" w:fill="FFFFFF"/>
            <w:vAlign w:val="bottom"/>
          </w:tcPr>
          <w:p w:rsidR="003B0DEE" w:rsidRPr="00D726BF" w:rsidRDefault="003B0DEE" w:rsidP="000D5D90">
            <w:pPr>
              <w:spacing w:line="240" w:lineRule="auto"/>
              <w:rPr>
                <w:rFonts w:ascii="Arial" w:hAnsi="Arial" w:cs="Arial"/>
                <w:b/>
                <w:bCs/>
                <w:sz w:val="19"/>
                <w:szCs w:val="19"/>
                <w:lang w:eastAsia="en-US"/>
              </w:rPr>
            </w:pPr>
          </w:p>
        </w:tc>
        <w:tc>
          <w:tcPr>
            <w:tcW w:w="1012" w:type="pct"/>
            <w:tcBorders>
              <w:bottom w:val="nil"/>
            </w:tcBorders>
            <w:shd w:val="clear" w:color="auto" w:fill="F2F2F2"/>
          </w:tcPr>
          <w:p w:rsidR="003B0DEE" w:rsidRPr="00D726BF" w:rsidRDefault="003B0DEE" w:rsidP="000D5D90">
            <w:pPr>
              <w:spacing w:line="240" w:lineRule="auto"/>
              <w:jc w:val="left"/>
              <w:rPr>
                <w:rFonts w:ascii="Arial" w:hAnsi="Arial" w:cs="Arial"/>
                <w:color w:val="000000"/>
                <w:sz w:val="19"/>
                <w:szCs w:val="19"/>
                <w:lang w:eastAsia="en-US"/>
              </w:rPr>
            </w:pPr>
            <w:r w:rsidRPr="00D726BF">
              <w:rPr>
                <w:rFonts w:ascii="Arial" w:hAnsi="Arial" w:cs="Arial"/>
                <w:color w:val="000000"/>
                <w:sz w:val="19"/>
                <w:szCs w:val="19"/>
                <w:lang w:eastAsia="en-US"/>
              </w:rPr>
              <w:t>Institutions</w:t>
            </w:r>
          </w:p>
        </w:tc>
        <w:tc>
          <w:tcPr>
            <w:tcW w:w="360" w:type="pct"/>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639</w:t>
            </w:r>
          </w:p>
        </w:tc>
        <w:tc>
          <w:tcPr>
            <w:tcW w:w="420" w:type="pct"/>
            <w:tcBorders>
              <w:bottom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13.5</w:t>
            </w:r>
          </w:p>
        </w:tc>
        <w:tc>
          <w:tcPr>
            <w:tcW w:w="355" w:type="pct"/>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362</w:t>
            </w:r>
          </w:p>
        </w:tc>
        <w:tc>
          <w:tcPr>
            <w:tcW w:w="419" w:type="pct"/>
            <w:tcBorders>
              <w:bottom w:val="nil"/>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16.4</w:t>
            </w:r>
          </w:p>
        </w:tc>
        <w:tc>
          <w:tcPr>
            <w:tcW w:w="355" w:type="pct"/>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277</w:t>
            </w:r>
          </w:p>
        </w:tc>
        <w:tc>
          <w:tcPr>
            <w:tcW w:w="420" w:type="pct"/>
            <w:tcBorders>
              <w:bottom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11.0</w:t>
            </w:r>
          </w:p>
        </w:tc>
        <w:tc>
          <w:tcPr>
            <w:tcW w:w="730" w:type="pct"/>
            <w:shd w:val="clear" w:color="auto" w:fill="F2F2F2"/>
          </w:tcPr>
          <w:p w:rsidR="003B0DEE" w:rsidRPr="00D726BF"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top w:val="single" w:sz="8" w:space="0" w:color="000000"/>
              <w:left w:val="nil"/>
              <w:right w:val="nil"/>
            </w:tcBorders>
            <w:shd w:val="clear" w:color="auto" w:fill="FFFFFF"/>
            <w:vAlign w:val="bottom"/>
          </w:tcPr>
          <w:p w:rsidR="003B0DEE" w:rsidRPr="00D726BF" w:rsidRDefault="003B0DEE" w:rsidP="000D5D90">
            <w:pPr>
              <w:spacing w:line="240" w:lineRule="auto"/>
              <w:rPr>
                <w:rFonts w:ascii="Arial" w:hAnsi="Arial" w:cs="Arial"/>
                <w:b/>
                <w:bCs/>
                <w:sz w:val="19"/>
                <w:szCs w:val="19"/>
                <w:lang w:eastAsia="en-US"/>
              </w:rPr>
            </w:pPr>
          </w:p>
        </w:tc>
        <w:tc>
          <w:tcPr>
            <w:tcW w:w="1012"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left"/>
              <w:rPr>
                <w:rFonts w:ascii="Arial" w:hAnsi="Arial" w:cs="Arial"/>
                <w:color w:val="000000"/>
                <w:sz w:val="19"/>
                <w:szCs w:val="19"/>
                <w:lang w:eastAsia="en-US"/>
              </w:rPr>
            </w:pPr>
            <w:r w:rsidRPr="00D726BF">
              <w:rPr>
                <w:rFonts w:ascii="Arial" w:hAnsi="Arial" w:cs="Arial"/>
                <w:color w:val="000000"/>
                <w:sz w:val="19"/>
                <w:szCs w:val="19"/>
                <w:lang w:eastAsia="en-US"/>
              </w:rPr>
              <w:t>Unknown</w:t>
            </w:r>
          </w:p>
        </w:tc>
        <w:tc>
          <w:tcPr>
            <w:tcW w:w="360" w:type="pct"/>
            <w:tcBorders>
              <w:top w:val="nil"/>
              <w:left w:val="nil"/>
              <w:bottom w:val="single" w:sz="8" w:space="0" w:color="000000"/>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50</w:t>
            </w:r>
          </w:p>
        </w:tc>
        <w:tc>
          <w:tcPr>
            <w:tcW w:w="420" w:type="pct"/>
            <w:tcBorders>
              <w:top w:val="nil"/>
              <w:left w:val="nil"/>
              <w:bottom w:val="single" w:sz="8" w:space="0" w:color="000000"/>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1.1</w:t>
            </w:r>
          </w:p>
        </w:tc>
        <w:tc>
          <w:tcPr>
            <w:tcW w:w="355" w:type="pct"/>
            <w:tcBorders>
              <w:top w:val="nil"/>
              <w:left w:val="nil"/>
              <w:bottom w:val="single" w:sz="8" w:space="0" w:color="000000"/>
              <w:right w:val="nil"/>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13</w:t>
            </w:r>
          </w:p>
        </w:tc>
        <w:tc>
          <w:tcPr>
            <w:tcW w:w="419" w:type="pct"/>
            <w:tcBorders>
              <w:top w:val="nil"/>
              <w:left w:val="nil"/>
              <w:bottom w:val="single" w:sz="8" w:space="0" w:color="000000"/>
              <w:right w:val="nil"/>
            </w:tcBorders>
            <w:shd w:val="clear" w:color="auto" w:fill="F2F2F2"/>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0.6</w:t>
            </w:r>
          </w:p>
        </w:tc>
        <w:tc>
          <w:tcPr>
            <w:tcW w:w="355" w:type="pct"/>
            <w:tcBorders>
              <w:top w:val="nil"/>
              <w:left w:val="nil"/>
              <w:bottom w:val="single" w:sz="8" w:space="0" w:color="000000"/>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37</w:t>
            </w:r>
          </w:p>
        </w:tc>
        <w:tc>
          <w:tcPr>
            <w:tcW w:w="420" w:type="pct"/>
            <w:tcBorders>
              <w:top w:val="nil"/>
              <w:left w:val="nil"/>
              <w:bottom w:val="single" w:sz="8" w:space="0" w:color="000000"/>
              <w:right w:val="nil"/>
            </w:tcBorders>
            <w:shd w:val="clear" w:color="auto" w:fill="FFFFFF"/>
            <w:vAlign w:val="center"/>
          </w:tcPr>
          <w:p w:rsidR="003B0DEE" w:rsidRPr="00D726BF" w:rsidRDefault="003B0DEE" w:rsidP="000D5D90">
            <w:pPr>
              <w:spacing w:line="240" w:lineRule="auto"/>
              <w:jc w:val="right"/>
              <w:rPr>
                <w:rFonts w:ascii="Arial" w:hAnsi="Arial" w:cs="Arial"/>
                <w:color w:val="000000"/>
                <w:sz w:val="19"/>
                <w:szCs w:val="19"/>
                <w:lang w:eastAsia="en-US"/>
              </w:rPr>
            </w:pPr>
            <w:r w:rsidRPr="00D726BF">
              <w:rPr>
                <w:rFonts w:ascii="Arial" w:hAnsi="Arial" w:cs="Arial"/>
                <w:color w:val="000000"/>
                <w:sz w:val="19"/>
                <w:szCs w:val="19"/>
                <w:lang w:eastAsia="en-US"/>
              </w:rPr>
              <w:t>1.5</w:t>
            </w:r>
          </w:p>
        </w:tc>
        <w:tc>
          <w:tcPr>
            <w:tcW w:w="730" w:type="pct"/>
            <w:tcBorders>
              <w:top w:val="nil"/>
              <w:left w:val="nil"/>
              <w:bottom w:val="single" w:sz="8" w:space="0" w:color="000000"/>
              <w:right w:val="nil"/>
            </w:tcBorders>
            <w:shd w:val="clear" w:color="auto" w:fill="F2F2F2"/>
          </w:tcPr>
          <w:p w:rsidR="003B0DEE" w:rsidRPr="00D726BF"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929" w:type="pct"/>
            <w:vMerge w:val="restart"/>
            <w:tcBorders>
              <w:top w:val="single" w:sz="8" w:space="0" w:color="000000"/>
            </w:tcBorders>
            <w:shd w:val="clear" w:color="auto" w:fill="FFFFFF"/>
          </w:tcPr>
          <w:p w:rsidR="003B0DEE" w:rsidRPr="000806DA" w:rsidRDefault="003B0DEE" w:rsidP="000D5D90">
            <w:pPr>
              <w:spacing w:line="240" w:lineRule="auto"/>
              <w:rPr>
                <w:rFonts w:ascii="Arial" w:hAnsi="Arial" w:cs="Arial"/>
                <w:b/>
                <w:bCs/>
                <w:sz w:val="19"/>
                <w:szCs w:val="19"/>
                <w:lang w:eastAsia="en-US"/>
              </w:rPr>
            </w:pPr>
            <w:r w:rsidRPr="000806DA">
              <w:rPr>
                <w:rFonts w:ascii="Arial" w:hAnsi="Arial" w:cs="Arial"/>
                <w:b/>
                <w:bCs/>
                <w:sz w:val="19"/>
                <w:szCs w:val="19"/>
                <w:lang w:eastAsia="en-US"/>
              </w:rPr>
              <w:t>Living arrangements</w:t>
            </w:r>
          </w:p>
        </w:tc>
        <w:tc>
          <w:tcPr>
            <w:tcW w:w="1012"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Alone</w:t>
            </w:r>
          </w:p>
        </w:tc>
        <w:tc>
          <w:tcPr>
            <w:tcW w:w="360"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542</w:t>
            </w:r>
          </w:p>
        </w:tc>
        <w:tc>
          <w:tcPr>
            <w:tcW w:w="420"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11.5</w:t>
            </w:r>
          </w:p>
        </w:tc>
        <w:tc>
          <w:tcPr>
            <w:tcW w:w="355"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260</w:t>
            </w:r>
          </w:p>
        </w:tc>
        <w:tc>
          <w:tcPr>
            <w:tcW w:w="419"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11.8</w:t>
            </w:r>
          </w:p>
        </w:tc>
        <w:tc>
          <w:tcPr>
            <w:tcW w:w="3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282</w:t>
            </w:r>
          </w:p>
        </w:tc>
        <w:tc>
          <w:tcPr>
            <w:tcW w:w="420"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11.2</w:t>
            </w:r>
          </w:p>
        </w:tc>
        <w:tc>
          <w:tcPr>
            <w:tcW w:w="730" w:type="pct"/>
            <w:vMerge w:val="restar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25.309 (p&lt;0.001)</w:t>
            </w:r>
          </w:p>
        </w:tc>
      </w:tr>
      <w:tr w:rsidR="003B0DEE" w:rsidRPr="000806DA" w:rsidTr="000D5D90">
        <w:trPr>
          <w:trHeight w:val="20"/>
        </w:trPr>
        <w:tc>
          <w:tcPr>
            <w:tcW w:w="929"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Parents or family</w:t>
            </w:r>
          </w:p>
        </w:tc>
        <w:tc>
          <w:tcPr>
            <w:tcW w:w="360"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1799</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38.1</w:t>
            </w:r>
          </w:p>
        </w:tc>
        <w:tc>
          <w:tcPr>
            <w:tcW w:w="355"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829</w:t>
            </w:r>
          </w:p>
        </w:tc>
        <w:tc>
          <w:tcPr>
            <w:tcW w:w="419"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37.6</w:t>
            </w:r>
          </w:p>
        </w:tc>
        <w:tc>
          <w:tcPr>
            <w:tcW w:w="3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970</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38.6</w:t>
            </w:r>
          </w:p>
        </w:tc>
        <w:tc>
          <w:tcPr>
            <w:tcW w:w="730"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22"/>
        </w:trPr>
        <w:tc>
          <w:tcPr>
            <w:tcW w:w="929"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sidRPr="000806DA">
              <w:rPr>
                <w:rFonts w:ascii="Arial" w:hAnsi="Arial" w:cs="Arial"/>
                <w:sz w:val="19"/>
                <w:szCs w:val="19"/>
                <w:lang w:eastAsia="en-US"/>
              </w:rPr>
              <w:t>Alone with child/</w:t>
            </w:r>
          </w:p>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partner and child</w:t>
            </w:r>
          </w:p>
        </w:tc>
        <w:tc>
          <w:tcPr>
            <w:tcW w:w="360"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789</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16.7</w:t>
            </w:r>
          </w:p>
        </w:tc>
        <w:tc>
          <w:tcPr>
            <w:tcW w:w="355"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339</w:t>
            </w:r>
          </w:p>
        </w:tc>
        <w:tc>
          <w:tcPr>
            <w:tcW w:w="419"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15.4</w:t>
            </w:r>
          </w:p>
        </w:tc>
        <w:tc>
          <w:tcPr>
            <w:tcW w:w="3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450</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17.9</w:t>
            </w:r>
          </w:p>
        </w:tc>
        <w:tc>
          <w:tcPr>
            <w:tcW w:w="730" w:type="pct"/>
            <w:vMerge/>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68"/>
        </w:trPr>
        <w:tc>
          <w:tcPr>
            <w:tcW w:w="929"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sidRPr="000806DA">
              <w:rPr>
                <w:rFonts w:ascii="Arial" w:hAnsi="Arial" w:cs="Arial"/>
                <w:sz w:val="19"/>
                <w:szCs w:val="19"/>
                <w:lang w:eastAsia="en-US"/>
              </w:rPr>
              <w:t>With partner</w:t>
            </w:r>
          </w:p>
        </w:tc>
        <w:tc>
          <w:tcPr>
            <w:tcW w:w="360"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405</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8.6</w:t>
            </w:r>
          </w:p>
        </w:tc>
        <w:tc>
          <w:tcPr>
            <w:tcW w:w="355"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191</w:t>
            </w:r>
          </w:p>
        </w:tc>
        <w:tc>
          <w:tcPr>
            <w:tcW w:w="419"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8.7</w:t>
            </w:r>
          </w:p>
        </w:tc>
        <w:tc>
          <w:tcPr>
            <w:tcW w:w="3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214</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8.5</w:t>
            </w:r>
          </w:p>
        </w:tc>
        <w:tc>
          <w:tcPr>
            <w:tcW w:w="730"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sidRPr="000806DA">
              <w:rPr>
                <w:rFonts w:ascii="Arial" w:hAnsi="Arial" w:cs="Arial"/>
                <w:sz w:val="19"/>
                <w:szCs w:val="19"/>
                <w:lang w:eastAsia="en-US"/>
              </w:rPr>
              <w:t>Friends</w:t>
            </w:r>
          </w:p>
        </w:tc>
        <w:tc>
          <w:tcPr>
            <w:tcW w:w="360"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128</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2.7</w:t>
            </w:r>
          </w:p>
        </w:tc>
        <w:tc>
          <w:tcPr>
            <w:tcW w:w="355"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54</w:t>
            </w:r>
          </w:p>
        </w:tc>
        <w:tc>
          <w:tcPr>
            <w:tcW w:w="419"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w:t>
            </w:r>
          </w:p>
        </w:tc>
        <w:tc>
          <w:tcPr>
            <w:tcW w:w="3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74</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w:t>
            </w:r>
          </w:p>
        </w:tc>
        <w:tc>
          <w:tcPr>
            <w:tcW w:w="730" w:type="pct"/>
            <w:vMerge/>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sidRPr="000806DA">
              <w:rPr>
                <w:rFonts w:ascii="Arial" w:hAnsi="Arial" w:cs="Arial"/>
                <w:sz w:val="19"/>
                <w:szCs w:val="19"/>
                <w:lang w:eastAsia="en-US"/>
              </w:rPr>
              <w:t>Other</w:t>
            </w:r>
          </w:p>
        </w:tc>
        <w:tc>
          <w:tcPr>
            <w:tcW w:w="360"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1021</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21.6</w:t>
            </w:r>
          </w:p>
        </w:tc>
        <w:tc>
          <w:tcPr>
            <w:tcW w:w="355"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525</w:t>
            </w:r>
          </w:p>
        </w:tc>
        <w:tc>
          <w:tcPr>
            <w:tcW w:w="419"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23.8</w:t>
            </w:r>
          </w:p>
        </w:tc>
        <w:tc>
          <w:tcPr>
            <w:tcW w:w="3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496</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19.7</w:t>
            </w:r>
          </w:p>
        </w:tc>
        <w:tc>
          <w:tcPr>
            <w:tcW w:w="730"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68"/>
        </w:trPr>
        <w:tc>
          <w:tcPr>
            <w:tcW w:w="929"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bottom w:val="single" w:sz="4" w:space="0" w:color="auto"/>
            </w:tcBorders>
            <w:shd w:val="clear" w:color="auto" w:fill="F2F2F2"/>
            <w:vAlign w:val="bottom"/>
          </w:tcPr>
          <w:p w:rsidR="003B0DEE" w:rsidRPr="000806DA" w:rsidRDefault="003B0DEE" w:rsidP="000D5D90">
            <w:pPr>
              <w:spacing w:line="240" w:lineRule="auto"/>
              <w:jc w:val="left"/>
              <w:rPr>
                <w:rFonts w:ascii="Arial" w:hAnsi="Arial" w:cs="Arial"/>
                <w:sz w:val="19"/>
                <w:szCs w:val="19"/>
                <w:lang w:eastAsia="en-US"/>
              </w:rPr>
            </w:pPr>
            <w:r>
              <w:rPr>
                <w:rFonts w:ascii="Arial" w:hAnsi="Arial" w:cs="Arial"/>
                <w:sz w:val="19"/>
                <w:szCs w:val="19"/>
                <w:lang w:eastAsia="en-US"/>
              </w:rPr>
              <w:t>Unknown</w:t>
            </w:r>
          </w:p>
        </w:tc>
        <w:tc>
          <w:tcPr>
            <w:tcW w:w="36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w:t>
            </w:r>
          </w:p>
        </w:tc>
        <w:tc>
          <w:tcPr>
            <w:tcW w:w="42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0.8</w:t>
            </w:r>
          </w:p>
        </w:tc>
        <w:tc>
          <w:tcPr>
            <w:tcW w:w="355"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w:t>
            </w:r>
          </w:p>
        </w:tc>
        <w:tc>
          <w:tcPr>
            <w:tcW w:w="419"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0.4</w:t>
            </w:r>
          </w:p>
        </w:tc>
        <w:tc>
          <w:tcPr>
            <w:tcW w:w="355"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30</w:t>
            </w:r>
          </w:p>
        </w:tc>
        <w:tc>
          <w:tcPr>
            <w:tcW w:w="42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w:t>
            </w:r>
          </w:p>
        </w:tc>
        <w:tc>
          <w:tcPr>
            <w:tcW w:w="730" w:type="pct"/>
            <w:tcBorders>
              <w:top w:val="nil"/>
              <w:bottom w:val="single" w:sz="4" w:space="0" w:color="auto"/>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val="restart"/>
            <w:tcBorders>
              <w:top w:val="single" w:sz="8" w:space="0" w:color="000000"/>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Left before age 16 years</w:t>
            </w:r>
          </w:p>
        </w:tc>
        <w:tc>
          <w:tcPr>
            <w:tcW w:w="1012" w:type="pct"/>
            <w:tcBorders>
              <w:top w:val="single" w:sz="4" w:space="0" w:color="auto"/>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360"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2281</w:t>
            </w:r>
          </w:p>
        </w:tc>
        <w:tc>
          <w:tcPr>
            <w:tcW w:w="420" w:type="pct"/>
            <w:tcBorders>
              <w:top w:val="single" w:sz="4" w:space="0" w:color="auto"/>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55.9%</w:t>
            </w:r>
          </w:p>
        </w:tc>
        <w:tc>
          <w:tcPr>
            <w:tcW w:w="355"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1122</w:t>
            </w:r>
          </w:p>
        </w:tc>
        <w:tc>
          <w:tcPr>
            <w:tcW w:w="419" w:type="pct"/>
            <w:tcBorders>
              <w:top w:val="single" w:sz="4" w:space="0" w:color="auto"/>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58.4%</w:t>
            </w:r>
          </w:p>
        </w:tc>
        <w:tc>
          <w:tcPr>
            <w:tcW w:w="355"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1159</w:t>
            </w:r>
          </w:p>
        </w:tc>
        <w:tc>
          <w:tcPr>
            <w:tcW w:w="420" w:type="pct"/>
            <w:tcBorders>
              <w:top w:val="single" w:sz="4" w:space="0" w:color="auto"/>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53.6%</w:t>
            </w:r>
          </w:p>
        </w:tc>
        <w:tc>
          <w:tcPr>
            <w:tcW w:w="730"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9.602 (p=0.002)</w:t>
            </w:r>
          </w:p>
        </w:tc>
      </w:tr>
      <w:tr w:rsidR="003B0DEE" w:rsidRPr="000806DA" w:rsidTr="000D5D90">
        <w:trPr>
          <w:trHeight w:val="20"/>
        </w:trPr>
        <w:tc>
          <w:tcPr>
            <w:tcW w:w="929"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bottom w:val="single" w:sz="4" w:space="0" w:color="auto"/>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36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1803</w:t>
            </w:r>
          </w:p>
        </w:tc>
        <w:tc>
          <w:tcPr>
            <w:tcW w:w="42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44.1%</w:t>
            </w:r>
          </w:p>
        </w:tc>
        <w:tc>
          <w:tcPr>
            <w:tcW w:w="355"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799</w:t>
            </w:r>
          </w:p>
        </w:tc>
        <w:tc>
          <w:tcPr>
            <w:tcW w:w="419"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41.6%</w:t>
            </w:r>
          </w:p>
        </w:tc>
        <w:tc>
          <w:tcPr>
            <w:tcW w:w="355"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1004</w:t>
            </w:r>
          </w:p>
        </w:tc>
        <w:tc>
          <w:tcPr>
            <w:tcW w:w="420"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46.4%</w:t>
            </w:r>
          </w:p>
        </w:tc>
        <w:tc>
          <w:tcPr>
            <w:tcW w:w="730" w:type="pct"/>
            <w:vMerge/>
            <w:tcBorders>
              <w:bottom w:val="single" w:sz="4" w:space="0" w:color="auto"/>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val="restart"/>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Level of education</w:t>
            </w:r>
          </w:p>
        </w:tc>
        <w:tc>
          <w:tcPr>
            <w:tcW w:w="1012" w:type="pct"/>
            <w:tcBorders>
              <w:top w:val="single" w:sz="4" w:space="0" w:color="auto"/>
              <w:left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Never went to school/some primary level</w:t>
            </w:r>
          </w:p>
        </w:tc>
        <w:tc>
          <w:tcPr>
            <w:tcW w:w="360"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232</w:t>
            </w:r>
          </w:p>
        </w:tc>
        <w:tc>
          <w:tcPr>
            <w:tcW w:w="420" w:type="pct"/>
            <w:tcBorders>
              <w:top w:val="single" w:sz="4" w:space="0" w:color="auto"/>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4.9</w:t>
            </w:r>
          </w:p>
        </w:tc>
        <w:tc>
          <w:tcPr>
            <w:tcW w:w="355"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121</w:t>
            </w:r>
          </w:p>
        </w:tc>
        <w:tc>
          <w:tcPr>
            <w:tcW w:w="419" w:type="pct"/>
            <w:tcBorders>
              <w:top w:val="single" w:sz="4" w:space="0" w:color="auto"/>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w:t>
            </w:r>
          </w:p>
        </w:tc>
        <w:tc>
          <w:tcPr>
            <w:tcW w:w="355"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111</w:t>
            </w:r>
          </w:p>
        </w:tc>
        <w:tc>
          <w:tcPr>
            <w:tcW w:w="420" w:type="pct"/>
            <w:tcBorders>
              <w:top w:val="single" w:sz="4" w:space="0" w:color="auto"/>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w:t>
            </w:r>
          </w:p>
        </w:tc>
        <w:tc>
          <w:tcPr>
            <w:tcW w:w="730"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22.150 (p&lt;0.001)</w:t>
            </w:r>
          </w:p>
        </w:tc>
      </w:tr>
      <w:tr w:rsidR="003B0DEE" w:rsidRPr="000806DA" w:rsidTr="000D5D90">
        <w:trPr>
          <w:trHeight w:val="20"/>
        </w:trPr>
        <w:tc>
          <w:tcPr>
            <w:tcW w:w="929"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Completed primary level</w:t>
            </w:r>
          </w:p>
        </w:tc>
        <w:tc>
          <w:tcPr>
            <w:tcW w:w="360"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990</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21.0</w:t>
            </w:r>
          </w:p>
        </w:tc>
        <w:tc>
          <w:tcPr>
            <w:tcW w:w="355"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430</w:t>
            </w:r>
          </w:p>
        </w:tc>
        <w:tc>
          <w:tcPr>
            <w:tcW w:w="419"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19.5</w:t>
            </w:r>
          </w:p>
        </w:tc>
        <w:tc>
          <w:tcPr>
            <w:tcW w:w="3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560</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22.3</w:t>
            </w:r>
          </w:p>
        </w:tc>
        <w:tc>
          <w:tcPr>
            <w:tcW w:w="730" w:type="pct"/>
            <w:vMerge/>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bottom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Completed second level </w:t>
            </w:r>
          </w:p>
        </w:tc>
        <w:tc>
          <w:tcPr>
            <w:tcW w:w="360"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2647</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56.1</w:t>
            </w:r>
          </w:p>
        </w:tc>
        <w:tc>
          <w:tcPr>
            <w:tcW w:w="355"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1262</w:t>
            </w:r>
          </w:p>
        </w:tc>
        <w:tc>
          <w:tcPr>
            <w:tcW w:w="419"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57.2</w:t>
            </w:r>
          </w:p>
        </w:tc>
        <w:tc>
          <w:tcPr>
            <w:tcW w:w="3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1385</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55.0</w:t>
            </w:r>
          </w:p>
        </w:tc>
        <w:tc>
          <w:tcPr>
            <w:tcW w:w="730" w:type="pct"/>
            <w:vMerge/>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929" w:type="pct"/>
            <w:vMerge/>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Completed third level </w:t>
            </w:r>
          </w:p>
        </w:tc>
        <w:tc>
          <w:tcPr>
            <w:tcW w:w="360"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207</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w:t>
            </w:r>
          </w:p>
        </w:tc>
        <w:tc>
          <w:tcPr>
            <w:tcW w:w="355"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113</w:t>
            </w:r>
          </w:p>
        </w:tc>
        <w:tc>
          <w:tcPr>
            <w:tcW w:w="419"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5.1</w:t>
            </w:r>
          </w:p>
        </w:tc>
        <w:tc>
          <w:tcPr>
            <w:tcW w:w="3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94</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3.7</w:t>
            </w:r>
          </w:p>
        </w:tc>
        <w:tc>
          <w:tcPr>
            <w:tcW w:w="730"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929" w:type="pct"/>
            <w:vMerge/>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top w:val="nil"/>
              <w:left w:val="nil"/>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Still in education</w:t>
            </w:r>
          </w:p>
        </w:tc>
        <w:tc>
          <w:tcPr>
            <w:tcW w:w="360"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0.0</w:t>
            </w:r>
          </w:p>
        </w:tc>
        <w:tc>
          <w:tcPr>
            <w:tcW w:w="355"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w:t>
            </w:r>
          </w:p>
        </w:tc>
        <w:tc>
          <w:tcPr>
            <w:tcW w:w="419"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0.0</w:t>
            </w:r>
          </w:p>
        </w:tc>
        <w:tc>
          <w:tcPr>
            <w:tcW w:w="3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w:t>
            </w:r>
          </w:p>
        </w:tc>
        <w:tc>
          <w:tcPr>
            <w:tcW w:w="420"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0.0</w:t>
            </w:r>
          </w:p>
        </w:tc>
        <w:tc>
          <w:tcPr>
            <w:tcW w:w="730"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929" w:type="pct"/>
            <w:vMerge/>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bottom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Unknown</w:t>
            </w:r>
          </w:p>
        </w:tc>
        <w:tc>
          <w:tcPr>
            <w:tcW w:w="360"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72</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w:t>
            </w:r>
          </w:p>
        </w:tc>
        <w:tc>
          <w:tcPr>
            <w:tcW w:w="355"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41</w:t>
            </w:r>
          </w:p>
        </w:tc>
        <w:tc>
          <w:tcPr>
            <w:tcW w:w="419"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w:t>
            </w:r>
          </w:p>
        </w:tc>
        <w:tc>
          <w:tcPr>
            <w:tcW w:w="3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w:t>
            </w:r>
          </w:p>
        </w:tc>
        <w:tc>
          <w:tcPr>
            <w:tcW w:w="420"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w:t>
            </w:r>
          </w:p>
        </w:tc>
        <w:tc>
          <w:tcPr>
            <w:tcW w:w="730"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929" w:type="pct"/>
            <w:vMerge w:val="restart"/>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Resident in</w:t>
            </w:r>
          </w:p>
        </w:tc>
        <w:tc>
          <w:tcPr>
            <w:tcW w:w="1012" w:type="pct"/>
            <w:tcBorders>
              <w:top w:val="single" w:sz="8" w:space="0" w:color="000000"/>
              <w:left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Dublin</w:t>
            </w:r>
          </w:p>
        </w:tc>
        <w:tc>
          <w:tcPr>
            <w:tcW w:w="360"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1159</w:t>
            </w:r>
          </w:p>
        </w:tc>
        <w:tc>
          <w:tcPr>
            <w:tcW w:w="420"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24.5</w:t>
            </w:r>
          </w:p>
        </w:tc>
        <w:tc>
          <w:tcPr>
            <w:tcW w:w="355"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490</w:t>
            </w:r>
          </w:p>
        </w:tc>
        <w:tc>
          <w:tcPr>
            <w:tcW w:w="419"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22.2</w:t>
            </w:r>
          </w:p>
        </w:tc>
        <w:tc>
          <w:tcPr>
            <w:tcW w:w="35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669</w:t>
            </w:r>
          </w:p>
        </w:tc>
        <w:tc>
          <w:tcPr>
            <w:tcW w:w="420"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26.6</w:t>
            </w:r>
          </w:p>
        </w:tc>
        <w:tc>
          <w:tcPr>
            <w:tcW w:w="730" w:type="pct"/>
            <w:vMerge w:val="restar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12.163 (p&lt;0.001)</w:t>
            </w:r>
          </w:p>
        </w:tc>
      </w:tr>
      <w:tr w:rsidR="003B0DEE" w:rsidRPr="000806DA" w:rsidTr="000D5D90">
        <w:trPr>
          <w:trHeight w:val="20"/>
        </w:trPr>
        <w:tc>
          <w:tcPr>
            <w:tcW w:w="929" w:type="pct"/>
            <w:vMerge/>
            <w:tcBorders>
              <w:top w:val="single" w:sz="8" w:space="0" w:color="000000"/>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012" w:type="pct"/>
            <w:tcBorders>
              <w:bottom w:val="single" w:sz="8" w:space="0" w:color="000000"/>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Outside Dublin</w:t>
            </w:r>
          </w:p>
        </w:tc>
        <w:tc>
          <w:tcPr>
            <w:tcW w:w="360"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3563</w:t>
            </w:r>
          </w:p>
        </w:tc>
        <w:tc>
          <w:tcPr>
            <w:tcW w:w="420"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75.5</w:t>
            </w:r>
          </w:p>
        </w:tc>
        <w:tc>
          <w:tcPr>
            <w:tcW w:w="355"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1716</w:t>
            </w:r>
          </w:p>
        </w:tc>
        <w:tc>
          <w:tcPr>
            <w:tcW w:w="419"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77.8</w:t>
            </w:r>
          </w:p>
        </w:tc>
        <w:tc>
          <w:tcPr>
            <w:tcW w:w="35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1847</w:t>
            </w:r>
          </w:p>
        </w:tc>
        <w:tc>
          <w:tcPr>
            <w:tcW w:w="420"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73.4</w:t>
            </w:r>
          </w:p>
        </w:tc>
        <w:tc>
          <w:tcPr>
            <w:tcW w:w="730" w:type="pct"/>
            <w:vMerge/>
            <w:tcBorders>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929" w:type="pct"/>
            <w:tcBorders>
              <w:top w:val="single" w:sz="8" w:space="0" w:color="000000"/>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Total</w:t>
            </w:r>
          </w:p>
        </w:tc>
        <w:tc>
          <w:tcPr>
            <w:tcW w:w="1012" w:type="pct"/>
            <w:tcBorders>
              <w:top w:val="single" w:sz="8" w:space="0" w:color="000000"/>
              <w:left w:val="nil"/>
              <w:bottom w:val="single" w:sz="8" w:space="0" w:color="000000"/>
              <w:right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p>
        </w:tc>
        <w:tc>
          <w:tcPr>
            <w:tcW w:w="360"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4722</w:t>
            </w:r>
          </w:p>
        </w:tc>
        <w:tc>
          <w:tcPr>
            <w:tcW w:w="420"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100.0</w:t>
            </w:r>
          </w:p>
        </w:tc>
        <w:tc>
          <w:tcPr>
            <w:tcW w:w="355"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2206</w:t>
            </w:r>
          </w:p>
        </w:tc>
        <w:tc>
          <w:tcPr>
            <w:tcW w:w="419"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46.7</w:t>
            </w:r>
          </w:p>
        </w:tc>
        <w:tc>
          <w:tcPr>
            <w:tcW w:w="355"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2516</w:t>
            </w:r>
          </w:p>
        </w:tc>
        <w:tc>
          <w:tcPr>
            <w:tcW w:w="420"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53.3</w:t>
            </w:r>
          </w:p>
        </w:tc>
        <w:tc>
          <w:tcPr>
            <w:tcW w:w="730"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bl>
    <w:p w:rsidR="003B0DEE" w:rsidRDefault="003B0DEE" w:rsidP="000D5D90">
      <w:pPr>
        <w:pStyle w:val="Caption"/>
        <w:keepNext/>
        <w:spacing w:line="240" w:lineRule="auto"/>
      </w:pPr>
      <w:bookmarkStart w:id="170" w:name="_Toc2458907"/>
    </w:p>
    <w:p w:rsidR="003B0DEE" w:rsidRDefault="003B0DEE">
      <w:pPr>
        <w:spacing w:line="240" w:lineRule="auto"/>
        <w:jc w:val="left"/>
        <w:rPr>
          <w:rFonts w:ascii="Arial" w:hAnsi="Arial"/>
          <w:b/>
          <w:bCs/>
          <w:sz w:val="20"/>
          <w:szCs w:val="18"/>
        </w:rPr>
      </w:pPr>
      <w:r>
        <w:br w:type="page"/>
      </w:r>
    </w:p>
    <w:p w:rsidR="003B0DEE" w:rsidRPr="00526B14" w:rsidRDefault="003B0DEE" w:rsidP="000D5D90">
      <w:pPr>
        <w:pStyle w:val="Caption"/>
        <w:keepNext/>
        <w:spacing w:line="240" w:lineRule="auto"/>
        <w:rPr>
          <w:rFonts w:cs="Arial"/>
          <w:b w:val="0"/>
        </w:rPr>
      </w:pPr>
      <w:bookmarkStart w:id="171" w:name="_Toc5976193"/>
      <w:bookmarkStart w:id="172" w:name="_Toc7018750"/>
      <w:bookmarkStart w:id="173" w:name="_Toc15332018"/>
      <w:r>
        <w:lastRenderedPageBreak/>
        <w:t>Table A4</w:t>
      </w:r>
      <w:r>
        <w:noBreakHyphen/>
      </w:r>
      <w:r>
        <w:fldChar w:fldCharType="begin"/>
      </w:r>
      <w:r>
        <w:instrText xml:space="preserve"> SEQ Table \* ARABIC \s 1 </w:instrText>
      </w:r>
      <w:r>
        <w:fldChar w:fldCharType="separate"/>
      </w:r>
      <w:proofErr w:type="gramStart"/>
      <w:r>
        <w:rPr>
          <w:noProof/>
        </w:rPr>
        <w:t>2</w:t>
      </w:r>
      <w:r>
        <w:rPr>
          <w:noProof/>
        </w:rPr>
        <w:fldChar w:fldCharType="end"/>
      </w:r>
      <w:r>
        <w:t xml:space="preserve">  </w:t>
      </w:r>
      <w:r w:rsidRPr="00526B14">
        <w:t>Survival analysis</w:t>
      </w:r>
      <w:proofErr w:type="gramEnd"/>
      <w:r w:rsidRPr="00526B14">
        <w:t xml:space="preserve"> (all modalities):</w:t>
      </w:r>
      <w:r w:rsidRPr="00526B14">
        <w:rPr>
          <w:b w:val="0"/>
        </w:rPr>
        <w:t xml:space="preserve"> Frequencies, percentages completing or </w:t>
      </w:r>
      <w:r>
        <w:rPr>
          <w:b w:val="0"/>
        </w:rPr>
        <w:t>dropping out</w:t>
      </w:r>
      <w:r w:rsidRPr="00526B14">
        <w:rPr>
          <w:b w:val="0"/>
        </w:rPr>
        <w:t xml:space="preserve"> of treatment, and chi-squared test results for opioid-using behaviours used in the survival analysis</w:t>
      </w:r>
      <w:bookmarkEnd w:id="170"/>
      <w:bookmarkEnd w:id="171"/>
      <w:bookmarkEnd w:id="172"/>
      <w:bookmarkEnd w:id="173"/>
    </w:p>
    <w:tbl>
      <w:tblPr>
        <w:tblW w:w="5131" w:type="pct"/>
        <w:tblBorders>
          <w:top w:val="single" w:sz="8" w:space="0" w:color="000000"/>
          <w:bottom w:val="single" w:sz="8" w:space="0" w:color="000000"/>
        </w:tblBorders>
        <w:shd w:val="clear" w:color="auto" w:fill="FFFFFF"/>
        <w:tblLook w:val="04A0" w:firstRow="1" w:lastRow="0" w:firstColumn="1" w:lastColumn="0" w:noHBand="0" w:noVBand="1"/>
      </w:tblPr>
      <w:tblGrid>
        <w:gridCol w:w="1595"/>
        <w:gridCol w:w="1842"/>
        <w:gridCol w:w="841"/>
        <w:gridCol w:w="695"/>
        <w:gridCol w:w="639"/>
        <w:gridCol w:w="695"/>
        <w:gridCol w:w="639"/>
        <w:gridCol w:w="697"/>
        <w:gridCol w:w="1596"/>
      </w:tblGrid>
      <w:tr w:rsidR="003B0DEE" w:rsidRPr="000806DA" w:rsidTr="000D5D90">
        <w:trPr>
          <w:trHeight w:val="20"/>
        </w:trPr>
        <w:tc>
          <w:tcPr>
            <w:tcW w:w="863"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rPr>
                <w:rFonts w:ascii="Arial" w:hAnsi="Arial" w:cs="Arial"/>
                <w:b/>
                <w:bCs/>
                <w:color w:val="000000"/>
                <w:sz w:val="19"/>
                <w:szCs w:val="19"/>
                <w:lang w:eastAsia="en-US"/>
              </w:rPr>
            </w:pPr>
            <w:r w:rsidRPr="000806DA">
              <w:rPr>
                <w:rFonts w:ascii="Arial" w:hAnsi="Arial" w:cs="Arial"/>
                <w:b/>
                <w:bCs/>
                <w:sz w:val="19"/>
                <w:szCs w:val="19"/>
                <w:lang w:eastAsia="en-US"/>
              </w:rPr>
              <w:t>Characteristic</w:t>
            </w:r>
          </w:p>
        </w:tc>
        <w:tc>
          <w:tcPr>
            <w:tcW w:w="997"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rPr>
                <w:rFonts w:ascii="Arial" w:hAnsi="Arial" w:cs="Arial"/>
                <w:b/>
                <w:bCs/>
                <w:color w:val="000000"/>
                <w:sz w:val="19"/>
                <w:szCs w:val="19"/>
                <w:lang w:eastAsia="en-US"/>
              </w:rPr>
            </w:pPr>
            <w:r w:rsidRPr="000806DA">
              <w:rPr>
                <w:rFonts w:ascii="Arial" w:hAnsi="Arial" w:cs="Arial"/>
                <w:b/>
                <w:bCs/>
                <w:sz w:val="19"/>
                <w:szCs w:val="19"/>
                <w:lang w:eastAsia="en-US"/>
              </w:rPr>
              <w:t>Values</w:t>
            </w:r>
          </w:p>
        </w:tc>
        <w:tc>
          <w:tcPr>
            <w:tcW w:w="831"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Survival Sample</w:t>
            </w:r>
          </w:p>
        </w:tc>
        <w:tc>
          <w:tcPr>
            <w:tcW w:w="722"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Censored</w:t>
            </w:r>
          </w:p>
        </w:tc>
        <w:tc>
          <w:tcPr>
            <w:tcW w:w="723"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Treatment dropout</w:t>
            </w:r>
          </w:p>
        </w:tc>
        <w:tc>
          <w:tcPr>
            <w:tcW w:w="864"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Test of significance</w:t>
            </w:r>
          </w:p>
        </w:tc>
      </w:tr>
      <w:tr w:rsidR="003B0DEE" w:rsidRPr="000806DA" w:rsidTr="000D5D90">
        <w:trPr>
          <w:trHeight w:val="20"/>
        </w:trPr>
        <w:tc>
          <w:tcPr>
            <w:tcW w:w="863" w:type="pct"/>
            <w:tcBorders>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bottom w:val="single" w:sz="8" w:space="0" w:color="000000"/>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p>
        </w:tc>
        <w:tc>
          <w:tcPr>
            <w:tcW w:w="2276" w:type="pct"/>
            <w:gridSpan w:val="6"/>
            <w:tcBorders>
              <w:top w:val="single" w:sz="8" w:space="0" w:color="000000"/>
              <w:left w:val="nil"/>
              <w:right w:val="nil"/>
            </w:tcBorders>
            <w:shd w:val="clear" w:color="auto" w:fill="FFFFFF"/>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b/>
                <w:color w:val="000000"/>
                <w:sz w:val="19"/>
                <w:szCs w:val="19"/>
                <w:lang w:eastAsia="en-US"/>
              </w:rPr>
              <w:t>Age (years)</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F / U (p</w:t>
            </w:r>
            <w:r>
              <w:rPr>
                <w:rFonts w:ascii="Arial" w:hAnsi="Arial" w:cs="Arial"/>
                <w:b/>
                <w:color w:val="000000"/>
                <w:sz w:val="19"/>
                <w:szCs w:val="19"/>
                <w:lang w:eastAsia="en-US"/>
              </w:rPr>
              <w:t>)</w:t>
            </w:r>
          </w:p>
        </w:tc>
      </w:tr>
      <w:tr w:rsidR="003B0DEE" w:rsidRPr="000806DA" w:rsidTr="000D5D90">
        <w:trPr>
          <w:trHeight w:val="20"/>
        </w:trPr>
        <w:tc>
          <w:tcPr>
            <w:tcW w:w="863"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Age first used any drug</w:t>
            </w:r>
          </w:p>
        </w:tc>
        <w:tc>
          <w:tcPr>
            <w:tcW w:w="997" w:type="pct"/>
            <w:tcBorders>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Median years (5th-95th percentiles)</w:t>
            </w:r>
          </w:p>
        </w:tc>
        <w:tc>
          <w:tcPr>
            <w:tcW w:w="831"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 (11-30)</w:t>
            </w:r>
          </w:p>
        </w:tc>
        <w:tc>
          <w:tcPr>
            <w:tcW w:w="722"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 (11-30)</w:t>
            </w:r>
          </w:p>
        </w:tc>
        <w:tc>
          <w:tcPr>
            <w:tcW w:w="723"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 (11-30)</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Age first used opioids</w:t>
            </w:r>
          </w:p>
        </w:tc>
        <w:tc>
          <w:tcPr>
            <w:tcW w:w="997" w:type="pct"/>
            <w:tcBorders>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Median years (5th-95th percentiles)</w:t>
            </w:r>
          </w:p>
        </w:tc>
        <w:tc>
          <w:tcPr>
            <w:tcW w:w="831"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 (14-37)</w:t>
            </w:r>
          </w:p>
        </w:tc>
        <w:tc>
          <w:tcPr>
            <w:tcW w:w="722"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 (14-37)</w:t>
            </w:r>
          </w:p>
        </w:tc>
        <w:tc>
          <w:tcPr>
            <w:tcW w:w="723"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 (14-36)</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tcBorders>
              <w:left w:val="nil"/>
              <w:bottom w:val="single" w:sz="8" w:space="0" w:color="000000"/>
              <w:right w:val="nil"/>
            </w:tcBorders>
            <w:shd w:val="clear" w:color="auto" w:fill="FFFFFF"/>
            <w:vAlign w:val="bottom"/>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Time lag between first use of opioids and seeking treatment</w:t>
            </w:r>
          </w:p>
        </w:tc>
        <w:tc>
          <w:tcPr>
            <w:tcW w:w="997" w:type="pct"/>
            <w:tcBorders>
              <w:left w:val="nil"/>
              <w:bottom w:val="single" w:sz="8" w:space="0" w:color="000000"/>
              <w:right w:val="nil"/>
            </w:tcBorders>
            <w:shd w:val="clear" w:color="auto" w:fill="F2F2F2"/>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Median years (5th-95th percentiles)</w:t>
            </w:r>
          </w:p>
        </w:tc>
        <w:tc>
          <w:tcPr>
            <w:tcW w:w="831"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 (1-21)</w:t>
            </w:r>
          </w:p>
        </w:tc>
        <w:tc>
          <w:tcPr>
            <w:tcW w:w="722" w:type="pct"/>
            <w:gridSpan w:val="2"/>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 (1-21)</w:t>
            </w:r>
          </w:p>
        </w:tc>
        <w:tc>
          <w:tcPr>
            <w:tcW w:w="723" w:type="pct"/>
            <w:gridSpan w:val="2"/>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 (1-20)</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tcBorders>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bottom w:val="single" w:sz="8" w:space="0" w:color="000000"/>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p>
        </w:tc>
        <w:tc>
          <w:tcPr>
            <w:tcW w:w="455"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6"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6"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6"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6"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77"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r w:rsidRPr="000806DA">
              <w:rPr>
                <w:rFonts w:ascii="Arial" w:hAnsi="Arial" w:cs="Arial"/>
                <w:b/>
                <w:bCs/>
                <w:color w:val="000000"/>
                <w:sz w:val="19"/>
                <w:szCs w:val="19"/>
                <w:lang w:eastAsia="en-US"/>
              </w:rPr>
              <w:t>Pearson chi-squared</w:t>
            </w:r>
          </w:p>
        </w:tc>
      </w:tr>
      <w:tr w:rsidR="003B0DEE" w:rsidRPr="000806DA" w:rsidTr="000D5D90">
        <w:trPr>
          <w:trHeight w:val="20"/>
        </w:trPr>
        <w:tc>
          <w:tcPr>
            <w:tcW w:w="863"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rPr>
                <w:rFonts w:ascii="Arial" w:hAnsi="Arial" w:cs="Arial"/>
                <w:b/>
                <w:bCs/>
                <w:sz w:val="19"/>
                <w:szCs w:val="19"/>
                <w:lang w:eastAsia="en-US"/>
              </w:rPr>
            </w:pPr>
            <w:r w:rsidRPr="000806DA">
              <w:rPr>
                <w:rFonts w:ascii="Arial" w:hAnsi="Arial" w:cs="Arial"/>
                <w:b/>
                <w:bCs/>
                <w:sz w:val="19"/>
                <w:szCs w:val="19"/>
                <w:lang w:eastAsia="en-US"/>
              </w:rPr>
              <w:t xml:space="preserve">Main type of problem </w:t>
            </w:r>
            <w:r>
              <w:rPr>
                <w:rFonts w:ascii="Arial" w:hAnsi="Arial" w:cs="Arial"/>
                <w:b/>
                <w:bCs/>
                <w:sz w:val="19"/>
                <w:szCs w:val="19"/>
                <w:lang w:eastAsia="en-US"/>
              </w:rPr>
              <w:t>opioid</w:t>
            </w:r>
          </w:p>
        </w:tc>
        <w:tc>
          <w:tcPr>
            <w:tcW w:w="997" w:type="pct"/>
            <w:tcBorders>
              <w:top w:val="single" w:sz="8" w:space="0" w:color="000000"/>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Heroin</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4097</w:t>
            </w:r>
          </w:p>
        </w:tc>
        <w:tc>
          <w:tcPr>
            <w:tcW w:w="37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86.8</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1919</w:t>
            </w:r>
          </w:p>
        </w:tc>
        <w:tc>
          <w:tcPr>
            <w:tcW w:w="37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87.0</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2178</w:t>
            </w:r>
          </w:p>
        </w:tc>
        <w:tc>
          <w:tcPr>
            <w:tcW w:w="377"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86.6</w:t>
            </w:r>
          </w:p>
        </w:tc>
        <w:tc>
          <w:tcPr>
            <w:tcW w:w="864"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sz w:val="19"/>
                <w:szCs w:val="19"/>
                <w:lang w:eastAsia="en-US"/>
              </w:rPr>
            </w:pPr>
          </w:p>
        </w:tc>
        <w:tc>
          <w:tcPr>
            <w:tcW w:w="997" w:type="pct"/>
            <w:tcBorders>
              <w:top w:val="nil"/>
              <w:left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 xml:space="preserve">Other </w:t>
            </w:r>
            <w:r>
              <w:rPr>
                <w:rFonts w:ascii="Arial" w:hAnsi="Arial" w:cs="Arial"/>
                <w:sz w:val="19"/>
                <w:szCs w:val="19"/>
                <w:lang w:eastAsia="en-US"/>
              </w:rPr>
              <w:t>opioid</w:t>
            </w:r>
            <w:r w:rsidRPr="000806DA">
              <w:rPr>
                <w:rFonts w:ascii="Arial" w:hAnsi="Arial" w:cs="Arial"/>
                <w:sz w:val="19"/>
                <w:szCs w:val="19"/>
                <w:lang w:eastAsia="en-US"/>
              </w:rPr>
              <w:t>s</w:t>
            </w:r>
          </w:p>
        </w:tc>
        <w:tc>
          <w:tcPr>
            <w:tcW w:w="45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625</w:t>
            </w:r>
          </w:p>
        </w:tc>
        <w:tc>
          <w:tcPr>
            <w:tcW w:w="376"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13.2</w:t>
            </w:r>
          </w:p>
        </w:tc>
        <w:tc>
          <w:tcPr>
            <w:tcW w:w="346"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287</w:t>
            </w:r>
          </w:p>
        </w:tc>
        <w:tc>
          <w:tcPr>
            <w:tcW w:w="376"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13.0</w:t>
            </w:r>
          </w:p>
        </w:tc>
        <w:tc>
          <w:tcPr>
            <w:tcW w:w="346"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338</w:t>
            </w:r>
          </w:p>
        </w:tc>
        <w:tc>
          <w:tcPr>
            <w:tcW w:w="377"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13.4</w:t>
            </w:r>
          </w:p>
        </w:tc>
        <w:tc>
          <w:tcPr>
            <w:tcW w:w="864" w:type="pct"/>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3"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rPr>
                <w:rFonts w:ascii="Arial" w:hAnsi="Arial" w:cs="Arial"/>
                <w:b/>
                <w:bCs/>
                <w:sz w:val="19"/>
                <w:szCs w:val="19"/>
                <w:lang w:eastAsia="en-US"/>
              </w:rPr>
            </w:pPr>
            <w:r w:rsidRPr="000806DA">
              <w:rPr>
                <w:rFonts w:ascii="Arial" w:hAnsi="Arial" w:cs="Arial"/>
                <w:b/>
                <w:bCs/>
                <w:sz w:val="19"/>
                <w:szCs w:val="19"/>
                <w:lang w:eastAsia="en-US"/>
              </w:rPr>
              <w:t xml:space="preserve">Route of opioid administration </w:t>
            </w:r>
          </w:p>
        </w:tc>
        <w:tc>
          <w:tcPr>
            <w:tcW w:w="997" w:type="pct"/>
            <w:tcBorders>
              <w:top w:val="single" w:sz="8" w:space="0" w:color="000000"/>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Inject</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1315</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27.8</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640</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29.0</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675</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26.8</w:t>
            </w:r>
          </w:p>
        </w:tc>
        <w:tc>
          <w:tcPr>
            <w:tcW w:w="864"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NS</w:t>
            </w:r>
          </w:p>
        </w:tc>
      </w:tr>
      <w:tr w:rsidR="003B0DEE" w:rsidRPr="000806DA" w:rsidTr="000D5D90">
        <w:trPr>
          <w:trHeight w:val="20"/>
        </w:trPr>
        <w:tc>
          <w:tcPr>
            <w:tcW w:w="863"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Smoke</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2684</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56.8</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1231</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55.8</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1453</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57.8</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tcBorders>
              <w:top w:val="nil"/>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Eat or drink</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609</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12.9</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275</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12.5</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334</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13.3</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bottom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Other</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0.1</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0.0</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0.1</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tcBorders>
              <w:top w:val="nil"/>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bottom w:val="single" w:sz="8" w:space="0" w:color="000000"/>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sz w:val="19"/>
                <w:szCs w:val="19"/>
                <w:lang w:eastAsia="en-US"/>
              </w:rPr>
              <w:t>Not recorded</w:t>
            </w:r>
          </w:p>
        </w:tc>
        <w:tc>
          <w:tcPr>
            <w:tcW w:w="45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w:t>
            </w:r>
          </w:p>
        </w:tc>
        <w:tc>
          <w:tcPr>
            <w:tcW w:w="37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0.1</w:t>
            </w: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w:t>
            </w:r>
          </w:p>
        </w:tc>
        <w:tc>
          <w:tcPr>
            <w:tcW w:w="37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0.1</w:t>
            </w: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w:t>
            </w: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0.0</w:t>
            </w:r>
          </w:p>
        </w:tc>
        <w:tc>
          <w:tcPr>
            <w:tcW w:w="864"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val="restart"/>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Frequency of opioid use in month prior to treatment</w:t>
            </w:r>
          </w:p>
        </w:tc>
        <w:tc>
          <w:tcPr>
            <w:tcW w:w="997" w:type="pct"/>
            <w:tcBorders>
              <w:top w:val="single" w:sz="8" w:space="0" w:color="000000"/>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No use in the past month</w:t>
            </w:r>
          </w:p>
        </w:tc>
        <w:tc>
          <w:tcPr>
            <w:tcW w:w="45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1095</w:t>
            </w:r>
          </w:p>
        </w:tc>
        <w:tc>
          <w:tcPr>
            <w:tcW w:w="376"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23.2</w:t>
            </w:r>
          </w:p>
        </w:tc>
        <w:tc>
          <w:tcPr>
            <w:tcW w:w="346"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540</w:t>
            </w:r>
          </w:p>
        </w:tc>
        <w:tc>
          <w:tcPr>
            <w:tcW w:w="376"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24.5</w:t>
            </w:r>
          </w:p>
        </w:tc>
        <w:tc>
          <w:tcPr>
            <w:tcW w:w="346"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555</w:t>
            </w:r>
          </w:p>
        </w:tc>
        <w:tc>
          <w:tcPr>
            <w:tcW w:w="377"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22.1</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sz w:val="19"/>
                <w:szCs w:val="19"/>
                <w:lang w:eastAsia="en-US"/>
              </w:rPr>
              <w:t>13.839 (p&lt;0.001)</w:t>
            </w:r>
          </w:p>
        </w:tc>
      </w:tr>
      <w:tr w:rsidR="003B0DEE" w:rsidRPr="000806DA" w:rsidTr="000D5D90">
        <w:trPr>
          <w:trHeight w:val="68"/>
        </w:trPr>
        <w:tc>
          <w:tcPr>
            <w:tcW w:w="863"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Once a week or less</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242</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5.1</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99</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4.5</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143</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2-6 days per week</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675</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14.3</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292</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13.2</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383</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15.2</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sz w:val="19"/>
                <w:szCs w:val="19"/>
                <w:lang w:eastAsia="en-US"/>
              </w:rPr>
              <w:t>Daily</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2432</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51.5</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1128</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51.1</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1304</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51.8</w:t>
            </w:r>
          </w:p>
        </w:tc>
        <w:tc>
          <w:tcPr>
            <w:tcW w:w="864" w:type="pct"/>
            <w:tcBorders>
              <w:top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sz w:val="19"/>
                <w:szCs w:val="19"/>
                <w:lang w:eastAsia="en-US"/>
              </w:rPr>
              <w:t>Unknown</w:t>
            </w:r>
          </w:p>
        </w:tc>
        <w:tc>
          <w:tcPr>
            <w:tcW w:w="4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278</w:t>
            </w:r>
          </w:p>
        </w:tc>
        <w:tc>
          <w:tcPr>
            <w:tcW w:w="37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5.9</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147</w:t>
            </w:r>
          </w:p>
        </w:tc>
        <w:tc>
          <w:tcPr>
            <w:tcW w:w="37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6.7</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131</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5.2</w:t>
            </w:r>
          </w:p>
        </w:tc>
        <w:tc>
          <w:tcPr>
            <w:tcW w:w="864"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sz w:val="19"/>
                <w:szCs w:val="19"/>
                <w:lang w:eastAsia="en-US"/>
              </w:rPr>
            </w:pPr>
          </w:p>
        </w:tc>
      </w:tr>
      <w:tr w:rsidR="003B0DEE" w:rsidRPr="000806DA" w:rsidTr="000D5D90">
        <w:trPr>
          <w:trHeight w:val="20"/>
        </w:trPr>
        <w:tc>
          <w:tcPr>
            <w:tcW w:w="863" w:type="pct"/>
            <w:vMerge w:val="restart"/>
            <w:tcBorders>
              <w:top w:val="single" w:sz="8" w:space="0" w:color="000000"/>
              <w:bottom w:val="single" w:sz="8" w:space="0" w:color="000000"/>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Polysubstance use</w:t>
            </w:r>
          </w:p>
        </w:tc>
        <w:tc>
          <w:tcPr>
            <w:tcW w:w="997"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2787</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59.0</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1297</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58.8</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1490</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59.2</w:t>
            </w:r>
          </w:p>
        </w:tc>
        <w:tc>
          <w:tcPr>
            <w:tcW w:w="864"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4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1935</w:t>
            </w:r>
          </w:p>
        </w:tc>
        <w:tc>
          <w:tcPr>
            <w:tcW w:w="37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41.0</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909</w:t>
            </w:r>
          </w:p>
        </w:tc>
        <w:tc>
          <w:tcPr>
            <w:tcW w:w="37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41.2</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1026</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40.8</w:t>
            </w:r>
          </w:p>
        </w:tc>
        <w:tc>
          <w:tcPr>
            <w:tcW w:w="864"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sidRPr="000806DA">
              <w:rPr>
                <w:rFonts w:ascii="Arial" w:hAnsi="Arial" w:cs="Arial"/>
                <w:b/>
                <w:bCs/>
                <w:color w:val="000000"/>
                <w:sz w:val="19"/>
                <w:szCs w:val="19"/>
                <w:lang w:eastAsia="en-US"/>
              </w:rPr>
              <w:t xml:space="preserve">Number of problem substances </w:t>
            </w:r>
            <w:r>
              <w:rPr>
                <w:rFonts w:ascii="Arial" w:hAnsi="Arial" w:cs="Arial"/>
                <w:b/>
                <w:bCs/>
                <w:color w:val="000000"/>
                <w:sz w:val="19"/>
                <w:szCs w:val="19"/>
                <w:lang w:eastAsia="en-US"/>
              </w:rPr>
              <w:t>reported</w:t>
            </w:r>
          </w:p>
        </w:tc>
        <w:tc>
          <w:tcPr>
            <w:tcW w:w="997"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One substance</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1935</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41.0</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909</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41.2</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1026</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40.8</w:t>
            </w:r>
          </w:p>
        </w:tc>
        <w:tc>
          <w:tcPr>
            <w:tcW w:w="864"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top w:val="nil"/>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Two substances</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1296</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27.4</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609</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27.6</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687</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27.3</w:t>
            </w:r>
          </w:p>
        </w:tc>
        <w:tc>
          <w:tcPr>
            <w:tcW w:w="864"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tcBorders>
              <w:top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Three substances</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937</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19.8</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427</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19.4</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510</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20.3</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tcBorders>
              <w:top w:val="nil"/>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Four substances</w:t>
            </w:r>
          </w:p>
        </w:tc>
        <w:tc>
          <w:tcPr>
            <w:tcW w:w="4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554</w:t>
            </w:r>
          </w:p>
        </w:tc>
        <w:tc>
          <w:tcPr>
            <w:tcW w:w="37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11.7</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261</w:t>
            </w:r>
          </w:p>
        </w:tc>
        <w:tc>
          <w:tcPr>
            <w:tcW w:w="37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11.8</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293</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11.6</w:t>
            </w:r>
          </w:p>
        </w:tc>
        <w:tc>
          <w:tcPr>
            <w:tcW w:w="864"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val="restart"/>
            <w:tcBorders>
              <w:top w:val="single" w:sz="8" w:space="0" w:color="000000"/>
            </w:tcBorders>
            <w:shd w:val="clear" w:color="auto" w:fill="FFFFFF"/>
          </w:tcPr>
          <w:p w:rsidR="003B0DEE" w:rsidRPr="000806DA" w:rsidRDefault="003B0DEE" w:rsidP="000D5D90">
            <w:pPr>
              <w:spacing w:line="240" w:lineRule="auto"/>
              <w:jc w:val="left"/>
              <w:rPr>
                <w:rFonts w:ascii="Arial" w:hAnsi="Arial" w:cs="Arial"/>
                <w:b/>
                <w:bCs/>
                <w:color w:val="000000"/>
                <w:sz w:val="19"/>
                <w:szCs w:val="19"/>
                <w:lang w:eastAsia="en-US"/>
              </w:rPr>
            </w:pPr>
            <w:r>
              <w:rPr>
                <w:rFonts w:ascii="Arial" w:hAnsi="Arial" w:cs="Arial"/>
                <w:b/>
                <w:bCs/>
                <w:color w:val="000000"/>
                <w:sz w:val="19"/>
                <w:szCs w:val="19"/>
                <w:lang w:eastAsia="en-US"/>
              </w:rPr>
              <w:t>Type of a</w:t>
            </w:r>
            <w:r w:rsidRPr="000806DA">
              <w:rPr>
                <w:rFonts w:ascii="Arial" w:hAnsi="Arial" w:cs="Arial"/>
                <w:b/>
                <w:bCs/>
                <w:color w:val="000000"/>
                <w:sz w:val="19"/>
                <w:szCs w:val="19"/>
                <w:lang w:eastAsia="en-US"/>
              </w:rPr>
              <w:t>dditional problem substances used</w:t>
            </w:r>
          </w:p>
        </w:tc>
        <w:tc>
          <w:tcPr>
            <w:tcW w:w="997" w:type="pct"/>
            <w:tcBorders>
              <w:top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 xml:space="preserve">Alcohol </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722</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15.3</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328</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14.9</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394</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15.7</w:t>
            </w:r>
          </w:p>
        </w:tc>
        <w:tc>
          <w:tcPr>
            <w:tcW w:w="864"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color w:val="000000"/>
                <w:sz w:val="19"/>
                <w:szCs w:val="19"/>
                <w:lang w:eastAsia="en-US"/>
              </w:rPr>
              <w:t>Amphetamines</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71</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42</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29</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 xml:space="preserve">4.480 </w:t>
            </w:r>
            <w:r w:rsidRPr="000806DA">
              <w:rPr>
                <w:rFonts w:ascii="Arial" w:hAnsi="Arial" w:cs="Arial"/>
                <w:sz w:val="19"/>
                <w:szCs w:val="19"/>
                <w:lang w:eastAsia="en-US"/>
              </w:rPr>
              <w:t>(p=0.034)</w:t>
            </w:r>
          </w:p>
        </w:tc>
      </w:tr>
      <w:tr w:rsidR="003B0DEE" w:rsidRPr="000806DA" w:rsidTr="000D5D90">
        <w:trPr>
          <w:trHeight w:val="20"/>
        </w:trPr>
        <w:tc>
          <w:tcPr>
            <w:tcW w:w="863"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Benzodiazepines</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1045</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22.1</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446</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599</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highlight w:val="yellow"/>
                <w:lang w:eastAsia="en-US"/>
              </w:rPr>
            </w:pPr>
            <w:r w:rsidRPr="000806DA">
              <w:rPr>
                <w:rFonts w:ascii="Arial" w:hAnsi="Arial" w:cs="Arial"/>
                <w:color w:val="000000"/>
                <w:sz w:val="19"/>
                <w:szCs w:val="19"/>
                <w:lang w:eastAsia="en-US"/>
              </w:rPr>
              <w:t>23.8</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 xml:space="preserve">8.791 </w:t>
            </w:r>
            <w:r w:rsidRPr="000806DA">
              <w:rPr>
                <w:rFonts w:ascii="Arial" w:hAnsi="Arial" w:cs="Arial"/>
                <w:sz w:val="19"/>
                <w:szCs w:val="19"/>
                <w:lang w:eastAsia="en-US"/>
              </w:rPr>
              <w:t>(p=0.030)</w:t>
            </w:r>
          </w:p>
        </w:tc>
      </w:tr>
      <w:tr w:rsidR="003B0DEE" w:rsidRPr="000806DA" w:rsidTr="000D5D90">
        <w:trPr>
          <w:trHeight w:val="20"/>
        </w:trPr>
        <w:tc>
          <w:tcPr>
            <w:tcW w:w="863"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Cannabis</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1460</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30.9</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687</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31.1</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773</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highlight w:val="yellow"/>
                <w:lang w:eastAsia="en-US"/>
              </w:rPr>
            </w:pPr>
            <w:r w:rsidRPr="000806DA">
              <w:rPr>
                <w:rFonts w:ascii="Arial" w:hAnsi="Arial" w:cs="Arial"/>
                <w:color w:val="000000"/>
                <w:sz w:val="19"/>
                <w:szCs w:val="19"/>
                <w:lang w:eastAsia="en-US"/>
              </w:rPr>
              <w:t>30.7</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Cocaine</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711</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15.1</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357</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354</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14.1</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 xml:space="preserve">4.104 </w:t>
            </w:r>
            <w:r w:rsidRPr="000806DA">
              <w:rPr>
                <w:rFonts w:ascii="Arial" w:hAnsi="Arial" w:cs="Arial"/>
                <w:sz w:val="19"/>
                <w:szCs w:val="19"/>
                <w:lang w:eastAsia="en-US"/>
              </w:rPr>
              <w:t>(p=0.043)</w:t>
            </w:r>
          </w:p>
        </w:tc>
      </w:tr>
      <w:tr w:rsidR="003B0DEE" w:rsidRPr="000806DA" w:rsidTr="000D5D90">
        <w:trPr>
          <w:trHeight w:val="20"/>
        </w:trPr>
        <w:tc>
          <w:tcPr>
            <w:tcW w:w="863"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Ecstasy</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207</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117</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5.3</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90</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3.6</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 xml:space="preserve">8.360 </w:t>
            </w:r>
            <w:r w:rsidRPr="000806DA">
              <w:rPr>
                <w:rFonts w:ascii="Arial" w:hAnsi="Arial" w:cs="Arial"/>
                <w:sz w:val="19"/>
                <w:szCs w:val="19"/>
                <w:lang w:eastAsia="en-US"/>
              </w:rPr>
              <w:t>(p=0.004)</w:t>
            </w:r>
          </w:p>
        </w:tc>
      </w:tr>
      <w:tr w:rsidR="003B0DEE" w:rsidRPr="000806DA" w:rsidTr="000D5D90">
        <w:trPr>
          <w:trHeight w:val="20"/>
        </w:trPr>
        <w:tc>
          <w:tcPr>
            <w:tcW w:w="863"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Pr>
                <w:rFonts w:ascii="Arial" w:hAnsi="Arial" w:cs="Arial"/>
                <w:color w:val="000000"/>
                <w:sz w:val="19"/>
                <w:szCs w:val="19"/>
                <w:lang w:eastAsia="en-US"/>
              </w:rPr>
              <w:t>Opioid</w:t>
            </w:r>
            <w:r w:rsidRPr="000806DA">
              <w:rPr>
                <w:rFonts w:ascii="Arial" w:hAnsi="Arial" w:cs="Arial"/>
                <w:color w:val="000000"/>
                <w:sz w:val="19"/>
                <w:szCs w:val="19"/>
                <w:lang w:eastAsia="en-US"/>
              </w:rPr>
              <w:t>s</w:t>
            </w:r>
            <w:r w:rsidRPr="000806DA">
              <w:rPr>
                <w:rFonts w:ascii="Arial" w:hAnsi="Arial" w:cs="Arial"/>
                <w:color w:val="000000"/>
                <w:sz w:val="19"/>
                <w:szCs w:val="19"/>
                <w:vertAlign w:val="superscript"/>
                <w:lang w:eastAsia="en-US"/>
              </w:rPr>
              <w:t>‡</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336</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7.1</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147</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6.7</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189</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7.5</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Other substances</w:t>
            </w:r>
          </w:p>
        </w:tc>
        <w:tc>
          <w:tcPr>
            <w:tcW w:w="4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206</w:t>
            </w:r>
          </w:p>
        </w:tc>
        <w:tc>
          <w:tcPr>
            <w:tcW w:w="37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85</w:t>
            </w:r>
          </w:p>
        </w:tc>
        <w:tc>
          <w:tcPr>
            <w:tcW w:w="37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121</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4.8</w:t>
            </w:r>
          </w:p>
        </w:tc>
        <w:tc>
          <w:tcPr>
            <w:tcW w:w="864"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106"/>
        </w:trPr>
        <w:tc>
          <w:tcPr>
            <w:tcW w:w="863" w:type="pct"/>
            <w:vMerge w:val="restart"/>
            <w:tcBorders>
              <w:top w:val="single" w:sz="8" w:space="0" w:color="000000"/>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Ever injected</w:t>
            </w:r>
          </w:p>
        </w:tc>
        <w:tc>
          <w:tcPr>
            <w:tcW w:w="997" w:type="pct"/>
            <w:tcBorders>
              <w:top w:val="single" w:sz="8" w:space="0" w:color="000000"/>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2024</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42.9</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980</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44.4</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1044</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41.5</w:t>
            </w:r>
          </w:p>
        </w:tc>
        <w:tc>
          <w:tcPr>
            <w:tcW w:w="864" w:type="pc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top w:val="nil"/>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2512</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53.2</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1143</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51.8</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1369</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54.4</w:t>
            </w:r>
          </w:p>
        </w:tc>
        <w:tc>
          <w:tcPr>
            <w:tcW w:w="864" w:type="pct"/>
            <w:tcBorders>
              <w:top w:val="nil"/>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tcBorders>
              <w:top w:val="nil"/>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Unknown</w:t>
            </w:r>
          </w:p>
        </w:tc>
        <w:tc>
          <w:tcPr>
            <w:tcW w:w="45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186</w:t>
            </w:r>
          </w:p>
        </w:tc>
        <w:tc>
          <w:tcPr>
            <w:tcW w:w="37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w:t>
            </w: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83</w:t>
            </w:r>
          </w:p>
        </w:tc>
        <w:tc>
          <w:tcPr>
            <w:tcW w:w="37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3.8</w:t>
            </w: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103</w:t>
            </w: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4.1</w:t>
            </w:r>
          </w:p>
        </w:tc>
        <w:tc>
          <w:tcPr>
            <w:tcW w:w="864"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val="restart"/>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Currently injecting</w:t>
            </w:r>
            <w:r w:rsidRPr="000806DA">
              <w:rPr>
                <w:rFonts w:ascii="Arial" w:hAnsi="Arial" w:cs="Arial"/>
                <w:b/>
                <w:bCs/>
                <w:color w:val="000000"/>
                <w:sz w:val="19"/>
                <w:szCs w:val="19"/>
                <w:vertAlign w:val="superscript"/>
                <w:lang w:eastAsia="en-US"/>
              </w:rPr>
              <w:t>+</w:t>
            </w:r>
          </w:p>
        </w:tc>
        <w:tc>
          <w:tcPr>
            <w:tcW w:w="997" w:type="pct"/>
            <w:tcBorders>
              <w:top w:val="single" w:sz="8" w:space="0" w:color="000000"/>
              <w:left w:val="nil"/>
              <w:bottom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45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939</w:t>
            </w:r>
          </w:p>
        </w:tc>
        <w:tc>
          <w:tcPr>
            <w:tcW w:w="376"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46.4</w:t>
            </w:r>
          </w:p>
        </w:tc>
        <w:tc>
          <w:tcPr>
            <w:tcW w:w="346"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445</w:t>
            </w:r>
          </w:p>
        </w:tc>
        <w:tc>
          <w:tcPr>
            <w:tcW w:w="376"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45.4</w:t>
            </w:r>
          </w:p>
        </w:tc>
        <w:tc>
          <w:tcPr>
            <w:tcW w:w="346"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494</w:t>
            </w:r>
          </w:p>
        </w:tc>
        <w:tc>
          <w:tcPr>
            <w:tcW w:w="377"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47.3</w:t>
            </w:r>
          </w:p>
        </w:tc>
        <w:tc>
          <w:tcPr>
            <w:tcW w:w="864"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top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bottom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45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1025</w:t>
            </w:r>
          </w:p>
        </w:tc>
        <w:tc>
          <w:tcPr>
            <w:tcW w:w="376"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50.6</w:t>
            </w:r>
          </w:p>
        </w:tc>
        <w:tc>
          <w:tcPr>
            <w:tcW w:w="346"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502</w:t>
            </w:r>
          </w:p>
        </w:tc>
        <w:tc>
          <w:tcPr>
            <w:tcW w:w="376"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51.2</w:t>
            </w:r>
          </w:p>
        </w:tc>
        <w:tc>
          <w:tcPr>
            <w:tcW w:w="346"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523</w:t>
            </w:r>
          </w:p>
        </w:tc>
        <w:tc>
          <w:tcPr>
            <w:tcW w:w="377"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50.1</w:t>
            </w:r>
          </w:p>
        </w:tc>
        <w:tc>
          <w:tcPr>
            <w:tcW w:w="864" w:type="pct"/>
            <w:tcBorders>
              <w:top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Unknown</w:t>
            </w:r>
          </w:p>
        </w:tc>
        <w:tc>
          <w:tcPr>
            <w:tcW w:w="45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60</w:t>
            </w:r>
          </w:p>
        </w:tc>
        <w:tc>
          <w:tcPr>
            <w:tcW w:w="37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3.0</w:t>
            </w:r>
          </w:p>
        </w:tc>
        <w:tc>
          <w:tcPr>
            <w:tcW w:w="34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33</w:t>
            </w:r>
          </w:p>
        </w:tc>
        <w:tc>
          <w:tcPr>
            <w:tcW w:w="376"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3.4</w:t>
            </w:r>
          </w:p>
        </w:tc>
        <w:tc>
          <w:tcPr>
            <w:tcW w:w="346"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27</w:t>
            </w:r>
          </w:p>
        </w:tc>
        <w:tc>
          <w:tcPr>
            <w:tcW w:w="377"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w:t>
            </w:r>
          </w:p>
        </w:tc>
        <w:tc>
          <w:tcPr>
            <w:tcW w:w="864"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val="restart"/>
            <w:tcBorders>
              <w:top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Ever shared injecting equipment</w:t>
            </w:r>
            <w:r w:rsidRPr="000806DA">
              <w:rPr>
                <w:rFonts w:ascii="Arial" w:hAnsi="Arial" w:cs="Arial"/>
                <w:b/>
                <w:bCs/>
                <w:color w:val="000000"/>
                <w:sz w:val="19"/>
                <w:szCs w:val="19"/>
                <w:vertAlign w:val="superscript"/>
                <w:lang w:eastAsia="en-US"/>
              </w:rPr>
              <w:t>+</w:t>
            </w:r>
          </w:p>
        </w:tc>
        <w:tc>
          <w:tcPr>
            <w:tcW w:w="997" w:type="pct"/>
            <w:tcBorders>
              <w:top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Yes</w:t>
            </w:r>
          </w:p>
        </w:tc>
        <w:tc>
          <w:tcPr>
            <w:tcW w:w="45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834</w:t>
            </w:r>
          </w:p>
        </w:tc>
        <w:tc>
          <w:tcPr>
            <w:tcW w:w="376"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47.4</w:t>
            </w:r>
          </w:p>
        </w:tc>
        <w:tc>
          <w:tcPr>
            <w:tcW w:w="346"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391</w:t>
            </w:r>
          </w:p>
        </w:tc>
        <w:tc>
          <w:tcPr>
            <w:tcW w:w="376"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45.6</w:t>
            </w:r>
          </w:p>
        </w:tc>
        <w:tc>
          <w:tcPr>
            <w:tcW w:w="346"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443</w:t>
            </w:r>
          </w:p>
        </w:tc>
        <w:tc>
          <w:tcPr>
            <w:tcW w:w="377"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49.0</w:t>
            </w:r>
          </w:p>
        </w:tc>
        <w:tc>
          <w:tcPr>
            <w:tcW w:w="864"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3"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left w:val="nil"/>
              <w:right w:val="nil"/>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r w:rsidRPr="000806DA">
              <w:rPr>
                <w:rFonts w:ascii="Arial" w:hAnsi="Arial" w:cs="Arial"/>
                <w:color w:val="000000"/>
                <w:sz w:val="19"/>
                <w:szCs w:val="19"/>
                <w:lang w:eastAsia="en-US"/>
              </w:rPr>
              <w:t>No</w:t>
            </w:r>
          </w:p>
        </w:tc>
        <w:tc>
          <w:tcPr>
            <w:tcW w:w="45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927</w:t>
            </w:r>
          </w:p>
        </w:tc>
        <w:tc>
          <w:tcPr>
            <w:tcW w:w="376"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52.6</w:t>
            </w:r>
          </w:p>
        </w:tc>
        <w:tc>
          <w:tcPr>
            <w:tcW w:w="346"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466</w:t>
            </w:r>
          </w:p>
        </w:tc>
        <w:tc>
          <w:tcPr>
            <w:tcW w:w="376"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54.4</w:t>
            </w:r>
          </w:p>
        </w:tc>
        <w:tc>
          <w:tcPr>
            <w:tcW w:w="346"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461</w:t>
            </w:r>
          </w:p>
        </w:tc>
        <w:tc>
          <w:tcPr>
            <w:tcW w:w="377"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51.0</w:t>
            </w:r>
          </w:p>
        </w:tc>
        <w:tc>
          <w:tcPr>
            <w:tcW w:w="864"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vMerge/>
            <w:tcBorders>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997" w:type="pct"/>
            <w:tcBorders>
              <w:bottom w:val="single" w:sz="8" w:space="0" w:color="000000"/>
            </w:tcBorders>
            <w:shd w:val="clear" w:color="auto" w:fill="F2F2F2"/>
            <w:vAlign w:val="bottom"/>
          </w:tcPr>
          <w:p w:rsidR="003B0DEE" w:rsidRPr="000806DA" w:rsidRDefault="003B0DEE" w:rsidP="000D5D90">
            <w:pPr>
              <w:spacing w:line="240" w:lineRule="auto"/>
              <w:jc w:val="left"/>
              <w:rPr>
                <w:rFonts w:ascii="Arial" w:hAnsi="Arial" w:cs="Arial"/>
                <w:color w:val="000000"/>
                <w:sz w:val="19"/>
                <w:szCs w:val="19"/>
                <w:lang w:eastAsia="en-US"/>
              </w:rPr>
            </w:pPr>
          </w:p>
        </w:tc>
        <w:tc>
          <w:tcPr>
            <w:tcW w:w="45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4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6"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46"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377"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p>
        </w:tc>
        <w:tc>
          <w:tcPr>
            <w:tcW w:w="864" w:type="pct"/>
            <w:tcBorders>
              <w:top w:val="nil"/>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3" w:type="pct"/>
            <w:tcBorders>
              <w:top w:val="single" w:sz="8" w:space="0" w:color="000000"/>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Total</w:t>
            </w:r>
          </w:p>
        </w:tc>
        <w:tc>
          <w:tcPr>
            <w:tcW w:w="997" w:type="pct"/>
            <w:tcBorders>
              <w:top w:val="single" w:sz="8" w:space="0" w:color="000000"/>
              <w:left w:val="nil"/>
              <w:bottom w:val="single" w:sz="8" w:space="0" w:color="000000"/>
              <w:right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p>
        </w:tc>
        <w:tc>
          <w:tcPr>
            <w:tcW w:w="455"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4722</w:t>
            </w:r>
          </w:p>
        </w:tc>
        <w:tc>
          <w:tcPr>
            <w:tcW w:w="376"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100.0</w:t>
            </w:r>
          </w:p>
        </w:tc>
        <w:tc>
          <w:tcPr>
            <w:tcW w:w="346"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2206</w:t>
            </w:r>
          </w:p>
        </w:tc>
        <w:tc>
          <w:tcPr>
            <w:tcW w:w="376" w:type="pct"/>
            <w:tcBorders>
              <w:top w:val="single" w:sz="8" w:space="0" w:color="000000"/>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46.7</w:t>
            </w:r>
          </w:p>
        </w:tc>
        <w:tc>
          <w:tcPr>
            <w:tcW w:w="346"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2516</w:t>
            </w:r>
          </w:p>
        </w:tc>
        <w:tc>
          <w:tcPr>
            <w:tcW w:w="377" w:type="pct"/>
            <w:tcBorders>
              <w:top w:val="single" w:sz="8" w:space="0" w:color="000000"/>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53.3</w:t>
            </w:r>
          </w:p>
        </w:tc>
        <w:tc>
          <w:tcPr>
            <w:tcW w:w="864"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bl>
    <w:p w:rsidR="003B0DEE" w:rsidRPr="000806DA" w:rsidRDefault="003B0DEE" w:rsidP="000D5D90">
      <w:pPr>
        <w:spacing w:line="240" w:lineRule="auto"/>
        <w:rPr>
          <w:rFonts w:ascii="Arial" w:hAnsi="Arial" w:cs="Arial"/>
          <w:color w:val="000000"/>
          <w:sz w:val="20"/>
        </w:rPr>
      </w:pPr>
      <w:r w:rsidRPr="000806DA">
        <w:rPr>
          <w:rFonts w:ascii="Arial" w:hAnsi="Arial" w:cs="Arial"/>
          <w:color w:val="000000"/>
          <w:sz w:val="20"/>
          <w:vertAlign w:val="superscript"/>
        </w:rPr>
        <w:t xml:space="preserve">‡ </w:t>
      </w:r>
      <w:r w:rsidRPr="000806DA">
        <w:rPr>
          <w:rFonts w:ascii="Arial" w:hAnsi="Arial" w:cs="Arial"/>
          <w:color w:val="000000"/>
          <w:sz w:val="20"/>
        </w:rPr>
        <w:t>Other types of opioid drugs used in addition to the main problem</w:t>
      </w:r>
      <w:r w:rsidR="00C75A7D">
        <w:rPr>
          <w:rFonts w:ascii="Arial" w:hAnsi="Arial" w:cs="Arial"/>
          <w:color w:val="000000"/>
          <w:sz w:val="20"/>
        </w:rPr>
        <w:t>.</w:t>
      </w:r>
      <w:r w:rsidRPr="000806DA">
        <w:rPr>
          <w:rFonts w:ascii="Arial" w:hAnsi="Arial" w:cs="Arial"/>
          <w:color w:val="000000"/>
          <w:sz w:val="20"/>
        </w:rPr>
        <w:t xml:space="preserve"> </w:t>
      </w:r>
    </w:p>
    <w:p w:rsidR="003B0DEE" w:rsidRPr="000806DA" w:rsidRDefault="003B0DEE" w:rsidP="000D5D90">
      <w:pPr>
        <w:spacing w:line="240" w:lineRule="auto"/>
        <w:rPr>
          <w:rFonts w:ascii="Arial" w:hAnsi="Arial" w:cs="Arial"/>
          <w:color w:val="000000"/>
          <w:sz w:val="20"/>
        </w:rPr>
      </w:pPr>
      <w:r w:rsidRPr="000806DA">
        <w:rPr>
          <w:rFonts w:ascii="Arial" w:hAnsi="Arial" w:cs="Arial"/>
          <w:color w:val="000000"/>
          <w:sz w:val="20"/>
        </w:rPr>
        <w:t xml:space="preserve">† </w:t>
      </w:r>
      <w:proofErr w:type="gramStart"/>
      <w:r w:rsidRPr="000806DA">
        <w:rPr>
          <w:rFonts w:ascii="Arial" w:hAnsi="Arial" w:cs="Arial"/>
          <w:color w:val="000000"/>
          <w:sz w:val="20"/>
        </w:rPr>
        <w:t>injectors</w:t>
      </w:r>
      <w:proofErr w:type="gramEnd"/>
      <w:r w:rsidRPr="000806DA">
        <w:rPr>
          <w:rFonts w:ascii="Arial" w:hAnsi="Arial" w:cs="Arial"/>
          <w:color w:val="000000"/>
          <w:sz w:val="20"/>
        </w:rPr>
        <w:t xml:space="preserve"> only</w:t>
      </w:r>
      <w:r w:rsidR="00C75A7D">
        <w:rPr>
          <w:rFonts w:ascii="Arial" w:hAnsi="Arial" w:cs="Arial"/>
          <w:color w:val="000000"/>
          <w:sz w:val="20"/>
        </w:rPr>
        <w:t>.</w:t>
      </w:r>
    </w:p>
    <w:p w:rsidR="003B0DEE" w:rsidRDefault="003B0DEE" w:rsidP="000D5D90">
      <w:pPr>
        <w:spacing w:after="200" w:line="240" w:lineRule="auto"/>
      </w:pPr>
      <w:r>
        <w:rPr>
          <w:b/>
        </w:rPr>
        <w:br w:type="page"/>
      </w:r>
    </w:p>
    <w:p w:rsidR="003B0DEE" w:rsidRPr="00526B14" w:rsidRDefault="003B0DEE" w:rsidP="000D5D90">
      <w:pPr>
        <w:pStyle w:val="Caption"/>
        <w:keepNext/>
        <w:spacing w:line="240" w:lineRule="auto"/>
        <w:rPr>
          <w:rFonts w:cs="Arial"/>
          <w:b w:val="0"/>
        </w:rPr>
      </w:pPr>
      <w:bookmarkStart w:id="174" w:name="_Toc2458908"/>
      <w:bookmarkStart w:id="175" w:name="_Toc5976194"/>
      <w:bookmarkStart w:id="176" w:name="_Toc7018751"/>
      <w:bookmarkStart w:id="177" w:name="_Toc15332019"/>
      <w:r>
        <w:lastRenderedPageBreak/>
        <w:t>Table A4</w:t>
      </w:r>
      <w:r>
        <w:noBreakHyphen/>
      </w:r>
      <w:fldSimple w:instr=" SEQ Table \* ARABIC \s 1 ">
        <w:r>
          <w:rPr>
            <w:noProof/>
          </w:rPr>
          <w:t>3</w:t>
        </w:r>
      </w:fldSimple>
      <w:r>
        <w:t xml:space="preserve">  </w:t>
      </w:r>
      <w:r w:rsidRPr="00526B14">
        <w:rPr>
          <w:rFonts w:cs="Arial"/>
        </w:rPr>
        <w:t xml:space="preserve">Survival analysis (all modalities): </w:t>
      </w:r>
      <w:r w:rsidRPr="00526B14">
        <w:rPr>
          <w:rFonts w:cs="Arial"/>
          <w:b w:val="0"/>
        </w:rPr>
        <w:t xml:space="preserve">Frequencies, percentages completing or </w:t>
      </w:r>
      <w:r>
        <w:rPr>
          <w:rFonts w:cs="Arial"/>
          <w:b w:val="0"/>
        </w:rPr>
        <w:t>dropping out</w:t>
      </w:r>
      <w:r w:rsidRPr="00526B14">
        <w:rPr>
          <w:rFonts w:cs="Arial"/>
          <w:b w:val="0"/>
        </w:rPr>
        <w:t xml:space="preserve"> of treatment, and chi-squared test results for treatment service variables and cluster grouping used in the survival analysis</w:t>
      </w:r>
      <w:bookmarkEnd w:id="174"/>
      <w:bookmarkEnd w:id="175"/>
      <w:bookmarkEnd w:id="176"/>
      <w:bookmarkEnd w:id="177"/>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1544"/>
        <w:gridCol w:w="2068"/>
        <w:gridCol w:w="741"/>
        <w:gridCol w:w="721"/>
        <w:gridCol w:w="639"/>
        <w:gridCol w:w="722"/>
        <w:gridCol w:w="639"/>
        <w:gridCol w:w="722"/>
        <w:gridCol w:w="1207"/>
      </w:tblGrid>
      <w:tr w:rsidR="003B0DEE" w:rsidRPr="000806DA" w:rsidTr="000D5D90">
        <w:trPr>
          <w:trHeight w:val="20"/>
        </w:trPr>
        <w:tc>
          <w:tcPr>
            <w:tcW w:w="861"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rPr>
                <w:rFonts w:ascii="Arial" w:hAnsi="Arial" w:cs="Arial"/>
                <w:b/>
                <w:bCs/>
                <w:color w:val="000000"/>
                <w:sz w:val="19"/>
                <w:szCs w:val="19"/>
                <w:lang w:eastAsia="en-US"/>
              </w:rPr>
            </w:pPr>
            <w:r w:rsidRPr="000806DA">
              <w:rPr>
                <w:rFonts w:ascii="Arial" w:hAnsi="Arial" w:cs="Arial"/>
                <w:b/>
                <w:bCs/>
                <w:sz w:val="19"/>
                <w:szCs w:val="19"/>
                <w:lang w:eastAsia="en-US"/>
              </w:rPr>
              <w:t>Characteristic</w:t>
            </w:r>
          </w:p>
        </w:tc>
        <w:tc>
          <w:tcPr>
            <w:tcW w:w="115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rPr>
                <w:rFonts w:ascii="Arial" w:hAnsi="Arial" w:cs="Arial"/>
                <w:b/>
                <w:bCs/>
                <w:color w:val="000000"/>
                <w:sz w:val="19"/>
                <w:szCs w:val="19"/>
                <w:lang w:eastAsia="en-US"/>
              </w:rPr>
            </w:pPr>
            <w:r w:rsidRPr="000806DA">
              <w:rPr>
                <w:rFonts w:ascii="Arial" w:hAnsi="Arial" w:cs="Arial"/>
                <w:b/>
                <w:bCs/>
                <w:sz w:val="19"/>
                <w:szCs w:val="19"/>
                <w:lang w:eastAsia="en-US"/>
              </w:rPr>
              <w:t>Values</w:t>
            </w:r>
          </w:p>
        </w:tc>
        <w:tc>
          <w:tcPr>
            <w:tcW w:w="819"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Survival Sample</w:t>
            </w:r>
          </w:p>
        </w:tc>
        <w:tc>
          <w:tcPr>
            <w:tcW w:w="747" w:type="pct"/>
            <w:gridSpan w:val="2"/>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Censored</w:t>
            </w:r>
          </w:p>
        </w:tc>
        <w:tc>
          <w:tcPr>
            <w:tcW w:w="747"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Treatment dropout</w:t>
            </w:r>
          </w:p>
        </w:tc>
        <w:tc>
          <w:tcPr>
            <w:tcW w:w="673"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sidRPr="000806DA">
              <w:rPr>
                <w:rFonts w:ascii="Arial" w:hAnsi="Arial" w:cs="Arial"/>
                <w:b/>
                <w:bCs/>
                <w:color w:val="000000"/>
                <w:sz w:val="19"/>
                <w:szCs w:val="19"/>
                <w:lang w:eastAsia="en-US"/>
              </w:rPr>
              <w:t>Pearson chi-squared</w:t>
            </w:r>
          </w:p>
        </w:tc>
      </w:tr>
      <w:tr w:rsidR="003B0DEE" w:rsidRPr="000806DA" w:rsidTr="000D5D90">
        <w:trPr>
          <w:trHeight w:val="20"/>
        </w:trPr>
        <w:tc>
          <w:tcPr>
            <w:tcW w:w="861" w:type="pct"/>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left w:val="nil"/>
              <w:bottom w:val="nil"/>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p>
        </w:tc>
        <w:tc>
          <w:tcPr>
            <w:tcW w:w="415"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04"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3"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04"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3"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404"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673" w:type="pct"/>
            <w:tcBorders>
              <w:top w:val="single" w:sz="8" w:space="0" w:color="000000"/>
              <w:left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p>
        </w:tc>
      </w:tr>
      <w:tr w:rsidR="003B0DEE" w:rsidRPr="000806DA" w:rsidTr="000D5D90">
        <w:trPr>
          <w:trHeight w:val="20"/>
        </w:trPr>
        <w:tc>
          <w:tcPr>
            <w:tcW w:w="861" w:type="pct"/>
            <w:vMerge w:val="restart"/>
            <w:tcBorders>
              <w:top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Treatment setting</w:t>
            </w:r>
          </w:p>
        </w:tc>
        <w:tc>
          <w:tcPr>
            <w:tcW w:w="1152" w:type="pct"/>
            <w:tcBorders>
              <w:top w:val="nil"/>
              <w:bottom w:val="nil"/>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Outpatient</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2629</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55.7</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1065</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48.3</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1564</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62.2</w:t>
            </w:r>
          </w:p>
        </w:tc>
        <w:tc>
          <w:tcPr>
            <w:tcW w:w="673" w:type="pct"/>
            <w:vMerge w:val="restart"/>
            <w:tcBorders>
              <w:top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161.930 (p&lt;0.001)</w:t>
            </w:r>
          </w:p>
        </w:tc>
      </w:tr>
      <w:tr w:rsidR="003B0DEE" w:rsidRPr="000806DA" w:rsidTr="000D5D90">
        <w:trPr>
          <w:trHeight w:val="20"/>
        </w:trPr>
        <w:tc>
          <w:tcPr>
            <w:tcW w:w="861" w:type="pct"/>
            <w:vMerge/>
            <w:tcBorders>
              <w:top w:val="nil"/>
              <w:left w:val="nil"/>
              <w:right w:val="nil"/>
            </w:tcBorders>
            <w:shd w:val="clear" w:color="auto" w:fill="FFFFFF"/>
            <w:vAlign w:val="center"/>
          </w:tcPr>
          <w:p w:rsidR="003B0DEE" w:rsidRPr="000806DA" w:rsidRDefault="003B0DEE" w:rsidP="000D5D90">
            <w:pPr>
              <w:spacing w:line="240" w:lineRule="auto"/>
              <w:rPr>
                <w:rFonts w:ascii="Arial" w:hAnsi="Arial" w:cs="Arial"/>
                <w:b/>
                <w:bCs/>
                <w:sz w:val="19"/>
                <w:szCs w:val="19"/>
                <w:lang w:eastAsia="en-US"/>
              </w:rPr>
            </w:pPr>
          </w:p>
        </w:tc>
        <w:tc>
          <w:tcPr>
            <w:tcW w:w="1152" w:type="pct"/>
            <w:tcBorders>
              <w:top w:val="nil"/>
              <w:left w:val="nil"/>
              <w:bottom w:val="nil"/>
              <w:right w:val="nil"/>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Inpatient</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1133</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24.0</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582</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26.4</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551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21.9</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tcBorders>
              <w:top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Low threshold</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470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10.0</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216</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9.8</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254</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10.1</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tcBorders>
              <w:top w:val="nil"/>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General practitioner</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75</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1.6</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44</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tcBorders>
              <w:top w:val="nil"/>
              <w:bottom w:val="single" w:sz="4" w:space="0" w:color="auto"/>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single" w:sz="4" w:space="0" w:color="auto"/>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Prison</w:t>
            </w:r>
          </w:p>
        </w:tc>
        <w:tc>
          <w:tcPr>
            <w:tcW w:w="415"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415</w:t>
            </w:r>
          </w:p>
        </w:tc>
        <w:tc>
          <w:tcPr>
            <w:tcW w:w="404"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8.8</w:t>
            </w:r>
          </w:p>
        </w:tc>
        <w:tc>
          <w:tcPr>
            <w:tcW w:w="343"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299</w:t>
            </w:r>
          </w:p>
        </w:tc>
        <w:tc>
          <w:tcPr>
            <w:tcW w:w="404" w:type="pct"/>
            <w:tcBorders>
              <w:top w:val="nil"/>
              <w:bottom w:val="single" w:sz="4" w:space="0" w:color="auto"/>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13.6</w:t>
            </w:r>
          </w:p>
        </w:tc>
        <w:tc>
          <w:tcPr>
            <w:tcW w:w="343"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116</w:t>
            </w:r>
          </w:p>
        </w:tc>
        <w:tc>
          <w:tcPr>
            <w:tcW w:w="404" w:type="pct"/>
            <w:tcBorders>
              <w:top w:val="nil"/>
              <w:bottom w:val="single" w:sz="4" w:space="0" w:color="auto"/>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4.6</w:t>
            </w:r>
          </w:p>
        </w:tc>
        <w:tc>
          <w:tcPr>
            <w:tcW w:w="673" w:type="pct"/>
            <w:vMerge/>
            <w:tcBorders>
              <w:bottom w:val="single" w:sz="4" w:space="0" w:color="auto"/>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val="restart"/>
            <w:tcBorders>
              <w:top w:val="single" w:sz="4" w:space="0" w:color="auto"/>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Referral source</w:t>
            </w:r>
          </w:p>
        </w:tc>
        <w:tc>
          <w:tcPr>
            <w:tcW w:w="1152" w:type="pct"/>
            <w:tcBorders>
              <w:top w:val="single" w:sz="4" w:space="0" w:color="auto"/>
              <w:left w:val="nil"/>
              <w:right w:val="nil"/>
            </w:tcBorders>
            <w:shd w:val="clear" w:color="auto" w:fill="F2F2F2"/>
            <w:vAlign w:val="center"/>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Self</w:t>
            </w:r>
          </w:p>
        </w:tc>
        <w:tc>
          <w:tcPr>
            <w:tcW w:w="415"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1949</w:t>
            </w:r>
          </w:p>
        </w:tc>
        <w:tc>
          <w:tcPr>
            <w:tcW w:w="404"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41.3</w:t>
            </w:r>
          </w:p>
        </w:tc>
        <w:tc>
          <w:tcPr>
            <w:tcW w:w="343"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852</w:t>
            </w:r>
          </w:p>
        </w:tc>
        <w:tc>
          <w:tcPr>
            <w:tcW w:w="404" w:type="pct"/>
            <w:tcBorders>
              <w:top w:val="single" w:sz="4" w:space="0" w:color="auto"/>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38.6</w:t>
            </w:r>
          </w:p>
        </w:tc>
        <w:tc>
          <w:tcPr>
            <w:tcW w:w="343"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1097</w:t>
            </w:r>
          </w:p>
        </w:tc>
        <w:tc>
          <w:tcPr>
            <w:tcW w:w="404" w:type="pct"/>
            <w:tcBorders>
              <w:top w:val="single" w:sz="4" w:space="0" w:color="auto"/>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43.6</w:t>
            </w:r>
          </w:p>
        </w:tc>
        <w:tc>
          <w:tcPr>
            <w:tcW w:w="673" w:type="pct"/>
            <w:vMerge w:val="restar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36.852 (p&lt;0.001)</w:t>
            </w:r>
          </w:p>
        </w:tc>
      </w:tr>
      <w:tr w:rsidR="003B0DEE" w:rsidRPr="000806DA" w:rsidTr="000D5D90">
        <w:trPr>
          <w:trHeight w:val="20"/>
        </w:trPr>
        <w:tc>
          <w:tcPr>
            <w:tcW w:w="861" w:type="pct"/>
            <w:vMerge/>
            <w:shd w:val="clear" w:color="auto" w:fill="FFFFFF"/>
            <w:vAlign w:val="center"/>
          </w:tcPr>
          <w:p w:rsidR="003B0DEE" w:rsidRPr="000806DA" w:rsidRDefault="003B0DEE" w:rsidP="000D5D90">
            <w:pPr>
              <w:spacing w:line="240" w:lineRule="auto"/>
              <w:rPr>
                <w:rFonts w:ascii="Arial" w:hAnsi="Arial" w:cs="Arial"/>
                <w:b/>
                <w:bCs/>
                <w:sz w:val="19"/>
                <w:szCs w:val="19"/>
                <w:lang w:eastAsia="en-US"/>
              </w:rPr>
            </w:pPr>
          </w:p>
        </w:tc>
        <w:tc>
          <w:tcPr>
            <w:tcW w:w="1152" w:type="pct"/>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Family/friends</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399</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8.4</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204</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9.2</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195</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7.8</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152" w:type="pct"/>
            <w:tcBorders>
              <w:left w:val="nil"/>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Other drug treatment centre</w:t>
            </w:r>
          </w:p>
        </w:tc>
        <w:tc>
          <w:tcPr>
            <w:tcW w:w="41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430</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9.1</w:t>
            </w:r>
          </w:p>
        </w:tc>
        <w:tc>
          <w:tcPr>
            <w:tcW w:w="343"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217</w:t>
            </w:r>
          </w:p>
        </w:tc>
        <w:tc>
          <w:tcPr>
            <w:tcW w:w="404"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9.8</w:t>
            </w:r>
          </w:p>
        </w:tc>
        <w:tc>
          <w:tcPr>
            <w:tcW w:w="343"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213</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8.5</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152" w:type="pct"/>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General practitioner</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348</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7.4</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169</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7.7</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179</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7.1</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152" w:type="pct"/>
            <w:tcBorders>
              <w:left w:val="nil"/>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Hospital/other medical source</w:t>
            </w:r>
          </w:p>
        </w:tc>
        <w:tc>
          <w:tcPr>
            <w:tcW w:w="415"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294</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6.2</w:t>
            </w:r>
          </w:p>
        </w:tc>
        <w:tc>
          <w:tcPr>
            <w:tcW w:w="343"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139</w:t>
            </w:r>
          </w:p>
        </w:tc>
        <w:tc>
          <w:tcPr>
            <w:tcW w:w="404" w:type="pct"/>
            <w:tcBorders>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6.3</w:t>
            </w:r>
          </w:p>
        </w:tc>
        <w:tc>
          <w:tcPr>
            <w:tcW w:w="343"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155</w:t>
            </w:r>
          </w:p>
        </w:tc>
        <w:tc>
          <w:tcPr>
            <w:tcW w:w="404" w:type="pct"/>
            <w:tcBorders>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6.2</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rPr>
                <w:rFonts w:ascii="Arial" w:hAnsi="Arial" w:cs="Arial"/>
                <w:b/>
                <w:bCs/>
                <w:sz w:val="19"/>
                <w:szCs w:val="19"/>
                <w:lang w:eastAsia="en-US"/>
              </w:rPr>
            </w:pPr>
          </w:p>
        </w:tc>
        <w:tc>
          <w:tcPr>
            <w:tcW w:w="1152" w:type="pct"/>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Social services</w:t>
            </w:r>
          </w:p>
        </w:tc>
        <w:tc>
          <w:tcPr>
            <w:tcW w:w="415"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571</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12.1</w:t>
            </w:r>
          </w:p>
        </w:tc>
        <w:tc>
          <w:tcPr>
            <w:tcW w:w="343" w:type="pct"/>
            <w:shd w:val="clear" w:color="auto" w:fill="F2F2F2"/>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256</w:t>
            </w:r>
          </w:p>
        </w:tc>
        <w:tc>
          <w:tcPr>
            <w:tcW w:w="404" w:type="pct"/>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11.6</w:t>
            </w:r>
          </w:p>
        </w:tc>
        <w:tc>
          <w:tcPr>
            <w:tcW w:w="343" w:type="pct"/>
            <w:shd w:val="clear" w:color="auto" w:fill="FFFFFF"/>
            <w:vAlign w:val="center"/>
          </w:tcPr>
          <w:p w:rsidR="003B0DEE" w:rsidRPr="000806DA" w:rsidRDefault="003B0DEE" w:rsidP="000D5D90">
            <w:pPr>
              <w:spacing w:line="240" w:lineRule="auto"/>
              <w:jc w:val="right"/>
              <w:rPr>
                <w:rFonts w:ascii="Arial" w:hAnsi="Arial" w:cs="Arial"/>
                <w:sz w:val="19"/>
                <w:szCs w:val="19"/>
                <w:lang w:eastAsia="en-US"/>
              </w:rPr>
            </w:pPr>
            <w:r w:rsidRPr="000806DA">
              <w:rPr>
                <w:rFonts w:ascii="Arial" w:hAnsi="Arial" w:cs="Arial"/>
                <w:color w:val="000000"/>
                <w:sz w:val="19"/>
                <w:szCs w:val="19"/>
                <w:lang w:eastAsia="en-US"/>
              </w:rPr>
              <w:t>315</w:t>
            </w:r>
          </w:p>
        </w:tc>
        <w:tc>
          <w:tcPr>
            <w:tcW w:w="404" w:type="pct"/>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12.5</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left w:val="nil"/>
              <w:bottom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Court/probation</w:t>
            </w:r>
            <w:r>
              <w:rPr>
                <w:rFonts w:ascii="Arial" w:hAnsi="Arial" w:cs="Arial"/>
                <w:color w:val="000000"/>
                <w:sz w:val="19"/>
                <w:szCs w:val="19"/>
                <w:lang w:eastAsia="en-US"/>
              </w:rPr>
              <w:t xml:space="preserve"> service</w:t>
            </w:r>
            <w:r w:rsidRPr="000806DA">
              <w:rPr>
                <w:rFonts w:ascii="Arial" w:hAnsi="Arial" w:cs="Arial"/>
                <w:color w:val="000000"/>
                <w:sz w:val="19"/>
                <w:szCs w:val="19"/>
                <w:lang w:eastAsia="en-US"/>
              </w:rPr>
              <w:t>/police</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286</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6.1</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121</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5.5</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165</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6.6</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Other</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382</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8.1</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222</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10.1</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160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6.4</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Pr>
                <w:rFonts w:ascii="Arial" w:hAnsi="Arial" w:cs="Arial"/>
                <w:color w:val="000000"/>
                <w:sz w:val="19"/>
                <w:szCs w:val="19"/>
                <w:lang w:eastAsia="en-US"/>
              </w:rPr>
              <w:t>Unknown</w:t>
            </w:r>
          </w:p>
        </w:tc>
        <w:tc>
          <w:tcPr>
            <w:tcW w:w="41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63</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w:t>
            </w:r>
          </w:p>
        </w:tc>
        <w:tc>
          <w:tcPr>
            <w:tcW w:w="343"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26</w:t>
            </w:r>
          </w:p>
        </w:tc>
        <w:tc>
          <w:tcPr>
            <w:tcW w:w="404"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w:t>
            </w:r>
          </w:p>
        </w:tc>
        <w:tc>
          <w:tcPr>
            <w:tcW w:w="343"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37</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1.5</w:t>
            </w:r>
          </w:p>
        </w:tc>
        <w:tc>
          <w:tcPr>
            <w:tcW w:w="673" w:type="pct"/>
            <w:tcBorders>
              <w:top w:val="nil"/>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val="restart"/>
            <w:tcBorders>
              <w:top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 xml:space="preserve">Year commenced treatment </w:t>
            </w:r>
          </w:p>
        </w:tc>
        <w:tc>
          <w:tcPr>
            <w:tcW w:w="1152" w:type="pct"/>
            <w:tcBorders>
              <w:top w:val="single" w:sz="8" w:space="0" w:color="000000"/>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2009</w:t>
            </w:r>
          </w:p>
        </w:tc>
        <w:tc>
          <w:tcPr>
            <w:tcW w:w="415"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594</w:t>
            </w:r>
          </w:p>
        </w:tc>
        <w:tc>
          <w:tcPr>
            <w:tcW w:w="404"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12.6</w:t>
            </w:r>
          </w:p>
        </w:tc>
        <w:tc>
          <w:tcPr>
            <w:tcW w:w="343" w:type="pct"/>
            <w:tcBorders>
              <w:top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260</w:t>
            </w:r>
          </w:p>
        </w:tc>
        <w:tc>
          <w:tcPr>
            <w:tcW w:w="404" w:type="pct"/>
            <w:tcBorders>
              <w:top w:val="single" w:sz="8" w:space="0" w:color="000000"/>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11.8</w:t>
            </w:r>
          </w:p>
        </w:tc>
        <w:tc>
          <w:tcPr>
            <w:tcW w:w="343" w:type="pct"/>
            <w:tcBorders>
              <w:top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334</w:t>
            </w:r>
          </w:p>
        </w:tc>
        <w:tc>
          <w:tcPr>
            <w:tcW w:w="404" w:type="pct"/>
            <w:tcBorders>
              <w:top w:val="single" w:sz="8" w:space="0" w:color="000000"/>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13.3</w:t>
            </w:r>
          </w:p>
        </w:tc>
        <w:tc>
          <w:tcPr>
            <w:tcW w:w="673" w:type="pct"/>
            <w:vMerge w:val="restart"/>
            <w:tcBorders>
              <w:top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19.654 (p=0.003)</w:t>
            </w: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2010</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918</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19.4</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487</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22.1</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431</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17.1</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2011</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669</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14.2</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305</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13.8</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364</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14.5</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2012</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693</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14.7</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316</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14.3</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377</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15.0</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2013</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648</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13.7</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291</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13.2</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357</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14.2</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2014</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649</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13.7</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289</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13.1</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360</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14.3</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tcBorders>
              <w:bottom w:val="single" w:sz="8" w:space="0" w:color="000000"/>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single" w:sz="8" w:space="0" w:color="000000"/>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2015</w:t>
            </w:r>
          </w:p>
        </w:tc>
        <w:tc>
          <w:tcPr>
            <w:tcW w:w="415"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551</w:t>
            </w:r>
          </w:p>
        </w:tc>
        <w:tc>
          <w:tcPr>
            <w:tcW w:w="40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11.7</w:t>
            </w:r>
          </w:p>
        </w:tc>
        <w:tc>
          <w:tcPr>
            <w:tcW w:w="343"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258</w:t>
            </w:r>
          </w:p>
        </w:tc>
        <w:tc>
          <w:tcPr>
            <w:tcW w:w="404" w:type="pct"/>
            <w:tcBorders>
              <w:top w:val="nil"/>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11.7</w:t>
            </w:r>
          </w:p>
        </w:tc>
        <w:tc>
          <w:tcPr>
            <w:tcW w:w="343"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293</w:t>
            </w:r>
          </w:p>
        </w:tc>
        <w:tc>
          <w:tcPr>
            <w:tcW w:w="404" w:type="pct"/>
            <w:tcBorders>
              <w:top w:val="nil"/>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11.6</w:t>
            </w:r>
          </w:p>
        </w:tc>
        <w:tc>
          <w:tcPr>
            <w:tcW w:w="673" w:type="pct"/>
            <w:vMerge/>
            <w:tcBorders>
              <w:bottom w:val="single" w:sz="8" w:space="0" w:color="000000"/>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val="restart"/>
            <w:tcBorders>
              <w:top w:val="single" w:sz="8" w:space="0" w:color="000000"/>
              <w:left w:val="nil"/>
              <w:bottom w:val="single" w:sz="8" w:space="0" w:color="000000"/>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 xml:space="preserve">Treatment modality </w:t>
            </w:r>
          </w:p>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single" w:sz="8" w:space="0" w:color="000000"/>
              <w:left w:val="nil"/>
              <w:bottom w:val="nil"/>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Opioid substitution</w:t>
            </w:r>
          </w:p>
        </w:tc>
        <w:tc>
          <w:tcPr>
            <w:tcW w:w="41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613</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13.0</w:t>
            </w:r>
          </w:p>
        </w:tc>
        <w:tc>
          <w:tcPr>
            <w:tcW w:w="343"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383</w:t>
            </w:r>
          </w:p>
        </w:tc>
        <w:tc>
          <w:tcPr>
            <w:tcW w:w="404"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17.4</w:t>
            </w:r>
          </w:p>
        </w:tc>
        <w:tc>
          <w:tcPr>
            <w:tcW w:w="343"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230</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9.1</w:t>
            </w:r>
          </w:p>
        </w:tc>
        <w:tc>
          <w:tcPr>
            <w:tcW w:w="673" w:type="pct"/>
            <w:vMerge w:val="restar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89.149 (p&lt;0.001)</w:t>
            </w:r>
          </w:p>
        </w:tc>
      </w:tr>
      <w:tr w:rsidR="003B0DEE" w:rsidRPr="000806DA" w:rsidTr="000D5D90">
        <w:trPr>
          <w:trHeight w:val="20"/>
        </w:trPr>
        <w:tc>
          <w:tcPr>
            <w:tcW w:w="861" w:type="pct"/>
            <w:vMerge/>
            <w:tcBorders>
              <w:top w:val="nil"/>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Structured detoxification</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108</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2.3</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58</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2.6</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2.0</w:t>
            </w:r>
          </w:p>
        </w:tc>
        <w:tc>
          <w:tcPr>
            <w:tcW w:w="673" w:type="pct"/>
            <w:vMerge/>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r w:rsidR="003B0DEE" w:rsidRPr="000806DA" w:rsidTr="000D5D90">
        <w:trPr>
          <w:trHeight w:val="20"/>
        </w:trPr>
        <w:tc>
          <w:tcPr>
            <w:tcW w:w="861" w:type="pct"/>
            <w:vMerge/>
            <w:tcBorders>
              <w:top w:val="nil"/>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Counselling</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2514</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53.2</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1168</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52.9</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1346</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53.5</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top w:val="nil"/>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Other psychosocial interventions</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1487</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31.5</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597</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27.1</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890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35.4</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val="restart"/>
            <w:tcBorders>
              <w:top w:val="single" w:sz="8" w:space="0" w:color="000000"/>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sz w:val="19"/>
                <w:szCs w:val="19"/>
                <w:lang w:eastAsia="en-US"/>
              </w:rPr>
              <w:t>Cluster grouping</w:t>
            </w:r>
          </w:p>
        </w:tc>
        <w:tc>
          <w:tcPr>
            <w:tcW w:w="1152" w:type="pct"/>
            <w:tcBorders>
              <w:top w:val="single" w:sz="8" w:space="0" w:color="000000"/>
              <w:left w:val="nil"/>
              <w:bottom w:val="nil"/>
              <w:right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r w:rsidRPr="000806DA">
              <w:rPr>
                <w:rFonts w:ascii="Arial" w:hAnsi="Arial" w:cs="Arial"/>
                <w:color w:val="000000"/>
                <w:sz w:val="19"/>
                <w:szCs w:val="19"/>
                <w:lang w:eastAsia="en-US"/>
              </w:rPr>
              <w:t>1</w:t>
            </w:r>
          </w:p>
        </w:tc>
        <w:tc>
          <w:tcPr>
            <w:tcW w:w="415"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625</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13.2</w:t>
            </w:r>
          </w:p>
        </w:tc>
        <w:tc>
          <w:tcPr>
            <w:tcW w:w="343" w:type="pct"/>
            <w:tcBorders>
              <w:top w:val="single" w:sz="8" w:space="0" w:color="000000"/>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287</w:t>
            </w:r>
          </w:p>
        </w:tc>
        <w:tc>
          <w:tcPr>
            <w:tcW w:w="404" w:type="pct"/>
            <w:tcBorders>
              <w:top w:val="single" w:sz="8" w:space="0" w:color="000000"/>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13.0</w:t>
            </w:r>
          </w:p>
        </w:tc>
        <w:tc>
          <w:tcPr>
            <w:tcW w:w="343" w:type="pct"/>
            <w:tcBorders>
              <w:top w:val="single" w:sz="8" w:space="0" w:color="000000"/>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338</w:t>
            </w:r>
          </w:p>
        </w:tc>
        <w:tc>
          <w:tcPr>
            <w:tcW w:w="404" w:type="pct"/>
            <w:tcBorders>
              <w:top w:val="single" w:sz="8" w:space="0" w:color="000000"/>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13.4</w:t>
            </w:r>
          </w:p>
        </w:tc>
        <w:tc>
          <w:tcPr>
            <w:tcW w:w="673" w:type="pct"/>
            <w:vMerge w:val="restar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NS</w:t>
            </w:r>
          </w:p>
        </w:tc>
      </w:tr>
      <w:tr w:rsidR="003B0DEE" w:rsidRPr="000806DA" w:rsidTr="000D5D90">
        <w:trPr>
          <w:trHeight w:val="20"/>
        </w:trPr>
        <w:tc>
          <w:tcPr>
            <w:tcW w:w="861"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r w:rsidRPr="000806DA">
              <w:rPr>
                <w:rFonts w:ascii="Arial" w:hAnsi="Arial" w:cs="Arial"/>
                <w:color w:val="000000"/>
                <w:sz w:val="19"/>
                <w:szCs w:val="19"/>
                <w:lang w:eastAsia="en-US"/>
              </w:rPr>
              <w:t>2</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915</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19.4</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403</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18.3</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512</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20.3</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left w:val="nil"/>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nil"/>
              <w:right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r w:rsidRPr="000806DA">
              <w:rPr>
                <w:rFonts w:ascii="Arial" w:hAnsi="Arial" w:cs="Arial"/>
                <w:color w:val="000000"/>
                <w:sz w:val="19"/>
                <w:szCs w:val="19"/>
                <w:lang w:eastAsia="en-US"/>
              </w:rPr>
              <w:t>3</w:t>
            </w:r>
          </w:p>
        </w:tc>
        <w:tc>
          <w:tcPr>
            <w:tcW w:w="415"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603</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12.8</w:t>
            </w:r>
          </w:p>
        </w:tc>
        <w:tc>
          <w:tcPr>
            <w:tcW w:w="343" w:type="pct"/>
            <w:tcBorders>
              <w:top w:val="nil"/>
              <w:left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299</w:t>
            </w:r>
          </w:p>
        </w:tc>
        <w:tc>
          <w:tcPr>
            <w:tcW w:w="404" w:type="pct"/>
            <w:tcBorders>
              <w:top w:val="nil"/>
              <w:left w:val="nil"/>
              <w:bottom w:val="nil"/>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13.6</w:t>
            </w:r>
          </w:p>
        </w:tc>
        <w:tc>
          <w:tcPr>
            <w:tcW w:w="343" w:type="pct"/>
            <w:tcBorders>
              <w:top w:val="nil"/>
              <w:left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304</w:t>
            </w:r>
          </w:p>
        </w:tc>
        <w:tc>
          <w:tcPr>
            <w:tcW w:w="404" w:type="pct"/>
            <w:tcBorders>
              <w:top w:val="nil"/>
              <w:left w:val="nil"/>
              <w:bottom w:val="nil"/>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12.1</w:t>
            </w:r>
          </w:p>
        </w:tc>
        <w:tc>
          <w:tcPr>
            <w:tcW w:w="673" w:type="pct"/>
            <w:vMerge/>
            <w:tcBorders>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bottom w:val="nil"/>
            </w:tcBorders>
            <w:shd w:val="clear" w:color="auto" w:fill="F2F2F2"/>
            <w:vAlign w:val="bottom"/>
          </w:tcPr>
          <w:p w:rsidR="003B0DEE" w:rsidRPr="000806DA" w:rsidRDefault="003B0DEE" w:rsidP="000D5D90">
            <w:pPr>
              <w:spacing w:line="240" w:lineRule="auto"/>
              <w:rPr>
                <w:rFonts w:ascii="Arial" w:hAnsi="Arial" w:cs="Arial"/>
                <w:color w:val="000000"/>
                <w:sz w:val="19"/>
                <w:szCs w:val="19"/>
                <w:lang w:eastAsia="en-US"/>
              </w:rPr>
            </w:pPr>
            <w:r w:rsidRPr="000806DA">
              <w:rPr>
                <w:rFonts w:ascii="Arial" w:hAnsi="Arial" w:cs="Arial"/>
                <w:color w:val="000000"/>
                <w:sz w:val="19"/>
                <w:szCs w:val="19"/>
                <w:lang w:eastAsia="en-US"/>
              </w:rPr>
              <w:t>4</w:t>
            </w:r>
          </w:p>
        </w:tc>
        <w:tc>
          <w:tcPr>
            <w:tcW w:w="415"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1080</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22.9</w:t>
            </w:r>
          </w:p>
        </w:tc>
        <w:tc>
          <w:tcPr>
            <w:tcW w:w="343"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503</w:t>
            </w:r>
          </w:p>
        </w:tc>
        <w:tc>
          <w:tcPr>
            <w:tcW w:w="404"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22.8</w:t>
            </w:r>
          </w:p>
        </w:tc>
        <w:tc>
          <w:tcPr>
            <w:tcW w:w="343"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577</w:t>
            </w:r>
          </w:p>
        </w:tc>
        <w:tc>
          <w:tcPr>
            <w:tcW w:w="404"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r w:rsidRPr="000806DA">
              <w:rPr>
                <w:rFonts w:ascii="Arial" w:hAnsi="Arial" w:cs="Arial"/>
                <w:color w:val="000000"/>
                <w:sz w:val="19"/>
                <w:szCs w:val="19"/>
                <w:lang w:eastAsia="en-US"/>
              </w:rPr>
              <w:t>22.9</w:t>
            </w:r>
          </w:p>
        </w:tc>
        <w:tc>
          <w:tcPr>
            <w:tcW w:w="673" w:type="pct"/>
            <w:vMerge/>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vMerge/>
            <w:tcBorders>
              <w:left w:val="nil"/>
              <w:bottom w:val="single" w:sz="8" w:space="0" w:color="000000"/>
              <w:right w:val="nil"/>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p>
        </w:tc>
        <w:tc>
          <w:tcPr>
            <w:tcW w:w="1152" w:type="pct"/>
            <w:tcBorders>
              <w:top w:val="nil"/>
              <w:left w:val="nil"/>
              <w:bottom w:val="single" w:sz="8" w:space="0" w:color="000000"/>
              <w:right w:val="nil"/>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r w:rsidRPr="000806DA">
              <w:rPr>
                <w:rFonts w:ascii="Arial" w:hAnsi="Arial" w:cs="Arial"/>
                <w:color w:val="000000"/>
                <w:sz w:val="19"/>
                <w:szCs w:val="19"/>
                <w:lang w:eastAsia="en-US"/>
              </w:rPr>
              <w:t>5</w:t>
            </w:r>
          </w:p>
        </w:tc>
        <w:tc>
          <w:tcPr>
            <w:tcW w:w="415"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1499</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31.7</w:t>
            </w:r>
          </w:p>
        </w:tc>
        <w:tc>
          <w:tcPr>
            <w:tcW w:w="343"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714</w:t>
            </w:r>
          </w:p>
        </w:tc>
        <w:tc>
          <w:tcPr>
            <w:tcW w:w="404" w:type="pct"/>
            <w:tcBorders>
              <w:top w:val="nil"/>
              <w:left w:val="nil"/>
              <w:bottom w:val="single" w:sz="8" w:space="0" w:color="000000"/>
              <w:right w:val="nil"/>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32.4</w:t>
            </w:r>
          </w:p>
        </w:tc>
        <w:tc>
          <w:tcPr>
            <w:tcW w:w="343"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785</w:t>
            </w:r>
          </w:p>
        </w:tc>
        <w:tc>
          <w:tcPr>
            <w:tcW w:w="404" w:type="pct"/>
            <w:tcBorders>
              <w:top w:val="nil"/>
              <w:left w:val="nil"/>
              <w:bottom w:val="single" w:sz="8" w:space="0" w:color="000000"/>
              <w:right w:val="nil"/>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color w:val="000000"/>
                <w:sz w:val="19"/>
                <w:szCs w:val="19"/>
                <w:lang w:eastAsia="en-US"/>
              </w:rPr>
              <w:t>31.2</w:t>
            </w:r>
          </w:p>
        </w:tc>
        <w:tc>
          <w:tcPr>
            <w:tcW w:w="673" w:type="pct"/>
            <w:vMerge/>
            <w:tcBorders>
              <w:left w:val="nil"/>
              <w:bottom w:val="single" w:sz="8" w:space="0" w:color="000000"/>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r w:rsidR="003B0DEE" w:rsidRPr="000806DA" w:rsidTr="000D5D90">
        <w:trPr>
          <w:trHeight w:val="20"/>
        </w:trPr>
        <w:tc>
          <w:tcPr>
            <w:tcW w:w="861" w:type="pct"/>
            <w:tcBorders>
              <w:top w:val="single" w:sz="8" w:space="0" w:color="000000"/>
              <w:bottom w:val="single" w:sz="8" w:space="0" w:color="000000"/>
            </w:tcBorders>
            <w:shd w:val="clear" w:color="auto" w:fill="FFFFFF"/>
            <w:vAlign w:val="bottom"/>
          </w:tcPr>
          <w:p w:rsidR="003B0DEE" w:rsidRPr="000806DA" w:rsidRDefault="003B0DEE" w:rsidP="000D5D90">
            <w:pPr>
              <w:spacing w:line="240" w:lineRule="auto"/>
              <w:rPr>
                <w:rFonts w:ascii="Arial" w:hAnsi="Arial" w:cs="Arial"/>
                <w:b/>
                <w:bCs/>
                <w:color w:val="000000"/>
                <w:sz w:val="19"/>
                <w:szCs w:val="19"/>
                <w:lang w:eastAsia="en-US"/>
              </w:rPr>
            </w:pPr>
            <w:r w:rsidRPr="000806DA">
              <w:rPr>
                <w:rFonts w:ascii="Arial" w:hAnsi="Arial" w:cs="Arial"/>
                <w:b/>
                <w:bCs/>
                <w:color w:val="000000"/>
                <w:sz w:val="19"/>
                <w:szCs w:val="19"/>
                <w:lang w:eastAsia="en-US"/>
              </w:rPr>
              <w:t>Total</w:t>
            </w:r>
          </w:p>
        </w:tc>
        <w:tc>
          <w:tcPr>
            <w:tcW w:w="1152" w:type="pct"/>
            <w:tcBorders>
              <w:top w:val="single" w:sz="8" w:space="0" w:color="000000"/>
              <w:bottom w:val="single" w:sz="8" w:space="0" w:color="000000"/>
            </w:tcBorders>
            <w:shd w:val="clear" w:color="auto" w:fill="F2F2F2"/>
            <w:vAlign w:val="bottom"/>
          </w:tcPr>
          <w:p w:rsidR="003B0DEE" w:rsidRPr="000806DA" w:rsidRDefault="003B0DEE" w:rsidP="000D5D90">
            <w:pPr>
              <w:spacing w:line="240" w:lineRule="auto"/>
              <w:rPr>
                <w:rFonts w:ascii="Arial" w:hAnsi="Arial" w:cs="Arial"/>
                <w:b/>
                <w:color w:val="000000"/>
                <w:sz w:val="19"/>
                <w:szCs w:val="19"/>
                <w:lang w:eastAsia="en-US"/>
              </w:rPr>
            </w:pPr>
          </w:p>
        </w:tc>
        <w:tc>
          <w:tcPr>
            <w:tcW w:w="415"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4722</w:t>
            </w:r>
          </w:p>
        </w:tc>
        <w:tc>
          <w:tcPr>
            <w:tcW w:w="404"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100.0</w:t>
            </w:r>
          </w:p>
        </w:tc>
        <w:tc>
          <w:tcPr>
            <w:tcW w:w="343" w:type="pct"/>
            <w:tcBorders>
              <w:top w:val="single" w:sz="8" w:space="0" w:color="000000"/>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2206</w:t>
            </w:r>
          </w:p>
        </w:tc>
        <w:tc>
          <w:tcPr>
            <w:tcW w:w="404" w:type="pct"/>
            <w:tcBorders>
              <w:top w:val="single" w:sz="8" w:space="0" w:color="000000"/>
              <w:bottom w:val="single" w:sz="8" w:space="0" w:color="000000"/>
            </w:tcBorders>
            <w:shd w:val="clear" w:color="auto" w:fill="F2F2F2"/>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46.7</w:t>
            </w:r>
          </w:p>
        </w:tc>
        <w:tc>
          <w:tcPr>
            <w:tcW w:w="343"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2516</w:t>
            </w:r>
          </w:p>
        </w:tc>
        <w:tc>
          <w:tcPr>
            <w:tcW w:w="404" w:type="pct"/>
            <w:tcBorders>
              <w:top w:val="single" w:sz="8" w:space="0" w:color="000000"/>
              <w:bottom w:val="single" w:sz="8" w:space="0" w:color="000000"/>
            </w:tcBorders>
            <w:shd w:val="clear" w:color="auto" w:fill="FFFFFF"/>
            <w:vAlign w:val="center"/>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53.3</w:t>
            </w:r>
          </w:p>
        </w:tc>
        <w:tc>
          <w:tcPr>
            <w:tcW w:w="673" w:type="pct"/>
            <w:tcBorders>
              <w:top w:val="single" w:sz="8" w:space="0" w:color="000000"/>
              <w:bottom w:val="single" w:sz="8" w:space="0" w:color="000000"/>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p>
        </w:tc>
      </w:tr>
    </w:tbl>
    <w:p w:rsidR="003B0DEE" w:rsidRPr="00307FA2" w:rsidRDefault="003B0DEE" w:rsidP="000D5D90">
      <w:pPr>
        <w:rPr>
          <w:b/>
          <w:bCs/>
          <w:kern w:val="32"/>
          <w:sz w:val="26"/>
          <w:szCs w:val="26"/>
        </w:rPr>
      </w:pPr>
    </w:p>
    <w:p w:rsidR="003B0DEE" w:rsidRDefault="003B0DEE" w:rsidP="000D5D90">
      <w:pPr>
        <w:spacing w:after="200" w:line="240" w:lineRule="auto"/>
      </w:pPr>
      <w:r>
        <w:br w:type="page"/>
      </w:r>
    </w:p>
    <w:p w:rsidR="003B0DEE" w:rsidRPr="000806DA" w:rsidRDefault="003B0DEE" w:rsidP="000D5D90">
      <w:pPr>
        <w:pStyle w:val="Caption"/>
        <w:keepNext/>
        <w:spacing w:line="240" w:lineRule="auto"/>
        <w:rPr>
          <w:rFonts w:cs="Arial"/>
          <w:b w:val="0"/>
        </w:rPr>
      </w:pPr>
      <w:bookmarkStart w:id="178" w:name="_Toc2458909"/>
      <w:bookmarkStart w:id="179" w:name="_Toc5976195"/>
      <w:bookmarkStart w:id="180" w:name="_Toc7018752"/>
      <w:bookmarkStart w:id="181" w:name="_Toc15332020"/>
      <w:r>
        <w:lastRenderedPageBreak/>
        <w:t>Table A4</w:t>
      </w:r>
      <w:r>
        <w:noBreakHyphen/>
      </w:r>
      <w:fldSimple w:instr=" SEQ Table \* ARABIC \s 1 ">
        <w:r>
          <w:rPr>
            <w:noProof/>
          </w:rPr>
          <w:t>4</w:t>
        </w:r>
      </w:fldSimple>
      <w:r>
        <w:t xml:space="preserve">  </w:t>
      </w:r>
      <w:r w:rsidRPr="00526B14">
        <w:rPr>
          <w:rFonts w:cs="Arial"/>
        </w:rPr>
        <w:t>Opioid substitution modality:</w:t>
      </w:r>
      <w:r w:rsidRPr="00526B14">
        <w:rPr>
          <w:rFonts w:cs="Arial"/>
          <w:b w:val="0"/>
        </w:rPr>
        <w:t xml:space="preserve"> Cox regression models predicting treatment retention: hazard ratios, confidence interval and level of significance</w:t>
      </w:r>
      <w:bookmarkEnd w:id="178"/>
      <w:bookmarkEnd w:id="179"/>
      <w:bookmarkEnd w:id="180"/>
      <w:bookmarkEnd w:id="181"/>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1598"/>
        <w:gridCol w:w="1833"/>
        <w:gridCol w:w="1889"/>
        <w:gridCol w:w="772"/>
        <w:gridCol w:w="1813"/>
        <w:gridCol w:w="326"/>
        <w:gridCol w:w="772"/>
      </w:tblGrid>
      <w:tr w:rsidR="003B0DEE" w:rsidRPr="00B54525" w:rsidTr="000D5D90">
        <w:trPr>
          <w:trHeight w:val="20"/>
          <w:tblHeader/>
        </w:trPr>
        <w:tc>
          <w:tcPr>
            <w:tcW w:w="887"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360" w:lineRule="auto"/>
              <w:ind w:right="39"/>
              <w:rPr>
                <w:rFonts w:ascii="Arial" w:hAnsi="Arial" w:cs="Arial"/>
                <w:b/>
                <w:bCs/>
                <w:color w:val="000000"/>
                <w:sz w:val="18"/>
                <w:szCs w:val="18"/>
                <w:lang w:eastAsia="en-US"/>
              </w:rPr>
            </w:pPr>
            <w:r w:rsidRPr="00B54525">
              <w:rPr>
                <w:rFonts w:ascii="Arial" w:hAnsi="Arial" w:cs="Arial"/>
                <w:b/>
                <w:bCs/>
                <w:sz w:val="18"/>
                <w:szCs w:val="18"/>
                <w:lang w:eastAsia="en-US"/>
              </w:rPr>
              <w:t>Characteristic</w:t>
            </w:r>
          </w:p>
        </w:tc>
        <w:tc>
          <w:tcPr>
            <w:tcW w:w="1018" w:type="pct"/>
            <w:tcBorders>
              <w:top w:val="single" w:sz="8" w:space="0" w:color="000000"/>
              <w:left w:val="nil"/>
              <w:bottom w:val="single" w:sz="8" w:space="0" w:color="000000"/>
              <w:right w:val="nil"/>
            </w:tcBorders>
            <w:shd w:val="clear" w:color="auto" w:fill="F2F2F2"/>
          </w:tcPr>
          <w:p w:rsidR="003B0DEE" w:rsidRPr="00B54525" w:rsidRDefault="003B0DEE" w:rsidP="000D5D90">
            <w:pPr>
              <w:spacing w:line="36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Values</w:t>
            </w:r>
          </w:p>
        </w:tc>
        <w:tc>
          <w:tcPr>
            <w:tcW w:w="1478" w:type="pct"/>
            <w:gridSpan w:val="2"/>
            <w:tcBorders>
              <w:top w:val="single" w:sz="8" w:space="0" w:color="000000"/>
              <w:left w:val="nil"/>
              <w:bottom w:val="single" w:sz="8" w:space="0" w:color="000000"/>
              <w:right w:val="nil"/>
            </w:tcBorders>
            <w:shd w:val="clear" w:color="auto" w:fill="FFFFFF"/>
          </w:tcPr>
          <w:p w:rsidR="003B0DEE" w:rsidRPr="00B54525" w:rsidRDefault="003B0DEE" w:rsidP="000D5D90">
            <w:pPr>
              <w:spacing w:line="360" w:lineRule="auto"/>
              <w:jc w:val="center"/>
              <w:rPr>
                <w:rFonts w:ascii="Arial" w:hAnsi="Arial" w:cs="Arial"/>
                <w:b/>
                <w:bCs/>
                <w:color w:val="000000"/>
                <w:sz w:val="18"/>
                <w:szCs w:val="18"/>
                <w:lang w:eastAsia="en-US"/>
              </w:rPr>
            </w:pPr>
            <w:r w:rsidRPr="00B54525">
              <w:rPr>
                <w:rFonts w:ascii="Arial" w:hAnsi="Arial" w:cs="Arial"/>
                <w:b/>
                <w:bCs/>
                <w:color w:val="000000"/>
                <w:sz w:val="18"/>
                <w:szCs w:val="18"/>
                <w:lang w:eastAsia="en-US"/>
              </w:rPr>
              <w:t>Univariate analysis</w:t>
            </w:r>
          </w:p>
        </w:tc>
        <w:tc>
          <w:tcPr>
            <w:tcW w:w="1617" w:type="pct"/>
            <w:gridSpan w:val="3"/>
            <w:tcBorders>
              <w:top w:val="single" w:sz="8" w:space="0" w:color="000000"/>
              <w:left w:val="nil"/>
              <w:bottom w:val="single" w:sz="8" w:space="0" w:color="000000"/>
              <w:right w:val="nil"/>
            </w:tcBorders>
            <w:shd w:val="clear" w:color="auto" w:fill="F2F2F2"/>
          </w:tcPr>
          <w:p w:rsidR="003B0DEE" w:rsidRPr="00B54525" w:rsidRDefault="003B0DEE" w:rsidP="000D5D90">
            <w:pPr>
              <w:spacing w:line="360" w:lineRule="auto"/>
              <w:jc w:val="center"/>
              <w:rPr>
                <w:rFonts w:ascii="Arial" w:hAnsi="Arial" w:cs="Arial"/>
                <w:b/>
                <w:bCs/>
                <w:color w:val="000000"/>
                <w:sz w:val="18"/>
                <w:szCs w:val="18"/>
                <w:lang w:eastAsia="en-US"/>
              </w:rPr>
            </w:pPr>
            <w:r w:rsidRPr="00B54525">
              <w:rPr>
                <w:rFonts w:ascii="Arial" w:hAnsi="Arial" w:cs="Arial"/>
                <w:b/>
                <w:bCs/>
                <w:color w:val="000000"/>
                <w:sz w:val="18"/>
                <w:szCs w:val="18"/>
                <w:lang w:eastAsia="en-US"/>
              </w:rPr>
              <w:t xml:space="preserve">Final multivariate model </w:t>
            </w:r>
          </w:p>
        </w:tc>
      </w:tr>
      <w:tr w:rsidR="003B0DEE" w:rsidRPr="00B54525" w:rsidTr="000D5D90">
        <w:trPr>
          <w:trHeight w:val="48"/>
          <w:tblHeader/>
        </w:trPr>
        <w:tc>
          <w:tcPr>
            <w:tcW w:w="887"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rPr>
                <w:rFonts w:ascii="Arial" w:hAnsi="Arial" w:cs="Arial"/>
                <w:b/>
                <w:bCs/>
                <w:color w:val="000000"/>
                <w:sz w:val="18"/>
                <w:szCs w:val="18"/>
                <w:lang w:eastAsia="en-US"/>
              </w:rPr>
            </w:pPr>
          </w:p>
        </w:tc>
        <w:tc>
          <w:tcPr>
            <w:tcW w:w="1018" w:type="pc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4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36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Hazard ratio</w:t>
            </w:r>
          </w:p>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(95% CI for Odds ratio)</w:t>
            </w:r>
          </w:p>
        </w:tc>
        <w:tc>
          <w:tcPr>
            <w:tcW w:w="42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p</w:t>
            </w:r>
          </w:p>
        </w:tc>
        <w:tc>
          <w:tcPr>
            <w:tcW w:w="1188" w:type="pct"/>
            <w:gridSpan w:val="2"/>
            <w:tcBorders>
              <w:top w:val="single" w:sz="8" w:space="0" w:color="000000"/>
              <w:left w:val="nil"/>
              <w:bottom w:val="single" w:sz="8" w:space="0" w:color="000000"/>
              <w:right w:val="nil"/>
            </w:tcBorders>
            <w:shd w:val="clear" w:color="auto" w:fill="F2F2F2"/>
          </w:tcPr>
          <w:p w:rsidR="003B0DEE" w:rsidRPr="00B54525" w:rsidRDefault="003B0DEE" w:rsidP="000D5D90">
            <w:pPr>
              <w:spacing w:line="36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Hazard ratio</w:t>
            </w:r>
          </w:p>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 xml:space="preserve"> (95% CI for Odds ratio)</w:t>
            </w:r>
          </w:p>
        </w:tc>
        <w:tc>
          <w:tcPr>
            <w:tcW w:w="429" w:type="pc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p</w:t>
            </w:r>
          </w:p>
        </w:tc>
      </w:tr>
      <w:tr w:rsidR="003B0DEE" w:rsidRPr="00B54525" w:rsidTr="000D5D90">
        <w:trPr>
          <w:trHeight w:val="20"/>
        </w:trPr>
        <w:tc>
          <w:tcPr>
            <w:tcW w:w="887"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Age entering treatment</w:t>
            </w:r>
          </w:p>
        </w:tc>
        <w:tc>
          <w:tcPr>
            <w:tcW w:w="1018"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Years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0.979 (0.962-0.997)</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0.023</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Pr>
                <w:rFonts w:ascii="Arial" w:hAnsi="Arial" w:cs="Arial"/>
                <w:bCs/>
                <w:color w:val="000000"/>
                <w:sz w:val="18"/>
                <w:szCs w:val="18"/>
                <w:lang w:eastAsia="en-US"/>
              </w:rPr>
              <w:t>0.976</w:t>
            </w:r>
            <w:r w:rsidRPr="00B54525">
              <w:rPr>
                <w:rFonts w:ascii="Arial" w:hAnsi="Arial" w:cs="Arial"/>
                <w:bCs/>
                <w:color w:val="000000"/>
                <w:sz w:val="18"/>
                <w:szCs w:val="18"/>
                <w:lang w:eastAsia="en-US"/>
              </w:rPr>
              <w:t xml:space="preserve"> (0.9</w:t>
            </w:r>
            <w:r>
              <w:rPr>
                <w:rFonts w:ascii="Arial" w:hAnsi="Arial" w:cs="Arial"/>
                <w:bCs/>
                <w:color w:val="000000"/>
                <w:sz w:val="18"/>
                <w:szCs w:val="18"/>
                <w:lang w:eastAsia="en-US"/>
              </w:rPr>
              <w:t>58</w:t>
            </w:r>
            <w:r w:rsidRPr="00B54525">
              <w:rPr>
                <w:rFonts w:ascii="Arial" w:hAnsi="Arial" w:cs="Arial"/>
                <w:bCs/>
                <w:color w:val="000000"/>
                <w:sz w:val="18"/>
                <w:szCs w:val="18"/>
                <w:lang w:eastAsia="en-US"/>
              </w:rPr>
              <w:t>-0.99</w:t>
            </w:r>
            <w:r>
              <w:rPr>
                <w:rFonts w:ascii="Arial" w:hAnsi="Arial" w:cs="Arial"/>
                <w:bCs/>
                <w:color w:val="000000"/>
                <w:sz w:val="18"/>
                <w:szCs w:val="18"/>
                <w:lang w:eastAsia="en-US"/>
              </w:rPr>
              <w:t>4</w:t>
            </w: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Pr>
                <w:rFonts w:ascii="Arial" w:hAnsi="Arial" w:cs="Arial"/>
                <w:bCs/>
                <w:color w:val="000000"/>
                <w:sz w:val="18"/>
                <w:szCs w:val="18"/>
                <w:lang w:eastAsia="en-US"/>
              </w:rPr>
              <w:t>0.008</w:t>
            </w: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Gender</w:t>
            </w:r>
          </w:p>
        </w:tc>
        <w:tc>
          <w:tcPr>
            <w:tcW w:w="1018" w:type="pct"/>
            <w:tcBorders>
              <w:top w:val="single" w:sz="8" w:space="0" w:color="000000"/>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sz w:val="18"/>
                <w:szCs w:val="18"/>
                <w:lang w:eastAsia="en-US"/>
              </w:rPr>
              <w:t>Male</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center"/>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single" w:sz="8" w:space="0" w:color="000000"/>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Female</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1.074 (0.817-1.412)</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Employment status</w:t>
            </w:r>
          </w:p>
        </w:tc>
        <w:tc>
          <w:tcPr>
            <w:tcW w:w="1018" w:type="pct"/>
            <w:tcBorders>
              <w:top w:val="single" w:sz="8" w:space="0" w:color="000000"/>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Regular employment</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center"/>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Student</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0.445 (0.059-3.336)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Retired/disability/at home</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1.604 (0.808-3.184)</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Unemployed</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1.086 (0.669-1.762)</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Other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0.245 (0.032-1.906)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sz w:val="18"/>
                <w:szCs w:val="18"/>
                <w:lang w:eastAsia="en-US"/>
              </w:rPr>
            </w:pPr>
          </w:p>
        </w:tc>
        <w:tc>
          <w:tcPr>
            <w:tcW w:w="1018"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1.785 (0.708-4.499)</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sz w:val="18"/>
                <w:szCs w:val="18"/>
                <w:highlight w:val="yellow"/>
                <w:lang w:eastAsia="en-US"/>
              </w:rPr>
            </w:pPr>
            <w:r w:rsidRPr="00B54525">
              <w:rPr>
                <w:rFonts w:ascii="Arial" w:hAnsi="Arial" w:cs="Arial"/>
                <w:b/>
                <w:bCs/>
                <w:sz w:val="18"/>
                <w:szCs w:val="18"/>
                <w:lang w:eastAsia="en-US"/>
              </w:rPr>
              <w:t>Living arrangements</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Alone</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0.008</w:t>
            </w:r>
          </w:p>
        </w:tc>
        <w:tc>
          <w:tcPr>
            <w:tcW w:w="1617" w:type="pct"/>
            <w:gridSpan w:val="3"/>
            <w:vMerge w:val="restar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Excluded from the final model</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Parents or family</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1.177 (0.771-1.798)</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22"/>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Alone with child/</w:t>
            </w:r>
          </w:p>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partner and child</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0.763 (0.437-1.331)</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68"/>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With partner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0.942 (0.557-1.592)</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Friends</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0.467 (0.163-1.336)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Other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1.837 (1.124-3.002)</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0.015</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68"/>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1.197 (0.284-5.048)</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Left before age 16 years</w:t>
            </w:r>
          </w:p>
        </w:tc>
        <w:tc>
          <w:tcPr>
            <w:tcW w:w="1018"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0.931 (0.702-1.233)</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Level of education</w:t>
            </w:r>
          </w:p>
        </w:tc>
        <w:tc>
          <w:tcPr>
            <w:tcW w:w="1018"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Never went to school/some primary level</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Completed primary level</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0.677 (0.371-1.233)</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 xml:space="preserve">Completed second level </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0.682 (0.385-1.207)</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 xml:space="preserve">Completed third level </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0.41 (0.117-1.439)</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Still in education</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0.285 (0.037-2.177)</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0.846 (0.439-1.63)</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highlight w:val="yellow"/>
                <w:lang w:eastAsia="en-US"/>
              </w:rPr>
            </w:pPr>
            <w:r w:rsidRPr="00B54525">
              <w:rPr>
                <w:rFonts w:ascii="Arial" w:hAnsi="Arial" w:cs="Arial"/>
                <w:b/>
                <w:bCs/>
                <w:color w:val="000000"/>
                <w:sz w:val="18"/>
                <w:szCs w:val="18"/>
                <w:lang w:eastAsia="en-US"/>
              </w:rPr>
              <w:t>Resident in</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Dublin</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1.906 (1.427-2.547)</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617" w:type="pct"/>
            <w:gridSpan w:val="3"/>
            <w:vMerge w:val="restar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Excluded from the final model</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Outside Dublin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 xml:space="preserve">Main type of problem </w:t>
            </w:r>
            <w:r>
              <w:rPr>
                <w:rFonts w:ascii="Arial" w:hAnsi="Arial" w:cs="Arial"/>
                <w:b/>
                <w:bCs/>
                <w:sz w:val="18"/>
                <w:szCs w:val="18"/>
                <w:lang w:eastAsia="en-US"/>
              </w:rPr>
              <w:t>opioid</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Heroin</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 xml:space="preserve">Other </w:t>
            </w:r>
            <w:r>
              <w:rPr>
                <w:rFonts w:ascii="Arial" w:hAnsi="Arial" w:cs="Arial"/>
                <w:bCs/>
                <w:sz w:val="18"/>
                <w:szCs w:val="18"/>
                <w:lang w:eastAsia="en-US"/>
              </w:rPr>
              <w:t>opioid</w:t>
            </w:r>
            <w:r w:rsidRPr="00B54525">
              <w:rPr>
                <w:rFonts w:ascii="Arial" w:hAnsi="Arial" w:cs="Arial"/>
                <w:bCs/>
                <w:sz w:val="18"/>
                <w:szCs w:val="18"/>
                <w:lang w:eastAsia="en-US"/>
              </w:rPr>
              <w:t>s</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1.178 (0.605-2.295)</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 xml:space="preserve">Route of opioid administration </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Inject</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Smoke</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0.906 (0.685-1.199)</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Eat or drink</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1.174 (0.588-2.346)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Other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w:t>
            </w:r>
            <w:r>
              <w:rPr>
                <w:rFonts w:ascii="Arial" w:hAnsi="Arial" w:cs="Arial"/>
                <w:bCs/>
                <w:color w:val="000000"/>
                <w:sz w:val="18"/>
                <w:szCs w:val="18"/>
                <w:lang w:eastAsia="en-US"/>
              </w:rPr>
              <w:t>.000</w:t>
            </w:r>
            <w:r w:rsidRPr="00B54525">
              <w:rPr>
                <w:rFonts w:ascii="Arial" w:hAnsi="Arial" w:cs="Arial"/>
                <w:bCs/>
                <w:color w:val="000000"/>
                <w:sz w:val="18"/>
                <w:szCs w:val="18"/>
                <w:lang w:eastAsia="en-US"/>
              </w:rPr>
              <w:t xml:space="preserve"> (0</w:t>
            </w:r>
            <w:r>
              <w:rPr>
                <w:rFonts w:ascii="Arial" w:hAnsi="Arial" w:cs="Arial"/>
                <w:bCs/>
                <w:color w:val="000000"/>
                <w:sz w:val="18"/>
                <w:szCs w:val="18"/>
                <w:lang w:eastAsia="en-US"/>
              </w:rPr>
              <w:t>.000</w:t>
            </w:r>
            <w:r w:rsidRPr="00B54525">
              <w:rPr>
                <w:rFonts w:ascii="Arial" w:hAnsi="Arial" w:cs="Arial"/>
                <w:bCs/>
                <w:color w:val="000000"/>
                <w:sz w:val="18"/>
                <w:szCs w:val="18"/>
                <w:lang w:eastAsia="en-US"/>
              </w:rPr>
              <w:t>-4.87)</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Not recorded</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0.948 (0.233-3.863)</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Frequency of opioid use in month prior to treatment</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 use in the past month</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Once a week or less</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0.756 (0.203-2.82)</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2-6 days per week</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0.502 (0.151-1.673)</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Daily</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0.742 (0.275-1.998)</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0.902 (0.201-4.034)</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Polysubstance use</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1.01 (0.777-1.314)</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r w:rsidRPr="008B59FA">
              <w:rPr>
                <w:rFonts w:ascii="Arial" w:hAnsi="Arial" w:cs="Arial"/>
                <w:b/>
                <w:bCs/>
                <w:color w:val="000000"/>
                <w:sz w:val="18"/>
                <w:szCs w:val="18"/>
                <w:lang w:eastAsia="en-US"/>
              </w:rPr>
              <w:t>Number of problem substances reported</w:t>
            </w:r>
          </w:p>
        </w:tc>
        <w:tc>
          <w:tcPr>
            <w:tcW w:w="1018" w:type="pct"/>
            <w:tcBorders>
              <w:top w:val="single" w:sz="8" w:space="0" w:color="000000"/>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sz w:val="18"/>
                <w:szCs w:val="18"/>
                <w:lang w:eastAsia="en-US"/>
              </w:rPr>
            </w:pPr>
            <w:r w:rsidRPr="008B59FA">
              <w:rPr>
                <w:rFonts w:ascii="Arial" w:hAnsi="Arial" w:cs="Arial"/>
                <w:bCs/>
                <w:sz w:val="18"/>
                <w:szCs w:val="18"/>
                <w:lang w:eastAsia="en-US"/>
              </w:rPr>
              <w:t>One substance</w:t>
            </w:r>
          </w:p>
        </w:tc>
        <w:tc>
          <w:tcPr>
            <w:tcW w:w="1049" w:type="pct"/>
            <w:tcBorders>
              <w:top w:val="single" w:sz="8" w:space="0" w:color="000000"/>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sz w:val="18"/>
                <w:szCs w:val="18"/>
                <w:lang w:eastAsia="en-US"/>
              </w:rPr>
            </w:pPr>
            <w:r w:rsidRPr="008B59FA">
              <w:rPr>
                <w:rFonts w:ascii="Arial" w:hAnsi="Arial" w:cs="Arial"/>
                <w:bCs/>
                <w:sz w:val="18"/>
                <w:szCs w:val="18"/>
                <w:lang w:eastAsia="en-US"/>
              </w:rPr>
              <w:t>Two substances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0.856 (0.621-1.181)</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sz w:val="18"/>
                <w:szCs w:val="18"/>
                <w:lang w:eastAsia="en-US"/>
              </w:rPr>
            </w:pPr>
            <w:r w:rsidRPr="008B59FA">
              <w:rPr>
                <w:rFonts w:ascii="Arial" w:hAnsi="Arial" w:cs="Arial"/>
                <w:bCs/>
                <w:sz w:val="18"/>
                <w:szCs w:val="18"/>
                <w:lang w:eastAsia="en-US"/>
              </w:rPr>
              <w:t>Three substances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1.144 (0.802-1.632)</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nil"/>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sz w:val="18"/>
                <w:szCs w:val="18"/>
                <w:lang w:eastAsia="en-US"/>
              </w:rPr>
            </w:pPr>
            <w:r w:rsidRPr="008B59FA">
              <w:rPr>
                <w:rFonts w:ascii="Arial" w:hAnsi="Arial" w:cs="Arial"/>
                <w:bCs/>
                <w:sz w:val="18"/>
                <w:szCs w:val="18"/>
                <w:lang w:eastAsia="en-US"/>
              </w:rPr>
              <w:t>Four substances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1.261 (0.831-1.914)</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tcBorders>
              <w:top w:val="nil"/>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highlight w:val="yellow"/>
                <w:lang w:eastAsia="en-US"/>
              </w:rPr>
            </w:pPr>
          </w:p>
        </w:tc>
        <w:tc>
          <w:tcPr>
            <w:tcW w:w="1018" w:type="pct"/>
            <w:tcBorders>
              <w:top w:val="nil"/>
              <w:left w:val="nil"/>
              <w:bottom w:val="single" w:sz="8" w:space="0" w:color="000000"/>
              <w:right w:val="nil"/>
            </w:tcBorders>
            <w:shd w:val="clear" w:color="auto" w:fill="F2F2F2"/>
            <w:vAlign w:val="bottom"/>
          </w:tcPr>
          <w:p w:rsidR="003B0DEE" w:rsidRPr="008B59FA" w:rsidRDefault="003B0DEE" w:rsidP="000D5D90">
            <w:pPr>
              <w:spacing w:line="240" w:lineRule="auto"/>
              <w:jc w:val="left"/>
              <w:rPr>
                <w:rFonts w:ascii="Arial" w:hAnsi="Arial" w:cs="Arial"/>
                <w:bCs/>
                <w:sz w:val="18"/>
                <w:szCs w:val="18"/>
                <w:highlight w:val="yellow"/>
                <w:lang w:eastAsia="en-US"/>
              </w:rPr>
            </w:pPr>
          </w:p>
        </w:tc>
        <w:tc>
          <w:tcPr>
            <w:tcW w:w="1049" w:type="pct"/>
            <w:tcBorders>
              <w:top w:val="nil"/>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highlight w:val="yellow"/>
                <w:lang w:eastAsia="en-US"/>
              </w:rPr>
            </w:pPr>
          </w:p>
        </w:tc>
        <w:tc>
          <w:tcPr>
            <w:tcW w:w="429" w:type="pct"/>
            <w:tcBorders>
              <w:top w:val="nil"/>
              <w:left w:val="nil"/>
              <w:bottom w:val="single" w:sz="8" w:space="0" w:color="000000"/>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highlight w:val="yellow"/>
                <w:lang w:eastAsia="en-US"/>
              </w:rPr>
            </w:pPr>
          </w:p>
        </w:tc>
        <w:tc>
          <w:tcPr>
            <w:tcW w:w="1188" w:type="pct"/>
            <w:gridSpan w:val="2"/>
            <w:tcBorders>
              <w:top w:val="nil"/>
              <w:left w:val="nil"/>
              <w:bottom w:val="single" w:sz="8" w:space="0" w:color="000000"/>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highlight w:val="yellow"/>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r w:rsidRPr="008B59FA">
              <w:rPr>
                <w:rFonts w:ascii="Arial" w:hAnsi="Arial" w:cs="Arial"/>
                <w:b/>
                <w:bCs/>
                <w:color w:val="000000"/>
                <w:sz w:val="18"/>
                <w:szCs w:val="18"/>
                <w:lang w:eastAsia="en-US"/>
              </w:rPr>
              <w:lastRenderedPageBreak/>
              <w:t>Type of additional problem substances used</w:t>
            </w:r>
          </w:p>
        </w:tc>
        <w:tc>
          <w:tcPr>
            <w:tcW w:w="1018" w:type="pct"/>
            <w:tcBorders>
              <w:top w:val="single" w:sz="8" w:space="0" w:color="000000"/>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 xml:space="preserve">Alcohol </w:t>
            </w:r>
          </w:p>
        </w:tc>
        <w:tc>
          <w:tcPr>
            <w:tcW w:w="1049" w:type="pct"/>
            <w:tcBorders>
              <w:top w:val="single" w:sz="8" w:space="0" w:color="000000"/>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1.297 (0.892-1.884)</w:t>
            </w:r>
          </w:p>
        </w:tc>
        <w:tc>
          <w:tcPr>
            <w:tcW w:w="429" w:type="pct"/>
            <w:tcBorders>
              <w:top w:val="single" w:sz="8" w:space="0" w:color="000000"/>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Amphetamines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0.366 (0.09-1.491)</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Benzodiazepines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1.41 (1.054-1.885)</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0.020</w:t>
            </w:r>
          </w:p>
        </w:tc>
        <w:tc>
          <w:tcPr>
            <w:tcW w:w="1617" w:type="pct"/>
            <w:gridSpan w:val="3"/>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Excluded from the final model</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Cannabis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0.924 (0.699-1.223)</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Cocaine</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1.296 (0.896-1.874)</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Ecstasy</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0.325 (0.104-1.016)</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8B59FA"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sz w:val="18"/>
                <w:szCs w:val="18"/>
                <w:lang w:eastAsia="en-US"/>
              </w:rPr>
              <w:t>Opioids‡</w:t>
            </w:r>
          </w:p>
        </w:tc>
        <w:tc>
          <w:tcPr>
            <w:tcW w:w="1049" w:type="pct"/>
            <w:tcBorders>
              <w:top w:val="nil"/>
              <w:left w:val="nil"/>
              <w:bottom w:val="nil"/>
              <w:right w:val="nil"/>
            </w:tcBorders>
            <w:shd w:val="clear" w:color="auto" w:fill="FFFFFF"/>
          </w:tcPr>
          <w:p w:rsidR="003B0DEE" w:rsidRPr="008B59FA" w:rsidRDefault="003B0DEE" w:rsidP="000D5D90">
            <w:pPr>
              <w:spacing w:line="240" w:lineRule="auto"/>
              <w:jc w:val="left"/>
              <w:rPr>
                <w:rFonts w:ascii="Arial" w:hAnsi="Arial" w:cs="Arial"/>
                <w:bCs/>
                <w:color w:val="000000"/>
                <w:sz w:val="18"/>
                <w:szCs w:val="18"/>
                <w:lang w:eastAsia="en-US"/>
              </w:rPr>
            </w:pPr>
            <w:r w:rsidRPr="008B59FA">
              <w:rPr>
                <w:rFonts w:ascii="Arial" w:hAnsi="Arial" w:cs="Arial"/>
                <w:bCs/>
                <w:color w:val="000000"/>
                <w:sz w:val="18"/>
                <w:szCs w:val="18"/>
                <w:lang w:eastAsia="en-US"/>
              </w:rPr>
              <w:t>0.998 (0.654-1.524)</w:t>
            </w:r>
          </w:p>
        </w:tc>
        <w:tc>
          <w:tcPr>
            <w:tcW w:w="429" w:type="pct"/>
            <w:tcBorders>
              <w:top w:val="nil"/>
              <w:left w:val="nil"/>
              <w:bottom w:val="nil"/>
              <w:right w:val="nil"/>
            </w:tcBorders>
            <w:shd w:val="clear" w:color="auto" w:fill="FFFFFF"/>
          </w:tcPr>
          <w:p w:rsidR="003B0DEE" w:rsidRPr="008B59FA" w:rsidRDefault="003B0DEE" w:rsidP="000D5D90">
            <w:pPr>
              <w:spacing w:line="240" w:lineRule="auto"/>
              <w:jc w:val="right"/>
              <w:rPr>
                <w:rFonts w:ascii="Arial" w:hAnsi="Arial" w:cs="Arial"/>
                <w:bCs/>
                <w:color w:val="000000"/>
                <w:sz w:val="18"/>
                <w:szCs w:val="18"/>
                <w:lang w:eastAsia="en-US"/>
              </w:rPr>
            </w:pPr>
            <w:r w:rsidRPr="008B59FA">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8B59FA"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sz w:val="18"/>
                <w:szCs w:val="18"/>
                <w:lang w:eastAsia="en-US"/>
              </w:rPr>
              <w:t>Other substances</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1.492 (0.702-3.17)</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Ever injected</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sz w:val="18"/>
                <w:szCs w:val="18"/>
                <w:lang w:eastAsia="en-US"/>
              </w:rPr>
              <w:t>Yes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sz w:val="18"/>
                <w:szCs w:val="18"/>
                <w:lang w:eastAsia="en-US"/>
              </w:rPr>
              <w:t>No</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1.018 (0.783-1.325)</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2.049 (0.836-5.019)</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Currently injecting</w:t>
            </w:r>
            <w:r w:rsidRPr="00695031">
              <w:rPr>
                <w:rFonts w:ascii="Arial" w:hAnsi="Arial" w:cs="Arial"/>
                <w:b/>
                <w:bCs/>
                <w:color w:val="000000"/>
                <w:sz w:val="18"/>
                <w:szCs w:val="18"/>
                <w:vertAlign w:val="superscript"/>
                <w:lang w:eastAsia="en-US"/>
              </w:rPr>
              <w:t>+</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0.912 (0.691-1.206)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1.267 (0.463-3.467)</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Ever shared injecting equipment</w:t>
            </w:r>
            <w:r w:rsidRPr="00695031">
              <w:rPr>
                <w:rFonts w:ascii="Arial" w:hAnsi="Arial" w:cs="Arial"/>
                <w:b/>
                <w:bCs/>
                <w:color w:val="000000"/>
                <w:sz w:val="18"/>
                <w:szCs w:val="18"/>
                <w:vertAlign w:val="superscript"/>
                <w:lang w:eastAsia="en-US"/>
              </w:rPr>
              <w:t>+</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Yes</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617" w:type="pct"/>
            <w:gridSpan w:val="3"/>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No</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0.657 (0.441-0.981)</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Age first used any drug</w:t>
            </w:r>
          </w:p>
        </w:tc>
        <w:tc>
          <w:tcPr>
            <w:tcW w:w="1018" w:type="pct"/>
            <w:tcBorders>
              <w:top w:val="single" w:sz="8" w:space="0" w:color="000000"/>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 xml:space="preserve">Years </w:t>
            </w:r>
          </w:p>
          <w:p w:rsidR="003B0DEE" w:rsidRPr="00B54525" w:rsidRDefault="003B0DEE" w:rsidP="000D5D90">
            <w:pPr>
              <w:spacing w:line="240" w:lineRule="auto"/>
              <w:jc w:val="left"/>
              <w:rPr>
                <w:rFonts w:ascii="Arial" w:hAnsi="Arial" w:cs="Arial"/>
                <w:bCs/>
                <w:sz w:val="18"/>
                <w:szCs w:val="18"/>
                <w:lang w:eastAsia="en-US"/>
              </w:rPr>
            </w:pPr>
          </w:p>
        </w:tc>
        <w:tc>
          <w:tcPr>
            <w:tcW w:w="104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0.997 (0.972-1.023)</w:t>
            </w:r>
          </w:p>
        </w:tc>
        <w:tc>
          <w:tcPr>
            <w:tcW w:w="42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Age first used opioids</w:t>
            </w:r>
          </w:p>
        </w:tc>
        <w:tc>
          <w:tcPr>
            <w:tcW w:w="1018" w:type="pc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Years</w:t>
            </w:r>
          </w:p>
        </w:tc>
        <w:tc>
          <w:tcPr>
            <w:tcW w:w="104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0.976 (0.957-0.996)</w:t>
            </w:r>
          </w:p>
        </w:tc>
        <w:tc>
          <w:tcPr>
            <w:tcW w:w="42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0.017</w:t>
            </w:r>
          </w:p>
        </w:tc>
        <w:tc>
          <w:tcPr>
            <w:tcW w:w="1617" w:type="pct"/>
            <w:gridSpan w:val="3"/>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Excluded from the final model</w:t>
            </w:r>
          </w:p>
        </w:tc>
      </w:tr>
      <w:tr w:rsidR="003B0DEE" w:rsidRPr="00B54525" w:rsidTr="000D5D90">
        <w:trPr>
          <w:trHeight w:val="20"/>
        </w:trPr>
        <w:tc>
          <w:tcPr>
            <w:tcW w:w="887" w:type="pct"/>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Time lag between first use of opioids and seeking treatment</w:t>
            </w:r>
          </w:p>
        </w:tc>
        <w:tc>
          <w:tcPr>
            <w:tcW w:w="1018" w:type="pc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 xml:space="preserve">Years </w:t>
            </w:r>
          </w:p>
        </w:tc>
        <w:tc>
          <w:tcPr>
            <w:tcW w:w="104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0.999 (0.975-1.023)</w:t>
            </w:r>
          </w:p>
        </w:tc>
        <w:tc>
          <w:tcPr>
            <w:tcW w:w="429" w:type="pc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Treatment setting</w:t>
            </w:r>
          </w:p>
        </w:tc>
        <w:tc>
          <w:tcPr>
            <w:tcW w:w="1018" w:type="pct"/>
            <w:tcBorders>
              <w:top w:val="single" w:sz="8" w:space="0" w:color="000000"/>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Outpatient</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188"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center"/>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Inpatient</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13.75 (7.208-26.231)</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Pr>
                <w:rFonts w:ascii="Arial" w:hAnsi="Arial" w:cs="Arial"/>
                <w:bCs/>
                <w:color w:val="000000"/>
                <w:sz w:val="18"/>
                <w:szCs w:val="18"/>
                <w:lang w:eastAsia="en-US"/>
              </w:rPr>
              <w:t>16.334</w:t>
            </w:r>
            <w:r w:rsidRPr="00B54525">
              <w:rPr>
                <w:rFonts w:ascii="Arial" w:hAnsi="Arial" w:cs="Arial"/>
                <w:bCs/>
                <w:color w:val="000000"/>
                <w:sz w:val="18"/>
                <w:szCs w:val="18"/>
                <w:lang w:eastAsia="en-US"/>
              </w:rPr>
              <w:t xml:space="preserve"> (</w:t>
            </w:r>
            <w:r>
              <w:rPr>
                <w:rFonts w:ascii="Arial" w:hAnsi="Arial" w:cs="Arial"/>
                <w:bCs/>
                <w:color w:val="000000"/>
                <w:sz w:val="18"/>
                <w:szCs w:val="18"/>
                <w:lang w:eastAsia="en-US"/>
              </w:rPr>
              <w:t>8.465</w:t>
            </w:r>
            <w:r w:rsidRPr="00B54525">
              <w:rPr>
                <w:rFonts w:ascii="Arial" w:hAnsi="Arial" w:cs="Arial"/>
                <w:bCs/>
                <w:color w:val="000000"/>
                <w:sz w:val="18"/>
                <w:szCs w:val="18"/>
                <w:lang w:eastAsia="en-US"/>
              </w:rPr>
              <w:t>-</w:t>
            </w:r>
            <w:r>
              <w:rPr>
                <w:rFonts w:ascii="Arial" w:hAnsi="Arial" w:cs="Arial"/>
                <w:bCs/>
                <w:color w:val="000000"/>
                <w:sz w:val="18"/>
                <w:szCs w:val="18"/>
                <w:lang w:eastAsia="en-US"/>
              </w:rPr>
              <w:t>31.518</w:t>
            </w:r>
            <w:r w:rsidRPr="00B54525">
              <w:rPr>
                <w:rFonts w:ascii="Arial" w:hAnsi="Arial" w:cs="Arial"/>
                <w:bCs/>
                <w:color w:val="000000"/>
                <w:sz w:val="18"/>
                <w:szCs w:val="18"/>
                <w:lang w:eastAsia="en-US"/>
              </w:rPr>
              <w:t>)</w:t>
            </w: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Low threshold</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N/A no cases</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N/A no cases</w:t>
            </w: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General practitioner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0.774 (0.509-1.179)</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w:t>
            </w:r>
            <w:r>
              <w:rPr>
                <w:rFonts w:ascii="Arial" w:hAnsi="Arial" w:cs="Arial"/>
                <w:bCs/>
                <w:color w:val="000000"/>
                <w:sz w:val="18"/>
                <w:szCs w:val="18"/>
                <w:lang w:eastAsia="en-US"/>
              </w:rPr>
              <w:t>614</w:t>
            </w:r>
            <w:r w:rsidRPr="00B54525">
              <w:rPr>
                <w:rFonts w:ascii="Arial" w:hAnsi="Arial" w:cs="Arial"/>
                <w:bCs/>
                <w:color w:val="000000"/>
                <w:sz w:val="18"/>
                <w:szCs w:val="18"/>
                <w:lang w:eastAsia="en-US"/>
              </w:rPr>
              <w:t xml:space="preserve"> (0.</w:t>
            </w:r>
            <w:r>
              <w:rPr>
                <w:rFonts w:ascii="Arial" w:hAnsi="Arial" w:cs="Arial"/>
                <w:bCs/>
                <w:color w:val="000000"/>
                <w:sz w:val="18"/>
                <w:szCs w:val="18"/>
                <w:lang w:eastAsia="en-US"/>
              </w:rPr>
              <w:t>397</w:t>
            </w:r>
            <w:r w:rsidRPr="00B54525">
              <w:rPr>
                <w:rFonts w:ascii="Arial" w:hAnsi="Arial" w:cs="Arial"/>
                <w:bCs/>
                <w:color w:val="000000"/>
                <w:sz w:val="18"/>
                <w:szCs w:val="18"/>
                <w:lang w:eastAsia="en-US"/>
              </w:rPr>
              <w:t>-0.</w:t>
            </w:r>
            <w:r>
              <w:rPr>
                <w:rFonts w:ascii="Arial" w:hAnsi="Arial" w:cs="Arial"/>
                <w:bCs/>
                <w:color w:val="000000"/>
                <w:sz w:val="18"/>
                <w:szCs w:val="18"/>
                <w:lang w:eastAsia="en-US"/>
              </w:rPr>
              <w:t>950</w:t>
            </w:r>
            <w:r w:rsidRPr="00B54525">
              <w:rPr>
                <w:rFonts w:ascii="Arial" w:hAnsi="Arial" w:cs="Arial"/>
                <w:bCs/>
                <w:color w:val="000000"/>
                <w:sz w:val="18"/>
                <w:szCs w:val="18"/>
                <w:lang w:eastAsia="en-US"/>
              </w:rPr>
              <w:t>)</w:t>
            </w:r>
          </w:p>
        </w:tc>
        <w:tc>
          <w:tcPr>
            <w:tcW w:w="429" w:type="pct"/>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Pr>
                <w:rFonts w:ascii="Arial" w:hAnsi="Arial" w:cs="Arial"/>
                <w:bCs/>
                <w:color w:val="000000"/>
                <w:sz w:val="18"/>
                <w:szCs w:val="18"/>
                <w:lang w:eastAsia="en-US"/>
              </w:rPr>
              <w:t>0.028</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Prison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0.001 (0.000- 4.688)</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188"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0.00</w:t>
            </w:r>
            <w:r>
              <w:rPr>
                <w:rFonts w:ascii="Arial" w:hAnsi="Arial" w:cs="Arial"/>
                <w:bCs/>
                <w:color w:val="000000"/>
                <w:sz w:val="18"/>
                <w:szCs w:val="18"/>
                <w:lang w:eastAsia="en-US"/>
              </w:rPr>
              <w:t>4 (0.000-8.368</w:t>
            </w:r>
            <w:r w:rsidRPr="00B54525">
              <w:rPr>
                <w:rFonts w:ascii="Arial" w:hAnsi="Arial" w:cs="Arial"/>
                <w:bCs/>
                <w:color w:val="000000"/>
                <w:sz w:val="18"/>
                <w:szCs w:val="18"/>
                <w:lang w:eastAsia="en-US"/>
              </w:rPr>
              <w:t>)</w:t>
            </w:r>
          </w:p>
        </w:tc>
        <w:tc>
          <w:tcPr>
            <w:tcW w:w="429"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highlight w:val="yellow"/>
                <w:lang w:eastAsia="en-US"/>
              </w:rPr>
            </w:pPr>
            <w:r w:rsidRPr="00B54525">
              <w:rPr>
                <w:rFonts w:ascii="Arial" w:hAnsi="Arial" w:cs="Arial"/>
                <w:b/>
                <w:bCs/>
                <w:sz w:val="18"/>
                <w:szCs w:val="18"/>
                <w:lang w:eastAsia="en-US"/>
              </w:rPr>
              <w:t>Referral source</w:t>
            </w:r>
          </w:p>
        </w:tc>
        <w:tc>
          <w:tcPr>
            <w:tcW w:w="1018" w:type="pct"/>
            <w:tcBorders>
              <w:top w:val="single" w:sz="8" w:space="0" w:color="000000"/>
              <w:left w:val="nil"/>
              <w:bottom w:val="nil"/>
              <w:right w:val="nil"/>
            </w:tcBorders>
            <w:shd w:val="clear" w:color="auto" w:fill="F2F2F2"/>
            <w:vAlign w:val="center"/>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Self</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0.001</w:t>
            </w:r>
          </w:p>
        </w:tc>
        <w:tc>
          <w:tcPr>
            <w:tcW w:w="1617" w:type="pct"/>
            <w:gridSpan w:val="3"/>
            <w:vMerge w:val="restart"/>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Excluded from the final model</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center"/>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Family/friends</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1.015 (0.558-1.846)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Other drug treatment centre</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1.807 (1.24-2.635)</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0.002</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General practitioner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1.342 (0.785-2.295)</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Hospital/other medical source</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3.087 (1.738-5.485)</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Social services</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0.798 (0.515-1.236)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Court/probation</w:t>
            </w:r>
            <w:r>
              <w:rPr>
                <w:rFonts w:ascii="Arial" w:hAnsi="Arial" w:cs="Arial"/>
                <w:bCs/>
                <w:sz w:val="18"/>
                <w:szCs w:val="18"/>
                <w:lang w:eastAsia="en-US"/>
              </w:rPr>
              <w:t xml:space="preserve"> service</w:t>
            </w:r>
            <w:r w:rsidRPr="00B54525">
              <w:rPr>
                <w:rFonts w:ascii="Arial" w:hAnsi="Arial" w:cs="Arial"/>
                <w:bCs/>
                <w:sz w:val="18"/>
                <w:szCs w:val="18"/>
                <w:lang w:eastAsia="en-US"/>
              </w:rPr>
              <w:t>/police</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3.394 (0.832-13.85)</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Other</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1.231 (0.455-3.333)</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0.000 (0.000-1.635)</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vMerge/>
            <w:tcBorders>
              <w:top w:val="single" w:sz="8" w:space="0" w:color="000000"/>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color w:val="000000"/>
                <w:sz w:val="18"/>
                <w:szCs w:val="18"/>
                <w:lang w:eastAsia="en-US"/>
              </w:rPr>
              <w:t xml:space="preserve">Year commenced treatment </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2009</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610" w:type="pct"/>
            <w:gridSpan w:val="2"/>
            <w:tcBorders>
              <w:top w:val="single" w:sz="8" w:space="0" w:color="000000"/>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2010</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0.396 (0.25-0.628)</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0.3</w:t>
            </w:r>
            <w:r>
              <w:rPr>
                <w:rFonts w:ascii="Arial" w:hAnsi="Arial" w:cs="Arial"/>
                <w:bCs/>
                <w:color w:val="000000"/>
                <w:sz w:val="18"/>
                <w:szCs w:val="18"/>
                <w:lang w:eastAsia="en-US"/>
              </w:rPr>
              <w:t>73</w:t>
            </w:r>
            <w:r w:rsidRPr="00B54525">
              <w:rPr>
                <w:rFonts w:ascii="Arial" w:hAnsi="Arial" w:cs="Arial"/>
                <w:bCs/>
                <w:color w:val="000000"/>
                <w:sz w:val="18"/>
                <w:szCs w:val="18"/>
                <w:lang w:eastAsia="en-US"/>
              </w:rPr>
              <w:t xml:space="preserve"> (0.2</w:t>
            </w:r>
            <w:r>
              <w:rPr>
                <w:rFonts w:ascii="Arial" w:hAnsi="Arial" w:cs="Arial"/>
                <w:bCs/>
                <w:color w:val="000000"/>
                <w:sz w:val="18"/>
                <w:szCs w:val="18"/>
                <w:lang w:eastAsia="en-US"/>
              </w:rPr>
              <w:t>34-0.594</w:t>
            </w:r>
            <w:r w:rsidRPr="00B54525">
              <w:rPr>
                <w:rFonts w:ascii="Arial" w:hAnsi="Arial" w:cs="Arial"/>
                <w:bCs/>
                <w:color w:val="000000"/>
                <w:sz w:val="18"/>
                <w:szCs w:val="18"/>
                <w:lang w:eastAsia="en-US"/>
              </w:rPr>
              <w:t>)</w:t>
            </w:r>
          </w:p>
        </w:tc>
        <w:tc>
          <w:tcPr>
            <w:tcW w:w="610" w:type="pct"/>
            <w:gridSpan w:val="2"/>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2011</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0.295 (0.178-0.49)</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w:t>
            </w:r>
            <w:r>
              <w:rPr>
                <w:rFonts w:ascii="Arial" w:hAnsi="Arial" w:cs="Arial"/>
                <w:bCs/>
                <w:color w:val="000000"/>
                <w:sz w:val="18"/>
                <w:szCs w:val="18"/>
                <w:lang w:eastAsia="en-US"/>
              </w:rPr>
              <w:t>40 (0.143-0.402</w:t>
            </w:r>
            <w:r w:rsidRPr="00B54525">
              <w:rPr>
                <w:rFonts w:ascii="Arial" w:hAnsi="Arial" w:cs="Arial"/>
                <w:bCs/>
                <w:color w:val="000000"/>
                <w:sz w:val="18"/>
                <w:szCs w:val="18"/>
                <w:lang w:eastAsia="en-US"/>
              </w:rPr>
              <w:t>)</w:t>
            </w:r>
          </w:p>
        </w:tc>
        <w:tc>
          <w:tcPr>
            <w:tcW w:w="610" w:type="pct"/>
            <w:gridSpan w:val="2"/>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2012</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0.222 (0.133-0.369)</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w:t>
            </w:r>
            <w:r>
              <w:rPr>
                <w:rFonts w:ascii="Arial" w:hAnsi="Arial" w:cs="Arial"/>
                <w:bCs/>
                <w:color w:val="000000"/>
                <w:sz w:val="18"/>
                <w:szCs w:val="18"/>
                <w:lang w:eastAsia="en-US"/>
              </w:rPr>
              <w:t>203 (0.121-0.340</w:t>
            </w:r>
            <w:r w:rsidRPr="00B54525">
              <w:rPr>
                <w:rFonts w:ascii="Arial" w:hAnsi="Arial" w:cs="Arial"/>
                <w:bCs/>
                <w:color w:val="000000"/>
                <w:sz w:val="18"/>
                <w:szCs w:val="18"/>
                <w:lang w:eastAsia="en-US"/>
              </w:rPr>
              <w:t>)</w:t>
            </w:r>
          </w:p>
        </w:tc>
        <w:tc>
          <w:tcPr>
            <w:tcW w:w="610" w:type="pct"/>
            <w:gridSpan w:val="2"/>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2013</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0.428 (0.267-0.686)</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0.3</w:t>
            </w:r>
            <w:r>
              <w:rPr>
                <w:rFonts w:ascii="Arial" w:hAnsi="Arial" w:cs="Arial"/>
                <w:bCs/>
                <w:color w:val="000000"/>
                <w:sz w:val="18"/>
                <w:szCs w:val="18"/>
                <w:lang w:eastAsia="en-US"/>
              </w:rPr>
              <w:t>79 (0.235-0.612</w:t>
            </w:r>
            <w:r w:rsidRPr="00B54525">
              <w:rPr>
                <w:rFonts w:ascii="Arial" w:hAnsi="Arial" w:cs="Arial"/>
                <w:bCs/>
                <w:color w:val="000000"/>
                <w:sz w:val="18"/>
                <w:szCs w:val="18"/>
                <w:lang w:eastAsia="en-US"/>
              </w:rPr>
              <w:t>)</w:t>
            </w:r>
          </w:p>
        </w:tc>
        <w:tc>
          <w:tcPr>
            <w:tcW w:w="610" w:type="pct"/>
            <w:gridSpan w:val="2"/>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2014</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0.468 (0.294-0.744)</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0.001</w:t>
            </w:r>
          </w:p>
        </w:tc>
        <w:tc>
          <w:tcPr>
            <w:tcW w:w="1007" w:type="pct"/>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w:t>
            </w:r>
            <w:r>
              <w:rPr>
                <w:rFonts w:ascii="Arial" w:hAnsi="Arial" w:cs="Arial"/>
                <w:bCs/>
                <w:color w:val="000000"/>
                <w:sz w:val="18"/>
                <w:szCs w:val="18"/>
                <w:lang w:eastAsia="en-US"/>
              </w:rPr>
              <w:t>420 (0.262-0.674</w:t>
            </w:r>
            <w:r w:rsidRPr="00B54525">
              <w:rPr>
                <w:rFonts w:ascii="Arial" w:hAnsi="Arial" w:cs="Arial"/>
                <w:bCs/>
                <w:color w:val="000000"/>
                <w:sz w:val="18"/>
                <w:szCs w:val="18"/>
                <w:lang w:eastAsia="en-US"/>
              </w:rPr>
              <w:t>)</w:t>
            </w:r>
          </w:p>
        </w:tc>
        <w:tc>
          <w:tcPr>
            <w:tcW w:w="610" w:type="pct"/>
            <w:gridSpan w:val="2"/>
            <w:tcBorders>
              <w:top w:val="nil"/>
              <w:left w:val="nil"/>
              <w:bottom w:val="nil"/>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auto"/>
          </w:tcPr>
          <w:p w:rsidR="003B0DEE" w:rsidRPr="00B54525" w:rsidRDefault="003B0DEE" w:rsidP="000D5D90">
            <w:pPr>
              <w:spacing w:line="240" w:lineRule="auto"/>
              <w:jc w:val="left"/>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2015</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0.368 (0.212-0.638)</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c>
          <w:tcPr>
            <w:tcW w:w="1007" w:type="pct"/>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0.2</w:t>
            </w:r>
            <w:r>
              <w:rPr>
                <w:rFonts w:ascii="Arial" w:hAnsi="Arial" w:cs="Arial"/>
                <w:bCs/>
                <w:color w:val="000000"/>
                <w:sz w:val="18"/>
                <w:szCs w:val="18"/>
                <w:lang w:eastAsia="en-US"/>
              </w:rPr>
              <w:t>61 (0.148-0.459</w:t>
            </w:r>
            <w:r w:rsidRPr="00B54525">
              <w:rPr>
                <w:rFonts w:ascii="Arial" w:hAnsi="Arial" w:cs="Arial"/>
                <w:bCs/>
                <w:color w:val="000000"/>
                <w:sz w:val="18"/>
                <w:szCs w:val="18"/>
                <w:lang w:eastAsia="en-US"/>
              </w:rPr>
              <w:t>)</w:t>
            </w:r>
          </w:p>
        </w:tc>
        <w:tc>
          <w:tcPr>
            <w:tcW w:w="610" w:type="pct"/>
            <w:gridSpan w:val="2"/>
            <w:tcBorders>
              <w:top w:val="nil"/>
              <w:left w:val="nil"/>
              <w:bottom w:val="single" w:sz="8" w:space="0" w:color="000000"/>
              <w:right w:val="nil"/>
            </w:tcBorders>
            <w:shd w:val="clear" w:color="auto" w:fill="F2F2F2"/>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&lt;0.001</w:t>
            </w:r>
          </w:p>
        </w:tc>
      </w:tr>
      <w:tr w:rsidR="003B0DEE" w:rsidRPr="00B54525" w:rsidTr="000D5D90">
        <w:trPr>
          <w:trHeight w:val="20"/>
        </w:trPr>
        <w:tc>
          <w:tcPr>
            <w:tcW w:w="887" w:type="pct"/>
            <w:vMerge w:val="restart"/>
            <w:tcBorders>
              <w:top w:val="single" w:sz="8" w:space="0" w:color="000000"/>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
                <w:bCs/>
                <w:color w:val="000000"/>
                <w:sz w:val="18"/>
                <w:szCs w:val="18"/>
                <w:lang w:eastAsia="en-US"/>
              </w:rPr>
            </w:pPr>
            <w:r w:rsidRPr="00B54525">
              <w:rPr>
                <w:rFonts w:ascii="Arial" w:hAnsi="Arial" w:cs="Arial"/>
                <w:b/>
                <w:bCs/>
                <w:sz w:val="18"/>
                <w:szCs w:val="18"/>
                <w:lang w:eastAsia="en-US"/>
              </w:rPr>
              <w:t>Cluster grouping</w:t>
            </w:r>
          </w:p>
        </w:tc>
        <w:tc>
          <w:tcPr>
            <w:tcW w:w="1018" w:type="pct"/>
            <w:tcBorders>
              <w:top w:val="single" w:sz="8" w:space="0" w:color="000000"/>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1</w:t>
            </w:r>
          </w:p>
        </w:tc>
        <w:tc>
          <w:tcPr>
            <w:tcW w:w="104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w:t>
            </w:r>
          </w:p>
        </w:tc>
        <w:tc>
          <w:tcPr>
            <w:tcW w:w="429" w:type="pct"/>
            <w:tcBorders>
              <w:top w:val="single" w:sz="8" w:space="0" w:color="000000"/>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single" w:sz="8" w:space="0" w:color="000000"/>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2</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0.868 (0.424-1.778)</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3</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0.662 (0.318-1.378)</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rPr>
                <w:rFonts w:ascii="Arial" w:hAnsi="Arial" w:cs="Arial"/>
                <w:b/>
                <w:bCs/>
                <w:color w:val="000000"/>
                <w:sz w:val="18"/>
                <w:szCs w:val="18"/>
                <w:lang w:eastAsia="en-US"/>
              </w:rPr>
            </w:pPr>
          </w:p>
        </w:tc>
        <w:tc>
          <w:tcPr>
            <w:tcW w:w="1018" w:type="pct"/>
            <w:tcBorders>
              <w:top w:val="nil"/>
              <w:left w:val="nil"/>
              <w:bottom w:val="nil"/>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4</w:t>
            </w:r>
          </w:p>
        </w:tc>
        <w:tc>
          <w:tcPr>
            <w:tcW w:w="1049" w:type="pct"/>
            <w:tcBorders>
              <w:top w:val="nil"/>
              <w:left w:val="nil"/>
              <w:bottom w:val="nil"/>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0.777 (0.385-1.567)</w:t>
            </w:r>
          </w:p>
        </w:tc>
        <w:tc>
          <w:tcPr>
            <w:tcW w:w="429" w:type="pct"/>
            <w:tcBorders>
              <w:top w:val="nil"/>
              <w:left w:val="nil"/>
              <w:bottom w:val="nil"/>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nil"/>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r w:rsidR="003B0DEE" w:rsidRPr="00B54525" w:rsidTr="000D5D90">
        <w:trPr>
          <w:trHeight w:val="20"/>
        </w:trPr>
        <w:tc>
          <w:tcPr>
            <w:tcW w:w="887" w:type="pct"/>
            <w:vMerge/>
            <w:tcBorders>
              <w:top w:val="single" w:sz="8" w:space="0" w:color="000000"/>
              <w:left w:val="nil"/>
              <w:bottom w:val="single" w:sz="8" w:space="0" w:color="000000"/>
              <w:right w:val="nil"/>
            </w:tcBorders>
            <w:shd w:val="clear" w:color="auto" w:fill="FFFFFF"/>
            <w:vAlign w:val="bottom"/>
          </w:tcPr>
          <w:p w:rsidR="003B0DEE" w:rsidRPr="00B54525" w:rsidRDefault="003B0DEE" w:rsidP="000D5D90">
            <w:pPr>
              <w:spacing w:line="240" w:lineRule="auto"/>
              <w:rPr>
                <w:rFonts w:ascii="Arial" w:hAnsi="Arial" w:cs="Arial"/>
                <w:b/>
                <w:bCs/>
                <w:color w:val="000000"/>
                <w:sz w:val="18"/>
                <w:szCs w:val="18"/>
                <w:lang w:eastAsia="en-US"/>
              </w:rPr>
            </w:pPr>
          </w:p>
        </w:tc>
        <w:tc>
          <w:tcPr>
            <w:tcW w:w="1018" w:type="pct"/>
            <w:tcBorders>
              <w:top w:val="nil"/>
              <w:left w:val="nil"/>
              <w:bottom w:val="single" w:sz="8" w:space="0" w:color="000000"/>
              <w:right w:val="nil"/>
            </w:tcBorders>
            <w:shd w:val="clear" w:color="auto" w:fill="F2F2F2"/>
            <w:vAlign w:val="bottom"/>
          </w:tcPr>
          <w:p w:rsidR="003B0DEE" w:rsidRPr="00B54525" w:rsidRDefault="003B0DEE" w:rsidP="000D5D90">
            <w:pPr>
              <w:spacing w:line="240" w:lineRule="auto"/>
              <w:jc w:val="left"/>
              <w:rPr>
                <w:rFonts w:ascii="Arial" w:hAnsi="Arial" w:cs="Arial"/>
                <w:bCs/>
                <w:sz w:val="18"/>
                <w:szCs w:val="18"/>
                <w:lang w:eastAsia="en-US"/>
              </w:rPr>
            </w:pPr>
            <w:r w:rsidRPr="00B54525">
              <w:rPr>
                <w:rFonts w:ascii="Arial" w:hAnsi="Arial" w:cs="Arial"/>
                <w:bCs/>
                <w:sz w:val="18"/>
                <w:szCs w:val="18"/>
                <w:lang w:eastAsia="en-US"/>
              </w:rPr>
              <w:t>5</w:t>
            </w:r>
          </w:p>
        </w:tc>
        <w:tc>
          <w:tcPr>
            <w:tcW w:w="104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left"/>
              <w:rPr>
                <w:rFonts w:ascii="Arial" w:hAnsi="Arial" w:cs="Arial"/>
                <w:bCs/>
                <w:color w:val="000000"/>
                <w:sz w:val="18"/>
                <w:szCs w:val="18"/>
                <w:lang w:eastAsia="en-US"/>
              </w:rPr>
            </w:pPr>
            <w:r w:rsidRPr="00B54525">
              <w:rPr>
                <w:rFonts w:ascii="Arial" w:hAnsi="Arial" w:cs="Arial"/>
                <w:bCs/>
                <w:color w:val="000000"/>
                <w:sz w:val="18"/>
                <w:szCs w:val="18"/>
                <w:lang w:eastAsia="en-US"/>
              </w:rPr>
              <w:t>1.028 (0.516-2.047)</w:t>
            </w:r>
          </w:p>
        </w:tc>
        <w:tc>
          <w:tcPr>
            <w:tcW w:w="429" w:type="pct"/>
            <w:tcBorders>
              <w:top w:val="nil"/>
              <w:left w:val="nil"/>
              <w:bottom w:val="single" w:sz="8" w:space="0" w:color="000000"/>
              <w:right w:val="nil"/>
            </w:tcBorders>
            <w:shd w:val="clear" w:color="auto" w:fill="FFFFFF"/>
          </w:tcPr>
          <w:p w:rsidR="003B0DEE" w:rsidRPr="00B54525" w:rsidRDefault="003B0DEE" w:rsidP="000D5D90">
            <w:pPr>
              <w:spacing w:line="240" w:lineRule="auto"/>
              <w:jc w:val="right"/>
              <w:rPr>
                <w:rFonts w:ascii="Arial" w:hAnsi="Arial" w:cs="Arial"/>
                <w:bCs/>
                <w:color w:val="000000"/>
                <w:sz w:val="18"/>
                <w:szCs w:val="18"/>
                <w:lang w:eastAsia="en-US"/>
              </w:rPr>
            </w:pPr>
            <w:r w:rsidRPr="00B54525">
              <w:rPr>
                <w:rFonts w:ascii="Arial" w:hAnsi="Arial" w:cs="Arial"/>
                <w:bCs/>
                <w:color w:val="000000"/>
                <w:sz w:val="18"/>
                <w:szCs w:val="18"/>
                <w:lang w:eastAsia="en-US"/>
              </w:rPr>
              <w:t>NS</w:t>
            </w:r>
          </w:p>
        </w:tc>
        <w:tc>
          <w:tcPr>
            <w:tcW w:w="1617" w:type="pct"/>
            <w:gridSpan w:val="3"/>
            <w:tcBorders>
              <w:top w:val="nil"/>
              <w:left w:val="nil"/>
              <w:bottom w:val="single" w:sz="8" w:space="0" w:color="000000"/>
              <w:right w:val="nil"/>
            </w:tcBorders>
            <w:shd w:val="clear" w:color="auto" w:fill="F2F2F2"/>
          </w:tcPr>
          <w:p w:rsidR="003B0DEE" w:rsidRPr="00B54525" w:rsidRDefault="003B0DEE" w:rsidP="000D5D90">
            <w:pPr>
              <w:spacing w:line="240" w:lineRule="auto"/>
              <w:jc w:val="left"/>
              <w:rPr>
                <w:rFonts w:ascii="Arial" w:hAnsi="Arial" w:cs="Arial"/>
                <w:bCs/>
                <w:color w:val="000000"/>
                <w:sz w:val="18"/>
                <w:szCs w:val="18"/>
                <w:lang w:eastAsia="en-US"/>
              </w:rPr>
            </w:pPr>
          </w:p>
        </w:tc>
      </w:tr>
    </w:tbl>
    <w:p w:rsidR="00695031" w:rsidRPr="00DA2AA7" w:rsidRDefault="00695031" w:rsidP="00695031">
      <w:pPr>
        <w:spacing w:line="240" w:lineRule="auto"/>
        <w:rPr>
          <w:rFonts w:ascii="Arial" w:hAnsi="Arial" w:cs="Arial"/>
          <w:color w:val="000000"/>
          <w:sz w:val="18"/>
        </w:rPr>
      </w:pPr>
      <w:bookmarkStart w:id="182" w:name="_Toc2458910"/>
      <w:bookmarkStart w:id="183" w:name="_Toc5976196"/>
      <w:bookmarkStart w:id="184" w:name="_Toc7018753"/>
      <w:r w:rsidRPr="00DA2AA7">
        <w:rPr>
          <w:rFonts w:ascii="Arial" w:hAnsi="Arial" w:cs="Arial"/>
          <w:color w:val="000000"/>
          <w:sz w:val="18"/>
          <w:vertAlign w:val="superscript"/>
        </w:rPr>
        <w:t xml:space="preserve">‡ </w:t>
      </w:r>
      <w:r w:rsidRPr="00DA2AA7">
        <w:rPr>
          <w:rFonts w:ascii="Arial" w:hAnsi="Arial" w:cs="Arial"/>
          <w:color w:val="000000"/>
          <w:sz w:val="18"/>
        </w:rPr>
        <w:t xml:space="preserve">Other types of opioid drugs used in addition to the main problem. </w:t>
      </w:r>
    </w:p>
    <w:p w:rsidR="00DA2AA7" w:rsidRPr="00DA2AA7" w:rsidRDefault="00DA2AA7" w:rsidP="00DA2AA7">
      <w:pPr>
        <w:spacing w:line="240" w:lineRule="auto"/>
        <w:jc w:val="left"/>
        <w:rPr>
          <w:rFonts w:ascii="Arial" w:hAnsi="Arial" w:cs="Arial"/>
          <w:color w:val="000000"/>
          <w:sz w:val="18"/>
          <w:szCs w:val="22"/>
        </w:rPr>
      </w:pPr>
      <w:r w:rsidRPr="00DA2AA7">
        <w:rPr>
          <w:rFonts w:ascii="Arial" w:hAnsi="Arial" w:cs="Arial"/>
          <w:color w:val="000000"/>
          <w:sz w:val="18"/>
          <w:szCs w:val="22"/>
        </w:rPr>
        <w:t xml:space="preserve">† </w:t>
      </w:r>
      <w:proofErr w:type="gramStart"/>
      <w:r w:rsidRPr="00DA2AA7">
        <w:rPr>
          <w:rFonts w:ascii="Arial" w:hAnsi="Arial" w:cs="Arial"/>
          <w:color w:val="000000"/>
          <w:sz w:val="18"/>
          <w:szCs w:val="22"/>
        </w:rPr>
        <w:t>injectors</w:t>
      </w:r>
      <w:proofErr w:type="gramEnd"/>
      <w:r w:rsidRPr="00DA2AA7">
        <w:rPr>
          <w:rFonts w:ascii="Arial" w:hAnsi="Arial" w:cs="Arial"/>
          <w:color w:val="000000"/>
          <w:sz w:val="18"/>
          <w:szCs w:val="22"/>
        </w:rPr>
        <w:t xml:space="preserve"> only.</w:t>
      </w:r>
    </w:p>
    <w:p w:rsidR="003B0DEE" w:rsidRDefault="003B0DEE">
      <w:pPr>
        <w:spacing w:line="240" w:lineRule="auto"/>
        <w:jc w:val="left"/>
        <w:rPr>
          <w:rFonts w:ascii="Arial" w:hAnsi="Arial"/>
          <w:b/>
          <w:bCs/>
          <w:sz w:val="20"/>
          <w:szCs w:val="18"/>
        </w:rPr>
      </w:pPr>
      <w:r>
        <w:br w:type="page"/>
      </w:r>
    </w:p>
    <w:p w:rsidR="003B0DEE" w:rsidRPr="00D7462B" w:rsidRDefault="003B0DEE" w:rsidP="000D5D90">
      <w:pPr>
        <w:pStyle w:val="Caption"/>
        <w:keepNext/>
        <w:spacing w:line="240" w:lineRule="auto"/>
        <w:rPr>
          <w:rFonts w:cs="Arial"/>
          <w:b w:val="0"/>
        </w:rPr>
      </w:pPr>
      <w:bookmarkStart w:id="185" w:name="_Toc15332021"/>
      <w:r>
        <w:lastRenderedPageBreak/>
        <w:t>Table A4</w:t>
      </w:r>
      <w:r>
        <w:noBreakHyphen/>
      </w:r>
      <w:fldSimple w:instr=" SEQ Table \* ARABIC \s 1 ">
        <w:r>
          <w:rPr>
            <w:noProof/>
          </w:rPr>
          <w:t>5</w:t>
        </w:r>
      </w:fldSimple>
      <w:r>
        <w:t xml:space="preserve">  </w:t>
      </w:r>
      <w:r w:rsidRPr="00526B14">
        <w:rPr>
          <w:rFonts w:cs="Arial"/>
        </w:rPr>
        <w:t xml:space="preserve">Structured detoxification modality: </w:t>
      </w:r>
      <w:r w:rsidRPr="00526B14">
        <w:rPr>
          <w:rFonts w:cs="Arial"/>
          <w:b w:val="0"/>
        </w:rPr>
        <w:t>Cox regression models predicting treatment retention: hazard ratios, confidence interval and level of significance</w:t>
      </w:r>
      <w:bookmarkEnd w:id="182"/>
      <w:bookmarkEnd w:id="183"/>
      <w:bookmarkEnd w:id="184"/>
      <w:bookmarkEnd w:id="185"/>
    </w:p>
    <w:tbl>
      <w:tblPr>
        <w:tblW w:w="5262" w:type="pct"/>
        <w:tblBorders>
          <w:top w:val="single" w:sz="8" w:space="0" w:color="000000"/>
          <w:bottom w:val="single" w:sz="8" w:space="0" w:color="000000"/>
        </w:tblBorders>
        <w:shd w:val="clear" w:color="auto" w:fill="FFFFFF"/>
        <w:tblLook w:val="04A0" w:firstRow="1" w:lastRow="0" w:firstColumn="1" w:lastColumn="0" w:noHBand="0" w:noVBand="1"/>
      </w:tblPr>
      <w:tblGrid>
        <w:gridCol w:w="1676"/>
        <w:gridCol w:w="1978"/>
        <w:gridCol w:w="2138"/>
        <w:gridCol w:w="775"/>
        <w:gridCol w:w="1804"/>
        <w:gridCol w:w="290"/>
        <w:gridCol w:w="45"/>
        <w:gridCol w:w="769"/>
      </w:tblGrid>
      <w:tr w:rsidR="003B0DEE" w:rsidRPr="00D7462B" w:rsidTr="000D5D90">
        <w:trPr>
          <w:trHeight w:val="20"/>
          <w:tblHeader/>
        </w:trPr>
        <w:tc>
          <w:tcPr>
            <w:tcW w:w="884"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Characteristic</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Values</w:t>
            </w:r>
          </w:p>
        </w:tc>
        <w:tc>
          <w:tcPr>
            <w:tcW w:w="1537" w:type="pct"/>
            <w:gridSpan w:val="2"/>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Univariate analysis</w:t>
            </w:r>
          </w:p>
        </w:tc>
        <w:tc>
          <w:tcPr>
            <w:tcW w:w="1535"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Final multivariate model </w:t>
            </w:r>
          </w:p>
        </w:tc>
      </w:tr>
      <w:tr w:rsidR="003B0DEE" w:rsidRPr="00D7462B" w:rsidTr="000D5D90">
        <w:trPr>
          <w:trHeight w:val="48"/>
          <w:tblHeader/>
        </w:trPr>
        <w:tc>
          <w:tcPr>
            <w:tcW w:w="884"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rPr>
                <w:rFonts w:ascii="Arial" w:hAnsi="Arial" w:cs="Arial"/>
                <w:b/>
                <w:bCs/>
                <w:color w:val="000000"/>
                <w:sz w:val="18"/>
                <w:szCs w:val="18"/>
                <w:lang w:eastAsia="en-US"/>
              </w:rPr>
            </w:pP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righ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c>
          <w:tcPr>
            <w:tcW w:w="1129" w:type="pct"/>
            <w:gridSpan w:val="3"/>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righ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406"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r>
      <w:tr w:rsidR="003B0DEE" w:rsidRPr="00D7462B" w:rsidTr="000D5D90">
        <w:trPr>
          <w:trHeight w:val="20"/>
        </w:trPr>
        <w:tc>
          <w:tcPr>
            <w:tcW w:w="884"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entering treatment</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Years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0.968 (0.938-0.998)</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0.039</w:t>
            </w:r>
          </w:p>
        </w:tc>
        <w:tc>
          <w:tcPr>
            <w:tcW w:w="1129" w:type="pct"/>
            <w:gridSpan w:val="3"/>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Gender</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Male</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Female</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0.991 (0.56-1.754)</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Employment status</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Regular employment</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Student</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Retired/disability/at home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1.305 (0.134-12.733)</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Unemployed</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3.041 (0.943-9.812)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CF4FC7" w:rsidRDefault="003B0DEE" w:rsidP="000D5D90">
            <w:pPr>
              <w:spacing w:line="240" w:lineRule="auto"/>
              <w:jc w:val="left"/>
              <w:rPr>
                <w:rFonts w:ascii="Arial" w:hAnsi="Arial" w:cs="Arial"/>
                <w:bCs/>
                <w:sz w:val="18"/>
                <w:szCs w:val="18"/>
                <w:lang w:eastAsia="en-US"/>
              </w:rPr>
            </w:pPr>
            <w:r w:rsidRPr="00CF4FC7">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CF4FC7" w:rsidRDefault="003B0DEE" w:rsidP="000D5D90">
            <w:pPr>
              <w:spacing w:line="240" w:lineRule="auto"/>
              <w:jc w:val="left"/>
              <w:rPr>
                <w:rFonts w:ascii="Arial" w:hAnsi="Arial" w:cs="Arial"/>
                <w:bCs/>
                <w:color w:val="000000"/>
                <w:sz w:val="18"/>
                <w:szCs w:val="18"/>
                <w:lang w:eastAsia="en-US"/>
              </w:rPr>
            </w:pPr>
            <w:r w:rsidRPr="00CF4FC7">
              <w:rPr>
                <w:rFonts w:ascii="Arial" w:hAnsi="Arial" w:cs="Arial"/>
                <w:bCs/>
                <w:color w:val="000000"/>
                <w:sz w:val="18"/>
                <w:szCs w:val="18"/>
                <w:lang w:eastAsia="en-US"/>
              </w:rPr>
              <w:t>0.000 (0.000-0.009)</w:t>
            </w:r>
          </w:p>
        </w:tc>
        <w:tc>
          <w:tcPr>
            <w:tcW w:w="409" w:type="pct"/>
            <w:tcBorders>
              <w:top w:val="nil"/>
              <w:left w:val="nil"/>
              <w:bottom w:val="nil"/>
              <w:right w:val="nil"/>
            </w:tcBorders>
            <w:shd w:val="clear" w:color="auto" w:fill="FFFFFF"/>
          </w:tcPr>
          <w:p w:rsidR="003B0DEE" w:rsidRPr="00CF4FC7" w:rsidRDefault="003B0DEE" w:rsidP="000D5D90">
            <w:pPr>
              <w:spacing w:line="240" w:lineRule="auto"/>
              <w:jc w:val="right"/>
              <w:rPr>
                <w:rFonts w:ascii="Arial" w:hAnsi="Arial" w:cs="Arial"/>
                <w:bCs/>
                <w:color w:val="000000"/>
                <w:sz w:val="18"/>
                <w:szCs w:val="18"/>
                <w:lang w:eastAsia="en-US"/>
              </w:rPr>
            </w:pPr>
            <w:r w:rsidRPr="00CF4FC7">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single" w:sz="8" w:space="0" w:color="000000"/>
              <w:right w:val="nil"/>
            </w:tcBorders>
            <w:shd w:val="clear" w:color="auto" w:fill="F2F2F2"/>
          </w:tcPr>
          <w:p w:rsidR="003B0DEE" w:rsidRPr="00CF4FC7" w:rsidRDefault="003B0DEE" w:rsidP="000D5D90">
            <w:pPr>
              <w:spacing w:line="240" w:lineRule="auto"/>
              <w:jc w:val="left"/>
              <w:rPr>
                <w:rFonts w:ascii="Arial" w:hAnsi="Arial" w:cs="Arial"/>
                <w:bCs/>
                <w:sz w:val="18"/>
                <w:szCs w:val="18"/>
                <w:lang w:eastAsia="en-US"/>
              </w:rPr>
            </w:pPr>
            <w:r w:rsidRPr="00CF4FC7">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CF4FC7" w:rsidRDefault="003B0DEE" w:rsidP="000D5D90">
            <w:pPr>
              <w:spacing w:line="240" w:lineRule="auto"/>
              <w:jc w:val="left"/>
              <w:rPr>
                <w:rFonts w:ascii="Arial" w:hAnsi="Arial" w:cs="Arial"/>
                <w:bCs/>
                <w:color w:val="000000"/>
                <w:sz w:val="18"/>
                <w:szCs w:val="18"/>
                <w:lang w:eastAsia="en-US"/>
              </w:rPr>
            </w:pPr>
            <w:r w:rsidRPr="00CF4FC7">
              <w:rPr>
                <w:rFonts w:ascii="Arial" w:hAnsi="Arial" w:cs="Arial"/>
                <w:bCs/>
                <w:color w:val="000000"/>
                <w:sz w:val="18"/>
                <w:szCs w:val="18"/>
                <w:lang w:eastAsia="en-US"/>
              </w:rPr>
              <w:t>0.000 (0.000-0.009)</w:t>
            </w:r>
          </w:p>
        </w:tc>
        <w:tc>
          <w:tcPr>
            <w:tcW w:w="409" w:type="pct"/>
            <w:tcBorders>
              <w:top w:val="nil"/>
              <w:left w:val="nil"/>
              <w:bottom w:val="single" w:sz="8" w:space="0" w:color="000000"/>
              <w:right w:val="nil"/>
            </w:tcBorders>
            <w:shd w:val="clear" w:color="auto" w:fill="FFFFFF"/>
          </w:tcPr>
          <w:p w:rsidR="003B0DEE" w:rsidRPr="00CF4FC7" w:rsidRDefault="003B0DEE" w:rsidP="000D5D90">
            <w:pPr>
              <w:spacing w:line="240" w:lineRule="auto"/>
              <w:jc w:val="right"/>
              <w:rPr>
                <w:rFonts w:ascii="Arial" w:hAnsi="Arial" w:cs="Arial"/>
                <w:bCs/>
                <w:color w:val="000000"/>
                <w:sz w:val="18"/>
                <w:szCs w:val="18"/>
                <w:lang w:eastAsia="en-US"/>
              </w:rPr>
            </w:pPr>
            <w:r w:rsidRPr="00CF4FC7">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sz w:val="18"/>
                <w:szCs w:val="18"/>
                <w:highlight w:val="yellow"/>
                <w:lang w:eastAsia="en-US"/>
              </w:rPr>
            </w:pPr>
            <w:r w:rsidRPr="00D7462B">
              <w:rPr>
                <w:rFonts w:ascii="Arial" w:hAnsi="Arial" w:cs="Arial"/>
                <w:b/>
                <w:bCs/>
                <w:sz w:val="18"/>
                <w:szCs w:val="18"/>
                <w:lang w:eastAsia="en-US"/>
              </w:rPr>
              <w:t>Living arrangements</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0.013</w:t>
            </w:r>
          </w:p>
        </w:tc>
        <w:tc>
          <w:tcPr>
            <w:tcW w:w="1535" w:type="pct"/>
            <w:gridSpan w:val="4"/>
            <w:vMerge w:val="restar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Parents or family</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3.686 (1.098-12.381)</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0.035</w:t>
            </w:r>
          </w:p>
        </w:tc>
        <w:tc>
          <w:tcPr>
            <w:tcW w:w="1535" w:type="pct"/>
            <w:gridSpan w:val="4"/>
            <w:vMerge/>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22"/>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 with child/</w:t>
            </w:r>
          </w:p>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partner and child</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2.2 (0.604-8.019)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vMerge/>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68"/>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With partner</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1.36 (0.304-6.084)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vMerge/>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Friends</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7.457 (1.868-29.768)</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0.004</w:t>
            </w:r>
          </w:p>
        </w:tc>
        <w:tc>
          <w:tcPr>
            <w:tcW w:w="1535" w:type="pct"/>
            <w:gridSpan w:val="4"/>
            <w:vMerge/>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8.853 (1.438-54.506)</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0.019</w:t>
            </w:r>
          </w:p>
        </w:tc>
        <w:tc>
          <w:tcPr>
            <w:tcW w:w="1535" w:type="pct"/>
            <w:gridSpan w:val="4"/>
            <w:vMerge/>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68"/>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0.013</w:t>
            </w:r>
          </w:p>
        </w:tc>
        <w:tc>
          <w:tcPr>
            <w:tcW w:w="1535" w:type="pct"/>
            <w:gridSpan w:val="4"/>
            <w:vMerge/>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Left before age 16 years</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0.781 (0.416-1.464)</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Level of education</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Never went to school/some primary level</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Completed primary level</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1.19 (0.147-9.61)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second level </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1.261 (0.171-9.32)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third level </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1.681 (0.173-16.37)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Still in education</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4.739 (0.537-41.795)</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highlight w:val="yellow"/>
                <w:lang w:eastAsia="en-US"/>
              </w:rPr>
            </w:pPr>
            <w:r w:rsidRPr="00D7462B">
              <w:rPr>
                <w:rFonts w:ascii="Arial" w:hAnsi="Arial" w:cs="Arial"/>
                <w:b/>
                <w:bCs/>
                <w:color w:val="000000"/>
                <w:sz w:val="18"/>
                <w:szCs w:val="18"/>
                <w:lang w:eastAsia="en-US"/>
              </w:rPr>
              <w:t>Resident in</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Dublin</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2.005 (0.93-4.319)</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vMerge w:val="restar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Outside Dublin</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vMerge/>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Main type of problem </w:t>
            </w:r>
            <w:r>
              <w:rPr>
                <w:rFonts w:ascii="Arial" w:hAnsi="Arial" w:cs="Arial"/>
                <w:b/>
                <w:bCs/>
                <w:sz w:val="18"/>
                <w:szCs w:val="18"/>
                <w:lang w:eastAsia="en-US"/>
              </w:rPr>
              <w:t>opioid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Heroin</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p>
        </w:tc>
        <w:tc>
          <w:tcPr>
            <w:tcW w:w="1535"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Other </w:t>
            </w:r>
            <w:r>
              <w:rPr>
                <w:rFonts w:ascii="Arial" w:hAnsi="Arial" w:cs="Arial"/>
                <w:bCs/>
                <w:sz w:val="18"/>
                <w:szCs w:val="18"/>
                <w:lang w:eastAsia="en-US"/>
              </w:rPr>
              <w:t>opioid</w:t>
            </w:r>
            <w:r w:rsidRPr="00D7462B">
              <w:rPr>
                <w:rFonts w:ascii="Arial" w:hAnsi="Arial" w:cs="Arial"/>
                <w:bCs/>
                <w:sz w:val="18"/>
                <w:szCs w:val="18"/>
                <w:lang w:eastAsia="en-US"/>
              </w:rPr>
              <w:t>s</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0.434 (0.191-0.982)</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0.045</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Route of opioid administration </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Inject</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Smoke</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0.666 (0.352-1.259)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Eat or drink</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0.366 (0.153-0.873)</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1.543 (0.203-11.715)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Not recorded</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 (0-.)</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Frequency of opioid use in month prior to treatment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 use in the past month</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Once a week or less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0.326 (0.054-1.973)</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2-6 days per week</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0.933 (0.252-3.454)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Daily</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0.584 (0.176-1.942)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1.71 (0.448-6.533)</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highlight w:val="yellow"/>
                <w:lang w:eastAsia="en-US"/>
              </w:rPr>
            </w:pPr>
            <w:r w:rsidRPr="00D7462B">
              <w:rPr>
                <w:rFonts w:ascii="Arial" w:hAnsi="Arial" w:cs="Arial"/>
                <w:b/>
                <w:bCs/>
                <w:color w:val="000000"/>
                <w:sz w:val="18"/>
                <w:szCs w:val="18"/>
                <w:lang w:eastAsia="en-US"/>
              </w:rPr>
              <w:t>Polysubstance use</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2.07 (1.176-3.645)</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0.012</w:t>
            </w:r>
          </w:p>
        </w:tc>
        <w:tc>
          <w:tcPr>
            <w:tcW w:w="1535"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Number of problem substances </w:t>
            </w:r>
            <w:r>
              <w:rPr>
                <w:rFonts w:ascii="Arial" w:hAnsi="Arial" w:cs="Arial"/>
                <w:b/>
                <w:bCs/>
                <w:color w:val="000000"/>
                <w:sz w:val="18"/>
                <w:szCs w:val="18"/>
                <w:lang w:eastAsia="en-US"/>
              </w:rPr>
              <w:t>reported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One substance</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0.059</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Two substances</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1.588 (0.683-3.691)</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Three substances</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2.276 (1.078-4.803)</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0.031</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Four substances</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2.569 (1.094-6.029)</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Pr>
                <w:rFonts w:ascii="Arial" w:hAnsi="Arial" w:cs="Arial"/>
                <w:b/>
                <w:bCs/>
                <w:color w:val="000000"/>
                <w:sz w:val="18"/>
                <w:szCs w:val="18"/>
                <w:lang w:eastAsia="en-US"/>
              </w:rPr>
              <w:t>Type of a</w:t>
            </w:r>
            <w:r w:rsidRPr="00D7462B">
              <w:rPr>
                <w:rFonts w:ascii="Arial" w:hAnsi="Arial" w:cs="Arial"/>
                <w:b/>
                <w:bCs/>
                <w:color w:val="000000"/>
                <w:sz w:val="18"/>
                <w:szCs w:val="18"/>
                <w:lang w:eastAsia="en-US"/>
              </w:rPr>
              <w:t xml:space="preserve">dditional problem substances </w:t>
            </w:r>
            <w:r w:rsidRPr="00D7462B">
              <w:rPr>
                <w:rFonts w:ascii="Arial" w:hAnsi="Arial" w:cs="Arial"/>
                <w:b/>
                <w:bCs/>
                <w:color w:val="000000"/>
                <w:sz w:val="18"/>
                <w:szCs w:val="18"/>
                <w:lang w:eastAsia="en-US"/>
              </w:rPr>
              <w:lastRenderedPageBreak/>
              <w:t>used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lastRenderedPageBreak/>
              <w:t xml:space="preserve">Alcohol </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1.201 (0.509-2.834)</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Amphetamines</w:t>
            </w:r>
          </w:p>
        </w:tc>
        <w:tc>
          <w:tcPr>
            <w:tcW w:w="1537" w:type="pct"/>
            <w:gridSpan w:val="2"/>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N/A no cases </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Benzodiazepines</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1.689 (0.858-3.323)</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Cannabis</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2.129 (1.129-4.014)</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w:t>
            </w:r>
          </w:p>
        </w:tc>
        <w:tc>
          <w:tcPr>
            <w:tcW w:w="1535"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Cocaine</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1.741 (0.775-3.915)</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Ecstasy</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1.155 (0.28-4.772)</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Opioid</w:t>
            </w:r>
            <w:r w:rsidRPr="00D7462B">
              <w:rPr>
                <w:rFonts w:ascii="Arial" w:hAnsi="Arial" w:cs="Arial"/>
                <w:bCs/>
                <w:sz w:val="18"/>
                <w:szCs w:val="18"/>
                <w:lang w:eastAsia="en-US"/>
              </w:rPr>
              <w:t>s‡</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3.192 (1.134-8.987)</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0.028</w:t>
            </w:r>
          </w:p>
        </w:tc>
        <w:tc>
          <w:tcPr>
            <w:tcW w:w="1535"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Other substances</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2.179 (0.674-7.048)</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injected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No</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0.855 (0.473-1.546)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2.609 (0.884-7.695)</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6"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Currently injecting</w:t>
            </w:r>
            <w:r w:rsidRPr="00695031">
              <w:rPr>
                <w:rFonts w:ascii="Arial" w:hAnsi="Arial" w:cs="Arial"/>
                <w:b/>
                <w:bCs/>
                <w:dstrike/>
                <w:color w:val="000000"/>
                <w:sz w:val="18"/>
                <w:szCs w:val="18"/>
                <w:lang w:eastAsia="en-US"/>
              </w:rPr>
              <w: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0.022</w:t>
            </w:r>
          </w:p>
        </w:tc>
        <w:tc>
          <w:tcPr>
            <w:tcW w:w="1535"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0.598 (0.305-1.171)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0.134</w:t>
            </w:r>
          </w:p>
        </w:tc>
        <w:tc>
          <w:tcPr>
            <w:tcW w:w="1535"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1.956 (0.728-5.256)</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0.184</w:t>
            </w:r>
          </w:p>
        </w:tc>
        <w:tc>
          <w:tcPr>
            <w:tcW w:w="1535"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shared injecting equipment</w:t>
            </w:r>
            <w:r w:rsidRPr="00695031">
              <w:rPr>
                <w:rFonts w:ascii="Arial" w:hAnsi="Arial" w:cs="Arial"/>
                <w:b/>
                <w:bCs/>
                <w:dstrike/>
                <w:color w:val="000000"/>
                <w:sz w:val="18"/>
                <w:szCs w:val="18"/>
                <w:lang w:eastAsia="en-US"/>
              </w:rPr>
              <w: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535"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1.008 (0.31-3.279)</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any drug</w:t>
            </w:r>
          </w:p>
        </w:tc>
        <w:tc>
          <w:tcPr>
            <w:tcW w:w="1044" w:type="pct"/>
            <w:tcBorders>
              <w:top w:val="single" w:sz="8" w:space="0" w:color="000000"/>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0.968 (0.932-1.006)</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opioids</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0.949 (0.913-0.986)</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0.008</w:t>
            </w:r>
          </w:p>
        </w:tc>
        <w:tc>
          <w:tcPr>
            <w:tcW w:w="1535"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Time lag between first use of opioids and seeking treatment</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1.034 (0.984-1.086)</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Treatment setting</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Outpatient</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2"/>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30" w:type="pct"/>
            <w:gridSpan w:val="2"/>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Inpatient</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7.173 (3.539-14.536)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2"/>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10.093 (4.625-22.025)</w:t>
            </w:r>
          </w:p>
          <w:p w:rsidR="003B0DEE" w:rsidRPr="00D7462B" w:rsidRDefault="003B0DEE" w:rsidP="000D5D90">
            <w:pPr>
              <w:spacing w:line="240" w:lineRule="auto"/>
              <w:jc w:val="left"/>
              <w:rPr>
                <w:rFonts w:ascii="Arial" w:hAnsi="Arial" w:cs="Arial"/>
                <w:bCs/>
                <w:color w:val="000000"/>
                <w:sz w:val="18"/>
                <w:szCs w:val="18"/>
                <w:lang w:eastAsia="en-US"/>
              </w:rPr>
            </w:pPr>
          </w:p>
        </w:tc>
        <w:tc>
          <w:tcPr>
            <w:tcW w:w="430" w:type="pct"/>
            <w:gridSpan w:val="2"/>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Low threshold</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105"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30"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righ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105"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430"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righ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Prison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 (0-3.309)</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05" w:type="pct"/>
            <w:gridSpan w:val="2"/>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 (0-.)</w:t>
            </w:r>
          </w:p>
        </w:tc>
        <w:tc>
          <w:tcPr>
            <w:tcW w:w="430" w:type="pct"/>
            <w:gridSpan w:val="2"/>
            <w:tcBorders>
              <w:top w:val="nil"/>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Referral source</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Self</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0.032</w:t>
            </w:r>
          </w:p>
        </w:tc>
        <w:tc>
          <w:tcPr>
            <w:tcW w:w="1129" w:type="pct"/>
            <w:gridSpan w:val="3"/>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6"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0.009</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Family/friends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0.834 (0.342-2.037)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0.304 (0.119-0.778)</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0.013</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 drug treatment centre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1.794 (0.61-5.276)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1.71 (0.576-5.078)</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0.221 (0.052-0.942)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0.041</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0.386 (0.086-1.722)</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Hospital/other medical source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0.726 (0.215-2.445)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0.785 (0.232-2.654)</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Social services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0.445 (0.17-1.167)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0.409 (0.156-1.071)</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Court/probation</w:t>
            </w:r>
            <w:r>
              <w:rPr>
                <w:rFonts w:ascii="Arial" w:hAnsi="Arial" w:cs="Arial"/>
                <w:bCs/>
                <w:sz w:val="18"/>
                <w:szCs w:val="18"/>
                <w:lang w:eastAsia="en-US"/>
              </w:rPr>
              <w:t xml:space="preserve"> service</w:t>
            </w:r>
            <w:r w:rsidRPr="00D7462B">
              <w:rPr>
                <w:rFonts w:ascii="Arial" w:hAnsi="Arial" w:cs="Arial"/>
                <w:bCs/>
                <w:sz w:val="18"/>
                <w:szCs w:val="18"/>
                <w:lang w:eastAsia="en-US"/>
              </w:rPr>
              <w:t>/police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0.434 (0.059-3.214)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0.164 (0.022-1.237)</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14.517 (1.707-123.46)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0.014</w:t>
            </w:r>
          </w:p>
        </w:tc>
        <w:tc>
          <w:tcPr>
            <w:tcW w:w="1129"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7.435 (0.865-63.922)</w:t>
            </w:r>
          </w:p>
        </w:tc>
        <w:tc>
          <w:tcPr>
            <w:tcW w:w="406"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2.135 (0.501-9.102)</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3"/>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2.98 (0.672-13.211)</w:t>
            </w:r>
          </w:p>
        </w:tc>
        <w:tc>
          <w:tcPr>
            <w:tcW w:w="406"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Year commenced treatment </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2009</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0.047</w:t>
            </w:r>
          </w:p>
        </w:tc>
        <w:tc>
          <w:tcPr>
            <w:tcW w:w="1535" w:type="pct"/>
            <w:gridSpan w:val="4"/>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2010</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0.22 (0.07-0.694)</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w:t>
            </w:r>
          </w:p>
        </w:tc>
        <w:tc>
          <w:tcPr>
            <w:tcW w:w="952"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2011</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0.117 (0.027-0.515)</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0.005</w:t>
            </w:r>
          </w:p>
        </w:tc>
        <w:tc>
          <w:tcPr>
            <w:tcW w:w="952"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2012</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0.149 (0.038-0.573)</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0.006</w:t>
            </w:r>
          </w:p>
        </w:tc>
        <w:tc>
          <w:tcPr>
            <w:tcW w:w="952"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2013</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0.251 (0.07-0.896)</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0.033</w:t>
            </w:r>
          </w:p>
        </w:tc>
        <w:tc>
          <w:tcPr>
            <w:tcW w:w="952"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2014</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0.265 (0.087-0.81)</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w:t>
            </w:r>
          </w:p>
        </w:tc>
        <w:tc>
          <w:tcPr>
            <w:tcW w:w="952"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2015</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0.394 (0.133-1.168)</w:t>
            </w:r>
          </w:p>
        </w:tc>
        <w:tc>
          <w:tcPr>
            <w:tcW w:w="409" w:type="pct"/>
            <w:tcBorders>
              <w:top w:val="nil"/>
              <w:left w:val="nil"/>
              <w:bottom w:val="single" w:sz="8" w:space="0" w:color="000000"/>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952"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83" w:type="pct"/>
            <w:gridSpan w:val="3"/>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Cluster grouping</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1</w:t>
            </w:r>
          </w:p>
        </w:tc>
        <w:tc>
          <w:tcPr>
            <w:tcW w:w="1128" w:type="pct"/>
            <w:tcBorders>
              <w:top w:val="single" w:sz="8" w:space="0" w:color="000000"/>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3.272 (1.218-8.792)</w:t>
            </w:r>
          </w:p>
        </w:tc>
        <w:tc>
          <w:tcPr>
            <w:tcW w:w="409" w:type="pct"/>
            <w:tcBorders>
              <w:top w:val="nil"/>
              <w:left w:val="nil"/>
              <w:bottom w:val="nil"/>
              <w:right w:val="nil"/>
            </w:tcBorders>
            <w:shd w:val="clear" w:color="auto" w:fill="FFFFFF"/>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0.019</w:t>
            </w:r>
          </w:p>
        </w:tc>
        <w:tc>
          <w:tcPr>
            <w:tcW w:w="1535"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3</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1.952 (0.709-5.371)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4</w:t>
            </w:r>
          </w:p>
        </w:tc>
        <w:tc>
          <w:tcPr>
            <w:tcW w:w="1128" w:type="pct"/>
            <w:tcBorders>
              <w:top w:val="nil"/>
              <w:left w:val="nil"/>
              <w:bottom w:val="nil"/>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2.294 (0.817-6.437)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4"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5</w:t>
            </w:r>
          </w:p>
        </w:tc>
        <w:tc>
          <w:tcPr>
            <w:tcW w:w="1128" w:type="pct"/>
            <w:tcBorders>
              <w:top w:val="nil"/>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2.142 (0.865-5.302)</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5"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bl>
    <w:p w:rsidR="00695031" w:rsidRPr="00695031" w:rsidRDefault="00695031" w:rsidP="00695031">
      <w:pPr>
        <w:spacing w:line="240" w:lineRule="auto"/>
        <w:rPr>
          <w:rFonts w:ascii="Arial" w:hAnsi="Arial" w:cs="Arial"/>
          <w:color w:val="000000"/>
          <w:sz w:val="18"/>
        </w:rPr>
      </w:pPr>
      <w:r w:rsidRPr="00695031">
        <w:rPr>
          <w:rFonts w:ascii="Arial" w:hAnsi="Arial" w:cs="Arial"/>
          <w:color w:val="000000"/>
          <w:sz w:val="18"/>
          <w:vertAlign w:val="superscript"/>
        </w:rPr>
        <w:t xml:space="preserve">‡ </w:t>
      </w:r>
      <w:r w:rsidRPr="00695031">
        <w:rPr>
          <w:rFonts w:ascii="Arial" w:hAnsi="Arial" w:cs="Arial"/>
          <w:color w:val="000000"/>
          <w:sz w:val="18"/>
        </w:rPr>
        <w:t xml:space="preserve">Other types of opioid drugs used in addition to the main problem. </w:t>
      </w:r>
    </w:p>
    <w:p w:rsidR="00DA2AA7" w:rsidRPr="00DA2AA7" w:rsidRDefault="00DA2AA7" w:rsidP="00DA2AA7">
      <w:pPr>
        <w:spacing w:line="240" w:lineRule="auto"/>
        <w:jc w:val="left"/>
        <w:rPr>
          <w:rFonts w:ascii="Arial" w:hAnsi="Arial" w:cs="Arial"/>
          <w:color w:val="000000"/>
          <w:sz w:val="18"/>
          <w:szCs w:val="22"/>
        </w:rPr>
      </w:pPr>
      <w:r w:rsidRPr="00DA2AA7">
        <w:rPr>
          <w:rFonts w:ascii="Arial" w:hAnsi="Arial" w:cs="Arial"/>
          <w:color w:val="000000"/>
          <w:sz w:val="18"/>
          <w:szCs w:val="22"/>
        </w:rPr>
        <w:t xml:space="preserve">† </w:t>
      </w:r>
      <w:proofErr w:type="gramStart"/>
      <w:r w:rsidRPr="00DA2AA7">
        <w:rPr>
          <w:rFonts w:ascii="Arial" w:hAnsi="Arial" w:cs="Arial"/>
          <w:color w:val="000000"/>
          <w:sz w:val="18"/>
          <w:szCs w:val="22"/>
        </w:rPr>
        <w:t>injectors</w:t>
      </w:r>
      <w:proofErr w:type="gramEnd"/>
      <w:r w:rsidRPr="00DA2AA7">
        <w:rPr>
          <w:rFonts w:ascii="Arial" w:hAnsi="Arial" w:cs="Arial"/>
          <w:color w:val="000000"/>
          <w:sz w:val="18"/>
          <w:szCs w:val="22"/>
        </w:rPr>
        <w:t xml:space="preserve"> only.</w:t>
      </w:r>
    </w:p>
    <w:p w:rsidR="003B0DEE" w:rsidRPr="00D7462B" w:rsidRDefault="003B0DEE" w:rsidP="000D5D90">
      <w:pPr>
        <w:pStyle w:val="Caption"/>
        <w:spacing w:line="240" w:lineRule="auto"/>
        <w:rPr>
          <w:rFonts w:cs="Arial"/>
          <w:b w:val="0"/>
        </w:rPr>
      </w:pPr>
      <w:r>
        <w:rPr>
          <w:rFonts w:cs="Arial"/>
        </w:rPr>
        <w:br w:type="page"/>
      </w:r>
      <w:bookmarkStart w:id="186" w:name="_Toc2458911"/>
      <w:bookmarkStart w:id="187" w:name="_Toc5976197"/>
      <w:bookmarkStart w:id="188" w:name="_Toc15332022"/>
      <w:r>
        <w:lastRenderedPageBreak/>
        <w:t>Table A4</w:t>
      </w:r>
      <w:r>
        <w:noBreakHyphen/>
      </w:r>
      <w:fldSimple w:instr=" SEQ Table \* ARABIC \s 1 ">
        <w:r>
          <w:rPr>
            <w:noProof/>
          </w:rPr>
          <w:t>6</w:t>
        </w:r>
      </w:fldSimple>
      <w:r>
        <w:t xml:space="preserve">  </w:t>
      </w:r>
      <w:proofErr w:type="gramStart"/>
      <w:r w:rsidRPr="00526B14">
        <w:rPr>
          <w:rFonts w:cs="Arial"/>
        </w:rPr>
        <w:t>Counselling</w:t>
      </w:r>
      <w:proofErr w:type="gramEnd"/>
      <w:r w:rsidRPr="00526B14">
        <w:rPr>
          <w:rFonts w:cs="Arial"/>
        </w:rPr>
        <w:t xml:space="preserve"> only modality:</w:t>
      </w:r>
      <w:r w:rsidRPr="00526B14">
        <w:rPr>
          <w:rFonts w:cs="Arial"/>
          <w:b w:val="0"/>
        </w:rPr>
        <w:t xml:space="preserve"> Cox regression models predicting treatment retention: hazard ratios, confidence interval and level of significance</w:t>
      </w:r>
      <w:bookmarkEnd w:id="186"/>
      <w:bookmarkEnd w:id="187"/>
      <w:bookmarkEnd w:id="188"/>
    </w:p>
    <w:tbl>
      <w:tblPr>
        <w:tblW w:w="5691" w:type="pct"/>
        <w:tblBorders>
          <w:top w:val="single" w:sz="8" w:space="0" w:color="000000"/>
          <w:bottom w:val="single" w:sz="8" w:space="0" w:color="000000"/>
        </w:tblBorders>
        <w:shd w:val="clear" w:color="auto" w:fill="FFFFFF"/>
        <w:tblLook w:val="04A0" w:firstRow="1" w:lastRow="0" w:firstColumn="1" w:lastColumn="0" w:noHBand="0" w:noVBand="1"/>
      </w:tblPr>
      <w:tblGrid>
        <w:gridCol w:w="1671"/>
        <w:gridCol w:w="1978"/>
        <w:gridCol w:w="2138"/>
        <w:gridCol w:w="775"/>
        <w:gridCol w:w="1803"/>
        <w:gridCol w:w="291"/>
        <w:gridCol w:w="45"/>
        <w:gridCol w:w="773"/>
        <w:gridCol w:w="773"/>
      </w:tblGrid>
      <w:tr w:rsidR="003B0DEE" w:rsidRPr="00D7462B" w:rsidTr="000D5D90">
        <w:trPr>
          <w:gridAfter w:val="1"/>
          <w:wAfter w:w="377" w:type="pct"/>
          <w:trHeight w:val="20"/>
          <w:tblHeader/>
        </w:trPr>
        <w:tc>
          <w:tcPr>
            <w:tcW w:w="815"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Characteristic</w:t>
            </w:r>
          </w:p>
        </w:tc>
        <w:tc>
          <w:tcPr>
            <w:tcW w:w="965"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Values</w:t>
            </w:r>
          </w:p>
        </w:tc>
        <w:tc>
          <w:tcPr>
            <w:tcW w:w="1421" w:type="pct"/>
            <w:gridSpan w:val="2"/>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Univariate analysis</w:t>
            </w: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center"/>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Final multivariate model </w:t>
            </w:r>
          </w:p>
        </w:tc>
      </w:tr>
      <w:tr w:rsidR="003B0DEE" w:rsidRPr="00D7462B" w:rsidTr="000D5D90">
        <w:trPr>
          <w:gridAfter w:val="1"/>
          <w:wAfter w:w="377" w:type="pct"/>
          <w:trHeight w:val="48"/>
          <w:tblHeader/>
        </w:trPr>
        <w:tc>
          <w:tcPr>
            <w:tcW w:w="815"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965"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37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c>
          <w:tcPr>
            <w:tcW w:w="1044" w:type="pct"/>
            <w:gridSpan w:val="3"/>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377"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r>
      <w:tr w:rsidR="003B0DEE" w:rsidRPr="00D7462B" w:rsidTr="000D5D90">
        <w:trPr>
          <w:trHeight w:val="20"/>
        </w:trPr>
        <w:tc>
          <w:tcPr>
            <w:tcW w:w="815"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entering treatment</w:t>
            </w:r>
          </w:p>
        </w:tc>
        <w:tc>
          <w:tcPr>
            <w:tcW w:w="965"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Years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0.986 (0.979-0.993)</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0.985 (0.977-0.992)</w:t>
            </w:r>
          </w:p>
        </w:tc>
        <w:tc>
          <w:tcPr>
            <w:tcW w:w="377"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377" w:type="pct"/>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Gender</w:t>
            </w:r>
          </w:p>
        </w:tc>
        <w:tc>
          <w:tcPr>
            <w:tcW w:w="965"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Male</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421"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sz w:val="18"/>
                <w:szCs w:val="18"/>
                <w:lang w:eastAsia="en-US"/>
              </w:rPr>
            </w:pPr>
          </w:p>
        </w:tc>
        <w:tc>
          <w:tcPr>
            <w:tcW w:w="965"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Female</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1.269 (1.135-1.419)</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Employment status</w:t>
            </w:r>
          </w:p>
        </w:tc>
        <w:tc>
          <w:tcPr>
            <w:tcW w:w="965"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Regular employment</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Student</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0.879 (0.52-1.487)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0.786 (0.451-1.371)</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Retired/disability/at home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0.639 (0.5-0.815)</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1.073 (0.789-1.46)</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Unemployed</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1.495 (1.224-1.825)</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1.514 (1.229-1.865)</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1.084 (0.74-1.588)</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1.208 (0.816-1.788)</w:t>
            </w: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965"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1.217 (0.697-2.126)</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1.133 (0.647-1.982)</w:t>
            </w:r>
          </w:p>
        </w:tc>
        <w:tc>
          <w:tcPr>
            <w:tcW w:w="37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r w:rsidRPr="00D7462B">
              <w:rPr>
                <w:rFonts w:ascii="Arial" w:hAnsi="Arial" w:cs="Arial"/>
                <w:b/>
                <w:bCs/>
                <w:sz w:val="18"/>
                <w:szCs w:val="18"/>
                <w:lang w:eastAsia="en-US"/>
              </w:rPr>
              <w:t>Living arrangements</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421" w:type="pct"/>
            <w:gridSpan w:val="4"/>
            <w:vMerge w:val="restar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Parents or family</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1.213 (1.01-1.456)</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0.038</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22"/>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 with child/</w:t>
            </w:r>
          </w:p>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partner and child</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1.071 (0.875-1.31)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68"/>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With partner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0.968 (0.751-1.246)</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Friends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1.372 (0.949-1.983)</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0.729 (0.597-0.89)</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68"/>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2.702 (1.499-4.868)</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Left before age 16 years</w:t>
            </w:r>
          </w:p>
        </w:tc>
        <w:tc>
          <w:tcPr>
            <w:tcW w:w="965"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044"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0.998 (0.891-1.118)</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Level of education</w:t>
            </w:r>
          </w:p>
        </w:tc>
        <w:tc>
          <w:tcPr>
            <w:tcW w:w="965"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Never went to school/some primary level</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Completed primary level</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1.156 (0.883-1.513)</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second level </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1.19 (0.924-1.533)</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third level </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1.236 (0.867-1.763)</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Still in education</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0.842 (0.487-1.456)</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1.171 (0.87-1.577)</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Resident in</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Dublin</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1.036 (0.92-1.166)</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vMerge w:val="restar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Outside Dublin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421"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Main type of problem </w:t>
            </w:r>
            <w:r>
              <w:rPr>
                <w:rFonts w:ascii="Arial" w:hAnsi="Arial" w:cs="Arial"/>
                <w:b/>
                <w:bCs/>
                <w:sz w:val="18"/>
                <w:szCs w:val="18"/>
                <w:lang w:eastAsia="en-US"/>
              </w:rPr>
              <w:t>opioid</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Heroin</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421"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Other </w:t>
            </w:r>
            <w:r>
              <w:rPr>
                <w:rFonts w:ascii="Arial" w:hAnsi="Arial" w:cs="Arial"/>
                <w:bCs/>
                <w:sz w:val="18"/>
                <w:szCs w:val="18"/>
                <w:lang w:eastAsia="en-US"/>
              </w:rPr>
              <w:t>opioid</w:t>
            </w:r>
            <w:r w:rsidRPr="00D7462B">
              <w:rPr>
                <w:rFonts w:ascii="Arial" w:hAnsi="Arial" w:cs="Arial"/>
                <w:bCs/>
                <w:sz w:val="18"/>
                <w:szCs w:val="18"/>
                <w:lang w:eastAsia="en-US"/>
              </w:rPr>
              <w:t>s</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0.999 (0.863-1.156)</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Route of opioid administration </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Inject</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0.059</w:t>
            </w:r>
          </w:p>
        </w:tc>
        <w:tc>
          <w:tcPr>
            <w:tcW w:w="1044" w:type="pct"/>
            <w:gridSpan w:val="3"/>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 -</w:t>
            </w: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Smoke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1.21 (1.059-1.383)</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0.005</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1.229 (1.073-1.407)</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0.003</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Eat or drink</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1.155 (0.968-1.379)</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1.399 (1.148-1.705)</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1.106 (0.275-4.452)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1.763 (0.407-7.643)</w:t>
            </w: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Not recorded</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 (0-2.183)</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1.844 (1.269-2.680)</w:t>
            </w: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Frequency of opioid use in month prior to treatment</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 use in the past month</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7"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Once a week or less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1.254 (0.99-1.588)</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1.143 (0.901-1.45)</w:t>
            </w: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2-6 days per week</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1.361 (1.15-1.612)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1.128 (0.946-1.346)</w:t>
            </w: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Daily</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1.339 (1.174-1.527)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1.088 (0.943-1.255)</w:t>
            </w: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1.283 (1.01-1.63)</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0.041</w:t>
            </w:r>
          </w:p>
        </w:tc>
        <w:tc>
          <w:tcPr>
            <w:tcW w:w="1044" w:type="pct"/>
            <w:gridSpan w:val="3"/>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0.78 (0.6-1.016)</w:t>
            </w:r>
          </w:p>
        </w:tc>
        <w:tc>
          <w:tcPr>
            <w:tcW w:w="37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highlight w:val="yellow"/>
                <w:lang w:eastAsia="en-US"/>
              </w:rPr>
            </w:pPr>
            <w:r w:rsidRPr="00D7462B">
              <w:rPr>
                <w:rFonts w:ascii="Arial" w:hAnsi="Arial" w:cs="Arial"/>
                <w:b/>
                <w:bCs/>
                <w:color w:val="000000"/>
                <w:sz w:val="18"/>
                <w:szCs w:val="18"/>
                <w:lang w:eastAsia="en-US"/>
              </w:rPr>
              <w:t>Polysubstance use</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1.069 (0.958-1.194)</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Number of problem substances</w:t>
            </w:r>
            <w:r>
              <w:rPr>
                <w:rFonts w:ascii="Arial" w:hAnsi="Arial" w:cs="Arial"/>
                <w:b/>
                <w:bCs/>
                <w:color w:val="000000"/>
                <w:sz w:val="18"/>
                <w:szCs w:val="18"/>
                <w:lang w:eastAsia="en-US"/>
              </w:rPr>
              <w:t xml:space="preserve"> reported</w:t>
            </w:r>
          </w:p>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One substance</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Two substances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1.078 (0.942-1.234)</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Three substances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1.109 (0.961-1.281)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Four substances</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0.994 (0.838-1.179)</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Pr>
                <w:rFonts w:ascii="Arial" w:hAnsi="Arial" w:cs="Arial"/>
                <w:b/>
                <w:bCs/>
                <w:color w:val="000000"/>
                <w:sz w:val="18"/>
                <w:szCs w:val="18"/>
                <w:lang w:eastAsia="en-US"/>
              </w:rPr>
              <w:t>Type of a</w:t>
            </w:r>
            <w:r w:rsidRPr="00D7462B">
              <w:rPr>
                <w:rFonts w:ascii="Arial" w:hAnsi="Arial" w:cs="Arial"/>
                <w:b/>
                <w:bCs/>
                <w:color w:val="000000"/>
                <w:sz w:val="18"/>
                <w:szCs w:val="18"/>
                <w:lang w:eastAsia="en-US"/>
              </w:rPr>
              <w:t xml:space="preserve">dditional problem </w:t>
            </w:r>
            <w:r w:rsidRPr="00D7462B">
              <w:rPr>
                <w:rFonts w:ascii="Arial" w:hAnsi="Arial" w:cs="Arial"/>
                <w:b/>
                <w:bCs/>
                <w:color w:val="000000"/>
                <w:sz w:val="18"/>
                <w:szCs w:val="18"/>
                <w:lang w:eastAsia="en-US"/>
              </w:rPr>
              <w:lastRenderedPageBreak/>
              <w:t>substances used</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lastRenderedPageBreak/>
              <w:t xml:space="preserve">Alcohol </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1.097 (0.952-1.263)</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Amphetamines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0.96 (0.586-1.571)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Benzodiazepines</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0.984 (0.867-1.117)</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Cannabis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1.115 (0.995-1.25)</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Cocaine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0.826 (0.712-0.959)</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0.012</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Ecstasy</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0.82 (0.629-1.069)</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Opioid</w:t>
            </w:r>
            <w:r w:rsidRPr="00D7462B">
              <w:rPr>
                <w:rFonts w:ascii="Arial" w:hAnsi="Arial" w:cs="Arial"/>
                <w:bCs/>
                <w:sz w:val="18"/>
                <w:szCs w:val="18"/>
                <w:lang w:eastAsia="en-US"/>
              </w:rPr>
              <w:t>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1.239 (1.021-1.504)</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Other substances</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1.209 (0.968-1.51)</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injected</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Yes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0.009</w:t>
            </w:r>
          </w:p>
        </w:tc>
        <w:tc>
          <w:tcPr>
            <w:tcW w:w="1421"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No</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1.195 (1.067-1.338)</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c>
          <w:tcPr>
            <w:tcW w:w="104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1.138 (0.847-1.527)</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Currently injecting</w:t>
            </w:r>
            <w:r w:rsidRPr="00695031">
              <w:rPr>
                <w:rFonts w:ascii="Arial" w:hAnsi="Arial" w:cs="Arial"/>
                <w:b/>
                <w:bCs/>
                <w:color w:val="000000"/>
                <w:sz w:val="18"/>
                <w:szCs w:val="18"/>
                <w:vertAlign w:val="superscript"/>
                <w:lang w:eastAsia="en-US"/>
              </w:rPr>
              <w:t>+</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1.007 (0.863-1.175)</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0.916 (0.676-1.243)</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shared injecting equipment</w:t>
            </w:r>
            <w:r w:rsidRPr="00695031">
              <w:rPr>
                <w:rFonts w:ascii="Arial" w:hAnsi="Arial" w:cs="Arial"/>
                <w:b/>
                <w:bCs/>
                <w:color w:val="000000"/>
                <w:sz w:val="18"/>
                <w:szCs w:val="18"/>
                <w:vertAlign w:val="superscript"/>
                <w:lang w:eastAsia="en-US"/>
              </w:rPr>
              <w:t>+</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1.031 (0.849-1.251)</w:t>
            </w:r>
          </w:p>
        </w:tc>
        <w:tc>
          <w:tcPr>
            <w:tcW w:w="37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any drug</w:t>
            </w:r>
          </w:p>
        </w:tc>
        <w:tc>
          <w:tcPr>
            <w:tcW w:w="965" w:type="pct"/>
            <w:tcBorders>
              <w:top w:val="single" w:sz="8" w:space="0" w:color="000000"/>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0.994 (0.985-1.002)</w:t>
            </w:r>
          </w:p>
        </w:tc>
        <w:tc>
          <w:tcPr>
            <w:tcW w:w="37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opioids</w:t>
            </w:r>
          </w:p>
        </w:tc>
        <w:tc>
          <w:tcPr>
            <w:tcW w:w="965"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0.998 (0.991-1.006)</w:t>
            </w:r>
          </w:p>
        </w:tc>
        <w:tc>
          <w:tcPr>
            <w:tcW w:w="37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Time lag between first use of opioids and seeking treatment</w:t>
            </w:r>
          </w:p>
        </w:tc>
        <w:tc>
          <w:tcPr>
            <w:tcW w:w="965"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04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0.982 (0.973-0.992)</w:t>
            </w:r>
          </w:p>
        </w:tc>
        <w:tc>
          <w:tcPr>
            <w:tcW w:w="37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421"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Treatment setting</w:t>
            </w:r>
          </w:p>
        </w:tc>
        <w:tc>
          <w:tcPr>
            <w:tcW w:w="965"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Outpatient</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22" w:type="pct"/>
            <w:gridSpan w:val="2"/>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 -</w:t>
            </w:r>
          </w:p>
        </w:tc>
        <w:tc>
          <w:tcPr>
            <w:tcW w:w="399" w:type="pct"/>
            <w:gridSpan w:val="2"/>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Inpatient</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1.46 (1.287-1.656)</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2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1.479 (1.288-1.698)</w:t>
            </w:r>
          </w:p>
        </w:tc>
        <w:tc>
          <w:tcPr>
            <w:tcW w:w="399"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Low threshold</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1.374 (0.93-2.031)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0.111</w:t>
            </w:r>
          </w:p>
        </w:tc>
        <w:tc>
          <w:tcPr>
            <w:tcW w:w="102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1.309 (0.882-1.942)</w:t>
            </w:r>
          </w:p>
        </w:tc>
        <w:tc>
          <w:tcPr>
            <w:tcW w:w="399"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02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N/A no cases</w:t>
            </w:r>
          </w:p>
        </w:tc>
        <w:tc>
          <w:tcPr>
            <w:tcW w:w="399"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Prison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highlight w:val="yellow"/>
                <w:lang w:eastAsia="en-US"/>
              </w:rPr>
            </w:pPr>
            <w:r w:rsidRPr="00D7462B">
              <w:rPr>
                <w:rFonts w:ascii="Arial" w:hAnsi="Arial" w:cs="Arial"/>
                <w:bCs/>
                <w:color w:val="000000"/>
                <w:sz w:val="18"/>
                <w:szCs w:val="18"/>
                <w:lang w:eastAsia="en-US"/>
              </w:rPr>
              <w:t>0.422 (0.342-0.521)</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highlight w:val="yellow"/>
                <w:lang w:eastAsia="en-US"/>
              </w:rPr>
            </w:pPr>
            <w:r w:rsidRPr="00D7462B">
              <w:rPr>
                <w:rFonts w:ascii="Arial" w:hAnsi="Arial" w:cs="Arial"/>
                <w:bCs/>
                <w:color w:val="000000"/>
                <w:sz w:val="18"/>
                <w:szCs w:val="18"/>
                <w:lang w:eastAsia="en-US"/>
              </w:rPr>
              <w:t>&lt;0.001</w:t>
            </w:r>
          </w:p>
        </w:tc>
        <w:tc>
          <w:tcPr>
            <w:tcW w:w="1022" w:type="pct"/>
            <w:gridSpan w:val="2"/>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0.558 (0.4-0.778)</w:t>
            </w:r>
          </w:p>
        </w:tc>
        <w:tc>
          <w:tcPr>
            <w:tcW w:w="399" w:type="pct"/>
            <w:gridSpan w:val="2"/>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Referral source</w:t>
            </w:r>
          </w:p>
        </w:tc>
        <w:tc>
          <w:tcPr>
            <w:tcW w:w="965"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Self</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421"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Family/friends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1.028 (0.828-1.277)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 drug treatment centre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1.314 (1.051-1.642)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0.017</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0.797 (0.651-0.976)</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0.028</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Hospital/other medical source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0.951 (0.762-1.187)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Social services</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1.074 (0.902-1.279)</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Court/probation</w:t>
            </w:r>
            <w:r>
              <w:rPr>
                <w:rFonts w:ascii="Arial" w:hAnsi="Arial" w:cs="Arial"/>
                <w:bCs/>
                <w:sz w:val="18"/>
                <w:szCs w:val="18"/>
                <w:lang w:eastAsia="en-US"/>
              </w:rPr>
              <w:t xml:space="preserve"> service</w:t>
            </w:r>
            <w:r w:rsidRPr="00D7462B">
              <w:rPr>
                <w:rFonts w:ascii="Arial" w:hAnsi="Arial" w:cs="Arial"/>
                <w:bCs/>
                <w:sz w:val="18"/>
                <w:szCs w:val="18"/>
                <w:lang w:eastAsia="en-US"/>
              </w:rPr>
              <w:t>/police</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0.89 (0.719-1.102)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0.546 (0.445-0.672)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044"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1.341 (0.923-1.948)</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044" w:type="pct"/>
            <w:gridSpan w:val="3"/>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37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Year commenced treatment </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2009</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0.048</w:t>
            </w:r>
          </w:p>
        </w:tc>
        <w:tc>
          <w:tcPr>
            <w:tcW w:w="1421" w:type="pct"/>
            <w:gridSpan w:val="4"/>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2010</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0.749 (0.616-0.911)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0.004</w:t>
            </w:r>
          </w:p>
        </w:tc>
        <w:tc>
          <w:tcPr>
            <w:tcW w:w="880"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2011</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0.972 (0.796-1.187)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880"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2012</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0.902 (0.738-1.101)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880"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2013</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0.84 (0.683-1.034)</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880"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2014</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0.863 (0.683-1.092)</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880"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jc w:val="left"/>
              <w:rPr>
                <w:rFonts w:ascii="Arial" w:hAnsi="Arial" w:cs="Arial"/>
                <w:b/>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2015</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0.942 (0.759-1.17)</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880"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541" w:type="pct"/>
            <w:gridSpan w:val="3"/>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Cluster grouping</w:t>
            </w:r>
          </w:p>
        </w:tc>
        <w:tc>
          <w:tcPr>
            <w:tcW w:w="965"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1</w:t>
            </w:r>
          </w:p>
        </w:tc>
        <w:tc>
          <w:tcPr>
            <w:tcW w:w="1043"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37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1.107 (0.923-1.327)</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3</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1.048 (0.854-1.285)</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965"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4</w:t>
            </w:r>
          </w:p>
        </w:tc>
        <w:tc>
          <w:tcPr>
            <w:tcW w:w="1043"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0.984 (0.826-1.171)</w:t>
            </w:r>
          </w:p>
        </w:tc>
        <w:tc>
          <w:tcPr>
            <w:tcW w:w="378"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gridAfter w:val="1"/>
          <w:wAfter w:w="377" w:type="pct"/>
          <w:trHeight w:val="20"/>
        </w:trPr>
        <w:tc>
          <w:tcPr>
            <w:tcW w:w="815"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965"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5</w:t>
            </w:r>
          </w:p>
        </w:tc>
        <w:tc>
          <w:tcPr>
            <w:tcW w:w="1043"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0.939 (0.795-1.108)</w:t>
            </w:r>
          </w:p>
        </w:tc>
        <w:tc>
          <w:tcPr>
            <w:tcW w:w="37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421"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bl>
    <w:p w:rsidR="00695031" w:rsidRPr="00695031" w:rsidRDefault="00695031" w:rsidP="00695031">
      <w:pPr>
        <w:spacing w:line="240" w:lineRule="auto"/>
        <w:rPr>
          <w:rFonts w:ascii="Arial" w:hAnsi="Arial" w:cs="Arial"/>
          <w:color w:val="000000"/>
          <w:sz w:val="18"/>
        </w:rPr>
      </w:pPr>
      <w:r w:rsidRPr="00695031">
        <w:rPr>
          <w:rFonts w:ascii="Arial" w:hAnsi="Arial" w:cs="Arial"/>
          <w:color w:val="000000"/>
          <w:sz w:val="18"/>
          <w:vertAlign w:val="superscript"/>
        </w:rPr>
        <w:t xml:space="preserve">‡ </w:t>
      </w:r>
      <w:r w:rsidRPr="00695031">
        <w:rPr>
          <w:rFonts w:ascii="Arial" w:hAnsi="Arial" w:cs="Arial"/>
          <w:color w:val="000000"/>
          <w:sz w:val="18"/>
        </w:rPr>
        <w:t xml:space="preserve">Other types of opioid drugs used in addition to the main problem. </w:t>
      </w:r>
    </w:p>
    <w:p w:rsidR="00DA2AA7" w:rsidRPr="00DA2AA7" w:rsidRDefault="00DA2AA7" w:rsidP="00DA2AA7">
      <w:pPr>
        <w:spacing w:line="240" w:lineRule="auto"/>
        <w:jc w:val="left"/>
        <w:rPr>
          <w:rFonts w:ascii="Arial" w:hAnsi="Arial" w:cs="Arial"/>
          <w:color w:val="000000"/>
          <w:sz w:val="18"/>
          <w:szCs w:val="22"/>
        </w:rPr>
      </w:pPr>
      <w:r w:rsidRPr="00DA2AA7">
        <w:rPr>
          <w:rFonts w:ascii="Arial" w:hAnsi="Arial" w:cs="Arial"/>
          <w:color w:val="000000"/>
          <w:sz w:val="18"/>
          <w:szCs w:val="22"/>
        </w:rPr>
        <w:t xml:space="preserve">† </w:t>
      </w:r>
      <w:proofErr w:type="gramStart"/>
      <w:r w:rsidRPr="00DA2AA7">
        <w:rPr>
          <w:rFonts w:ascii="Arial" w:hAnsi="Arial" w:cs="Arial"/>
          <w:color w:val="000000"/>
          <w:sz w:val="18"/>
          <w:szCs w:val="22"/>
        </w:rPr>
        <w:t>injectors</w:t>
      </w:r>
      <w:proofErr w:type="gramEnd"/>
      <w:r w:rsidRPr="00DA2AA7">
        <w:rPr>
          <w:rFonts w:ascii="Arial" w:hAnsi="Arial" w:cs="Arial"/>
          <w:color w:val="000000"/>
          <w:sz w:val="18"/>
          <w:szCs w:val="22"/>
        </w:rPr>
        <w:t xml:space="preserve"> only.</w:t>
      </w:r>
    </w:p>
    <w:p w:rsidR="003B0DEE" w:rsidRDefault="003B0DEE" w:rsidP="000D5D90">
      <w:pPr>
        <w:spacing w:after="200" w:line="360" w:lineRule="auto"/>
        <w:rPr>
          <w:rFonts w:cs="Arial"/>
        </w:rPr>
      </w:pPr>
    </w:p>
    <w:p w:rsidR="003B0DEE" w:rsidRDefault="003B0DEE" w:rsidP="000D5D90">
      <w:r>
        <w:br w:type="page"/>
      </w:r>
    </w:p>
    <w:p w:rsidR="003B0DEE" w:rsidRPr="00D7462B" w:rsidRDefault="003B0DEE" w:rsidP="000D5D90">
      <w:pPr>
        <w:pStyle w:val="Caption"/>
        <w:spacing w:line="240" w:lineRule="auto"/>
        <w:rPr>
          <w:rFonts w:cs="Arial"/>
          <w:b w:val="0"/>
        </w:rPr>
      </w:pPr>
      <w:bookmarkStart w:id="189" w:name="_Toc2458912"/>
      <w:bookmarkStart w:id="190" w:name="_Toc5976198"/>
      <w:bookmarkStart w:id="191" w:name="_Toc7018755"/>
      <w:bookmarkStart w:id="192" w:name="_Toc15332023"/>
      <w:r>
        <w:lastRenderedPageBreak/>
        <w:t>Table A4</w:t>
      </w:r>
      <w:r>
        <w:noBreakHyphen/>
      </w:r>
      <w:fldSimple w:instr=" SEQ Table \* ARABIC \s 1 ">
        <w:r>
          <w:rPr>
            <w:noProof/>
          </w:rPr>
          <w:t>7</w:t>
        </w:r>
      </w:fldSimple>
      <w:r>
        <w:t xml:space="preserve">  </w:t>
      </w:r>
      <w:r w:rsidRPr="00526B14">
        <w:rPr>
          <w:rFonts w:cs="Arial"/>
        </w:rPr>
        <w:t xml:space="preserve">Other psychosocial interventions </w:t>
      </w:r>
      <w:proofErr w:type="gramStart"/>
      <w:r w:rsidRPr="00526B14">
        <w:rPr>
          <w:rFonts w:cs="Arial"/>
        </w:rPr>
        <w:t>modality</w:t>
      </w:r>
      <w:proofErr w:type="gramEnd"/>
      <w:r w:rsidRPr="00526B14">
        <w:rPr>
          <w:rFonts w:cs="Arial"/>
        </w:rPr>
        <w:t xml:space="preserve">: </w:t>
      </w:r>
      <w:r w:rsidRPr="00526B14">
        <w:rPr>
          <w:rFonts w:cs="Arial"/>
          <w:b w:val="0"/>
        </w:rPr>
        <w:t>Cox regression models predicting treatment retention: hazard ratios, confidence interval and level of significance</w:t>
      </w:r>
      <w:bookmarkEnd w:id="189"/>
      <w:bookmarkEnd w:id="190"/>
      <w:bookmarkEnd w:id="191"/>
      <w:bookmarkEnd w:id="192"/>
    </w:p>
    <w:tbl>
      <w:tblPr>
        <w:tblW w:w="5262" w:type="pct"/>
        <w:tblBorders>
          <w:top w:val="single" w:sz="8" w:space="0" w:color="000000"/>
          <w:bottom w:val="single" w:sz="8" w:space="0" w:color="000000"/>
        </w:tblBorders>
        <w:shd w:val="clear" w:color="auto" w:fill="FFFFFF"/>
        <w:tblLook w:val="04A0" w:firstRow="1" w:lastRow="0" w:firstColumn="1" w:lastColumn="0" w:noHBand="0" w:noVBand="1"/>
      </w:tblPr>
      <w:tblGrid>
        <w:gridCol w:w="1674"/>
        <w:gridCol w:w="1978"/>
        <w:gridCol w:w="2138"/>
        <w:gridCol w:w="775"/>
        <w:gridCol w:w="1455"/>
        <w:gridCol w:w="349"/>
        <w:gridCol w:w="290"/>
        <w:gridCol w:w="45"/>
        <w:gridCol w:w="771"/>
      </w:tblGrid>
      <w:tr w:rsidR="003B0DEE" w:rsidRPr="00D7462B" w:rsidTr="000D5D90">
        <w:trPr>
          <w:trHeight w:val="20"/>
          <w:tblHeader/>
        </w:trPr>
        <w:tc>
          <w:tcPr>
            <w:tcW w:w="88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Characteristic</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rPr>
                <w:rFonts w:ascii="Arial" w:hAnsi="Arial" w:cs="Arial"/>
                <w:b/>
                <w:bCs/>
                <w:color w:val="000000"/>
                <w:sz w:val="18"/>
                <w:szCs w:val="18"/>
                <w:lang w:eastAsia="en-US"/>
              </w:rPr>
            </w:pPr>
            <w:r w:rsidRPr="00D7462B">
              <w:rPr>
                <w:rFonts w:ascii="Arial" w:hAnsi="Arial" w:cs="Arial"/>
                <w:b/>
                <w:bCs/>
                <w:sz w:val="18"/>
                <w:szCs w:val="18"/>
                <w:lang w:eastAsia="en-US"/>
              </w:rPr>
              <w:t>Values</w:t>
            </w:r>
          </w:p>
        </w:tc>
        <w:tc>
          <w:tcPr>
            <w:tcW w:w="1537" w:type="pct"/>
            <w:gridSpan w:val="2"/>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Univariate analysis</w:t>
            </w:r>
          </w:p>
        </w:tc>
        <w:tc>
          <w:tcPr>
            <w:tcW w:w="1536" w:type="pct"/>
            <w:gridSpan w:val="5"/>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Final multivariate model </w:t>
            </w:r>
          </w:p>
        </w:tc>
      </w:tr>
      <w:tr w:rsidR="003B0DEE" w:rsidRPr="00D7462B" w:rsidTr="000D5D90">
        <w:trPr>
          <w:trHeight w:val="48"/>
          <w:tblHeader/>
        </w:trPr>
        <w:tc>
          <w:tcPr>
            <w:tcW w:w="88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rPr>
                <w:rFonts w:ascii="Arial" w:hAnsi="Arial" w:cs="Arial"/>
                <w:b/>
                <w:bCs/>
                <w:color w:val="000000"/>
                <w:sz w:val="18"/>
                <w:szCs w:val="18"/>
                <w:lang w:eastAsia="en-US"/>
              </w:rPr>
            </w:pP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c>
          <w:tcPr>
            <w:tcW w:w="1129" w:type="pct"/>
            <w:gridSpan w:val="4"/>
            <w:tcBorders>
              <w:top w:val="single" w:sz="8" w:space="0" w:color="000000"/>
              <w:left w:val="nil"/>
              <w:bottom w:val="single" w:sz="8" w:space="0" w:color="000000"/>
              <w:right w:val="nil"/>
            </w:tcBorders>
            <w:shd w:val="clear" w:color="auto" w:fill="F2F2F2"/>
          </w:tcPr>
          <w:p w:rsidR="003B0DEE" w:rsidRPr="00D7462B" w:rsidRDefault="003B0DEE" w:rsidP="000D5D90">
            <w:pPr>
              <w:spacing w:line="36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Hazard ratio</w:t>
            </w:r>
          </w:p>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 (95% CI for Odds ratio)</w:t>
            </w:r>
          </w:p>
        </w:tc>
        <w:tc>
          <w:tcPr>
            <w:tcW w:w="407"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p</w:t>
            </w:r>
          </w:p>
        </w:tc>
      </w:tr>
      <w:tr w:rsidR="003B0DEE" w:rsidRPr="00D7462B" w:rsidTr="000D5D90">
        <w:trPr>
          <w:trHeight w:val="20"/>
        </w:trPr>
        <w:tc>
          <w:tcPr>
            <w:tcW w:w="883"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entering treatment</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Years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0.992 (0.984-1</w:t>
            </w:r>
            <w:r>
              <w:rPr>
                <w:rFonts w:ascii="Arial" w:hAnsi="Arial" w:cs="Arial"/>
                <w:bCs/>
                <w:color w:val="000000"/>
                <w:sz w:val="18"/>
                <w:szCs w:val="18"/>
                <w:lang w:eastAsia="en-US"/>
              </w:rPr>
              <w:t>.000</w:t>
            </w: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0.051</w:t>
            </w:r>
          </w:p>
        </w:tc>
        <w:tc>
          <w:tcPr>
            <w:tcW w:w="1536" w:type="pct"/>
            <w:gridSpan w:val="5"/>
            <w:tcBorders>
              <w:top w:val="single" w:sz="8" w:space="0" w:color="000000"/>
              <w:left w:val="nil"/>
              <w:bottom w:val="nil"/>
              <w:right w:val="nil"/>
            </w:tcBorders>
            <w:shd w:val="clear" w:color="auto" w:fill="F2F2F2"/>
          </w:tcPr>
          <w:p w:rsidR="003B0DEE" w:rsidRPr="00D7462B" w:rsidRDefault="003B0DEE" w:rsidP="000D5D90">
            <w:pPr>
              <w:spacing w:line="240" w:lineRule="auto"/>
              <w:jc w:val="center"/>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Gender</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Male</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536" w:type="pct"/>
            <w:gridSpan w:val="5"/>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sz w:val="18"/>
                <w:szCs w:val="18"/>
                <w:lang w:eastAsia="en-US"/>
              </w:rPr>
            </w:pPr>
          </w:p>
        </w:tc>
        <w:tc>
          <w:tcPr>
            <w:tcW w:w="1044"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Female</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0.911 (0.789-1.051)</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Employment status</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Regular employment</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jc w:val="left"/>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Student</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0.685 (0.383-1.226)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Retired/disability/at home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0.932 (0.659-1.317)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Unemployed</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0.953 (0.732-1.241)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0.447 (0.253-0.788)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1.113 (0.632-1.961)</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sz w:val="18"/>
                <w:szCs w:val="18"/>
                <w:lang w:eastAsia="en-US"/>
              </w:rPr>
            </w:pPr>
            <w:r w:rsidRPr="00D7462B">
              <w:rPr>
                <w:rFonts w:ascii="Arial" w:hAnsi="Arial" w:cs="Arial"/>
                <w:b/>
                <w:bCs/>
                <w:sz w:val="18"/>
                <w:szCs w:val="18"/>
                <w:lang w:eastAsia="en-US"/>
              </w:rPr>
              <w:t>Living arrangements</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val="restar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Parents or family</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1.043 (0.835-1.302)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22"/>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Alone with child/</w:t>
            </w:r>
          </w:p>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partner and child</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1.207 (0.941-1.548)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68"/>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With partner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0.914 (0.682-1.224)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Friends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0.882 (0.6-1.298)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0.974 (0.764-1.242)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68"/>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1.215 (0.695-2.124)</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Left before age 16 years</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768"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768"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0.816 (0.704-0.945)</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0.007</w:t>
            </w:r>
          </w:p>
        </w:tc>
        <w:tc>
          <w:tcPr>
            <w:tcW w:w="1129" w:type="pct"/>
            <w:gridSpan w:val="4"/>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0.803 (0.69-0.935)</w:t>
            </w: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0.005</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Level of education</w:t>
            </w:r>
          </w:p>
        </w:tc>
        <w:tc>
          <w:tcPr>
            <w:tcW w:w="1044"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Never went to school/some primary level</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Completed primary level</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1.136 (0.782-1.65)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second level </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0.89 (0.622-1.275)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Completed third level </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0.751 (0.454-1.242)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Still in education</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0.72 (0.384-1.349)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1.187 (0.813-1.733)</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Resident in</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Dublin</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1.446 (1.238-1.689)</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29" w:type="pct"/>
            <w:gridSpan w:val="4"/>
            <w:vMerge w:val="restar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1.279 (1.061-1.543)</w:t>
            </w:r>
          </w:p>
        </w:tc>
        <w:tc>
          <w:tcPr>
            <w:tcW w:w="407" w:type="pct"/>
            <w:vMerge w:val="restar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Outside Dublin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129" w:type="pct"/>
            <w:gridSpan w:val="4"/>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vMerge/>
            <w:tcBorders>
              <w:top w:val="single" w:sz="8" w:space="0" w:color="000000"/>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Main type of problem </w:t>
            </w:r>
            <w:r>
              <w:rPr>
                <w:rFonts w:ascii="Arial" w:hAnsi="Arial" w:cs="Arial"/>
                <w:b/>
                <w:bCs/>
                <w:sz w:val="18"/>
                <w:szCs w:val="18"/>
                <w:lang w:eastAsia="en-US"/>
              </w:rPr>
              <w:t>opioid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Heroin</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536" w:type="pct"/>
            <w:gridSpan w:val="5"/>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Other </w:t>
            </w:r>
            <w:r>
              <w:rPr>
                <w:rFonts w:ascii="Arial" w:hAnsi="Arial" w:cs="Arial"/>
                <w:bCs/>
                <w:sz w:val="18"/>
                <w:szCs w:val="18"/>
                <w:lang w:eastAsia="en-US"/>
              </w:rPr>
              <w:t>opioid</w:t>
            </w:r>
            <w:r w:rsidRPr="00D7462B">
              <w:rPr>
                <w:rFonts w:ascii="Arial" w:hAnsi="Arial" w:cs="Arial"/>
                <w:bCs/>
                <w:sz w:val="18"/>
                <w:szCs w:val="18"/>
                <w:lang w:eastAsia="en-US"/>
              </w:rPr>
              <w:t>s</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1.254 (1.023-1.538)</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0.030</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 xml:space="preserve">Route of opioid administration </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Inject</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c>
          <w:tcPr>
            <w:tcW w:w="1536" w:type="pct"/>
            <w:gridSpan w:val="5"/>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Smoke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1.279 (1.105-1.481)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Eat or drink</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1.498 (1.196-1.877)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0.000 (0.000-5.650)</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Not recorded</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1.498 (0.873-2.569)</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Frequency of opioid use in month prior to treatment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 use in the past month</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0.012</w:t>
            </w:r>
          </w:p>
        </w:tc>
        <w:tc>
          <w:tcPr>
            <w:tcW w:w="1129" w:type="pct"/>
            <w:gridSpan w:val="4"/>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7" w:type="pct"/>
            <w:tcBorders>
              <w:top w:val="single" w:sz="8" w:space="0" w:color="000000"/>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Once a week or less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1.209 (0.886-1.65)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1.206 (0.845-1.721)</w:t>
            </w: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2-6 days per week</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1.107 (0.894-1.371)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1.424 (1.101-1.841)</w:t>
            </w: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0.007</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Daily</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1.183 (1.001-1.399)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1.453 (1.172-1.801)</w:t>
            </w: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1.868 (1.308-2.669)</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0.001</w:t>
            </w:r>
          </w:p>
        </w:tc>
        <w:tc>
          <w:tcPr>
            <w:tcW w:w="1129"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1.949 (1.28-2.968)</w:t>
            </w:r>
          </w:p>
        </w:tc>
        <w:tc>
          <w:tcPr>
            <w:tcW w:w="40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Polysubstance use</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0.886 (0.776-1.011)</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Number of problem substances</w:t>
            </w:r>
            <w:r>
              <w:rPr>
                <w:rFonts w:ascii="Arial" w:hAnsi="Arial" w:cs="Arial"/>
                <w:b/>
                <w:bCs/>
                <w:color w:val="000000"/>
                <w:sz w:val="18"/>
                <w:szCs w:val="18"/>
                <w:lang w:eastAsia="en-US"/>
              </w:rPr>
              <w:t xml:space="preserve"> reported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One substance</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Two substances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0.855 (0.731-1.001)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Three substances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0.927 (0.771-1.114)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Four substances</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0.91 (0.716-1.158)</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Pr>
                <w:rFonts w:ascii="Arial" w:hAnsi="Arial" w:cs="Arial"/>
                <w:b/>
                <w:bCs/>
                <w:color w:val="000000"/>
                <w:sz w:val="18"/>
                <w:szCs w:val="18"/>
                <w:lang w:eastAsia="en-US"/>
              </w:rPr>
              <w:t>Type of a</w:t>
            </w:r>
            <w:r w:rsidRPr="00D7462B">
              <w:rPr>
                <w:rFonts w:ascii="Arial" w:hAnsi="Arial" w:cs="Arial"/>
                <w:b/>
                <w:bCs/>
                <w:color w:val="000000"/>
                <w:sz w:val="18"/>
                <w:szCs w:val="18"/>
                <w:lang w:eastAsia="en-US"/>
              </w:rPr>
              <w:t xml:space="preserve">dditional problem substances </w:t>
            </w:r>
            <w:r w:rsidRPr="00D7462B">
              <w:rPr>
                <w:rFonts w:ascii="Arial" w:hAnsi="Arial" w:cs="Arial"/>
                <w:b/>
                <w:bCs/>
                <w:color w:val="000000"/>
                <w:sz w:val="18"/>
                <w:szCs w:val="18"/>
                <w:lang w:eastAsia="en-US"/>
              </w:rPr>
              <w:lastRenderedPageBreak/>
              <w:t>used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lastRenderedPageBreak/>
              <w:t xml:space="preserve">Alcohol </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0.937 (0.774-1.134)</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Amphetamines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0.63 (0.347-1.142)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Benzodiazepines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0.966 (0.828-1.128)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Cannabis</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0.895 (0.772-1.037)</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Cocaine</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1.13 (0.925-1.38)</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Ecstasy</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 (0.755-1.604)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Pr>
                <w:rFonts w:ascii="Arial" w:hAnsi="Arial" w:cs="Arial"/>
                <w:bCs/>
                <w:sz w:val="18"/>
                <w:szCs w:val="18"/>
                <w:lang w:eastAsia="en-US"/>
              </w:rPr>
              <w:t>Opioid</w:t>
            </w:r>
            <w:r w:rsidRPr="00D7462B">
              <w:rPr>
                <w:rFonts w:ascii="Arial" w:hAnsi="Arial" w:cs="Arial"/>
                <w:bCs/>
                <w:sz w:val="18"/>
                <w:szCs w:val="18"/>
                <w:lang w:eastAsia="en-US"/>
              </w:rPr>
              <w:t>s</w:t>
            </w:r>
            <w:r w:rsidRPr="00695031">
              <w:rPr>
                <w:rFonts w:ascii="Arial" w:hAnsi="Arial" w:cs="Arial"/>
                <w:bCs/>
                <w:sz w:val="18"/>
                <w:szCs w:val="18"/>
                <w:vertAlign w:val="superscript"/>
                <w:lang w:eastAsia="en-US"/>
              </w:rPr>
              <w:t>‡</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0.917 (0.687-1.223)</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Other substances</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0.886 (0.607-1.293)</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injected</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c>
          <w:tcPr>
            <w:tcW w:w="1536" w:type="pct"/>
            <w:gridSpan w:val="5"/>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Excluded from the final model</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No</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1.205 (1.052-1.38)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0.007</w:t>
            </w:r>
          </w:p>
        </w:tc>
        <w:tc>
          <w:tcPr>
            <w:tcW w:w="1129" w:type="pct"/>
            <w:gridSpan w:val="4"/>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1.56 (1.147-2.123)</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0.005</w:t>
            </w:r>
          </w:p>
        </w:tc>
        <w:tc>
          <w:tcPr>
            <w:tcW w:w="1129" w:type="pct"/>
            <w:gridSpan w:val="4"/>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Currently injecting</w:t>
            </w:r>
            <w:r w:rsidRPr="00695031">
              <w:rPr>
                <w:rFonts w:ascii="Arial" w:hAnsi="Arial" w:cs="Arial"/>
                <w:b/>
                <w:bCs/>
                <w:color w:val="000000"/>
                <w:sz w:val="18"/>
                <w:szCs w:val="18"/>
                <w:vertAlign w:val="superscript"/>
                <w:lang w:eastAsia="en-US"/>
              </w:rPr>
              <w: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3"/>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 -</w:t>
            </w:r>
          </w:p>
        </w:tc>
        <w:tc>
          <w:tcPr>
            <w:tcW w:w="431" w:type="pct"/>
            <w:gridSpan w:val="2"/>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1.238 (1.061-1.446)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0.007</w:t>
            </w:r>
          </w:p>
        </w:tc>
        <w:tc>
          <w:tcPr>
            <w:tcW w:w="1105"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1.311 (1.082-1.588)</w:t>
            </w:r>
          </w:p>
        </w:tc>
        <w:tc>
          <w:tcPr>
            <w:tcW w:w="431"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0.006</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2.254 (1.601-3.174)</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3"/>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2.383 (1.502-3.782)</w:t>
            </w:r>
          </w:p>
        </w:tc>
        <w:tc>
          <w:tcPr>
            <w:tcW w:w="431" w:type="pct"/>
            <w:gridSpan w:val="2"/>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Ever shared injecting equipment</w:t>
            </w:r>
            <w:r w:rsidRPr="00695031">
              <w:rPr>
                <w:rFonts w:ascii="Arial" w:hAnsi="Arial" w:cs="Arial"/>
                <w:b/>
                <w:bCs/>
                <w:color w:val="000000"/>
                <w:sz w:val="18"/>
                <w:szCs w:val="18"/>
                <w:vertAlign w:val="superscript"/>
                <w:lang w:eastAsia="en-US"/>
              </w:rPr>
              <w:t>+</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Yes</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p>
        </w:tc>
        <w:tc>
          <w:tcPr>
            <w:tcW w:w="1536" w:type="pct"/>
            <w:gridSpan w:val="5"/>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No</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0.992 (0.811-1.214)</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any drug</w:t>
            </w:r>
          </w:p>
        </w:tc>
        <w:tc>
          <w:tcPr>
            <w:tcW w:w="1044" w:type="pct"/>
            <w:tcBorders>
              <w:top w:val="single" w:sz="8" w:space="0" w:color="000000"/>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1.009 (0.997-1.02)</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Age first used opioids</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0.997 (0.987-1.007)</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color w:val="000000"/>
                <w:sz w:val="18"/>
                <w:szCs w:val="18"/>
                <w:lang w:eastAsia="en-US"/>
              </w:rPr>
              <w:t>Time lag between first use of opioids and seeking treatment</w:t>
            </w:r>
          </w:p>
        </w:tc>
        <w:tc>
          <w:tcPr>
            <w:tcW w:w="1044" w:type="pct"/>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 xml:space="preserve">Years </w:t>
            </w:r>
          </w:p>
        </w:tc>
        <w:tc>
          <w:tcPr>
            <w:tcW w:w="1128"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0.999 (0.989-1.009)</w:t>
            </w:r>
          </w:p>
        </w:tc>
        <w:tc>
          <w:tcPr>
            <w:tcW w:w="409" w:type="pc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
                <w:bCs/>
                <w:color w:val="000000"/>
                <w:sz w:val="18"/>
                <w:szCs w:val="18"/>
                <w:lang w:eastAsia="en-US"/>
              </w:rPr>
            </w:pPr>
            <w:r w:rsidRPr="00D7462B">
              <w:rPr>
                <w:rFonts w:ascii="Arial" w:hAnsi="Arial" w:cs="Arial"/>
                <w:b/>
                <w:bCs/>
                <w:sz w:val="18"/>
                <w:szCs w:val="18"/>
                <w:lang w:eastAsia="en-US"/>
              </w:rPr>
              <w:t>Treatment setting</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Outpatient</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3"/>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 -</w:t>
            </w:r>
          </w:p>
        </w:tc>
        <w:tc>
          <w:tcPr>
            <w:tcW w:w="431" w:type="pct"/>
            <w:gridSpan w:val="2"/>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0.008</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Inpatient</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1.003 (0.824-1.221)</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05"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0.991 (0.784-1.253)</w:t>
            </w:r>
          </w:p>
        </w:tc>
        <w:tc>
          <w:tcPr>
            <w:tcW w:w="431"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Low threshold</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0.646 (0.552-0.755)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1105"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0.752 (0.622-0.908)</w:t>
            </w:r>
          </w:p>
        </w:tc>
        <w:tc>
          <w:tcPr>
            <w:tcW w:w="431"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0.003</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1.242 (0.555-2.779)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05" w:type="pct"/>
            <w:gridSpan w:val="3"/>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0.768 (0.333-1.773)</w:t>
            </w:r>
          </w:p>
        </w:tc>
        <w:tc>
          <w:tcPr>
            <w:tcW w:w="431" w:type="pct"/>
            <w:gridSpan w:val="2"/>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Prison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0.732 (0.468-1.146)</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05" w:type="pct"/>
            <w:gridSpan w:val="3"/>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0.584 (0.361-0.943)</w:t>
            </w:r>
          </w:p>
        </w:tc>
        <w:tc>
          <w:tcPr>
            <w:tcW w:w="431" w:type="pct"/>
            <w:gridSpan w:val="2"/>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0.028</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Referral source</w:t>
            </w:r>
          </w:p>
        </w:tc>
        <w:tc>
          <w:tcPr>
            <w:tcW w:w="1044" w:type="pct"/>
            <w:tcBorders>
              <w:top w:val="single" w:sz="8" w:space="0" w:color="000000"/>
              <w:left w:val="nil"/>
              <w:bottom w:val="nil"/>
              <w:right w:val="nil"/>
            </w:tcBorders>
            <w:shd w:val="clear" w:color="auto" w:fill="F2F2F2"/>
            <w:vAlign w:val="center"/>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Self</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center"/>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Family/friends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0.864 (0.679-1.099)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 drug treatment centre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0.851 (0.671-1.08)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General practitioner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1.115 (0.824-1.509)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Hospital/other medical source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1.419 (1.047-1.923)</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Social services</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1.107 (0.903-1.357)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Court/probation</w:t>
            </w:r>
            <w:r>
              <w:rPr>
                <w:rFonts w:ascii="Arial" w:hAnsi="Arial" w:cs="Arial"/>
                <w:bCs/>
                <w:sz w:val="18"/>
                <w:szCs w:val="18"/>
                <w:lang w:eastAsia="en-US"/>
              </w:rPr>
              <w:t xml:space="preserve"> service</w:t>
            </w:r>
            <w:r w:rsidRPr="00D7462B">
              <w:rPr>
                <w:rFonts w:ascii="Arial" w:hAnsi="Arial" w:cs="Arial"/>
                <w:bCs/>
                <w:sz w:val="18"/>
                <w:szCs w:val="18"/>
                <w:lang w:eastAsia="en-US"/>
              </w:rPr>
              <w:t>/police</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0.97 (0.742-1.269)</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Other</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0.974 (0.719-1.318)</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Pr>
                <w:rFonts w:ascii="Arial" w:hAnsi="Arial" w:cs="Arial"/>
                <w:bCs/>
                <w:sz w:val="18"/>
                <w:szCs w:val="18"/>
                <w:lang w:eastAsia="en-US"/>
              </w:rPr>
              <w:t>Unknown</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0.701 (0.313-1.571)</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129" w:type="pct"/>
            <w:gridSpan w:val="4"/>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c>
          <w:tcPr>
            <w:tcW w:w="407" w:type="pct"/>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color w:val="000000"/>
                <w:sz w:val="18"/>
                <w:szCs w:val="18"/>
                <w:lang w:eastAsia="en-US"/>
              </w:rPr>
              <w:t xml:space="preserve">Year commenced treatment </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2009</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 xml:space="preserve"> -</w:t>
            </w:r>
          </w:p>
        </w:tc>
        <w:tc>
          <w:tcPr>
            <w:tcW w:w="584" w:type="pct"/>
            <w:gridSpan w:val="3"/>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2010</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0.474 (0.37-0.607)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0.422 (0.314-0.568)</w:t>
            </w:r>
          </w:p>
        </w:tc>
        <w:tc>
          <w:tcPr>
            <w:tcW w:w="58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2011</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0.69 (0.533-0.894)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0.005</w:t>
            </w:r>
          </w:p>
        </w:tc>
        <w:tc>
          <w:tcPr>
            <w:tcW w:w="95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0.674 (0.496-0.917)</w:t>
            </w:r>
          </w:p>
        </w:tc>
        <w:tc>
          <w:tcPr>
            <w:tcW w:w="58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0.012</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2012</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0.54 (0.42-0.695)</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0.495 (0.369-0.665)</w:t>
            </w:r>
          </w:p>
        </w:tc>
        <w:tc>
          <w:tcPr>
            <w:tcW w:w="584" w:type="pct"/>
            <w:gridSpan w:val="3"/>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2013</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0.545 (0.425-0.7)</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0.53 (0.397-0.71)</w:t>
            </w:r>
          </w:p>
        </w:tc>
        <w:tc>
          <w:tcPr>
            <w:tcW w:w="584" w:type="pct"/>
            <w:gridSpan w:val="3"/>
            <w:tcBorders>
              <w:top w:val="nil"/>
              <w:left w:val="nil"/>
              <w:bottom w:val="nil"/>
              <w:right w:val="nil"/>
            </w:tcBorders>
            <w:shd w:val="clear" w:color="auto" w:fill="F2F2F2"/>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2014</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0.648 (0.517-0.812)</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0.657 (0.501-0.86)</w:t>
            </w:r>
          </w:p>
        </w:tc>
        <w:tc>
          <w:tcPr>
            <w:tcW w:w="584" w:type="pct"/>
            <w:gridSpan w:val="3"/>
            <w:tcBorders>
              <w:top w:val="nil"/>
              <w:left w:val="nil"/>
              <w:bottom w:val="nil"/>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0.002</w:t>
            </w: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auto"/>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2015</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0.492 (0.378-0.641)</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c>
          <w:tcPr>
            <w:tcW w:w="952" w:type="pct"/>
            <w:gridSpan w:val="2"/>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0.505 (0.37-0.689)</w:t>
            </w:r>
          </w:p>
        </w:tc>
        <w:tc>
          <w:tcPr>
            <w:tcW w:w="584" w:type="pct"/>
            <w:gridSpan w:val="3"/>
            <w:tcBorders>
              <w:top w:val="nil"/>
              <w:left w:val="nil"/>
              <w:bottom w:val="single" w:sz="8" w:space="0" w:color="000000"/>
              <w:right w:val="nil"/>
            </w:tcBorders>
            <w:shd w:val="clear" w:color="auto" w:fill="F2F2F2"/>
            <w:vAlign w:val="center"/>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&lt;0.001</w:t>
            </w:r>
          </w:p>
        </w:tc>
      </w:tr>
      <w:tr w:rsidR="003B0DEE" w:rsidRPr="00D7462B" w:rsidTr="000D5D90">
        <w:trPr>
          <w:trHeight w:val="20"/>
        </w:trPr>
        <w:tc>
          <w:tcPr>
            <w:tcW w:w="883" w:type="pct"/>
            <w:vMerge w:val="restart"/>
            <w:tcBorders>
              <w:top w:val="single" w:sz="8" w:space="0" w:color="000000"/>
              <w:left w:val="nil"/>
              <w:bottom w:val="single" w:sz="8" w:space="0" w:color="000000"/>
              <w:right w:val="nil"/>
            </w:tcBorders>
            <w:shd w:val="clear" w:color="auto" w:fill="FFFFFF"/>
          </w:tcPr>
          <w:p w:rsidR="003B0DEE" w:rsidRPr="00D7462B" w:rsidRDefault="003B0DEE" w:rsidP="000D5D90">
            <w:pPr>
              <w:spacing w:line="240" w:lineRule="auto"/>
              <w:rPr>
                <w:rFonts w:ascii="Arial" w:hAnsi="Arial" w:cs="Arial"/>
                <w:b/>
                <w:bCs/>
                <w:color w:val="000000"/>
                <w:sz w:val="18"/>
                <w:szCs w:val="18"/>
                <w:lang w:eastAsia="en-US"/>
              </w:rPr>
            </w:pPr>
            <w:r w:rsidRPr="00D7462B">
              <w:rPr>
                <w:rFonts w:ascii="Arial" w:hAnsi="Arial" w:cs="Arial"/>
                <w:b/>
                <w:bCs/>
                <w:sz w:val="18"/>
                <w:szCs w:val="18"/>
                <w:lang w:eastAsia="en-US"/>
              </w:rPr>
              <w:t>Cluster grouping</w:t>
            </w:r>
          </w:p>
        </w:tc>
        <w:tc>
          <w:tcPr>
            <w:tcW w:w="1044" w:type="pct"/>
            <w:tcBorders>
              <w:top w:val="single" w:sz="8" w:space="0" w:color="000000"/>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1</w:t>
            </w:r>
          </w:p>
        </w:tc>
        <w:tc>
          <w:tcPr>
            <w:tcW w:w="1128"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w:t>
            </w:r>
          </w:p>
        </w:tc>
        <w:tc>
          <w:tcPr>
            <w:tcW w:w="409" w:type="pct"/>
            <w:tcBorders>
              <w:top w:val="single" w:sz="8" w:space="0" w:color="000000"/>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single" w:sz="8" w:space="0" w:color="000000"/>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2</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0.836 (0.66-1.06)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3</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0.808 (0.614-1.064)</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nil"/>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4</w:t>
            </w:r>
          </w:p>
        </w:tc>
        <w:tc>
          <w:tcPr>
            <w:tcW w:w="1128" w:type="pct"/>
            <w:tcBorders>
              <w:top w:val="nil"/>
              <w:left w:val="nil"/>
              <w:bottom w:val="nil"/>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0.715 (0.564-0.906)</w:t>
            </w:r>
          </w:p>
        </w:tc>
        <w:tc>
          <w:tcPr>
            <w:tcW w:w="409" w:type="pct"/>
            <w:tcBorders>
              <w:top w:val="nil"/>
              <w:left w:val="nil"/>
              <w:bottom w:val="nil"/>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nil"/>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r w:rsidR="003B0DEE" w:rsidRPr="00D7462B" w:rsidTr="000D5D90">
        <w:trPr>
          <w:trHeight w:val="20"/>
        </w:trPr>
        <w:tc>
          <w:tcPr>
            <w:tcW w:w="883" w:type="pct"/>
            <w:vMerge/>
            <w:tcBorders>
              <w:top w:val="single" w:sz="8" w:space="0" w:color="000000"/>
              <w:left w:val="nil"/>
              <w:bottom w:val="single" w:sz="8" w:space="0" w:color="000000"/>
              <w:right w:val="nil"/>
            </w:tcBorders>
            <w:shd w:val="clear" w:color="auto" w:fill="FFFFFF"/>
            <w:vAlign w:val="bottom"/>
          </w:tcPr>
          <w:p w:rsidR="003B0DEE" w:rsidRPr="00D7462B" w:rsidRDefault="003B0DEE" w:rsidP="000D5D90">
            <w:pPr>
              <w:spacing w:line="240" w:lineRule="auto"/>
              <w:rPr>
                <w:rFonts w:ascii="Arial" w:hAnsi="Arial" w:cs="Arial"/>
                <w:bCs/>
                <w:color w:val="000000"/>
                <w:sz w:val="18"/>
                <w:szCs w:val="18"/>
                <w:lang w:eastAsia="en-US"/>
              </w:rPr>
            </w:pPr>
          </w:p>
        </w:tc>
        <w:tc>
          <w:tcPr>
            <w:tcW w:w="1044" w:type="pct"/>
            <w:tcBorders>
              <w:top w:val="nil"/>
              <w:left w:val="nil"/>
              <w:bottom w:val="single" w:sz="8" w:space="0" w:color="000000"/>
              <w:right w:val="nil"/>
            </w:tcBorders>
            <w:shd w:val="clear" w:color="auto" w:fill="F2F2F2"/>
            <w:vAlign w:val="bottom"/>
          </w:tcPr>
          <w:p w:rsidR="003B0DEE" w:rsidRPr="00D7462B" w:rsidRDefault="003B0DEE" w:rsidP="000D5D90">
            <w:pPr>
              <w:spacing w:line="240" w:lineRule="auto"/>
              <w:jc w:val="left"/>
              <w:rPr>
                <w:rFonts w:ascii="Arial" w:hAnsi="Arial" w:cs="Arial"/>
                <w:bCs/>
                <w:sz w:val="18"/>
                <w:szCs w:val="18"/>
                <w:lang w:eastAsia="en-US"/>
              </w:rPr>
            </w:pPr>
            <w:r w:rsidRPr="00D7462B">
              <w:rPr>
                <w:rFonts w:ascii="Arial" w:hAnsi="Arial" w:cs="Arial"/>
                <w:bCs/>
                <w:sz w:val="18"/>
                <w:szCs w:val="18"/>
                <w:lang w:eastAsia="en-US"/>
              </w:rPr>
              <w:t>5</w:t>
            </w:r>
          </w:p>
        </w:tc>
        <w:tc>
          <w:tcPr>
            <w:tcW w:w="1128"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left"/>
              <w:rPr>
                <w:rFonts w:ascii="Arial" w:hAnsi="Arial" w:cs="Arial"/>
                <w:bCs/>
                <w:color w:val="000000"/>
                <w:sz w:val="18"/>
                <w:szCs w:val="18"/>
                <w:lang w:eastAsia="en-US"/>
              </w:rPr>
            </w:pPr>
            <w:r w:rsidRPr="00D7462B">
              <w:rPr>
                <w:rFonts w:ascii="Arial" w:hAnsi="Arial" w:cs="Arial"/>
                <w:bCs/>
                <w:color w:val="000000"/>
                <w:sz w:val="18"/>
                <w:szCs w:val="18"/>
                <w:lang w:eastAsia="en-US"/>
              </w:rPr>
              <w:t>0.833 (0.666-1.043)</w:t>
            </w:r>
          </w:p>
        </w:tc>
        <w:tc>
          <w:tcPr>
            <w:tcW w:w="409" w:type="pct"/>
            <w:tcBorders>
              <w:top w:val="nil"/>
              <w:left w:val="nil"/>
              <w:bottom w:val="single" w:sz="8" w:space="0" w:color="000000"/>
              <w:right w:val="nil"/>
            </w:tcBorders>
            <w:shd w:val="clear" w:color="auto" w:fill="FFFFFF"/>
          </w:tcPr>
          <w:p w:rsidR="003B0DEE" w:rsidRPr="00D7462B" w:rsidRDefault="003B0DEE" w:rsidP="000D5D90">
            <w:pPr>
              <w:spacing w:line="240" w:lineRule="auto"/>
              <w:jc w:val="right"/>
              <w:rPr>
                <w:rFonts w:ascii="Arial" w:hAnsi="Arial" w:cs="Arial"/>
                <w:bCs/>
                <w:color w:val="000000"/>
                <w:sz w:val="18"/>
                <w:szCs w:val="18"/>
                <w:lang w:eastAsia="en-US"/>
              </w:rPr>
            </w:pPr>
            <w:r w:rsidRPr="00D7462B">
              <w:rPr>
                <w:rFonts w:ascii="Arial" w:hAnsi="Arial" w:cs="Arial"/>
                <w:bCs/>
                <w:color w:val="000000"/>
                <w:sz w:val="18"/>
                <w:szCs w:val="18"/>
                <w:lang w:eastAsia="en-US"/>
              </w:rPr>
              <w:t>NS</w:t>
            </w:r>
          </w:p>
        </w:tc>
        <w:tc>
          <w:tcPr>
            <w:tcW w:w="1536" w:type="pct"/>
            <w:gridSpan w:val="5"/>
            <w:tcBorders>
              <w:top w:val="nil"/>
              <w:left w:val="nil"/>
              <w:bottom w:val="single" w:sz="8" w:space="0" w:color="000000"/>
              <w:right w:val="nil"/>
            </w:tcBorders>
            <w:shd w:val="clear" w:color="auto" w:fill="F2F2F2"/>
          </w:tcPr>
          <w:p w:rsidR="003B0DEE" w:rsidRPr="00D7462B" w:rsidRDefault="003B0DEE" w:rsidP="000D5D90">
            <w:pPr>
              <w:spacing w:line="240" w:lineRule="auto"/>
              <w:jc w:val="left"/>
              <w:rPr>
                <w:rFonts w:ascii="Arial" w:hAnsi="Arial" w:cs="Arial"/>
                <w:bCs/>
                <w:color w:val="000000"/>
                <w:sz w:val="18"/>
                <w:szCs w:val="18"/>
                <w:lang w:eastAsia="en-US"/>
              </w:rPr>
            </w:pPr>
          </w:p>
        </w:tc>
      </w:tr>
    </w:tbl>
    <w:p w:rsidR="00695031" w:rsidRPr="000806DA" w:rsidRDefault="00695031" w:rsidP="00695031">
      <w:pPr>
        <w:spacing w:line="240" w:lineRule="auto"/>
        <w:rPr>
          <w:rFonts w:ascii="Arial" w:hAnsi="Arial" w:cs="Arial"/>
          <w:color w:val="000000"/>
          <w:sz w:val="20"/>
        </w:rPr>
      </w:pPr>
      <w:r w:rsidRPr="00695031">
        <w:rPr>
          <w:rFonts w:ascii="Arial" w:hAnsi="Arial" w:cs="Arial"/>
          <w:color w:val="000000"/>
          <w:sz w:val="18"/>
          <w:vertAlign w:val="superscript"/>
        </w:rPr>
        <w:t xml:space="preserve">‡ </w:t>
      </w:r>
      <w:r w:rsidRPr="00695031">
        <w:rPr>
          <w:rFonts w:ascii="Arial" w:hAnsi="Arial" w:cs="Arial"/>
          <w:color w:val="000000"/>
          <w:sz w:val="18"/>
        </w:rPr>
        <w:t xml:space="preserve">Other types of opioid drugs used in addition to the main problem. </w:t>
      </w:r>
    </w:p>
    <w:p w:rsidR="00DA2AA7" w:rsidRPr="00DA2AA7" w:rsidRDefault="00DA2AA7" w:rsidP="00DA2AA7">
      <w:pPr>
        <w:spacing w:line="240" w:lineRule="auto"/>
        <w:jc w:val="left"/>
        <w:rPr>
          <w:rFonts w:ascii="Arial" w:hAnsi="Arial" w:cs="Arial"/>
          <w:color w:val="000000"/>
          <w:sz w:val="18"/>
          <w:szCs w:val="22"/>
        </w:rPr>
      </w:pPr>
      <w:r w:rsidRPr="00DA2AA7">
        <w:rPr>
          <w:rFonts w:ascii="Arial" w:hAnsi="Arial" w:cs="Arial"/>
          <w:color w:val="000000"/>
          <w:sz w:val="18"/>
          <w:szCs w:val="22"/>
        </w:rPr>
        <w:t xml:space="preserve">† </w:t>
      </w:r>
      <w:proofErr w:type="gramStart"/>
      <w:r w:rsidRPr="00DA2AA7">
        <w:rPr>
          <w:rFonts w:ascii="Arial" w:hAnsi="Arial" w:cs="Arial"/>
          <w:color w:val="000000"/>
          <w:sz w:val="18"/>
          <w:szCs w:val="22"/>
        </w:rPr>
        <w:t>injectors</w:t>
      </w:r>
      <w:proofErr w:type="gramEnd"/>
      <w:r w:rsidRPr="00DA2AA7">
        <w:rPr>
          <w:rFonts w:ascii="Arial" w:hAnsi="Arial" w:cs="Arial"/>
          <w:color w:val="000000"/>
          <w:sz w:val="18"/>
          <w:szCs w:val="22"/>
        </w:rPr>
        <w:t xml:space="preserve"> only.</w:t>
      </w:r>
    </w:p>
    <w:p w:rsidR="003B0DEE" w:rsidRPr="00415182" w:rsidRDefault="003B0DEE" w:rsidP="000D5D90">
      <w:pPr>
        <w:spacing w:after="200" w:line="360" w:lineRule="auto"/>
        <w:rPr>
          <w:highlight w:val="yellow"/>
        </w:rPr>
      </w:pPr>
    </w:p>
    <w:p w:rsidR="003B0DEE" w:rsidRDefault="003B0DEE">
      <w:pPr>
        <w:spacing w:line="240" w:lineRule="auto"/>
        <w:jc w:val="left"/>
        <w:rPr>
          <w:rFonts w:eastAsia="Calibri" w:cs="Arial"/>
          <w:noProof/>
          <w:sz w:val="20"/>
          <w:lang w:val="en-US" w:eastAsia="en-US"/>
        </w:rPr>
      </w:pPr>
      <w:r>
        <w:rPr>
          <w:rFonts w:cs="Arial"/>
          <w:sz w:val="20"/>
        </w:rPr>
        <w:br w:type="page"/>
      </w:r>
    </w:p>
    <w:p w:rsidR="003B0DEE" w:rsidRPr="00D80030" w:rsidRDefault="003B0DEE" w:rsidP="000D5D90">
      <w:pPr>
        <w:pStyle w:val="BodyText"/>
        <w:jc w:val="center"/>
        <w:rPr>
          <w:b/>
          <w:sz w:val="32"/>
        </w:rPr>
      </w:pPr>
      <w:r w:rsidRPr="00D80030">
        <w:rPr>
          <w:b/>
          <w:sz w:val="32"/>
        </w:rPr>
        <w:lastRenderedPageBreak/>
        <w:t xml:space="preserve">Appendix </w:t>
      </w:r>
      <w:r>
        <w:rPr>
          <w:b/>
          <w:sz w:val="32"/>
        </w:rPr>
        <w:t>5</w:t>
      </w:r>
    </w:p>
    <w:p w:rsidR="003B0DEE" w:rsidRPr="000806DA" w:rsidRDefault="003B0DEE" w:rsidP="000D5D90">
      <w:pPr>
        <w:pStyle w:val="Caption"/>
        <w:keepNext/>
        <w:spacing w:line="240" w:lineRule="auto"/>
        <w:rPr>
          <w:rFonts w:cs="Arial"/>
          <w:b w:val="0"/>
        </w:rPr>
      </w:pPr>
      <w:r>
        <w:t>Table A5</w:t>
      </w:r>
      <w:r>
        <w:noBreakHyphen/>
        <w:t xml:space="preserve">1  </w:t>
      </w:r>
      <w:r w:rsidRPr="00137F29">
        <w:rPr>
          <w:rFonts w:cs="Arial"/>
          <w:b w:val="0"/>
        </w:rPr>
        <w:t xml:space="preserve">Post hoc analysis of treatment modality by place of residence </w:t>
      </w:r>
    </w:p>
    <w:tbl>
      <w:tblPr>
        <w:tblW w:w="5000" w:type="pct"/>
        <w:tblBorders>
          <w:top w:val="single" w:sz="8" w:space="0" w:color="000000"/>
          <w:bottom w:val="single" w:sz="8" w:space="0" w:color="000000"/>
        </w:tblBorders>
        <w:shd w:val="clear" w:color="auto" w:fill="FFFFFF"/>
        <w:tblLook w:val="04A0" w:firstRow="1" w:lastRow="0" w:firstColumn="1" w:lastColumn="0" w:noHBand="0" w:noVBand="1"/>
      </w:tblPr>
      <w:tblGrid>
        <w:gridCol w:w="3050"/>
        <w:gridCol w:w="727"/>
        <w:gridCol w:w="706"/>
        <w:gridCol w:w="625"/>
        <w:gridCol w:w="706"/>
        <w:gridCol w:w="625"/>
        <w:gridCol w:w="708"/>
        <w:gridCol w:w="1856"/>
      </w:tblGrid>
      <w:tr w:rsidR="003B0DEE" w:rsidRPr="000806DA" w:rsidTr="000D5D90">
        <w:trPr>
          <w:trHeight w:val="20"/>
        </w:trPr>
        <w:tc>
          <w:tcPr>
            <w:tcW w:w="1694" w:type="pct"/>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rPr>
                <w:rFonts w:ascii="Arial" w:hAnsi="Arial" w:cs="Arial"/>
                <w:b/>
                <w:bCs/>
                <w:color w:val="000000"/>
                <w:sz w:val="19"/>
                <w:szCs w:val="19"/>
                <w:lang w:eastAsia="en-US"/>
              </w:rPr>
            </w:pPr>
            <w:r>
              <w:rPr>
                <w:rFonts w:ascii="Arial" w:hAnsi="Arial" w:cs="Arial"/>
                <w:b/>
                <w:bCs/>
                <w:sz w:val="19"/>
                <w:szCs w:val="19"/>
                <w:lang w:eastAsia="en-US"/>
              </w:rPr>
              <w:t>Treatment modality</w:t>
            </w:r>
          </w:p>
        </w:tc>
        <w:tc>
          <w:tcPr>
            <w:tcW w:w="795"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Resides in Dublin</w:t>
            </w:r>
          </w:p>
        </w:tc>
        <w:tc>
          <w:tcPr>
            <w:tcW w:w="739" w:type="pct"/>
            <w:gridSpan w:val="2"/>
            <w:tcBorders>
              <w:top w:val="single" w:sz="8" w:space="0" w:color="000000"/>
              <w:left w:val="nil"/>
              <w:bottom w:val="single" w:sz="8" w:space="0" w:color="000000"/>
              <w:right w:val="nil"/>
            </w:tcBorders>
            <w:shd w:val="clear" w:color="auto" w:fill="F2F2F2"/>
          </w:tcPr>
          <w:p w:rsidR="003B0DEE" w:rsidRPr="000806DA" w:rsidRDefault="003B0DEE">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Resides outside Dublin</w:t>
            </w:r>
          </w:p>
        </w:tc>
        <w:tc>
          <w:tcPr>
            <w:tcW w:w="739" w:type="pct"/>
            <w:gridSpan w:val="2"/>
            <w:tcBorders>
              <w:top w:val="single" w:sz="8" w:space="0" w:color="000000"/>
              <w:left w:val="nil"/>
              <w:bottom w:val="single" w:sz="8" w:space="0" w:color="000000"/>
              <w:right w:val="nil"/>
            </w:tcBorders>
            <w:shd w:val="clear" w:color="auto" w:fill="FFFFFF"/>
          </w:tcPr>
          <w:p w:rsidR="003B0DEE" w:rsidRPr="000806DA" w:rsidRDefault="003B0DEE" w:rsidP="000D5D90">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Total</w:t>
            </w:r>
          </w:p>
        </w:tc>
        <w:tc>
          <w:tcPr>
            <w:tcW w:w="1032" w:type="pct"/>
            <w:tcBorders>
              <w:top w:val="single" w:sz="8" w:space="0" w:color="000000"/>
              <w:left w:val="nil"/>
              <w:bottom w:val="single" w:sz="8" w:space="0" w:color="000000"/>
              <w:right w:val="nil"/>
            </w:tcBorders>
            <w:shd w:val="clear" w:color="auto" w:fill="F2F2F2"/>
          </w:tcPr>
          <w:p w:rsidR="003B0DEE" w:rsidRPr="000806DA" w:rsidRDefault="003B0DEE" w:rsidP="000D5D90">
            <w:pPr>
              <w:spacing w:line="360" w:lineRule="auto"/>
              <w:jc w:val="center"/>
              <w:rPr>
                <w:rFonts w:ascii="Arial" w:hAnsi="Arial" w:cs="Arial"/>
                <w:b/>
                <w:bCs/>
                <w:color w:val="000000"/>
                <w:sz w:val="19"/>
                <w:szCs w:val="19"/>
                <w:lang w:eastAsia="en-US"/>
              </w:rPr>
            </w:pPr>
            <w:r>
              <w:rPr>
                <w:rFonts w:ascii="Arial" w:hAnsi="Arial" w:cs="Arial"/>
                <w:b/>
                <w:bCs/>
                <w:color w:val="000000"/>
                <w:sz w:val="19"/>
                <w:szCs w:val="19"/>
                <w:lang w:eastAsia="en-US"/>
              </w:rPr>
              <w:t>Test of significance</w:t>
            </w:r>
          </w:p>
        </w:tc>
      </w:tr>
      <w:tr w:rsidR="003B0DEE" w:rsidRPr="000806DA" w:rsidTr="000D5D90">
        <w:trPr>
          <w:trHeight w:val="20"/>
        </w:trPr>
        <w:tc>
          <w:tcPr>
            <w:tcW w:w="1694" w:type="pct"/>
            <w:tcBorders>
              <w:left w:val="nil"/>
              <w:right w:val="nil"/>
            </w:tcBorders>
            <w:shd w:val="clear" w:color="auto" w:fill="FFFFFF"/>
          </w:tcPr>
          <w:p w:rsidR="003B0DEE" w:rsidRPr="000806DA" w:rsidRDefault="003B0DEE" w:rsidP="000D5D90">
            <w:pPr>
              <w:spacing w:line="240" w:lineRule="auto"/>
              <w:rPr>
                <w:rFonts w:ascii="Arial" w:hAnsi="Arial" w:cs="Arial"/>
                <w:b/>
                <w:bCs/>
                <w:color w:val="000000"/>
                <w:sz w:val="19"/>
                <w:szCs w:val="19"/>
                <w:lang w:eastAsia="en-US"/>
              </w:rPr>
            </w:pPr>
          </w:p>
        </w:tc>
        <w:tc>
          <w:tcPr>
            <w:tcW w:w="404"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92"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7" w:type="pct"/>
            <w:tcBorders>
              <w:top w:val="single" w:sz="8" w:space="0" w:color="000000"/>
              <w:left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92" w:type="pct"/>
            <w:tcBorders>
              <w:top w:val="single" w:sz="8" w:space="0" w:color="000000"/>
              <w:left w:val="nil"/>
              <w:bottom w:val="nil"/>
              <w:right w:val="nil"/>
            </w:tcBorders>
            <w:shd w:val="clear" w:color="auto" w:fill="F2F2F2"/>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347" w:type="pct"/>
            <w:tcBorders>
              <w:top w:val="single" w:sz="8" w:space="0" w:color="000000"/>
              <w:left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N</w:t>
            </w:r>
          </w:p>
        </w:tc>
        <w:tc>
          <w:tcPr>
            <w:tcW w:w="393" w:type="pct"/>
            <w:tcBorders>
              <w:top w:val="single" w:sz="8" w:space="0" w:color="000000"/>
              <w:left w:val="nil"/>
              <w:bottom w:val="nil"/>
              <w:right w:val="nil"/>
            </w:tcBorders>
            <w:shd w:val="clear" w:color="auto" w:fill="FFFFFF"/>
          </w:tcPr>
          <w:p w:rsidR="003B0DEE" w:rsidRPr="000806DA" w:rsidRDefault="003B0DEE" w:rsidP="000D5D90">
            <w:pPr>
              <w:spacing w:line="240" w:lineRule="auto"/>
              <w:jc w:val="right"/>
              <w:rPr>
                <w:rFonts w:ascii="Arial" w:hAnsi="Arial" w:cs="Arial"/>
                <w:b/>
                <w:color w:val="000000"/>
                <w:sz w:val="19"/>
                <w:szCs w:val="19"/>
                <w:lang w:eastAsia="en-US"/>
              </w:rPr>
            </w:pPr>
            <w:r w:rsidRPr="000806DA">
              <w:rPr>
                <w:rFonts w:ascii="Arial" w:hAnsi="Arial" w:cs="Arial"/>
                <w:b/>
                <w:color w:val="000000"/>
                <w:sz w:val="19"/>
                <w:szCs w:val="19"/>
                <w:lang w:eastAsia="en-US"/>
              </w:rPr>
              <w:t>%</w:t>
            </w:r>
          </w:p>
        </w:tc>
        <w:tc>
          <w:tcPr>
            <w:tcW w:w="1032" w:type="pct"/>
            <w:tcBorders>
              <w:top w:val="single" w:sz="8" w:space="0" w:color="000000"/>
              <w:left w:val="nil"/>
              <w:right w:val="nil"/>
            </w:tcBorders>
            <w:shd w:val="clear" w:color="auto" w:fill="F2F2F2"/>
          </w:tcPr>
          <w:p w:rsidR="003B0DEE" w:rsidRPr="000806DA" w:rsidRDefault="003B0DEE" w:rsidP="000D5D90">
            <w:pPr>
              <w:spacing w:line="240" w:lineRule="auto"/>
              <w:jc w:val="center"/>
              <w:rPr>
                <w:rFonts w:ascii="Arial" w:hAnsi="Arial" w:cs="Arial"/>
                <w:b/>
                <w:color w:val="000000"/>
                <w:sz w:val="19"/>
                <w:szCs w:val="19"/>
                <w:lang w:eastAsia="en-US"/>
              </w:rPr>
            </w:pPr>
          </w:p>
        </w:tc>
      </w:tr>
      <w:tr w:rsidR="003B0DEE" w:rsidRPr="00CA1037" w:rsidTr="000D5D90">
        <w:trPr>
          <w:trHeight w:val="20"/>
        </w:trPr>
        <w:tc>
          <w:tcPr>
            <w:tcW w:w="1694" w:type="pct"/>
            <w:vMerge w:val="restart"/>
            <w:tcBorders>
              <w:top w:val="nil"/>
            </w:tcBorders>
            <w:shd w:val="clear" w:color="auto" w:fill="FFFFFF"/>
          </w:tcPr>
          <w:p w:rsidR="003B0DEE" w:rsidRPr="00137F29" w:rsidRDefault="003B0DEE" w:rsidP="000D5D90">
            <w:pPr>
              <w:spacing w:line="240" w:lineRule="auto"/>
              <w:rPr>
                <w:rFonts w:ascii="Arial" w:hAnsi="Arial" w:cs="Arial"/>
                <w:bCs/>
                <w:sz w:val="19"/>
                <w:szCs w:val="19"/>
                <w:lang w:eastAsia="en-US"/>
              </w:rPr>
            </w:pPr>
            <w:r w:rsidRPr="00137F29">
              <w:rPr>
                <w:rFonts w:ascii="Arial" w:hAnsi="Arial" w:cs="Arial"/>
                <w:bCs/>
                <w:sz w:val="19"/>
                <w:szCs w:val="19"/>
                <w:lang w:eastAsia="en-US"/>
              </w:rPr>
              <w:t>Opioid substitution</w:t>
            </w:r>
          </w:p>
        </w:tc>
        <w:tc>
          <w:tcPr>
            <w:tcW w:w="404"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392"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347" w:type="pct"/>
            <w:tcBorders>
              <w:top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392" w:type="pct"/>
            <w:tcBorders>
              <w:top w:val="nil"/>
              <w:bottom w:val="nil"/>
            </w:tcBorders>
            <w:shd w:val="clear" w:color="auto" w:fill="F2F2F2"/>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347" w:type="pct"/>
            <w:tcBorders>
              <w:top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393" w:type="pct"/>
            <w:tcBorders>
              <w:top w:val="nil"/>
              <w:bottom w:val="nil"/>
            </w:tcBorders>
            <w:shd w:val="clear" w:color="auto" w:fill="FFFFFF"/>
            <w:vAlign w:val="center"/>
          </w:tcPr>
          <w:p w:rsidR="003B0DEE" w:rsidRPr="000806DA" w:rsidRDefault="003B0DEE" w:rsidP="000D5D90">
            <w:pPr>
              <w:spacing w:line="240" w:lineRule="auto"/>
              <w:jc w:val="right"/>
              <w:rPr>
                <w:rFonts w:ascii="Arial" w:hAnsi="Arial" w:cs="Arial"/>
                <w:color w:val="000000"/>
                <w:sz w:val="19"/>
                <w:szCs w:val="19"/>
                <w:lang w:eastAsia="en-US"/>
              </w:rPr>
            </w:pPr>
          </w:p>
        </w:tc>
        <w:tc>
          <w:tcPr>
            <w:tcW w:w="1032" w:type="pct"/>
            <w:vMerge w:val="restart"/>
            <w:tcBorders>
              <w:top w:val="nil"/>
            </w:tcBorders>
            <w:shd w:val="clear" w:color="auto" w:fill="F2F2F2"/>
            <w:vAlign w:val="bottom"/>
          </w:tcPr>
          <w:p w:rsidR="003B0DEE" w:rsidRPr="00137F29" w:rsidRDefault="003B0DEE" w:rsidP="000D5D90">
            <w:pPr>
              <w:spacing w:line="240" w:lineRule="auto"/>
              <w:jc w:val="right"/>
              <w:rPr>
                <w:rFonts w:ascii="Arial" w:hAnsi="Arial" w:cs="Arial"/>
                <w:color w:val="000000"/>
                <w:sz w:val="18"/>
                <w:szCs w:val="18"/>
              </w:rPr>
            </w:pPr>
            <w:r w:rsidRPr="00137F29">
              <w:rPr>
                <w:rFonts w:ascii="Arial" w:hAnsi="Arial" w:cs="Arial"/>
                <w:color w:val="000000"/>
                <w:sz w:val="18"/>
                <w:szCs w:val="18"/>
              </w:rPr>
              <w:t>NS</w:t>
            </w:r>
          </w:p>
        </w:tc>
      </w:tr>
      <w:tr w:rsidR="003B0DEE" w:rsidRPr="00CA1037" w:rsidTr="000D5D90">
        <w:trPr>
          <w:trHeight w:val="20"/>
        </w:trPr>
        <w:tc>
          <w:tcPr>
            <w:tcW w:w="1694" w:type="pct"/>
            <w:vMerge/>
            <w:tcBorders>
              <w:top w:val="nil"/>
              <w:left w:val="nil"/>
              <w:right w:val="nil"/>
            </w:tcBorders>
            <w:shd w:val="clear" w:color="auto" w:fill="FFFFFF"/>
            <w:vAlign w:val="center"/>
          </w:tcPr>
          <w:p w:rsidR="003B0DEE" w:rsidRPr="00137F29" w:rsidRDefault="003B0DEE" w:rsidP="000D5D90">
            <w:pPr>
              <w:spacing w:line="240" w:lineRule="auto"/>
              <w:rPr>
                <w:rFonts w:ascii="Arial" w:hAnsi="Arial" w:cs="Arial"/>
                <w:bCs/>
                <w:sz w:val="19"/>
                <w:szCs w:val="19"/>
                <w:lang w:eastAsia="en-US"/>
              </w:rPr>
            </w:pPr>
          </w:p>
        </w:tc>
        <w:tc>
          <w:tcPr>
            <w:tcW w:w="404" w:type="pct"/>
            <w:tcBorders>
              <w:top w:val="nil"/>
              <w:left w:val="nil"/>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147</w:t>
            </w:r>
          </w:p>
        </w:tc>
        <w:tc>
          <w:tcPr>
            <w:tcW w:w="392" w:type="pct"/>
            <w:tcBorders>
              <w:top w:val="nil"/>
              <w:left w:val="nil"/>
              <w:bottom w:val="nil"/>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12.7</w:t>
            </w:r>
          </w:p>
        </w:tc>
        <w:tc>
          <w:tcPr>
            <w:tcW w:w="347" w:type="pct"/>
            <w:tcBorders>
              <w:top w:val="nil"/>
              <w:left w:val="nil"/>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457645">
              <w:rPr>
                <w:rFonts w:ascii="Arial" w:hAnsi="Arial" w:cs="Arial"/>
                <w:color w:val="000000"/>
                <w:sz w:val="18"/>
                <w:szCs w:val="18"/>
              </w:rPr>
              <w:t>466</w:t>
            </w:r>
          </w:p>
        </w:tc>
        <w:tc>
          <w:tcPr>
            <w:tcW w:w="392" w:type="pct"/>
            <w:tcBorders>
              <w:top w:val="nil"/>
              <w:left w:val="nil"/>
              <w:bottom w:val="nil"/>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457645">
              <w:rPr>
                <w:rFonts w:ascii="Arial" w:hAnsi="Arial" w:cs="Arial"/>
                <w:color w:val="000000"/>
                <w:sz w:val="18"/>
                <w:szCs w:val="18"/>
              </w:rPr>
              <w:t>13.1</w:t>
            </w:r>
          </w:p>
        </w:tc>
        <w:tc>
          <w:tcPr>
            <w:tcW w:w="347" w:type="pct"/>
            <w:tcBorders>
              <w:top w:val="nil"/>
              <w:left w:val="nil"/>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457645">
              <w:rPr>
                <w:rFonts w:ascii="Arial" w:hAnsi="Arial" w:cs="Arial"/>
                <w:color w:val="000000"/>
                <w:sz w:val="18"/>
                <w:szCs w:val="18"/>
              </w:rPr>
              <w:t>613</w:t>
            </w:r>
          </w:p>
        </w:tc>
        <w:tc>
          <w:tcPr>
            <w:tcW w:w="393" w:type="pct"/>
            <w:tcBorders>
              <w:top w:val="nil"/>
              <w:left w:val="nil"/>
              <w:bottom w:val="nil"/>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457645">
              <w:rPr>
                <w:rFonts w:ascii="Arial" w:hAnsi="Arial" w:cs="Arial"/>
                <w:color w:val="000000"/>
                <w:sz w:val="18"/>
                <w:szCs w:val="18"/>
              </w:rPr>
              <w:t>13.0</w:t>
            </w:r>
          </w:p>
        </w:tc>
        <w:tc>
          <w:tcPr>
            <w:tcW w:w="1032" w:type="pct"/>
            <w:vMerge/>
            <w:tcBorders>
              <w:left w:val="nil"/>
              <w:right w:val="nil"/>
            </w:tcBorders>
            <w:shd w:val="clear" w:color="auto" w:fill="F2F2F2"/>
          </w:tcPr>
          <w:p w:rsidR="003B0DEE" w:rsidRPr="00137F29" w:rsidRDefault="003B0DEE" w:rsidP="000D5D90">
            <w:pPr>
              <w:spacing w:line="240" w:lineRule="auto"/>
              <w:jc w:val="right"/>
              <w:rPr>
                <w:rFonts w:ascii="Arial" w:hAnsi="Arial" w:cs="Arial"/>
                <w:color w:val="000000"/>
                <w:sz w:val="18"/>
                <w:szCs w:val="18"/>
              </w:rPr>
            </w:pPr>
          </w:p>
        </w:tc>
      </w:tr>
      <w:tr w:rsidR="003B0DEE" w:rsidRPr="000806DA" w:rsidTr="000D5D90">
        <w:trPr>
          <w:trHeight w:val="20"/>
        </w:trPr>
        <w:tc>
          <w:tcPr>
            <w:tcW w:w="1694" w:type="pct"/>
            <w:tcBorders>
              <w:top w:val="single" w:sz="4" w:space="0" w:color="auto"/>
              <w:left w:val="nil"/>
              <w:bottom w:val="single" w:sz="4" w:space="0" w:color="auto"/>
              <w:right w:val="nil"/>
            </w:tcBorders>
            <w:shd w:val="clear" w:color="auto" w:fill="FFFFFF"/>
          </w:tcPr>
          <w:p w:rsidR="003B0DEE" w:rsidRPr="00137F29" w:rsidRDefault="003B0DEE" w:rsidP="000D5D90">
            <w:pPr>
              <w:spacing w:line="240" w:lineRule="auto"/>
              <w:rPr>
                <w:rFonts w:ascii="Arial" w:hAnsi="Arial" w:cs="Arial"/>
                <w:bCs/>
                <w:sz w:val="19"/>
                <w:szCs w:val="19"/>
                <w:lang w:eastAsia="en-US"/>
              </w:rPr>
            </w:pPr>
            <w:r w:rsidRPr="00137F29">
              <w:rPr>
                <w:rFonts w:ascii="Arial" w:hAnsi="Arial" w:cs="Arial"/>
                <w:bCs/>
                <w:sz w:val="19"/>
                <w:szCs w:val="19"/>
                <w:lang w:eastAsia="en-US"/>
              </w:rPr>
              <w:t>Structured detoxification</w:t>
            </w:r>
          </w:p>
        </w:tc>
        <w:tc>
          <w:tcPr>
            <w:tcW w:w="404"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13</w:t>
            </w:r>
          </w:p>
        </w:tc>
        <w:tc>
          <w:tcPr>
            <w:tcW w:w="392"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1.1</w:t>
            </w:r>
          </w:p>
        </w:tc>
        <w:tc>
          <w:tcPr>
            <w:tcW w:w="347"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95</w:t>
            </w:r>
          </w:p>
        </w:tc>
        <w:tc>
          <w:tcPr>
            <w:tcW w:w="392"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2.7</w:t>
            </w:r>
          </w:p>
        </w:tc>
        <w:tc>
          <w:tcPr>
            <w:tcW w:w="347"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108</w:t>
            </w:r>
          </w:p>
        </w:tc>
        <w:tc>
          <w:tcPr>
            <w:tcW w:w="393"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2.3</w:t>
            </w:r>
          </w:p>
        </w:tc>
        <w:tc>
          <w:tcPr>
            <w:tcW w:w="1032" w:type="pct"/>
            <w:tcBorders>
              <w:top w:val="single" w:sz="4" w:space="0" w:color="auto"/>
              <w:left w:val="nil"/>
              <w:bottom w:val="single" w:sz="4" w:space="0" w:color="auto"/>
              <w:right w:val="nil"/>
            </w:tcBorders>
            <w:shd w:val="clear" w:color="auto" w:fill="F2F2F2"/>
          </w:tcPr>
          <w:p w:rsidR="003B0DEE" w:rsidRPr="00137F29" w:rsidRDefault="003B0DEE" w:rsidP="000D5D90">
            <w:pPr>
              <w:spacing w:line="240" w:lineRule="auto"/>
              <w:jc w:val="right"/>
              <w:rPr>
                <w:rFonts w:ascii="Arial" w:hAnsi="Arial" w:cs="Arial"/>
                <w:color w:val="000000"/>
                <w:sz w:val="18"/>
                <w:szCs w:val="18"/>
              </w:rPr>
            </w:pPr>
            <w:r w:rsidRPr="00137F29">
              <w:rPr>
                <w:rFonts w:ascii="Arial" w:hAnsi="Arial" w:cs="Arial"/>
                <w:color w:val="000000"/>
                <w:sz w:val="18"/>
                <w:szCs w:val="18"/>
              </w:rPr>
              <w:t>45.883 (p&lt;0.001)</w:t>
            </w:r>
          </w:p>
        </w:tc>
      </w:tr>
      <w:tr w:rsidR="003B0DEE" w:rsidRPr="000806DA" w:rsidTr="000D5D90">
        <w:trPr>
          <w:trHeight w:val="20"/>
        </w:trPr>
        <w:tc>
          <w:tcPr>
            <w:tcW w:w="1694" w:type="pct"/>
            <w:tcBorders>
              <w:top w:val="single" w:sz="4" w:space="0" w:color="auto"/>
              <w:left w:val="nil"/>
              <w:bottom w:val="single" w:sz="4" w:space="0" w:color="auto"/>
              <w:right w:val="nil"/>
            </w:tcBorders>
            <w:shd w:val="clear" w:color="auto" w:fill="FFFFFF"/>
          </w:tcPr>
          <w:p w:rsidR="003B0DEE" w:rsidRPr="00137F29" w:rsidRDefault="003B0DEE" w:rsidP="000D5D90">
            <w:pPr>
              <w:spacing w:line="240" w:lineRule="auto"/>
              <w:rPr>
                <w:rFonts w:ascii="Arial" w:hAnsi="Arial" w:cs="Arial"/>
                <w:bCs/>
                <w:sz w:val="19"/>
                <w:szCs w:val="19"/>
                <w:lang w:eastAsia="en-US"/>
              </w:rPr>
            </w:pPr>
            <w:r w:rsidRPr="00137F29">
              <w:rPr>
                <w:rFonts w:ascii="Arial" w:hAnsi="Arial" w:cs="Arial"/>
                <w:bCs/>
                <w:sz w:val="19"/>
                <w:szCs w:val="19"/>
                <w:lang w:eastAsia="en-US"/>
              </w:rPr>
              <w:t>Counselling only</w:t>
            </w:r>
          </w:p>
        </w:tc>
        <w:tc>
          <w:tcPr>
            <w:tcW w:w="404"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717</w:t>
            </w:r>
          </w:p>
        </w:tc>
        <w:tc>
          <w:tcPr>
            <w:tcW w:w="392"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61.9</w:t>
            </w:r>
          </w:p>
        </w:tc>
        <w:tc>
          <w:tcPr>
            <w:tcW w:w="347"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1797</w:t>
            </w:r>
          </w:p>
        </w:tc>
        <w:tc>
          <w:tcPr>
            <w:tcW w:w="392"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50.4</w:t>
            </w:r>
          </w:p>
        </w:tc>
        <w:tc>
          <w:tcPr>
            <w:tcW w:w="347"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2514</w:t>
            </w:r>
          </w:p>
        </w:tc>
        <w:tc>
          <w:tcPr>
            <w:tcW w:w="393"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53.2</w:t>
            </w:r>
          </w:p>
        </w:tc>
        <w:tc>
          <w:tcPr>
            <w:tcW w:w="1032" w:type="pct"/>
            <w:tcBorders>
              <w:top w:val="single" w:sz="4" w:space="0" w:color="auto"/>
              <w:left w:val="nil"/>
              <w:bottom w:val="single" w:sz="4" w:space="0" w:color="auto"/>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Pr>
                <w:rFonts w:ascii="Arial" w:hAnsi="Arial" w:cs="Arial"/>
                <w:color w:val="000000"/>
                <w:sz w:val="19"/>
                <w:szCs w:val="19"/>
                <w:lang w:eastAsia="en-US"/>
              </w:rPr>
              <w:t>45.883 (p&lt;0.001)</w:t>
            </w:r>
          </w:p>
        </w:tc>
      </w:tr>
      <w:tr w:rsidR="003B0DEE" w:rsidRPr="000806DA" w:rsidTr="000D5D90">
        <w:trPr>
          <w:trHeight w:val="20"/>
        </w:trPr>
        <w:tc>
          <w:tcPr>
            <w:tcW w:w="1694" w:type="pct"/>
            <w:tcBorders>
              <w:top w:val="single" w:sz="4" w:space="0" w:color="auto"/>
              <w:left w:val="nil"/>
              <w:bottom w:val="single" w:sz="4" w:space="0" w:color="auto"/>
              <w:right w:val="nil"/>
            </w:tcBorders>
            <w:shd w:val="clear" w:color="auto" w:fill="FFFFFF"/>
          </w:tcPr>
          <w:p w:rsidR="003B0DEE" w:rsidRPr="00137F29" w:rsidRDefault="003B0DEE" w:rsidP="000D5D90">
            <w:pPr>
              <w:spacing w:line="240" w:lineRule="auto"/>
              <w:rPr>
                <w:rFonts w:ascii="Arial" w:hAnsi="Arial" w:cs="Arial"/>
                <w:bCs/>
                <w:sz w:val="19"/>
                <w:szCs w:val="19"/>
                <w:lang w:eastAsia="en-US"/>
              </w:rPr>
            </w:pPr>
            <w:r w:rsidRPr="00137F29">
              <w:rPr>
                <w:rFonts w:ascii="Arial" w:hAnsi="Arial" w:cs="Arial"/>
                <w:bCs/>
                <w:sz w:val="19"/>
                <w:szCs w:val="19"/>
                <w:lang w:eastAsia="en-US"/>
              </w:rPr>
              <w:t>Other psychosocial interventions</w:t>
            </w:r>
          </w:p>
        </w:tc>
        <w:tc>
          <w:tcPr>
            <w:tcW w:w="404"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282</w:t>
            </w:r>
          </w:p>
        </w:tc>
        <w:tc>
          <w:tcPr>
            <w:tcW w:w="392"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24.3</w:t>
            </w:r>
          </w:p>
        </w:tc>
        <w:tc>
          <w:tcPr>
            <w:tcW w:w="347"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1205</w:t>
            </w:r>
          </w:p>
        </w:tc>
        <w:tc>
          <w:tcPr>
            <w:tcW w:w="392" w:type="pct"/>
            <w:tcBorders>
              <w:top w:val="single" w:sz="4" w:space="0" w:color="auto"/>
              <w:left w:val="nil"/>
              <w:bottom w:val="single" w:sz="4" w:space="0" w:color="auto"/>
              <w:right w:val="nil"/>
            </w:tcBorders>
            <w:shd w:val="clear" w:color="auto" w:fill="F2F2F2"/>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33.8</w:t>
            </w:r>
          </w:p>
        </w:tc>
        <w:tc>
          <w:tcPr>
            <w:tcW w:w="347"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1487</w:t>
            </w:r>
          </w:p>
        </w:tc>
        <w:tc>
          <w:tcPr>
            <w:tcW w:w="393" w:type="pct"/>
            <w:tcBorders>
              <w:top w:val="single" w:sz="4" w:space="0" w:color="auto"/>
              <w:left w:val="nil"/>
              <w:bottom w:val="single" w:sz="4" w:space="0" w:color="auto"/>
              <w:right w:val="nil"/>
            </w:tcBorders>
            <w:shd w:val="clear" w:color="auto" w:fill="FFFFFF"/>
            <w:vAlign w:val="center"/>
          </w:tcPr>
          <w:p w:rsidR="003B0DEE" w:rsidRPr="00137F29" w:rsidRDefault="003B0DEE" w:rsidP="000D5D90">
            <w:pPr>
              <w:spacing w:line="240" w:lineRule="auto"/>
              <w:jc w:val="right"/>
              <w:rPr>
                <w:rFonts w:ascii="Arial" w:hAnsi="Arial" w:cs="Arial"/>
                <w:bCs/>
                <w:color w:val="000000"/>
                <w:sz w:val="18"/>
                <w:szCs w:val="18"/>
                <w:lang w:eastAsia="en-US"/>
              </w:rPr>
            </w:pPr>
            <w:r w:rsidRPr="00137F29">
              <w:rPr>
                <w:rFonts w:ascii="Arial" w:hAnsi="Arial" w:cs="Arial"/>
                <w:bCs/>
                <w:color w:val="000000"/>
                <w:sz w:val="18"/>
                <w:szCs w:val="18"/>
                <w:lang w:eastAsia="en-US"/>
              </w:rPr>
              <w:t>31.5</w:t>
            </w:r>
          </w:p>
        </w:tc>
        <w:tc>
          <w:tcPr>
            <w:tcW w:w="1032" w:type="pct"/>
            <w:tcBorders>
              <w:top w:val="single" w:sz="4" w:space="0" w:color="auto"/>
              <w:left w:val="nil"/>
              <w:bottom w:val="single" w:sz="4" w:space="0" w:color="auto"/>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r>
              <w:rPr>
                <w:rFonts w:ascii="Arial" w:hAnsi="Arial" w:cs="Arial"/>
                <w:color w:val="000000"/>
                <w:sz w:val="19"/>
                <w:szCs w:val="19"/>
                <w:lang w:eastAsia="en-US"/>
              </w:rPr>
              <w:t>9.336 (p=0.002)</w:t>
            </w:r>
          </w:p>
        </w:tc>
      </w:tr>
      <w:tr w:rsidR="003B0DEE" w:rsidRPr="000806DA" w:rsidTr="000D5D90">
        <w:trPr>
          <w:trHeight w:val="20"/>
        </w:trPr>
        <w:tc>
          <w:tcPr>
            <w:tcW w:w="1694" w:type="pct"/>
            <w:tcBorders>
              <w:top w:val="single" w:sz="4" w:space="0" w:color="auto"/>
              <w:left w:val="nil"/>
              <w:right w:val="nil"/>
            </w:tcBorders>
            <w:shd w:val="clear" w:color="auto" w:fill="FFFFFF"/>
          </w:tcPr>
          <w:p w:rsidR="003B0DEE" w:rsidRPr="000806DA" w:rsidRDefault="003B0DEE" w:rsidP="000D5D90">
            <w:pPr>
              <w:spacing w:line="240" w:lineRule="auto"/>
              <w:rPr>
                <w:rFonts w:ascii="Arial" w:hAnsi="Arial" w:cs="Arial"/>
                <w:b/>
                <w:bCs/>
                <w:sz w:val="19"/>
                <w:szCs w:val="19"/>
                <w:lang w:eastAsia="en-US"/>
              </w:rPr>
            </w:pPr>
            <w:r>
              <w:rPr>
                <w:rFonts w:ascii="Arial" w:hAnsi="Arial" w:cs="Arial"/>
                <w:b/>
                <w:bCs/>
                <w:sz w:val="19"/>
                <w:szCs w:val="19"/>
                <w:lang w:eastAsia="en-US"/>
              </w:rPr>
              <w:t>Total</w:t>
            </w:r>
          </w:p>
        </w:tc>
        <w:tc>
          <w:tcPr>
            <w:tcW w:w="404" w:type="pct"/>
            <w:tcBorders>
              <w:top w:val="single" w:sz="4" w:space="0" w:color="auto"/>
              <w:left w:val="nil"/>
              <w:right w:val="nil"/>
            </w:tcBorders>
            <w:shd w:val="clear" w:color="auto" w:fill="FFFFFF"/>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1159</w:t>
            </w:r>
          </w:p>
        </w:tc>
        <w:tc>
          <w:tcPr>
            <w:tcW w:w="392" w:type="pct"/>
            <w:tcBorders>
              <w:top w:val="single" w:sz="4" w:space="0" w:color="auto"/>
              <w:left w:val="nil"/>
              <w:right w:val="nil"/>
            </w:tcBorders>
            <w:shd w:val="clear" w:color="auto" w:fill="FFFFFF"/>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100.0</w:t>
            </w:r>
          </w:p>
        </w:tc>
        <w:tc>
          <w:tcPr>
            <w:tcW w:w="347" w:type="pct"/>
            <w:tcBorders>
              <w:top w:val="single" w:sz="4" w:space="0" w:color="auto"/>
              <w:left w:val="nil"/>
              <w:right w:val="nil"/>
            </w:tcBorders>
            <w:shd w:val="clear" w:color="auto" w:fill="F2F2F2"/>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3563</w:t>
            </w:r>
          </w:p>
        </w:tc>
        <w:tc>
          <w:tcPr>
            <w:tcW w:w="392" w:type="pct"/>
            <w:tcBorders>
              <w:top w:val="single" w:sz="4" w:space="0" w:color="auto"/>
              <w:left w:val="nil"/>
              <w:right w:val="nil"/>
            </w:tcBorders>
            <w:shd w:val="clear" w:color="auto" w:fill="F2F2F2"/>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100.0</w:t>
            </w:r>
          </w:p>
        </w:tc>
        <w:tc>
          <w:tcPr>
            <w:tcW w:w="347" w:type="pct"/>
            <w:tcBorders>
              <w:top w:val="single" w:sz="4" w:space="0" w:color="auto"/>
              <w:left w:val="nil"/>
              <w:right w:val="nil"/>
            </w:tcBorders>
            <w:shd w:val="clear" w:color="auto" w:fill="FFFFFF"/>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4722</w:t>
            </w:r>
          </w:p>
        </w:tc>
        <w:tc>
          <w:tcPr>
            <w:tcW w:w="393" w:type="pct"/>
            <w:tcBorders>
              <w:top w:val="single" w:sz="4" w:space="0" w:color="auto"/>
              <w:left w:val="nil"/>
              <w:right w:val="nil"/>
            </w:tcBorders>
            <w:shd w:val="clear" w:color="auto" w:fill="FFFFFF"/>
            <w:vAlign w:val="center"/>
          </w:tcPr>
          <w:p w:rsidR="003B0DEE" w:rsidRPr="00137F29" w:rsidRDefault="003B0DEE" w:rsidP="000D5D90">
            <w:pPr>
              <w:spacing w:line="240" w:lineRule="auto"/>
              <w:jc w:val="right"/>
              <w:rPr>
                <w:rFonts w:ascii="Arial" w:hAnsi="Arial" w:cs="Arial"/>
                <w:b/>
                <w:bCs/>
                <w:color w:val="000000"/>
                <w:sz w:val="18"/>
                <w:szCs w:val="18"/>
                <w:lang w:eastAsia="en-US"/>
              </w:rPr>
            </w:pPr>
            <w:r w:rsidRPr="00137F29">
              <w:rPr>
                <w:rFonts w:ascii="Arial" w:hAnsi="Arial" w:cs="Arial"/>
                <w:b/>
                <w:bCs/>
                <w:color w:val="000000"/>
                <w:sz w:val="18"/>
                <w:szCs w:val="18"/>
                <w:lang w:eastAsia="en-US"/>
              </w:rPr>
              <w:t>100.0</w:t>
            </w:r>
          </w:p>
        </w:tc>
        <w:tc>
          <w:tcPr>
            <w:tcW w:w="1032" w:type="pct"/>
            <w:tcBorders>
              <w:top w:val="single" w:sz="4" w:space="0" w:color="auto"/>
              <w:left w:val="nil"/>
              <w:right w:val="nil"/>
            </w:tcBorders>
            <w:shd w:val="clear" w:color="auto" w:fill="F2F2F2"/>
          </w:tcPr>
          <w:p w:rsidR="003B0DEE" w:rsidRPr="000806DA" w:rsidRDefault="003B0DEE" w:rsidP="000D5D90">
            <w:pPr>
              <w:spacing w:line="240" w:lineRule="auto"/>
              <w:jc w:val="right"/>
              <w:rPr>
                <w:rFonts w:ascii="Arial" w:hAnsi="Arial" w:cs="Arial"/>
                <w:color w:val="000000"/>
                <w:sz w:val="19"/>
                <w:szCs w:val="19"/>
                <w:lang w:eastAsia="en-US"/>
              </w:rPr>
            </w:pPr>
          </w:p>
        </w:tc>
      </w:tr>
    </w:tbl>
    <w:p w:rsidR="003B0DEE" w:rsidRPr="00455BC6" w:rsidRDefault="003B0DEE" w:rsidP="000D5D90">
      <w:pPr>
        <w:pStyle w:val="EndNoteBibliography"/>
        <w:rPr>
          <w:rFonts w:cs="Arial"/>
          <w:sz w:val="20"/>
          <w:szCs w:val="20"/>
        </w:rPr>
      </w:pPr>
    </w:p>
    <w:p w:rsidR="000D5D90" w:rsidRDefault="000D5D90"/>
    <w:sectPr w:rsidR="000D5D90" w:rsidSect="00FF21E9">
      <w:pgSz w:w="11906" w:h="16838" w:code="9"/>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16B" w:rsidRDefault="00F9416B">
      <w:pPr>
        <w:spacing w:line="240" w:lineRule="auto"/>
      </w:pPr>
      <w:r>
        <w:separator/>
      </w:r>
    </w:p>
  </w:endnote>
  <w:endnote w:type="continuationSeparator" w:id="0">
    <w:p w:rsidR="00F9416B" w:rsidRDefault="00F9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utura">
    <w:altName w:val="Futura"/>
    <w:panose1 w:val="00000000000000000000"/>
    <w:charset w:val="00"/>
    <w:family w:val="swiss"/>
    <w:notTrueType/>
    <w:pitch w:val="default"/>
    <w:sig w:usb0="00000003" w:usb1="00000000" w:usb2="00000000" w:usb3="00000000" w:csb0="00000001" w:csb1="00000000"/>
  </w:font>
  <w:font w:name="Univers 65 Bold">
    <w:altName w:val="Univers 65 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31" w:rsidRPr="00E561BA" w:rsidRDefault="00695031" w:rsidP="000D5D90">
    <w:pPr>
      <w:pStyle w:val="Footer"/>
      <w:jc w:val="center"/>
      <w:rPr>
        <w:rFonts w:ascii="Arial" w:hAnsi="Arial" w:cs="Arial"/>
        <w:sz w:val="20"/>
      </w:rPr>
    </w:pPr>
    <w:r w:rsidRPr="00E561BA">
      <w:rPr>
        <w:rFonts w:ascii="Arial" w:hAnsi="Arial" w:cs="Arial"/>
        <w:sz w:val="20"/>
      </w:rPr>
      <w:fldChar w:fldCharType="begin"/>
    </w:r>
    <w:r w:rsidRPr="00E561BA">
      <w:rPr>
        <w:rFonts w:ascii="Arial" w:hAnsi="Arial" w:cs="Arial"/>
        <w:sz w:val="20"/>
      </w:rPr>
      <w:instrText xml:space="preserve"> PAGE   \* MERGEFORMAT </w:instrText>
    </w:r>
    <w:r w:rsidRPr="00E561BA">
      <w:rPr>
        <w:rFonts w:ascii="Arial" w:hAnsi="Arial" w:cs="Arial"/>
        <w:sz w:val="20"/>
      </w:rPr>
      <w:fldChar w:fldCharType="separate"/>
    </w:r>
    <w:r w:rsidR="00D92150">
      <w:rPr>
        <w:rFonts w:ascii="Arial" w:hAnsi="Arial" w:cs="Arial"/>
        <w:noProof/>
        <w:sz w:val="20"/>
      </w:rPr>
      <w:t>xi</w:t>
    </w:r>
    <w:r w:rsidRPr="00E561BA">
      <w:rPr>
        <w:rFonts w:ascii="Arial" w:hAnsi="Arial" w:cs="Arial"/>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31" w:rsidRPr="0026365B" w:rsidRDefault="00695031" w:rsidP="000D5D90">
    <w:pPr>
      <w:pStyle w:val="Footer"/>
      <w:jc w:val="center"/>
      <w:rPr>
        <w:rFonts w:ascii="Arial" w:hAnsi="Arial" w:cs="Arial"/>
        <w:sz w:val="20"/>
      </w:rPr>
    </w:pPr>
    <w:r w:rsidRPr="0026365B">
      <w:rPr>
        <w:rFonts w:ascii="Arial" w:hAnsi="Arial" w:cs="Arial"/>
        <w:sz w:val="20"/>
      </w:rPr>
      <w:fldChar w:fldCharType="begin"/>
    </w:r>
    <w:r w:rsidRPr="0026365B">
      <w:rPr>
        <w:rFonts w:ascii="Arial" w:hAnsi="Arial" w:cs="Arial"/>
        <w:sz w:val="20"/>
      </w:rPr>
      <w:instrText xml:space="preserve"> PAGE   \* MERGEFORMAT </w:instrText>
    </w:r>
    <w:r w:rsidRPr="0026365B">
      <w:rPr>
        <w:rFonts w:ascii="Arial" w:hAnsi="Arial" w:cs="Arial"/>
        <w:sz w:val="20"/>
      </w:rPr>
      <w:fldChar w:fldCharType="separate"/>
    </w:r>
    <w:r w:rsidR="00D92150">
      <w:rPr>
        <w:rFonts w:ascii="Arial" w:hAnsi="Arial" w:cs="Arial"/>
        <w:noProof/>
        <w:sz w:val="20"/>
      </w:rPr>
      <w:t>32</w:t>
    </w:r>
    <w:r w:rsidRPr="0026365B">
      <w:rPr>
        <w:rFonts w:ascii="Arial" w:hAnsi="Arial" w:cs="Arial"/>
        <w:noProof/>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31" w:rsidRPr="00E561BA" w:rsidRDefault="00695031" w:rsidP="000D5D90">
    <w:pPr>
      <w:pStyle w:val="Footer"/>
      <w:jc w:val="center"/>
      <w:rPr>
        <w:rFonts w:ascii="Arial" w:hAnsi="Arial" w:cs="Arial"/>
        <w:sz w:val="20"/>
      </w:rPr>
    </w:pPr>
    <w:r w:rsidRPr="00E561BA">
      <w:rPr>
        <w:rFonts w:ascii="Arial" w:hAnsi="Arial" w:cs="Arial"/>
        <w:sz w:val="20"/>
      </w:rPr>
      <w:fldChar w:fldCharType="begin"/>
    </w:r>
    <w:r w:rsidRPr="00E561BA">
      <w:rPr>
        <w:rFonts w:ascii="Arial" w:hAnsi="Arial" w:cs="Arial"/>
        <w:sz w:val="20"/>
      </w:rPr>
      <w:instrText xml:space="preserve"> PAGE   \* MERGEFORMAT </w:instrText>
    </w:r>
    <w:r w:rsidRPr="00E561BA">
      <w:rPr>
        <w:rFonts w:ascii="Arial" w:hAnsi="Arial" w:cs="Arial"/>
        <w:sz w:val="20"/>
      </w:rPr>
      <w:fldChar w:fldCharType="separate"/>
    </w:r>
    <w:r w:rsidR="00FF21E9">
      <w:rPr>
        <w:rFonts w:ascii="Arial" w:hAnsi="Arial" w:cs="Arial"/>
        <w:noProof/>
        <w:sz w:val="20"/>
      </w:rPr>
      <w:t>56</w:t>
    </w:r>
    <w:r w:rsidRPr="00E561BA">
      <w:rPr>
        <w:rFonts w:ascii="Arial" w:hAnsi="Arial" w:cs="Arial"/>
        <w:noProof/>
        <w:sz w:val="20"/>
      </w:rPr>
      <w:fldChar w:fldCharType="end"/>
    </w:r>
  </w:p>
  <w:p w:rsidR="00695031" w:rsidRDefault="0069503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31" w:rsidRPr="00E561BA" w:rsidRDefault="00695031" w:rsidP="000D5D90">
    <w:pPr>
      <w:pStyle w:val="Footer"/>
      <w:jc w:val="center"/>
      <w:rPr>
        <w:rFonts w:ascii="Arial" w:hAnsi="Arial" w:cs="Arial"/>
        <w:sz w:val="20"/>
      </w:rPr>
    </w:pPr>
    <w:r w:rsidRPr="00E561BA">
      <w:rPr>
        <w:rFonts w:ascii="Arial" w:hAnsi="Arial" w:cs="Arial"/>
        <w:sz w:val="20"/>
      </w:rPr>
      <w:fldChar w:fldCharType="begin"/>
    </w:r>
    <w:r w:rsidRPr="00E561BA">
      <w:rPr>
        <w:rFonts w:ascii="Arial" w:hAnsi="Arial" w:cs="Arial"/>
        <w:sz w:val="20"/>
      </w:rPr>
      <w:instrText xml:space="preserve"> PAGE   \* MERGEFORMAT </w:instrText>
    </w:r>
    <w:r w:rsidRPr="00E561BA">
      <w:rPr>
        <w:rFonts w:ascii="Arial" w:hAnsi="Arial" w:cs="Arial"/>
        <w:sz w:val="20"/>
      </w:rPr>
      <w:fldChar w:fldCharType="separate"/>
    </w:r>
    <w:r w:rsidR="00FF21E9">
      <w:rPr>
        <w:rFonts w:ascii="Arial" w:hAnsi="Arial" w:cs="Arial"/>
        <w:noProof/>
        <w:sz w:val="20"/>
      </w:rPr>
      <w:t>63</w:t>
    </w:r>
    <w:r w:rsidRPr="00E561BA">
      <w:rPr>
        <w:rFonts w:ascii="Arial" w:hAnsi="Arial" w:cs="Arial"/>
        <w:noProof/>
        <w:sz w:val="20"/>
      </w:rPr>
      <w:fldChar w:fldCharType="end"/>
    </w:r>
  </w:p>
  <w:p w:rsidR="00695031" w:rsidRDefault="0069503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31" w:rsidRPr="00E561BA" w:rsidRDefault="00695031" w:rsidP="000D5D90">
    <w:pPr>
      <w:pStyle w:val="Footer"/>
      <w:jc w:val="center"/>
      <w:rPr>
        <w:rFonts w:ascii="Arial" w:hAnsi="Arial" w:cs="Arial"/>
        <w:sz w:val="20"/>
      </w:rPr>
    </w:pPr>
    <w:r w:rsidRPr="00E561BA">
      <w:rPr>
        <w:rFonts w:ascii="Arial" w:hAnsi="Arial" w:cs="Arial"/>
        <w:sz w:val="20"/>
      </w:rPr>
      <w:fldChar w:fldCharType="begin"/>
    </w:r>
    <w:r w:rsidRPr="00E561BA">
      <w:rPr>
        <w:rFonts w:ascii="Arial" w:hAnsi="Arial" w:cs="Arial"/>
        <w:sz w:val="20"/>
      </w:rPr>
      <w:instrText xml:space="preserve"> PAGE   \* MERGEFORMAT </w:instrText>
    </w:r>
    <w:r w:rsidRPr="00E561BA">
      <w:rPr>
        <w:rFonts w:ascii="Arial" w:hAnsi="Arial" w:cs="Arial"/>
        <w:sz w:val="20"/>
      </w:rPr>
      <w:fldChar w:fldCharType="separate"/>
    </w:r>
    <w:r w:rsidR="00FF21E9">
      <w:rPr>
        <w:rFonts w:ascii="Arial" w:hAnsi="Arial" w:cs="Arial"/>
        <w:noProof/>
        <w:sz w:val="20"/>
      </w:rPr>
      <w:t>150</w:t>
    </w:r>
    <w:r w:rsidRPr="00E561BA">
      <w:rPr>
        <w:rFonts w:ascii="Arial" w:hAnsi="Arial" w:cs="Arial"/>
        <w:noProof/>
        <w:sz w:val="20"/>
      </w:rPr>
      <w:fldChar w:fldCharType="end"/>
    </w:r>
  </w:p>
  <w:p w:rsidR="00695031" w:rsidRDefault="006950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16B" w:rsidRDefault="00F9416B">
      <w:pPr>
        <w:spacing w:line="240" w:lineRule="auto"/>
      </w:pPr>
      <w:r>
        <w:separator/>
      </w:r>
    </w:p>
  </w:footnote>
  <w:footnote w:type="continuationSeparator" w:id="0">
    <w:p w:rsidR="00F9416B" w:rsidRDefault="00F9416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2407"/>
    <w:multiLevelType w:val="hybridMultilevel"/>
    <w:tmpl w:val="B6AC626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07F45300"/>
    <w:multiLevelType w:val="hybridMultilevel"/>
    <w:tmpl w:val="4E4AE4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98E43B3"/>
    <w:multiLevelType w:val="hybridMultilevel"/>
    <w:tmpl w:val="6B3A129C"/>
    <w:lvl w:ilvl="0" w:tplc="13D64A30">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0C350A7B"/>
    <w:multiLevelType w:val="hybridMultilevel"/>
    <w:tmpl w:val="8DB6E7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5B85F73"/>
    <w:multiLevelType w:val="hybridMultilevel"/>
    <w:tmpl w:val="F5BCD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Symbol" w:hAnsi="Symbol"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Symbol" w:hAnsi="Symbol" w:hint="default"/>
      </w:rPr>
    </w:lvl>
  </w:abstractNum>
  <w:abstractNum w:abstractNumId="5">
    <w:nsid w:val="178C7AA7"/>
    <w:multiLevelType w:val="hybridMultilevel"/>
    <w:tmpl w:val="71EE431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nsid w:val="18C20935"/>
    <w:multiLevelType w:val="hybridMultilevel"/>
    <w:tmpl w:val="B2D6656A"/>
    <w:lvl w:ilvl="0" w:tplc="04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222D6015"/>
    <w:multiLevelType w:val="hybridMultilevel"/>
    <w:tmpl w:val="C14CF5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25475409"/>
    <w:multiLevelType w:val="hybridMultilevel"/>
    <w:tmpl w:val="4BFA2C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282E344A"/>
    <w:multiLevelType w:val="hybridMultilevel"/>
    <w:tmpl w:val="8978311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2D8B6F82"/>
    <w:multiLevelType w:val="hybridMultilevel"/>
    <w:tmpl w:val="8E6646A4"/>
    <w:lvl w:ilvl="0" w:tplc="20629E6E">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nsid w:val="33E050D9"/>
    <w:multiLevelType w:val="hybridMultilevel"/>
    <w:tmpl w:val="B6AC626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nsid w:val="35496DA8"/>
    <w:multiLevelType w:val="hybridMultilevel"/>
    <w:tmpl w:val="9B3CD3EC"/>
    <w:lvl w:ilvl="0" w:tplc="8BE206DC">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38B8293F"/>
    <w:multiLevelType w:val="hybridMultilevel"/>
    <w:tmpl w:val="670EFA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3F2B063D"/>
    <w:multiLevelType w:val="hybridMultilevel"/>
    <w:tmpl w:val="12FC9E30"/>
    <w:lvl w:ilvl="0" w:tplc="F692D68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4687764C"/>
    <w:multiLevelType w:val="hybridMultilevel"/>
    <w:tmpl w:val="0310F32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49311FB2"/>
    <w:multiLevelType w:val="hybridMultilevel"/>
    <w:tmpl w:val="74320E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4A597048"/>
    <w:multiLevelType w:val="multilevel"/>
    <w:tmpl w:val="A1B4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414F34"/>
    <w:multiLevelType w:val="hybridMultilevel"/>
    <w:tmpl w:val="D74AE2FC"/>
    <w:lvl w:ilvl="0" w:tplc="18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65F3624E"/>
    <w:multiLevelType w:val="hybridMultilevel"/>
    <w:tmpl w:val="670EFA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6E09250C"/>
    <w:multiLevelType w:val="hybridMultilevel"/>
    <w:tmpl w:val="1A78CB26"/>
    <w:lvl w:ilvl="0" w:tplc="F692D68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nsid w:val="71050C9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nsid w:val="7F3F674A"/>
    <w:multiLevelType w:val="hybridMultilevel"/>
    <w:tmpl w:val="9566CDD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7FBB7937"/>
    <w:multiLevelType w:val="hybridMultilevel"/>
    <w:tmpl w:val="6E7AAB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1"/>
  </w:num>
  <w:num w:numId="5">
    <w:abstractNumId w:val="23"/>
  </w:num>
  <w:num w:numId="6">
    <w:abstractNumId w:val="9"/>
  </w:num>
  <w:num w:numId="7">
    <w:abstractNumId w:val="15"/>
  </w:num>
  <w:num w:numId="8">
    <w:abstractNumId w:val="16"/>
  </w:num>
  <w:num w:numId="9">
    <w:abstractNumId w:val="19"/>
  </w:num>
  <w:num w:numId="10">
    <w:abstractNumId w:val="0"/>
  </w:num>
  <w:num w:numId="11">
    <w:abstractNumId w:val="11"/>
  </w:num>
  <w:num w:numId="12">
    <w:abstractNumId w:val="13"/>
  </w:num>
  <w:num w:numId="13">
    <w:abstractNumId w:val="21"/>
  </w:num>
  <w:num w:numId="14">
    <w:abstractNumId w:val="6"/>
  </w:num>
  <w:num w:numId="15">
    <w:abstractNumId w:val="7"/>
  </w:num>
  <w:num w:numId="16">
    <w:abstractNumId w:val="14"/>
  </w:num>
  <w:num w:numId="17">
    <w:abstractNumId w:val="12"/>
  </w:num>
  <w:num w:numId="18">
    <w:abstractNumId w:val="20"/>
  </w:num>
  <w:num w:numId="19">
    <w:abstractNumId w:val="22"/>
  </w:num>
  <w:num w:numId="20">
    <w:abstractNumId w:val="2"/>
  </w:num>
  <w:num w:numId="21">
    <w:abstractNumId w:val="18"/>
  </w:num>
  <w:num w:numId="22">
    <w:abstractNumId w:val="17"/>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B0DEE"/>
    <w:rsid w:val="0007258F"/>
    <w:rsid w:val="000B5284"/>
    <w:rsid w:val="000D5D90"/>
    <w:rsid w:val="00186EA9"/>
    <w:rsid w:val="001B4688"/>
    <w:rsid w:val="00205FF5"/>
    <w:rsid w:val="003B0DEE"/>
    <w:rsid w:val="004501A9"/>
    <w:rsid w:val="004C269B"/>
    <w:rsid w:val="00525452"/>
    <w:rsid w:val="00551CD8"/>
    <w:rsid w:val="00600F48"/>
    <w:rsid w:val="00607AC1"/>
    <w:rsid w:val="00682460"/>
    <w:rsid w:val="006943FC"/>
    <w:rsid w:val="00695031"/>
    <w:rsid w:val="007B448C"/>
    <w:rsid w:val="007B669A"/>
    <w:rsid w:val="007C1DDB"/>
    <w:rsid w:val="008051E8"/>
    <w:rsid w:val="008F359E"/>
    <w:rsid w:val="009D2A34"/>
    <w:rsid w:val="00A014DF"/>
    <w:rsid w:val="00A04F4A"/>
    <w:rsid w:val="00A07F1B"/>
    <w:rsid w:val="00B13F61"/>
    <w:rsid w:val="00B30AD8"/>
    <w:rsid w:val="00B96CFA"/>
    <w:rsid w:val="00BF7B6D"/>
    <w:rsid w:val="00C126EE"/>
    <w:rsid w:val="00C1691F"/>
    <w:rsid w:val="00C75A7D"/>
    <w:rsid w:val="00CF556B"/>
    <w:rsid w:val="00CF561A"/>
    <w:rsid w:val="00D15A9E"/>
    <w:rsid w:val="00D7481B"/>
    <w:rsid w:val="00D92150"/>
    <w:rsid w:val="00DA2AA7"/>
    <w:rsid w:val="00DD1CFB"/>
    <w:rsid w:val="00E15AF0"/>
    <w:rsid w:val="00E74006"/>
    <w:rsid w:val="00EA1FC2"/>
    <w:rsid w:val="00ED75D7"/>
    <w:rsid w:val="00F07F03"/>
    <w:rsid w:val="00F41A39"/>
    <w:rsid w:val="00F9416B"/>
    <w:rsid w:val="00FE6137"/>
    <w:rsid w:val="00FF21E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B0DEE"/>
    <w:pPr>
      <w:spacing w:after="0" w:line="312" w:lineRule="auto"/>
      <w:jc w:val="both"/>
    </w:pPr>
    <w:rPr>
      <w:rFonts w:ascii="Calibri" w:eastAsia="Times New Roman" w:hAnsi="Calibri" w:cs="Times New Roman"/>
      <w:szCs w:val="20"/>
      <w:lang w:eastAsia="en-IE"/>
    </w:rPr>
  </w:style>
  <w:style w:type="paragraph" w:styleId="Heading1">
    <w:name w:val="heading 1"/>
    <w:basedOn w:val="Normal"/>
    <w:next w:val="Normal"/>
    <w:link w:val="Heading1Char"/>
    <w:uiPriority w:val="9"/>
    <w:qFormat/>
    <w:rsid w:val="003B0DEE"/>
    <w:pPr>
      <w:keepNext/>
      <w:keepLines/>
      <w:numPr>
        <w:numId w:val="13"/>
      </w:numPr>
      <w:spacing w:before="480" w:line="360" w:lineRule="auto"/>
      <w:jc w:val="left"/>
      <w:outlineLvl w:val="0"/>
    </w:pPr>
    <w:rPr>
      <w:rFonts w:ascii="Arial" w:hAnsi="Arial"/>
      <w:b/>
      <w:bCs/>
      <w:color w:val="000000"/>
      <w:sz w:val="28"/>
      <w:szCs w:val="28"/>
    </w:rPr>
  </w:style>
  <w:style w:type="paragraph" w:styleId="Heading2">
    <w:name w:val="heading 2"/>
    <w:basedOn w:val="Heading1"/>
    <w:next w:val="Normal"/>
    <w:link w:val="Heading2Char"/>
    <w:uiPriority w:val="9"/>
    <w:unhideWhenUsed/>
    <w:qFormat/>
    <w:rsid w:val="003B0DEE"/>
    <w:pPr>
      <w:numPr>
        <w:ilvl w:val="1"/>
      </w:numPr>
      <w:spacing w:before="200"/>
      <w:outlineLvl w:val="1"/>
    </w:pPr>
    <w:rPr>
      <w:bCs w:val="0"/>
      <w:sz w:val="26"/>
      <w:szCs w:val="26"/>
    </w:rPr>
  </w:style>
  <w:style w:type="paragraph" w:styleId="Heading3">
    <w:name w:val="heading 3"/>
    <w:basedOn w:val="Heading2"/>
    <w:next w:val="Normal"/>
    <w:link w:val="Heading3Char"/>
    <w:unhideWhenUsed/>
    <w:qFormat/>
    <w:rsid w:val="003B0DEE"/>
    <w:pPr>
      <w:numPr>
        <w:ilvl w:val="2"/>
      </w:numPr>
      <w:outlineLvl w:val="2"/>
    </w:pPr>
    <w:rPr>
      <w:bCs/>
      <w:sz w:val="24"/>
    </w:rPr>
  </w:style>
  <w:style w:type="paragraph" w:styleId="Heading4">
    <w:name w:val="heading 4"/>
    <w:basedOn w:val="Heading3"/>
    <w:next w:val="Normal"/>
    <w:link w:val="Heading4Char"/>
    <w:unhideWhenUsed/>
    <w:qFormat/>
    <w:rsid w:val="003B0DEE"/>
    <w:pPr>
      <w:numPr>
        <w:ilvl w:val="3"/>
      </w:numPr>
      <w:spacing w:before="240" w:after="60"/>
      <w:outlineLvl w:val="3"/>
    </w:pPr>
    <w:rPr>
      <w:bCs w:val="0"/>
      <w:sz w:val="22"/>
      <w:szCs w:val="28"/>
    </w:rPr>
  </w:style>
  <w:style w:type="paragraph" w:styleId="Heading5">
    <w:name w:val="heading 5"/>
    <w:basedOn w:val="Normal"/>
    <w:next w:val="Normal"/>
    <w:link w:val="Heading5Char"/>
    <w:unhideWhenUsed/>
    <w:qFormat/>
    <w:rsid w:val="003B0DEE"/>
    <w:pPr>
      <w:keepNext/>
      <w:keepLines/>
      <w:numPr>
        <w:ilvl w:val="4"/>
        <w:numId w:val="13"/>
      </w:numPr>
      <w:spacing w:before="200" w:after="120" w:line="480" w:lineRule="auto"/>
      <w:jc w:val="left"/>
      <w:outlineLvl w:val="4"/>
    </w:pPr>
    <w:rPr>
      <w:rFonts w:ascii="Cambria" w:hAnsi="Cambria"/>
      <w:color w:val="243F60"/>
    </w:rPr>
  </w:style>
  <w:style w:type="paragraph" w:styleId="Heading6">
    <w:name w:val="heading 6"/>
    <w:basedOn w:val="Normal"/>
    <w:next w:val="Normal"/>
    <w:link w:val="Heading6Char"/>
    <w:semiHidden/>
    <w:unhideWhenUsed/>
    <w:qFormat/>
    <w:rsid w:val="003B0DEE"/>
    <w:pPr>
      <w:keepNext/>
      <w:keepLines/>
      <w:numPr>
        <w:ilvl w:val="5"/>
        <w:numId w:val="13"/>
      </w:numPr>
      <w:spacing w:before="200" w:after="120" w:line="480" w:lineRule="auto"/>
      <w:jc w:val="left"/>
      <w:outlineLvl w:val="5"/>
    </w:pPr>
    <w:rPr>
      <w:rFonts w:ascii="Cambria" w:hAnsi="Cambria"/>
      <w:i/>
      <w:iCs/>
      <w:color w:val="243F60"/>
    </w:rPr>
  </w:style>
  <w:style w:type="paragraph" w:styleId="Heading7">
    <w:name w:val="heading 7"/>
    <w:basedOn w:val="Normal"/>
    <w:next w:val="Normal"/>
    <w:link w:val="Heading7Char"/>
    <w:semiHidden/>
    <w:unhideWhenUsed/>
    <w:qFormat/>
    <w:rsid w:val="003B0DEE"/>
    <w:pPr>
      <w:keepNext/>
      <w:keepLines/>
      <w:numPr>
        <w:ilvl w:val="6"/>
        <w:numId w:val="13"/>
      </w:numPr>
      <w:spacing w:before="200" w:after="120" w:line="480" w:lineRule="auto"/>
      <w:jc w:val="left"/>
      <w:outlineLvl w:val="6"/>
    </w:pPr>
    <w:rPr>
      <w:rFonts w:ascii="Cambria" w:hAnsi="Cambria"/>
      <w:i/>
      <w:iCs/>
      <w:color w:val="404040"/>
    </w:rPr>
  </w:style>
  <w:style w:type="paragraph" w:styleId="Heading8">
    <w:name w:val="heading 8"/>
    <w:basedOn w:val="Normal"/>
    <w:next w:val="Normal"/>
    <w:link w:val="Heading8Char"/>
    <w:semiHidden/>
    <w:unhideWhenUsed/>
    <w:qFormat/>
    <w:rsid w:val="003B0DEE"/>
    <w:pPr>
      <w:keepNext/>
      <w:keepLines/>
      <w:numPr>
        <w:ilvl w:val="7"/>
        <w:numId w:val="13"/>
      </w:numPr>
      <w:spacing w:before="200" w:after="120" w:line="480" w:lineRule="auto"/>
      <w:jc w:val="left"/>
      <w:outlineLvl w:val="7"/>
    </w:pPr>
    <w:rPr>
      <w:rFonts w:ascii="Cambria" w:hAnsi="Cambria"/>
      <w:color w:val="404040"/>
    </w:rPr>
  </w:style>
  <w:style w:type="paragraph" w:styleId="Heading9">
    <w:name w:val="heading 9"/>
    <w:basedOn w:val="Normal"/>
    <w:next w:val="Normal"/>
    <w:link w:val="Heading9Char"/>
    <w:semiHidden/>
    <w:unhideWhenUsed/>
    <w:qFormat/>
    <w:rsid w:val="003B0DEE"/>
    <w:pPr>
      <w:keepNext/>
      <w:keepLines/>
      <w:numPr>
        <w:ilvl w:val="8"/>
        <w:numId w:val="13"/>
      </w:numPr>
      <w:spacing w:before="200" w:after="120" w:line="480" w:lineRule="auto"/>
      <w:jc w:val="left"/>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0DEE"/>
    <w:rPr>
      <w:rFonts w:ascii="Arial" w:eastAsia="Times New Roman" w:hAnsi="Arial" w:cs="Times New Roman"/>
      <w:b/>
      <w:bCs/>
      <w:color w:val="000000"/>
      <w:sz w:val="28"/>
      <w:szCs w:val="28"/>
      <w:lang w:eastAsia="en-IE"/>
    </w:rPr>
  </w:style>
  <w:style w:type="character" w:customStyle="1" w:styleId="Heading2Char">
    <w:name w:val="Heading 2 Char"/>
    <w:link w:val="Heading2"/>
    <w:uiPriority w:val="9"/>
    <w:rsid w:val="003B0DEE"/>
    <w:rPr>
      <w:rFonts w:ascii="Arial" w:eastAsia="Times New Roman" w:hAnsi="Arial" w:cs="Times New Roman"/>
      <w:b/>
      <w:color w:val="000000"/>
      <w:sz w:val="26"/>
      <w:szCs w:val="26"/>
      <w:lang w:eastAsia="en-IE"/>
    </w:rPr>
  </w:style>
  <w:style w:type="character" w:customStyle="1" w:styleId="Heading3Char">
    <w:name w:val="Heading 3 Char"/>
    <w:link w:val="Heading3"/>
    <w:rsid w:val="003B0DEE"/>
    <w:rPr>
      <w:rFonts w:ascii="Arial" w:eastAsia="Times New Roman" w:hAnsi="Arial" w:cs="Times New Roman"/>
      <w:b/>
      <w:bCs/>
      <w:color w:val="000000"/>
      <w:sz w:val="24"/>
      <w:szCs w:val="26"/>
      <w:lang w:eastAsia="en-IE"/>
    </w:rPr>
  </w:style>
  <w:style w:type="character" w:customStyle="1" w:styleId="Heading4Char">
    <w:name w:val="Heading 4 Char"/>
    <w:link w:val="Heading4"/>
    <w:rsid w:val="003B0DEE"/>
    <w:rPr>
      <w:rFonts w:ascii="Arial" w:eastAsia="Times New Roman" w:hAnsi="Arial" w:cs="Times New Roman"/>
      <w:b/>
      <w:color w:val="000000"/>
      <w:szCs w:val="28"/>
      <w:lang w:eastAsia="en-IE"/>
    </w:rPr>
  </w:style>
  <w:style w:type="character" w:customStyle="1" w:styleId="Heading5Char">
    <w:name w:val="Heading 5 Char"/>
    <w:link w:val="Heading5"/>
    <w:rsid w:val="003B0DEE"/>
    <w:rPr>
      <w:rFonts w:ascii="Cambria" w:eastAsia="Times New Roman" w:hAnsi="Cambria" w:cs="Times New Roman"/>
      <w:color w:val="243F60"/>
      <w:szCs w:val="20"/>
      <w:lang w:eastAsia="en-IE"/>
    </w:rPr>
  </w:style>
  <w:style w:type="character" w:customStyle="1" w:styleId="Heading6Char">
    <w:name w:val="Heading 6 Char"/>
    <w:link w:val="Heading6"/>
    <w:semiHidden/>
    <w:rsid w:val="003B0DEE"/>
    <w:rPr>
      <w:rFonts w:ascii="Cambria" w:eastAsia="Times New Roman" w:hAnsi="Cambria" w:cs="Times New Roman"/>
      <w:i/>
      <w:iCs/>
      <w:color w:val="243F60"/>
      <w:szCs w:val="20"/>
      <w:lang w:eastAsia="en-IE"/>
    </w:rPr>
  </w:style>
  <w:style w:type="character" w:customStyle="1" w:styleId="Heading7Char">
    <w:name w:val="Heading 7 Char"/>
    <w:link w:val="Heading7"/>
    <w:semiHidden/>
    <w:rsid w:val="003B0DEE"/>
    <w:rPr>
      <w:rFonts w:ascii="Cambria" w:eastAsia="Times New Roman" w:hAnsi="Cambria" w:cs="Times New Roman"/>
      <w:i/>
      <w:iCs/>
      <w:color w:val="404040"/>
      <w:szCs w:val="20"/>
      <w:lang w:eastAsia="en-IE"/>
    </w:rPr>
  </w:style>
  <w:style w:type="character" w:customStyle="1" w:styleId="Heading8Char">
    <w:name w:val="Heading 8 Char"/>
    <w:link w:val="Heading8"/>
    <w:semiHidden/>
    <w:rsid w:val="003B0DEE"/>
    <w:rPr>
      <w:rFonts w:ascii="Cambria" w:eastAsia="Times New Roman" w:hAnsi="Cambria" w:cs="Times New Roman"/>
      <w:color w:val="404040"/>
      <w:szCs w:val="20"/>
      <w:lang w:eastAsia="en-IE"/>
    </w:rPr>
  </w:style>
  <w:style w:type="character" w:customStyle="1" w:styleId="Heading9Char">
    <w:name w:val="Heading 9 Char"/>
    <w:link w:val="Heading9"/>
    <w:semiHidden/>
    <w:rsid w:val="003B0DEE"/>
    <w:rPr>
      <w:rFonts w:ascii="Cambria" w:eastAsia="Times New Roman" w:hAnsi="Cambria" w:cs="Times New Roman"/>
      <w:i/>
      <w:iCs/>
      <w:color w:val="404040"/>
      <w:szCs w:val="20"/>
      <w:lang w:eastAsia="en-IE"/>
    </w:rPr>
  </w:style>
  <w:style w:type="paragraph" w:styleId="Footer">
    <w:name w:val="footer"/>
    <w:basedOn w:val="Normal"/>
    <w:link w:val="FooterChar"/>
    <w:uiPriority w:val="99"/>
    <w:unhideWhenUsed/>
    <w:rsid w:val="003B0DEE"/>
    <w:pPr>
      <w:tabs>
        <w:tab w:val="center" w:pos="4513"/>
        <w:tab w:val="right" w:pos="9026"/>
      </w:tabs>
    </w:pPr>
  </w:style>
  <w:style w:type="character" w:customStyle="1" w:styleId="FooterChar">
    <w:name w:val="Footer Char"/>
    <w:link w:val="Footer"/>
    <w:uiPriority w:val="99"/>
    <w:rsid w:val="003B0DEE"/>
    <w:rPr>
      <w:rFonts w:ascii="Calibri" w:eastAsia="Times New Roman" w:hAnsi="Calibri" w:cs="Times New Roman"/>
      <w:szCs w:val="20"/>
      <w:lang w:eastAsia="en-IE"/>
    </w:rPr>
  </w:style>
  <w:style w:type="paragraph" w:styleId="NoSpacing">
    <w:name w:val="No Spacing"/>
    <w:uiPriority w:val="1"/>
    <w:qFormat/>
    <w:rsid w:val="003B0DEE"/>
    <w:pPr>
      <w:spacing w:after="0" w:line="240" w:lineRule="auto"/>
      <w:jc w:val="both"/>
    </w:pPr>
    <w:rPr>
      <w:rFonts w:ascii="Calibri" w:eastAsia="Times New Roman" w:hAnsi="Calibri" w:cs="Times New Roman"/>
      <w:szCs w:val="20"/>
      <w:lang w:eastAsia="en-IE"/>
    </w:rPr>
  </w:style>
  <w:style w:type="paragraph" w:styleId="TOCHeading">
    <w:name w:val="TOC Heading"/>
    <w:basedOn w:val="Heading1"/>
    <w:next w:val="Normal"/>
    <w:uiPriority w:val="39"/>
    <w:unhideWhenUsed/>
    <w:qFormat/>
    <w:rsid w:val="003B0DEE"/>
    <w:pPr>
      <w:numPr>
        <w:numId w:val="0"/>
      </w:numPr>
      <w:spacing w:before="240" w:line="259" w:lineRule="auto"/>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3B0DEE"/>
    <w:pPr>
      <w:tabs>
        <w:tab w:val="left" w:pos="440"/>
        <w:tab w:val="left" w:pos="880"/>
        <w:tab w:val="right" w:leader="dot" w:pos="8493"/>
      </w:tabs>
      <w:jc w:val="left"/>
    </w:pPr>
    <w:rPr>
      <w:rFonts w:ascii="Arial" w:hAnsi="Arial" w:cs="Arial"/>
      <w:b/>
      <w:noProof/>
      <w:sz w:val="20"/>
    </w:rPr>
  </w:style>
  <w:style w:type="character" w:styleId="Hyperlink">
    <w:name w:val="Hyperlink"/>
    <w:uiPriority w:val="99"/>
    <w:unhideWhenUsed/>
    <w:rsid w:val="003B0DEE"/>
    <w:rPr>
      <w:color w:val="0563C1"/>
      <w:u w:val="single"/>
    </w:rPr>
  </w:style>
  <w:style w:type="paragraph" w:styleId="BodyText">
    <w:name w:val="Body Text"/>
    <w:basedOn w:val="Normal"/>
    <w:link w:val="BodyTextChar"/>
    <w:uiPriority w:val="99"/>
    <w:unhideWhenUsed/>
    <w:qFormat/>
    <w:rsid w:val="003B0DEE"/>
    <w:pPr>
      <w:widowControl w:val="0"/>
      <w:autoSpaceDE w:val="0"/>
      <w:autoSpaceDN w:val="0"/>
      <w:spacing w:line="360" w:lineRule="auto"/>
      <w:jc w:val="left"/>
    </w:pPr>
    <w:rPr>
      <w:rFonts w:ascii="Arial" w:eastAsia="Arial" w:hAnsi="Arial" w:cs="Arial"/>
      <w:sz w:val="20"/>
      <w:szCs w:val="24"/>
      <w:lang w:val="en-US" w:eastAsia="en-US"/>
    </w:rPr>
  </w:style>
  <w:style w:type="character" w:customStyle="1" w:styleId="BodyTextChar">
    <w:name w:val="Body Text Char"/>
    <w:link w:val="BodyText"/>
    <w:uiPriority w:val="99"/>
    <w:rsid w:val="003B0DEE"/>
    <w:rPr>
      <w:rFonts w:ascii="Arial" w:eastAsia="Arial" w:hAnsi="Arial" w:cs="Arial"/>
      <w:sz w:val="20"/>
      <w:szCs w:val="24"/>
      <w:lang w:val="en-US"/>
    </w:rPr>
  </w:style>
  <w:style w:type="paragraph" w:customStyle="1" w:styleId="EndNoteBibliography">
    <w:name w:val="EndNote Bibliography"/>
    <w:basedOn w:val="Normal"/>
    <w:link w:val="EndNoteBibliographyChar"/>
    <w:rsid w:val="003B0DEE"/>
    <w:pPr>
      <w:spacing w:after="200" w:line="240" w:lineRule="auto"/>
      <w:jc w:val="left"/>
    </w:pPr>
    <w:rPr>
      <w:rFonts w:eastAsia="Calibri" w:cs="Calibri"/>
      <w:noProof/>
      <w:sz w:val="28"/>
      <w:szCs w:val="22"/>
      <w:lang w:val="en-US" w:eastAsia="en-US"/>
    </w:rPr>
  </w:style>
  <w:style w:type="character" w:customStyle="1" w:styleId="EndNoteBibliographyChar">
    <w:name w:val="EndNote Bibliography Char"/>
    <w:link w:val="EndNoteBibliography"/>
    <w:rsid w:val="003B0DEE"/>
    <w:rPr>
      <w:rFonts w:ascii="Calibri" w:eastAsia="Calibri" w:hAnsi="Calibri" w:cs="Calibri"/>
      <w:noProof/>
      <w:sz w:val="28"/>
      <w:lang w:val="en-US"/>
    </w:rPr>
  </w:style>
  <w:style w:type="paragraph" w:customStyle="1" w:styleId="Default">
    <w:name w:val="Default"/>
    <w:rsid w:val="003B0DEE"/>
    <w:pPr>
      <w:autoSpaceDE w:val="0"/>
      <w:autoSpaceDN w:val="0"/>
      <w:adjustRightInd w:val="0"/>
      <w:spacing w:after="0" w:line="240" w:lineRule="auto"/>
    </w:pPr>
    <w:rPr>
      <w:rFonts w:ascii="Arial" w:eastAsia="Times New Roman" w:hAnsi="Arial" w:cs="Arial"/>
      <w:color w:val="000000"/>
      <w:sz w:val="24"/>
      <w:szCs w:val="24"/>
      <w:lang w:eastAsia="en-IE"/>
    </w:rPr>
  </w:style>
  <w:style w:type="paragraph" w:customStyle="1" w:styleId="EndNoteBibliographyTitle">
    <w:name w:val="EndNote Bibliography Title"/>
    <w:basedOn w:val="Normal"/>
    <w:link w:val="EndNoteBibliographyTitleChar"/>
    <w:rsid w:val="003B0DEE"/>
    <w:pPr>
      <w:jc w:val="center"/>
    </w:pPr>
    <w:rPr>
      <w:rFonts w:cs="Calibri"/>
      <w:noProof/>
      <w:sz w:val="28"/>
    </w:rPr>
  </w:style>
  <w:style w:type="character" w:customStyle="1" w:styleId="EndNoteBibliographyTitleChar">
    <w:name w:val="EndNote Bibliography Title Char"/>
    <w:link w:val="EndNoteBibliographyTitle"/>
    <w:rsid w:val="003B0DEE"/>
    <w:rPr>
      <w:rFonts w:ascii="Calibri" w:eastAsia="Times New Roman" w:hAnsi="Calibri" w:cs="Calibri"/>
      <w:noProof/>
      <w:sz w:val="28"/>
      <w:szCs w:val="20"/>
      <w:lang w:eastAsia="en-IE"/>
    </w:rPr>
  </w:style>
  <w:style w:type="paragraph" w:styleId="FootnoteText">
    <w:name w:val="footnote text"/>
    <w:basedOn w:val="Normal"/>
    <w:link w:val="FootnoteTextChar"/>
    <w:semiHidden/>
    <w:unhideWhenUsed/>
    <w:rsid w:val="003B0DEE"/>
    <w:pPr>
      <w:spacing w:line="240" w:lineRule="auto"/>
      <w:jc w:val="left"/>
    </w:pPr>
    <w:rPr>
      <w:rFonts w:ascii="Times New Roman" w:hAnsi="Times New Roman"/>
      <w:sz w:val="20"/>
      <w:lang w:val="en-GB" w:eastAsia="en-US"/>
    </w:rPr>
  </w:style>
  <w:style w:type="character" w:customStyle="1" w:styleId="FootnoteTextChar">
    <w:name w:val="Footnote Text Char"/>
    <w:link w:val="FootnoteText"/>
    <w:semiHidden/>
    <w:rsid w:val="003B0DEE"/>
    <w:rPr>
      <w:rFonts w:ascii="Times New Roman" w:eastAsia="Times New Roman" w:hAnsi="Times New Roman" w:cs="Times New Roman"/>
      <w:sz w:val="20"/>
      <w:szCs w:val="20"/>
      <w:lang w:val="en-GB"/>
    </w:rPr>
  </w:style>
  <w:style w:type="character" w:styleId="FootnoteReference">
    <w:name w:val="footnote reference"/>
    <w:uiPriority w:val="99"/>
    <w:semiHidden/>
    <w:unhideWhenUsed/>
    <w:rsid w:val="003B0DEE"/>
    <w:rPr>
      <w:vertAlign w:val="superscript"/>
    </w:rPr>
  </w:style>
  <w:style w:type="paragraph" w:styleId="ListParagraph">
    <w:name w:val="List Paragraph"/>
    <w:basedOn w:val="Normal"/>
    <w:uiPriority w:val="34"/>
    <w:qFormat/>
    <w:rsid w:val="003B0DEE"/>
    <w:pPr>
      <w:spacing w:before="120" w:after="120" w:line="360" w:lineRule="auto"/>
      <w:ind w:left="720"/>
      <w:contextualSpacing/>
      <w:jc w:val="left"/>
    </w:pPr>
    <w:rPr>
      <w:rFonts w:ascii="Arial" w:hAnsi="Arial"/>
      <w:sz w:val="20"/>
    </w:rPr>
  </w:style>
  <w:style w:type="character" w:styleId="Emphasis">
    <w:name w:val="Emphasis"/>
    <w:uiPriority w:val="20"/>
    <w:qFormat/>
    <w:rsid w:val="003B0DEE"/>
    <w:rPr>
      <w:i/>
      <w:iCs/>
    </w:rPr>
  </w:style>
  <w:style w:type="character" w:customStyle="1" w:styleId="apple-converted-space">
    <w:name w:val="apple-converted-space"/>
    <w:rsid w:val="003B0DEE"/>
  </w:style>
  <w:style w:type="paragraph" w:customStyle="1" w:styleId="Heading02">
    <w:name w:val="Heading02"/>
    <w:basedOn w:val="Heading1"/>
    <w:link w:val="Heading02Char"/>
    <w:autoRedefine/>
    <w:qFormat/>
    <w:rsid w:val="003B0DEE"/>
    <w:pPr>
      <w:keepLines w:val="0"/>
      <w:spacing w:before="240" w:after="120"/>
      <w:ind w:left="792" w:hanging="792"/>
    </w:pPr>
    <w:rPr>
      <w:rFonts w:cs="Arial"/>
      <w:color w:val="auto"/>
      <w:kern w:val="32"/>
      <w:szCs w:val="32"/>
    </w:rPr>
  </w:style>
  <w:style w:type="character" w:customStyle="1" w:styleId="Heading02Char">
    <w:name w:val="Heading02 Char"/>
    <w:link w:val="Heading02"/>
    <w:rsid w:val="003B0DEE"/>
    <w:rPr>
      <w:rFonts w:ascii="Arial" w:eastAsia="Times New Roman" w:hAnsi="Arial" w:cs="Arial"/>
      <w:b/>
      <w:bCs/>
      <w:kern w:val="32"/>
      <w:sz w:val="28"/>
      <w:szCs w:val="32"/>
      <w:lang w:eastAsia="en-IE"/>
    </w:rPr>
  </w:style>
  <w:style w:type="paragraph" w:customStyle="1" w:styleId="Chapter">
    <w:name w:val="Chapter"/>
    <w:basedOn w:val="ListParagraph"/>
    <w:link w:val="ChapterChar"/>
    <w:qFormat/>
    <w:rsid w:val="003B0DEE"/>
    <w:pPr>
      <w:spacing w:line="480" w:lineRule="auto"/>
      <w:ind w:left="0"/>
      <w:jc w:val="center"/>
    </w:pPr>
    <w:rPr>
      <w:b/>
      <w:sz w:val="32"/>
      <w:szCs w:val="32"/>
    </w:rPr>
  </w:style>
  <w:style w:type="character" w:customStyle="1" w:styleId="ChapterChar">
    <w:name w:val="Chapter Char"/>
    <w:link w:val="Chapter"/>
    <w:rsid w:val="003B0DEE"/>
    <w:rPr>
      <w:rFonts w:ascii="Arial" w:eastAsia="Times New Roman" w:hAnsi="Arial" w:cs="Times New Roman"/>
      <w:b/>
      <w:sz w:val="32"/>
      <w:szCs w:val="32"/>
      <w:lang w:eastAsia="en-IE"/>
    </w:rPr>
  </w:style>
  <w:style w:type="paragraph" w:customStyle="1" w:styleId="Heading03">
    <w:name w:val="Heading03"/>
    <w:basedOn w:val="ListParagraph"/>
    <w:link w:val="Heading03Char"/>
    <w:qFormat/>
    <w:rsid w:val="003B0DEE"/>
    <w:pPr>
      <w:ind w:left="0"/>
      <w:jc w:val="both"/>
    </w:pPr>
    <w:rPr>
      <w:rFonts w:cs="Arial"/>
      <w:b/>
      <w:bCs/>
      <w:kern w:val="32"/>
      <w:sz w:val="24"/>
      <w:szCs w:val="26"/>
    </w:rPr>
  </w:style>
  <w:style w:type="character" w:customStyle="1" w:styleId="Heading03Char">
    <w:name w:val="Heading03 Char"/>
    <w:link w:val="Heading03"/>
    <w:rsid w:val="003B0DEE"/>
    <w:rPr>
      <w:rFonts w:ascii="Arial" w:eastAsia="Times New Roman" w:hAnsi="Arial" w:cs="Arial"/>
      <w:b/>
      <w:bCs/>
      <w:kern w:val="32"/>
      <w:sz w:val="24"/>
      <w:szCs w:val="26"/>
      <w:lang w:eastAsia="en-IE"/>
    </w:rPr>
  </w:style>
  <w:style w:type="paragraph" w:styleId="Caption">
    <w:name w:val="caption"/>
    <w:basedOn w:val="Normal"/>
    <w:next w:val="Normal"/>
    <w:uiPriority w:val="35"/>
    <w:unhideWhenUsed/>
    <w:qFormat/>
    <w:rsid w:val="003B0DEE"/>
    <w:pPr>
      <w:spacing w:before="120" w:after="120" w:line="360" w:lineRule="auto"/>
      <w:jc w:val="left"/>
    </w:pPr>
    <w:rPr>
      <w:rFonts w:ascii="Arial" w:hAnsi="Arial"/>
      <w:b/>
      <w:bCs/>
      <w:sz w:val="20"/>
      <w:szCs w:val="18"/>
    </w:rPr>
  </w:style>
  <w:style w:type="table" w:styleId="TableGrid">
    <w:name w:val="Table Grid"/>
    <w:basedOn w:val="TableNormal"/>
    <w:uiPriority w:val="59"/>
    <w:rsid w:val="003B0DE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3B0DEE"/>
    <w:rPr>
      <w:sz w:val="16"/>
      <w:szCs w:val="16"/>
    </w:rPr>
  </w:style>
  <w:style w:type="paragraph" w:styleId="CommentText">
    <w:name w:val="annotation text"/>
    <w:basedOn w:val="Normal"/>
    <w:link w:val="CommentTextChar"/>
    <w:uiPriority w:val="99"/>
    <w:semiHidden/>
    <w:unhideWhenUsed/>
    <w:rsid w:val="003B0DEE"/>
    <w:pPr>
      <w:spacing w:before="120" w:after="120" w:line="240" w:lineRule="auto"/>
      <w:jc w:val="left"/>
    </w:pPr>
    <w:rPr>
      <w:rFonts w:ascii="Arial" w:hAnsi="Arial"/>
      <w:sz w:val="20"/>
    </w:rPr>
  </w:style>
  <w:style w:type="character" w:customStyle="1" w:styleId="CommentTextChar">
    <w:name w:val="Comment Text Char"/>
    <w:link w:val="CommentText"/>
    <w:uiPriority w:val="99"/>
    <w:semiHidden/>
    <w:rsid w:val="003B0DEE"/>
    <w:rPr>
      <w:rFonts w:ascii="Arial" w:eastAsia="Times New Roman" w:hAnsi="Arial" w:cs="Times New Roman"/>
      <w:sz w:val="20"/>
      <w:szCs w:val="20"/>
      <w:lang w:eastAsia="en-IE"/>
    </w:rPr>
  </w:style>
  <w:style w:type="paragraph" w:styleId="BalloonText">
    <w:name w:val="Balloon Text"/>
    <w:basedOn w:val="Normal"/>
    <w:link w:val="BalloonTextChar"/>
    <w:uiPriority w:val="99"/>
    <w:semiHidden/>
    <w:unhideWhenUsed/>
    <w:rsid w:val="003B0DE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B0DEE"/>
    <w:rPr>
      <w:rFonts w:ascii="Tahoma" w:eastAsia="Times New Roman" w:hAnsi="Tahoma" w:cs="Tahoma"/>
      <w:sz w:val="16"/>
      <w:szCs w:val="16"/>
      <w:lang w:eastAsia="en-IE"/>
    </w:rPr>
  </w:style>
  <w:style w:type="table" w:customStyle="1" w:styleId="DataTable">
    <w:name w:val="DataTable"/>
    <w:basedOn w:val="TableNormal"/>
    <w:uiPriority w:val="99"/>
    <w:rsid w:val="003B0DEE"/>
    <w:pPr>
      <w:spacing w:after="0" w:line="240" w:lineRule="auto"/>
    </w:pPr>
    <w:rPr>
      <w:rFonts w:ascii="Calibri" w:eastAsia="Calibri" w:hAnsi="Calibri" w:cs="Times New Roman"/>
    </w:rPr>
    <w:tblPr>
      <w:tblBorders>
        <w:top w:val="single" w:sz="4" w:space="0" w:color="auto"/>
        <w:bottom w:val="single" w:sz="4" w:space="0" w:color="auto"/>
      </w:tblBorders>
    </w:tblPr>
  </w:style>
  <w:style w:type="table" w:customStyle="1" w:styleId="datatable0">
    <w:name w:val="datatable"/>
    <w:basedOn w:val="TableNormal"/>
    <w:uiPriority w:val="99"/>
    <w:rsid w:val="003B0DEE"/>
    <w:pPr>
      <w:spacing w:after="0" w:line="240" w:lineRule="auto"/>
    </w:pPr>
    <w:rPr>
      <w:rFonts w:ascii="Verdana" w:eastAsia="Times New Roman" w:hAnsi="Verdana" w:cs="Times New Roman"/>
      <w:sz w:val="20"/>
    </w:rPr>
    <w:tblPr>
      <w:tblBorders>
        <w:top w:val="single" w:sz="4" w:space="0" w:color="auto"/>
        <w:bottom w:val="single" w:sz="2" w:space="0" w:color="auto"/>
      </w:tblBorders>
    </w:tblPr>
  </w:style>
  <w:style w:type="paragraph" w:customStyle="1" w:styleId="indentQuote">
    <w:name w:val="indentQuote"/>
    <w:basedOn w:val="Normal"/>
    <w:next w:val="Normal"/>
    <w:autoRedefine/>
    <w:qFormat/>
    <w:rsid w:val="003B0DEE"/>
    <w:pPr>
      <w:spacing w:before="240" w:after="240" w:line="288" w:lineRule="auto"/>
      <w:ind w:left="851" w:right="851"/>
      <w:jc w:val="left"/>
    </w:pPr>
    <w:rPr>
      <w:rFonts w:ascii="Arial" w:hAnsi="Arial"/>
    </w:rPr>
  </w:style>
  <w:style w:type="paragraph" w:customStyle="1" w:styleId="Initial">
    <w:name w:val="Initial"/>
    <w:basedOn w:val="Normal"/>
    <w:next w:val="Normal"/>
    <w:autoRedefine/>
    <w:qFormat/>
    <w:rsid w:val="003B0DEE"/>
    <w:pPr>
      <w:spacing w:before="120" w:after="120" w:line="480" w:lineRule="auto"/>
      <w:jc w:val="left"/>
    </w:pPr>
    <w:rPr>
      <w:rFonts w:ascii="Arial" w:hAnsi="Arial"/>
      <w:b/>
      <w:sz w:val="28"/>
    </w:rPr>
  </w:style>
  <w:style w:type="table" w:customStyle="1" w:styleId="dataTable1">
    <w:name w:val="dataTable"/>
    <w:basedOn w:val="TableNormal"/>
    <w:uiPriority w:val="99"/>
    <w:rsid w:val="003B0DEE"/>
    <w:pPr>
      <w:spacing w:after="0" w:line="240" w:lineRule="auto"/>
    </w:pPr>
    <w:rPr>
      <w:rFonts w:ascii="Calibri" w:eastAsia="Times New Roman" w:hAnsi="Calibri" w:cs="Times New Roman"/>
    </w:rPr>
    <w:tblPr>
      <w:tblBorders>
        <w:top w:val="single" w:sz="2" w:space="0" w:color="auto"/>
        <w:bottom w:val="single" w:sz="2" w:space="0" w:color="auto"/>
      </w:tblBorders>
    </w:tblPr>
  </w:style>
  <w:style w:type="paragraph" w:styleId="NormalWeb">
    <w:name w:val="Normal (Web)"/>
    <w:basedOn w:val="Normal"/>
    <w:uiPriority w:val="99"/>
    <w:semiHidden/>
    <w:unhideWhenUsed/>
    <w:rsid w:val="003B0DEE"/>
    <w:pPr>
      <w:spacing w:before="100" w:beforeAutospacing="1" w:after="100" w:afterAutospacing="1" w:line="240" w:lineRule="auto"/>
      <w:jc w:val="left"/>
    </w:pPr>
    <w:rPr>
      <w:rFonts w:ascii="Times New Roman" w:hAnsi="Times New Roman"/>
      <w:sz w:val="24"/>
      <w:szCs w:val="24"/>
    </w:rPr>
  </w:style>
  <w:style w:type="character" w:styleId="Strong">
    <w:name w:val="Strong"/>
    <w:uiPriority w:val="22"/>
    <w:qFormat/>
    <w:rsid w:val="003B0DEE"/>
    <w:rPr>
      <w:b/>
      <w:bCs/>
    </w:rPr>
  </w:style>
  <w:style w:type="character" w:customStyle="1" w:styleId="wb-inv">
    <w:name w:val="wb-inv"/>
    <w:rsid w:val="003B0DEE"/>
  </w:style>
  <w:style w:type="character" w:customStyle="1" w:styleId="BodyCharChar">
    <w:name w:val="Body Char Char"/>
    <w:link w:val="Body"/>
    <w:locked/>
    <w:rsid w:val="003B0DEE"/>
    <w:rPr>
      <w:rFonts w:ascii="Arial" w:hAnsi="Arial" w:cs="Arial"/>
      <w:color w:val="292929"/>
      <w:lang w:val="en-GB"/>
    </w:rPr>
  </w:style>
  <w:style w:type="paragraph" w:customStyle="1" w:styleId="Body">
    <w:name w:val="Body"/>
    <w:basedOn w:val="Normal"/>
    <w:link w:val="BodyCharChar"/>
    <w:rsid w:val="003B0DEE"/>
    <w:pPr>
      <w:spacing w:before="240" w:after="200" w:line="300" w:lineRule="atLeast"/>
      <w:jc w:val="left"/>
    </w:pPr>
    <w:rPr>
      <w:rFonts w:ascii="Arial" w:eastAsiaTheme="minorHAnsi" w:hAnsi="Arial" w:cs="Arial"/>
      <w:color w:val="292929"/>
      <w:szCs w:val="22"/>
      <w:lang w:val="en-GB" w:eastAsia="en-US"/>
    </w:rPr>
  </w:style>
  <w:style w:type="paragraph" w:customStyle="1" w:styleId="BodyAfter">
    <w:name w:val="BodyAfter"/>
    <w:basedOn w:val="Body"/>
    <w:next w:val="Body"/>
    <w:rsid w:val="003B0DEE"/>
    <w:pPr>
      <w:spacing w:before="0"/>
    </w:pPr>
  </w:style>
  <w:style w:type="character" w:styleId="PlaceholderText">
    <w:name w:val="Placeholder Text"/>
    <w:uiPriority w:val="99"/>
    <w:semiHidden/>
    <w:rsid w:val="003B0DEE"/>
    <w:rPr>
      <w:color w:val="808080"/>
    </w:rPr>
  </w:style>
  <w:style w:type="paragraph" w:styleId="CommentSubject">
    <w:name w:val="annotation subject"/>
    <w:basedOn w:val="CommentText"/>
    <w:next w:val="CommentText"/>
    <w:link w:val="CommentSubjectChar"/>
    <w:uiPriority w:val="99"/>
    <w:semiHidden/>
    <w:unhideWhenUsed/>
    <w:rsid w:val="003B0DEE"/>
    <w:rPr>
      <w:b/>
      <w:bCs/>
      <w:sz w:val="22"/>
    </w:rPr>
  </w:style>
  <w:style w:type="character" w:customStyle="1" w:styleId="CommentSubjectChar">
    <w:name w:val="Comment Subject Char"/>
    <w:link w:val="CommentSubject"/>
    <w:uiPriority w:val="99"/>
    <w:semiHidden/>
    <w:rsid w:val="003B0DEE"/>
    <w:rPr>
      <w:rFonts w:ascii="Arial" w:eastAsia="Times New Roman" w:hAnsi="Arial" w:cs="Times New Roman"/>
      <w:b/>
      <w:bCs/>
      <w:szCs w:val="20"/>
      <w:lang w:eastAsia="en-IE"/>
    </w:rPr>
  </w:style>
  <w:style w:type="paragraph" w:customStyle="1" w:styleId="Texttextleft">
    <w:name w:val="Text(text left)"/>
    <w:basedOn w:val="Normal"/>
    <w:rsid w:val="003B0DEE"/>
    <w:pPr>
      <w:widowControl w:val="0"/>
      <w:shd w:val="clear" w:color="auto" w:fill="E6E6E6"/>
      <w:autoSpaceDE w:val="0"/>
      <w:autoSpaceDN w:val="0"/>
      <w:adjustRightInd w:val="0"/>
      <w:spacing w:line="240" w:lineRule="auto"/>
      <w:jc w:val="left"/>
    </w:pPr>
    <w:rPr>
      <w:rFonts w:ascii="Tahoma" w:hAnsi="Tahoma" w:cs="Tahoma"/>
      <w:color w:val="333399"/>
      <w:sz w:val="16"/>
      <w:szCs w:val="24"/>
      <w:lang w:val="en-GB" w:eastAsia="en-US"/>
    </w:rPr>
  </w:style>
  <w:style w:type="table" w:styleId="LightShading">
    <w:name w:val="Light Shading"/>
    <w:basedOn w:val="TableNormal"/>
    <w:uiPriority w:val="60"/>
    <w:rsid w:val="003B0DEE"/>
    <w:pPr>
      <w:spacing w:after="0" w:line="240" w:lineRule="auto"/>
    </w:pPr>
    <w:rPr>
      <w:rFonts w:ascii="Calibri" w:eastAsia="Times New Roman"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eader">
    <w:name w:val="header"/>
    <w:basedOn w:val="Normal"/>
    <w:link w:val="HeaderChar"/>
    <w:uiPriority w:val="99"/>
    <w:unhideWhenUsed/>
    <w:rsid w:val="003B0DEE"/>
    <w:pPr>
      <w:tabs>
        <w:tab w:val="center" w:pos="4513"/>
        <w:tab w:val="right" w:pos="9026"/>
      </w:tabs>
      <w:spacing w:line="240" w:lineRule="auto"/>
      <w:jc w:val="left"/>
    </w:pPr>
    <w:rPr>
      <w:rFonts w:ascii="Arial" w:hAnsi="Arial"/>
    </w:rPr>
  </w:style>
  <w:style w:type="character" w:customStyle="1" w:styleId="HeaderChar">
    <w:name w:val="Header Char"/>
    <w:link w:val="Header"/>
    <w:uiPriority w:val="99"/>
    <w:rsid w:val="003B0DEE"/>
    <w:rPr>
      <w:rFonts w:ascii="Arial" w:eastAsia="Times New Roman" w:hAnsi="Arial" w:cs="Times New Roman"/>
      <w:szCs w:val="20"/>
      <w:lang w:eastAsia="en-IE"/>
    </w:rPr>
  </w:style>
  <w:style w:type="paragraph" w:styleId="Revision">
    <w:name w:val="Revision"/>
    <w:hidden/>
    <w:uiPriority w:val="99"/>
    <w:semiHidden/>
    <w:rsid w:val="003B0DEE"/>
    <w:pPr>
      <w:spacing w:after="0" w:line="240" w:lineRule="auto"/>
    </w:pPr>
    <w:rPr>
      <w:rFonts w:ascii="Arial" w:eastAsia="Times New Roman" w:hAnsi="Arial" w:cs="Times New Roman"/>
      <w:szCs w:val="20"/>
      <w:lang w:eastAsia="en-IE"/>
    </w:rPr>
  </w:style>
  <w:style w:type="paragraph" w:customStyle="1" w:styleId="graf">
    <w:name w:val="graf"/>
    <w:basedOn w:val="Normal"/>
    <w:rsid w:val="003B0DEE"/>
    <w:pPr>
      <w:spacing w:before="100" w:beforeAutospacing="1" w:after="100" w:afterAutospacing="1" w:line="240" w:lineRule="auto"/>
      <w:jc w:val="left"/>
    </w:pPr>
    <w:rPr>
      <w:rFonts w:ascii="Times New Roman" w:hAnsi="Times New Roman"/>
      <w:sz w:val="24"/>
      <w:szCs w:val="24"/>
    </w:rPr>
  </w:style>
  <w:style w:type="paragraph" w:customStyle="1" w:styleId="version-warning">
    <w:name w:val="version-warning"/>
    <w:basedOn w:val="Normal"/>
    <w:rsid w:val="003B0DEE"/>
    <w:pPr>
      <w:spacing w:before="100" w:beforeAutospacing="1" w:after="100" w:afterAutospacing="1" w:line="240" w:lineRule="auto"/>
      <w:jc w:val="left"/>
    </w:pPr>
    <w:rPr>
      <w:rFonts w:ascii="Times New Roman" w:hAnsi="Times New Roman"/>
      <w:sz w:val="24"/>
      <w:szCs w:val="24"/>
    </w:rPr>
  </w:style>
  <w:style w:type="character" w:customStyle="1" w:styleId="publish-type3">
    <w:name w:val="publish-type3"/>
    <w:rsid w:val="003B0DEE"/>
  </w:style>
  <w:style w:type="character" w:customStyle="1" w:styleId="publish-date3">
    <w:name w:val="publish-date3"/>
    <w:rsid w:val="003B0DEE"/>
  </w:style>
  <w:style w:type="character" w:customStyle="1" w:styleId="author5">
    <w:name w:val="author5"/>
    <w:rsid w:val="003B0DEE"/>
  </w:style>
  <w:style w:type="paragraph" w:styleId="TOC2">
    <w:name w:val="toc 2"/>
    <w:basedOn w:val="Normal"/>
    <w:next w:val="Normal"/>
    <w:autoRedefine/>
    <w:uiPriority w:val="39"/>
    <w:unhideWhenUsed/>
    <w:rsid w:val="003B0DEE"/>
    <w:pPr>
      <w:ind w:left="220"/>
    </w:pPr>
  </w:style>
  <w:style w:type="paragraph" w:styleId="TOC3">
    <w:name w:val="toc 3"/>
    <w:basedOn w:val="Normal"/>
    <w:next w:val="Normal"/>
    <w:autoRedefine/>
    <w:uiPriority w:val="39"/>
    <w:unhideWhenUsed/>
    <w:rsid w:val="003B0DEE"/>
    <w:pPr>
      <w:ind w:left="440"/>
    </w:pPr>
  </w:style>
  <w:style w:type="paragraph" w:styleId="TOC4">
    <w:name w:val="toc 4"/>
    <w:basedOn w:val="Normal"/>
    <w:next w:val="Normal"/>
    <w:autoRedefine/>
    <w:uiPriority w:val="39"/>
    <w:unhideWhenUsed/>
    <w:rsid w:val="003B0DEE"/>
    <w:pPr>
      <w:spacing w:after="100" w:line="276" w:lineRule="auto"/>
      <w:ind w:left="660"/>
      <w:jc w:val="left"/>
    </w:pPr>
    <w:rPr>
      <w:szCs w:val="22"/>
    </w:rPr>
  </w:style>
  <w:style w:type="paragraph" w:styleId="TOC5">
    <w:name w:val="toc 5"/>
    <w:basedOn w:val="Normal"/>
    <w:next w:val="Normal"/>
    <w:autoRedefine/>
    <w:uiPriority w:val="39"/>
    <w:unhideWhenUsed/>
    <w:rsid w:val="003B0DEE"/>
    <w:pPr>
      <w:spacing w:after="100" w:line="276" w:lineRule="auto"/>
      <w:ind w:left="880"/>
      <w:jc w:val="left"/>
    </w:pPr>
    <w:rPr>
      <w:szCs w:val="22"/>
    </w:rPr>
  </w:style>
  <w:style w:type="paragraph" w:styleId="TOC6">
    <w:name w:val="toc 6"/>
    <w:basedOn w:val="Normal"/>
    <w:next w:val="Normal"/>
    <w:autoRedefine/>
    <w:uiPriority w:val="39"/>
    <w:unhideWhenUsed/>
    <w:rsid w:val="003B0DEE"/>
    <w:pPr>
      <w:spacing w:after="100" w:line="276" w:lineRule="auto"/>
      <w:ind w:left="1100"/>
      <w:jc w:val="left"/>
    </w:pPr>
    <w:rPr>
      <w:szCs w:val="22"/>
    </w:rPr>
  </w:style>
  <w:style w:type="paragraph" w:styleId="TOC7">
    <w:name w:val="toc 7"/>
    <w:basedOn w:val="Normal"/>
    <w:next w:val="Normal"/>
    <w:autoRedefine/>
    <w:uiPriority w:val="39"/>
    <w:unhideWhenUsed/>
    <w:rsid w:val="003B0DEE"/>
    <w:pPr>
      <w:spacing w:after="100" w:line="276" w:lineRule="auto"/>
      <w:ind w:left="1320"/>
      <w:jc w:val="left"/>
    </w:pPr>
    <w:rPr>
      <w:szCs w:val="22"/>
    </w:rPr>
  </w:style>
  <w:style w:type="paragraph" w:styleId="TOC8">
    <w:name w:val="toc 8"/>
    <w:basedOn w:val="Normal"/>
    <w:next w:val="Normal"/>
    <w:autoRedefine/>
    <w:uiPriority w:val="39"/>
    <w:unhideWhenUsed/>
    <w:rsid w:val="003B0DEE"/>
    <w:pPr>
      <w:spacing w:after="100" w:line="276" w:lineRule="auto"/>
      <w:ind w:left="1540"/>
      <w:jc w:val="left"/>
    </w:pPr>
    <w:rPr>
      <w:szCs w:val="22"/>
    </w:rPr>
  </w:style>
  <w:style w:type="paragraph" w:styleId="TOC9">
    <w:name w:val="toc 9"/>
    <w:basedOn w:val="Normal"/>
    <w:next w:val="Normal"/>
    <w:autoRedefine/>
    <w:uiPriority w:val="39"/>
    <w:unhideWhenUsed/>
    <w:rsid w:val="003B0DEE"/>
    <w:pPr>
      <w:spacing w:after="100" w:line="276" w:lineRule="auto"/>
      <w:ind w:left="1760"/>
      <w:jc w:val="left"/>
    </w:pPr>
    <w:rPr>
      <w:szCs w:val="22"/>
    </w:rPr>
  </w:style>
  <w:style w:type="paragraph" w:styleId="TableofFigures">
    <w:name w:val="table of figures"/>
    <w:basedOn w:val="Normal"/>
    <w:next w:val="Normal"/>
    <w:uiPriority w:val="99"/>
    <w:unhideWhenUsed/>
    <w:rsid w:val="003B0DEE"/>
    <w:rPr>
      <w:rFonts w:ascii="Arial" w:hAnsi="Arial"/>
      <w:sz w:val="20"/>
    </w:rPr>
  </w:style>
  <w:style w:type="character" w:customStyle="1" w:styleId="st1">
    <w:name w:val="st1"/>
    <w:rsid w:val="003B0DEE"/>
  </w:style>
  <w:style w:type="paragraph" w:customStyle="1" w:styleId="Pa18">
    <w:name w:val="Pa18"/>
    <w:basedOn w:val="Default"/>
    <w:next w:val="Default"/>
    <w:uiPriority w:val="99"/>
    <w:rsid w:val="003B0DEE"/>
    <w:pPr>
      <w:spacing w:line="181" w:lineRule="atLeast"/>
    </w:pPr>
    <w:rPr>
      <w:rFonts w:ascii="Futura" w:hAnsi="Futura" w:cs="Times New Roman"/>
      <w:color w:val="auto"/>
    </w:rPr>
  </w:style>
  <w:style w:type="character" w:customStyle="1" w:styleId="A13">
    <w:name w:val="A13"/>
    <w:uiPriority w:val="99"/>
    <w:rsid w:val="003B0DEE"/>
    <w:rPr>
      <w:rFonts w:cs="Futura"/>
      <w:color w:val="000000"/>
      <w:sz w:val="10"/>
      <w:szCs w:val="10"/>
    </w:rPr>
  </w:style>
  <w:style w:type="character" w:customStyle="1" w:styleId="ilfuvd">
    <w:name w:val="ilfuvd"/>
    <w:basedOn w:val="DefaultParagraphFont"/>
    <w:rsid w:val="003B0DEE"/>
  </w:style>
  <w:style w:type="character" w:customStyle="1" w:styleId="A6">
    <w:name w:val="A6"/>
    <w:uiPriority w:val="99"/>
    <w:rsid w:val="003B0DEE"/>
    <w:rPr>
      <w:rFonts w:cs="Univers 65 Bold"/>
      <w:b/>
      <w:bCs/>
      <w:color w:val="000000"/>
      <w:sz w:val="23"/>
      <w:szCs w:val="23"/>
    </w:rPr>
  </w:style>
  <w:style w:type="character" w:customStyle="1" w:styleId="doi2">
    <w:name w:val="doi2"/>
    <w:basedOn w:val="DefaultParagraphFont"/>
    <w:rsid w:val="003B0D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B0DEE"/>
    <w:pPr>
      <w:spacing w:after="0" w:line="312" w:lineRule="auto"/>
      <w:jc w:val="both"/>
    </w:pPr>
    <w:rPr>
      <w:rFonts w:ascii="Calibri" w:eastAsia="Times New Roman" w:hAnsi="Calibri" w:cs="Times New Roman"/>
      <w:szCs w:val="20"/>
      <w:lang w:eastAsia="en-IE"/>
    </w:rPr>
  </w:style>
  <w:style w:type="paragraph" w:styleId="Heading1">
    <w:name w:val="heading 1"/>
    <w:basedOn w:val="Normal"/>
    <w:next w:val="Normal"/>
    <w:link w:val="Heading1Char"/>
    <w:uiPriority w:val="9"/>
    <w:qFormat/>
    <w:rsid w:val="003B0DEE"/>
    <w:pPr>
      <w:keepNext/>
      <w:keepLines/>
      <w:numPr>
        <w:numId w:val="13"/>
      </w:numPr>
      <w:spacing w:before="480" w:line="360" w:lineRule="auto"/>
      <w:jc w:val="left"/>
      <w:outlineLvl w:val="0"/>
    </w:pPr>
    <w:rPr>
      <w:rFonts w:ascii="Arial" w:hAnsi="Arial"/>
      <w:b/>
      <w:bCs/>
      <w:color w:val="000000"/>
      <w:sz w:val="28"/>
      <w:szCs w:val="28"/>
    </w:rPr>
  </w:style>
  <w:style w:type="paragraph" w:styleId="Heading2">
    <w:name w:val="heading 2"/>
    <w:basedOn w:val="Heading1"/>
    <w:next w:val="Normal"/>
    <w:link w:val="Heading2Char"/>
    <w:uiPriority w:val="9"/>
    <w:unhideWhenUsed/>
    <w:qFormat/>
    <w:rsid w:val="003B0DEE"/>
    <w:pPr>
      <w:numPr>
        <w:ilvl w:val="1"/>
      </w:numPr>
      <w:spacing w:before="200"/>
      <w:outlineLvl w:val="1"/>
    </w:pPr>
    <w:rPr>
      <w:bCs w:val="0"/>
      <w:sz w:val="26"/>
      <w:szCs w:val="26"/>
    </w:rPr>
  </w:style>
  <w:style w:type="paragraph" w:styleId="Heading3">
    <w:name w:val="heading 3"/>
    <w:basedOn w:val="Heading2"/>
    <w:next w:val="Normal"/>
    <w:link w:val="Heading3Char"/>
    <w:unhideWhenUsed/>
    <w:qFormat/>
    <w:rsid w:val="003B0DEE"/>
    <w:pPr>
      <w:numPr>
        <w:ilvl w:val="2"/>
      </w:numPr>
      <w:outlineLvl w:val="2"/>
    </w:pPr>
    <w:rPr>
      <w:bCs/>
      <w:sz w:val="24"/>
    </w:rPr>
  </w:style>
  <w:style w:type="paragraph" w:styleId="Heading4">
    <w:name w:val="heading 4"/>
    <w:basedOn w:val="Heading3"/>
    <w:next w:val="Normal"/>
    <w:link w:val="Heading4Char"/>
    <w:unhideWhenUsed/>
    <w:qFormat/>
    <w:rsid w:val="003B0DEE"/>
    <w:pPr>
      <w:numPr>
        <w:ilvl w:val="3"/>
      </w:numPr>
      <w:spacing w:before="240" w:after="60"/>
      <w:outlineLvl w:val="3"/>
    </w:pPr>
    <w:rPr>
      <w:bCs w:val="0"/>
      <w:sz w:val="22"/>
      <w:szCs w:val="28"/>
    </w:rPr>
  </w:style>
  <w:style w:type="paragraph" w:styleId="Heading5">
    <w:name w:val="heading 5"/>
    <w:basedOn w:val="Normal"/>
    <w:next w:val="Normal"/>
    <w:link w:val="Heading5Char"/>
    <w:unhideWhenUsed/>
    <w:qFormat/>
    <w:rsid w:val="003B0DEE"/>
    <w:pPr>
      <w:keepNext/>
      <w:keepLines/>
      <w:numPr>
        <w:ilvl w:val="4"/>
        <w:numId w:val="13"/>
      </w:numPr>
      <w:spacing w:before="200" w:after="120" w:line="480" w:lineRule="auto"/>
      <w:jc w:val="left"/>
      <w:outlineLvl w:val="4"/>
    </w:pPr>
    <w:rPr>
      <w:rFonts w:ascii="Cambria" w:hAnsi="Cambria"/>
      <w:color w:val="243F60"/>
    </w:rPr>
  </w:style>
  <w:style w:type="paragraph" w:styleId="Heading6">
    <w:name w:val="heading 6"/>
    <w:basedOn w:val="Normal"/>
    <w:next w:val="Normal"/>
    <w:link w:val="Heading6Char"/>
    <w:semiHidden/>
    <w:unhideWhenUsed/>
    <w:qFormat/>
    <w:rsid w:val="003B0DEE"/>
    <w:pPr>
      <w:keepNext/>
      <w:keepLines/>
      <w:numPr>
        <w:ilvl w:val="5"/>
        <w:numId w:val="13"/>
      </w:numPr>
      <w:spacing w:before="200" w:after="120" w:line="480" w:lineRule="auto"/>
      <w:jc w:val="left"/>
      <w:outlineLvl w:val="5"/>
    </w:pPr>
    <w:rPr>
      <w:rFonts w:ascii="Cambria" w:hAnsi="Cambria"/>
      <w:i/>
      <w:iCs/>
      <w:color w:val="243F60"/>
    </w:rPr>
  </w:style>
  <w:style w:type="paragraph" w:styleId="Heading7">
    <w:name w:val="heading 7"/>
    <w:basedOn w:val="Normal"/>
    <w:next w:val="Normal"/>
    <w:link w:val="Heading7Char"/>
    <w:semiHidden/>
    <w:unhideWhenUsed/>
    <w:qFormat/>
    <w:rsid w:val="003B0DEE"/>
    <w:pPr>
      <w:keepNext/>
      <w:keepLines/>
      <w:numPr>
        <w:ilvl w:val="6"/>
        <w:numId w:val="13"/>
      </w:numPr>
      <w:spacing w:before="200" w:after="120" w:line="480" w:lineRule="auto"/>
      <w:jc w:val="left"/>
      <w:outlineLvl w:val="6"/>
    </w:pPr>
    <w:rPr>
      <w:rFonts w:ascii="Cambria" w:hAnsi="Cambria"/>
      <w:i/>
      <w:iCs/>
      <w:color w:val="404040"/>
    </w:rPr>
  </w:style>
  <w:style w:type="paragraph" w:styleId="Heading8">
    <w:name w:val="heading 8"/>
    <w:basedOn w:val="Normal"/>
    <w:next w:val="Normal"/>
    <w:link w:val="Heading8Char"/>
    <w:semiHidden/>
    <w:unhideWhenUsed/>
    <w:qFormat/>
    <w:rsid w:val="003B0DEE"/>
    <w:pPr>
      <w:keepNext/>
      <w:keepLines/>
      <w:numPr>
        <w:ilvl w:val="7"/>
        <w:numId w:val="13"/>
      </w:numPr>
      <w:spacing w:before="200" w:after="120" w:line="480" w:lineRule="auto"/>
      <w:jc w:val="left"/>
      <w:outlineLvl w:val="7"/>
    </w:pPr>
    <w:rPr>
      <w:rFonts w:ascii="Cambria" w:hAnsi="Cambria"/>
      <w:color w:val="404040"/>
    </w:rPr>
  </w:style>
  <w:style w:type="paragraph" w:styleId="Heading9">
    <w:name w:val="heading 9"/>
    <w:basedOn w:val="Normal"/>
    <w:next w:val="Normal"/>
    <w:link w:val="Heading9Char"/>
    <w:semiHidden/>
    <w:unhideWhenUsed/>
    <w:qFormat/>
    <w:rsid w:val="003B0DEE"/>
    <w:pPr>
      <w:keepNext/>
      <w:keepLines/>
      <w:numPr>
        <w:ilvl w:val="8"/>
        <w:numId w:val="13"/>
      </w:numPr>
      <w:spacing w:before="200" w:after="120" w:line="480" w:lineRule="auto"/>
      <w:jc w:val="left"/>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0DEE"/>
    <w:rPr>
      <w:rFonts w:ascii="Arial" w:eastAsia="Times New Roman" w:hAnsi="Arial" w:cs="Times New Roman"/>
      <w:b/>
      <w:bCs/>
      <w:color w:val="000000"/>
      <w:sz w:val="28"/>
      <w:szCs w:val="28"/>
      <w:lang w:eastAsia="en-IE"/>
    </w:rPr>
  </w:style>
  <w:style w:type="character" w:customStyle="1" w:styleId="Heading2Char">
    <w:name w:val="Heading 2 Char"/>
    <w:link w:val="Heading2"/>
    <w:uiPriority w:val="9"/>
    <w:rsid w:val="003B0DEE"/>
    <w:rPr>
      <w:rFonts w:ascii="Arial" w:eastAsia="Times New Roman" w:hAnsi="Arial" w:cs="Times New Roman"/>
      <w:b/>
      <w:color w:val="000000"/>
      <w:sz w:val="26"/>
      <w:szCs w:val="26"/>
      <w:lang w:eastAsia="en-IE"/>
    </w:rPr>
  </w:style>
  <w:style w:type="character" w:customStyle="1" w:styleId="Heading3Char">
    <w:name w:val="Heading 3 Char"/>
    <w:link w:val="Heading3"/>
    <w:rsid w:val="003B0DEE"/>
    <w:rPr>
      <w:rFonts w:ascii="Arial" w:eastAsia="Times New Roman" w:hAnsi="Arial" w:cs="Times New Roman"/>
      <w:b/>
      <w:bCs/>
      <w:color w:val="000000"/>
      <w:sz w:val="24"/>
      <w:szCs w:val="26"/>
      <w:lang w:eastAsia="en-IE"/>
    </w:rPr>
  </w:style>
  <w:style w:type="character" w:customStyle="1" w:styleId="Heading4Char">
    <w:name w:val="Heading 4 Char"/>
    <w:link w:val="Heading4"/>
    <w:rsid w:val="003B0DEE"/>
    <w:rPr>
      <w:rFonts w:ascii="Arial" w:eastAsia="Times New Roman" w:hAnsi="Arial" w:cs="Times New Roman"/>
      <w:b/>
      <w:color w:val="000000"/>
      <w:szCs w:val="28"/>
      <w:lang w:eastAsia="en-IE"/>
    </w:rPr>
  </w:style>
  <w:style w:type="character" w:customStyle="1" w:styleId="Heading5Char">
    <w:name w:val="Heading 5 Char"/>
    <w:link w:val="Heading5"/>
    <w:rsid w:val="003B0DEE"/>
    <w:rPr>
      <w:rFonts w:ascii="Cambria" w:eastAsia="Times New Roman" w:hAnsi="Cambria" w:cs="Times New Roman"/>
      <w:color w:val="243F60"/>
      <w:szCs w:val="20"/>
      <w:lang w:eastAsia="en-IE"/>
    </w:rPr>
  </w:style>
  <w:style w:type="character" w:customStyle="1" w:styleId="Heading6Char">
    <w:name w:val="Heading 6 Char"/>
    <w:link w:val="Heading6"/>
    <w:semiHidden/>
    <w:rsid w:val="003B0DEE"/>
    <w:rPr>
      <w:rFonts w:ascii="Cambria" w:eastAsia="Times New Roman" w:hAnsi="Cambria" w:cs="Times New Roman"/>
      <w:i/>
      <w:iCs/>
      <w:color w:val="243F60"/>
      <w:szCs w:val="20"/>
      <w:lang w:eastAsia="en-IE"/>
    </w:rPr>
  </w:style>
  <w:style w:type="character" w:customStyle="1" w:styleId="Heading7Char">
    <w:name w:val="Heading 7 Char"/>
    <w:link w:val="Heading7"/>
    <w:semiHidden/>
    <w:rsid w:val="003B0DEE"/>
    <w:rPr>
      <w:rFonts w:ascii="Cambria" w:eastAsia="Times New Roman" w:hAnsi="Cambria" w:cs="Times New Roman"/>
      <w:i/>
      <w:iCs/>
      <w:color w:val="404040"/>
      <w:szCs w:val="20"/>
      <w:lang w:eastAsia="en-IE"/>
    </w:rPr>
  </w:style>
  <w:style w:type="character" w:customStyle="1" w:styleId="Heading8Char">
    <w:name w:val="Heading 8 Char"/>
    <w:link w:val="Heading8"/>
    <w:semiHidden/>
    <w:rsid w:val="003B0DEE"/>
    <w:rPr>
      <w:rFonts w:ascii="Cambria" w:eastAsia="Times New Roman" w:hAnsi="Cambria" w:cs="Times New Roman"/>
      <w:color w:val="404040"/>
      <w:szCs w:val="20"/>
      <w:lang w:eastAsia="en-IE"/>
    </w:rPr>
  </w:style>
  <w:style w:type="character" w:customStyle="1" w:styleId="Heading9Char">
    <w:name w:val="Heading 9 Char"/>
    <w:link w:val="Heading9"/>
    <w:semiHidden/>
    <w:rsid w:val="003B0DEE"/>
    <w:rPr>
      <w:rFonts w:ascii="Cambria" w:eastAsia="Times New Roman" w:hAnsi="Cambria" w:cs="Times New Roman"/>
      <w:i/>
      <w:iCs/>
      <w:color w:val="404040"/>
      <w:szCs w:val="20"/>
      <w:lang w:eastAsia="en-IE"/>
    </w:rPr>
  </w:style>
  <w:style w:type="paragraph" w:styleId="Footer">
    <w:name w:val="footer"/>
    <w:basedOn w:val="Normal"/>
    <w:link w:val="FooterChar"/>
    <w:uiPriority w:val="99"/>
    <w:unhideWhenUsed/>
    <w:rsid w:val="003B0DEE"/>
    <w:pPr>
      <w:tabs>
        <w:tab w:val="center" w:pos="4513"/>
        <w:tab w:val="right" w:pos="9026"/>
      </w:tabs>
    </w:pPr>
  </w:style>
  <w:style w:type="character" w:customStyle="1" w:styleId="FooterChar">
    <w:name w:val="Footer Char"/>
    <w:link w:val="Footer"/>
    <w:uiPriority w:val="99"/>
    <w:rsid w:val="003B0DEE"/>
    <w:rPr>
      <w:rFonts w:ascii="Calibri" w:eastAsia="Times New Roman" w:hAnsi="Calibri" w:cs="Times New Roman"/>
      <w:szCs w:val="20"/>
      <w:lang w:eastAsia="en-IE"/>
    </w:rPr>
  </w:style>
  <w:style w:type="paragraph" w:styleId="NoSpacing">
    <w:name w:val="No Spacing"/>
    <w:uiPriority w:val="1"/>
    <w:qFormat/>
    <w:rsid w:val="003B0DEE"/>
    <w:pPr>
      <w:spacing w:after="0" w:line="240" w:lineRule="auto"/>
      <w:jc w:val="both"/>
    </w:pPr>
    <w:rPr>
      <w:rFonts w:ascii="Calibri" w:eastAsia="Times New Roman" w:hAnsi="Calibri" w:cs="Times New Roman"/>
      <w:szCs w:val="20"/>
      <w:lang w:eastAsia="en-IE"/>
    </w:rPr>
  </w:style>
  <w:style w:type="paragraph" w:styleId="TOCHeading">
    <w:name w:val="TOC Heading"/>
    <w:basedOn w:val="Heading1"/>
    <w:next w:val="Normal"/>
    <w:uiPriority w:val="39"/>
    <w:unhideWhenUsed/>
    <w:qFormat/>
    <w:rsid w:val="003B0DEE"/>
    <w:pPr>
      <w:numPr>
        <w:numId w:val="0"/>
      </w:numPr>
      <w:spacing w:before="240" w:line="259" w:lineRule="auto"/>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3B0DEE"/>
    <w:pPr>
      <w:tabs>
        <w:tab w:val="left" w:pos="440"/>
        <w:tab w:val="left" w:pos="880"/>
        <w:tab w:val="right" w:leader="dot" w:pos="8493"/>
      </w:tabs>
      <w:jc w:val="left"/>
    </w:pPr>
    <w:rPr>
      <w:rFonts w:ascii="Arial" w:hAnsi="Arial" w:cs="Arial"/>
      <w:b/>
      <w:noProof/>
      <w:sz w:val="20"/>
    </w:rPr>
  </w:style>
  <w:style w:type="character" w:styleId="Hyperlink">
    <w:name w:val="Hyperlink"/>
    <w:uiPriority w:val="99"/>
    <w:unhideWhenUsed/>
    <w:rsid w:val="003B0DEE"/>
    <w:rPr>
      <w:color w:val="0563C1"/>
      <w:u w:val="single"/>
    </w:rPr>
  </w:style>
  <w:style w:type="paragraph" w:styleId="BodyText">
    <w:name w:val="Body Text"/>
    <w:basedOn w:val="Normal"/>
    <w:link w:val="BodyTextChar"/>
    <w:uiPriority w:val="99"/>
    <w:unhideWhenUsed/>
    <w:qFormat/>
    <w:rsid w:val="003B0DEE"/>
    <w:pPr>
      <w:widowControl w:val="0"/>
      <w:autoSpaceDE w:val="0"/>
      <w:autoSpaceDN w:val="0"/>
      <w:spacing w:line="360" w:lineRule="auto"/>
      <w:jc w:val="left"/>
    </w:pPr>
    <w:rPr>
      <w:rFonts w:ascii="Arial" w:eastAsia="Arial" w:hAnsi="Arial" w:cs="Arial"/>
      <w:sz w:val="20"/>
      <w:szCs w:val="24"/>
      <w:lang w:val="en-US" w:eastAsia="en-US"/>
    </w:rPr>
  </w:style>
  <w:style w:type="character" w:customStyle="1" w:styleId="BodyTextChar">
    <w:name w:val="Body Text Char"/>
    <w:link w:val="BodyText"/>
    <w:uiPriority w:val="99"/>
    <w:rsid w:val="003B0DEE"/>
    <w:rPr>
      <w:rFonts w:ascii="Arial" w:eastAsia="Arial" w:hAnsi="Arial" w:cs="Arial"/>
      <w:sz w:val="20"/>
      <w:szCs w:val="24"/>
      <w:lang w:val="en-US"/>
    </w:rPr>
  </w:style>
  <w:style w:type="paragraph" w:customStyle="1" w:styleId="EndNoteBibliography">
    <w:name w:val="EndNote Bibliography"/>
    <w:basedOn w:val="Normal"/>
    <w:link w:val="EndNoteBibliographyChar"/>
    <w:rsid w:val="003B0DEE"/>
    <w:pPr>
      <w:spacing w:after="200" w:line="240" w:lineRule="auto"/>
      <w:jc w:val="left"/>
    </w:pPr>
    <w:rPr>
      <w:rFonts w:eastAsia="Calibri" w:cs="Calibri"/>
      <w:noProof/>
      <w:sz w:val="28"/>
      <w:szCs w:val="22"/>
      <w:lang w:val="en-US" w:eastAsia="en-US"/>
    </w:rPr>
  </w:style>
  <w:style w:type="character" w:customStyle="1" w:styleId="EndNoteBibliographyChar">
    <w:name w:val="EndNote Bibliography Char"/>
    <w:link w:val="EndNoteBibliography"/>
    <w:rsid w:val="003B0DEE"/>
    <w:rPr>
      <w:rFonts w:ascii="Calibri" w:eastAsia="Calibri" w:hAnsi="Calibri" w:cs="Calibri"/>
      <w:noProof/>
      <w:sz w:val="28"/>
      <w:lang w:val="en-US"/>
    </w:rPr>
  </w:style>
  <w:style w:type="paragraph" w:customStyle="1" w:styleId="Default">
    <w:name w:val="Default"/>
    <w:rsid w:val="003B0DEE"/>
    <w:pPr>
      <w:autoSpaceDE w:val="0"/>
      <w:autoSpaceDN w:val="0"/>
      <w:adjustRightInd w:val="0"/>
      <w:spacing w:after="0" w:line="240" w:lineRule="auto"/>
    </w:pPr>
    <w:rPr>
      <w:rFonts w:ascii="Arial" w:eastAsia="Times New Roman" w:hAnsi="Arial" w:cs="Arial"/>
      <w:color w:val="000000"/>
      <w:sz w:val="24"/>
      <w:szCs w:val="24"/>
      <w:lang w:eastAsia="en-IE"/>
    </w:rPr>
  </w:style>
  <w:style w:type="paragraph" w:customStyle="1" w:styleId="EndNoteBibliographyTitle">
    <w:name w:val="EndNote Bibliography Title"/>
    <w:basedOn w:val="Normal"/>
    <w:link w:val="EndNoteBibliographyTitleChar"/>
    <w:rsid w:val="003B0DEE"/>
    <w:pPr>
      <w:jc w:val="center"/>
    </w:pPr>
    <w:rPr>
      <w:rFonts w:cs="Calibri"/>
      <w:noProof/>
      <w:sz w:val="28"/>
    </w:rPr>
  </w:style>
  <w:style w:type="character" w:customStyle="1" w:styleId="EndNoteBibliographyTitleChar">
    <w:name w:val="EndNote Bibliography Title Char"/>
    <w:link w:val="EndNoteBibliographyTitle"/>
    <w:rsid w:val="003B0DEE"/>
    <w:rPr>
      <w:rFonts w:ascii="Calibri" w:eastAsia="Times New Roman" w:hAnsi="Calibri" w:cs="Calibri"/>
      <w:noProof/>
      <w:sz w:val="28"/>
      <w:szCs w:val="20"/>
      <w:lang w:eastAsia="en-IE"/>
    </w:rPr>
  </w:style>
  <w:style w:type="paragraph" w:styleId="FootnoteText">
    <w:name w:val="footnote text"/>
    <w:basedOn w:val="Normal"/>
    <w:link w:val="FootnoteTextChar"/>
    <w:semiHidden/>
    <w:unhideWhenUsed/>
    <w:rsid w:val="003B0DEE"/>
    <w:pPr>
      <w:spacing w:line="240" w:lineRule="auto"/>
      <w:jc w:val="left"/>
    </w:pPr>
    <w:rPr>
      <w:rFonts w:ascii="Times New Roman" w:hAnsi="Times New Roman"/>
      <w:sz w:val="20"/>
      <w:lang w:val="en-GB" w:eastAsia="en-US"/>
    </w:rPr>
  </w:style>
  <w:style w:type="character" w:customStyle="1" w:styleId="FootnoteTextChar">
    <w:name w:val="Footnote Text Char"/>
    <w:link w:val="FootnoteText"/>
    <w:semiHidden/>
    <w:rsid w:val="003B0DEE"/>
    <w:rPr>
      <w:rFonts w:ascii="Times New Roman" w:eastAsia="Times New Roman" w:hAnsi="Times New Roman" w:cs="Times New Roman"/>
      <w:sz w:val="20"/>
      <w:szCs w:val="20"/>
      <w:lang w:val="en-GB"/>
    </w:rPr>
  </w:style>
  <w:style w:type="character" w:styleId="FootnoteReference">
    <w:name w:val="footnote reference"/>
    <w:uiPriority w:val="99"/>
    <w:semiHidden/>
    <w:unhideWhenUsed/>
    <w:rsid w:val="003B0DEE"/>
    <w:rPr>
      <w:vertAlign w:val="superscript"/>
    </w:rPr>
  </w:style>
  <w:style w:type="paragraph" w:styleId="ListParagraph">
    <w:name w:val="List Paragraph"/>
    <w:basedOn w:val="Normal"/>
    <w:uiPriority w:val="34"/>
    <w:qFormat/>
    <w:rsid w:val="003B0DEE"/>
    <w:pPr>
      <w:spacing w:before="120" w:after="120" w:line="360" w:lineRule="auto"/>
      <w:ind w:left="720"/>
      <w:contextualSpacing/>
      <w:jc w:val="left"/>
    </w:pPr>
    <w:rPr>
      <w:rFonts w:ascii="Arial" w:hAnsi="Arial"/>
      <w:sz w:val="20"/>
    </w:rPr>
  </w:style>
  <w:style w:type="character" w:styleId="Emphasis">
    <w:name w:val="Emphasis"/>
    <w:uiPriority w:val="20"/>
    <w:qFormat/>
    <w:rsid w:val="003B0DEE"/>
    <w:rPr>
      <w:i/>
      <w:iCs/>
    </w:rPr>
  </w:style>
  <w:style w:type="character" w:customStyle="1" w:styleId="apple-converted-space">
    <w:name w:val="apple-converted-space"/>
    <w:rsid w:val="003B0DEE"/>
  </w:style>
  <w:style w:type="paragraph" w:customStyle="1" w:styleId="Heading02">
    <w:name w:val="Heading02"/>
    <w:basedOn w:val="Heading1"/>
    <w:link w:val="Heading02Char"/>
    <w:autoRedefine/>
    <w:qFormat/>
    <w:rsid w:val="003B0DEE"/>
    <w:pPr>
      <w:keepLines w:val="0"/>
      <w:spacing w:before="240" w:after="120"/>
      <w:ind w:left="792" w:hanging="792"/>
    </w:pPr>
    <w:rPr>
      <w:rFonts w:cs="Arial"/>
      <w:color w:val="auto"/>
      <w:kern w:val="32"/>
      <w:szCs w:val="32"/>
    </w:rPr>
  </w:style>
  <w:style w:type="character" w:customStyle="1" w:styleId="Heading02Char">
    <w:name w:val="Heading02 Char"/>
    <w:link w:val="Heading02"/>
    <w:rsid w:val="003B0DEE"/>
    <w:rPr>
      <w:rFonts w:ascii="Arial" w:eastAsia="Times New Roman" w:hAnsi="Arial" w:cs="Arial"/>
      <w:b/>
      <w:bCs/>
      <w:kern w:val="32"/>
      <w:sz w:val="28"/>
      <w:szCs w:val="32"/>
      <w:lang w:eastAsia="en-IE"/>
    </w:rPr>
  </w:style>
  <w:style w:type="paragraph" w:customStyle="1" w:styleId="Chapter">
    <w:name w:val="Chapter"/>
    <w:basedOn w:val="ListParagraph"/>
    <w:link w:val="ChapterChar"/>
    <w:qFormat/>
    <w:rsid w:val="003B0DEE"/>
    <w:pPr>
      <w:spacing w:line="480" w:lineRule="auto"/>
      <w:ind w:left="0"/>
      <w:jc w:val="center"/>
    </w:pPr>
    <w:rPr>
      <w:b/>
      <w:sz w:val="32"/>
      <w:szCs w:val="32"/>
    </w:rPr>
  </w:style>
  <w:style w:type="character" w:customStyle="1" w:styleId="ChapterChar">
    <w:name w:val="Chapter Char"/>
    <w:link w:val="Chapter"/>
    <w:rsid w:val="003B0DEE"/>
    <w:rPr>
      <w:rFonts w:ascii="Arial" w:eastAsia="Times New Roman" w:hAnsi="Arial" w:cs="Times New Roman"/>
      <w:b/>
      <w:sz w:val="32"/>
      <w:szCs w:val="32"/>
      <w:lang w:eastAsia="en-IE"/>
    </w:rPr>
  </w:style>
  <w:style w:type="paragraph" w:customStyle="1" w:styleId="Heading03">
    <w:name w:val="Heading03"/>
    <w:basedOn w:val="ListParagraph"/>
    <w:link w:val="Heading03Char"/>
    <w:qFormat/>
    <w:rsid w:val="003B0DEE"/>
    <w:pPr>
      <w:ind w:left="0"/>
      <w:jc w:val="both"/>
    </w:pPr>
    <w:rPr>
      <w:rFonts w:cs="Arial"/>
      <w:b/>
      <w:bCs/>
      <w:kern w:val="32"/>
      <w:sz w:val="24"/>
      <w:szCs w:val="26"/>
    </w:rPr>
  </w:style>
  <w:style w:type="character" w:customStyle="1" w:styleId="Heading03Char">
    <w:name w:val="Heading03 Char"/>
    <w:link w:val="Heading03"/>
    <w:rsid w:val="003B0DEE"/>
    <w:rPr>
      <w:rFonts w:ascii="Arial" w:eastAsia="Times New Roman" w:hAnsi="Arial" w:cs="Arial"/>
      <w:b/>
      <w:bCs/>
      <w:kern w:val="32"/>
      <w:sz w:val="24"/>
      <w:szCs w:val="26"/>
      <w:lang w:eastAsia="en-IE"/>
    </w:rPr>
  </w:style>
  <w:style w:type="paragraph" w:styleId="Caption">
    <w:name w:val="caption"/>
    <w:basedOn w:val="Normal"/>
    <w:next w:val="Normal"/>
    <w:uiPriority w:val="35"/>
    <w:unhideWhenUsed/>
    <w:qFormat/>
    <w:rsid w:val="003B0DEE"/>
    <w:pPr>
      <w:spacing w:before="120" w:after="120" w:line="360" w:lineRule="auto"/>
      <w:jc w:val="left"/>
    </w:pPr>
    <w:rPr>
      <w:rFonts w:ascii="Arial" w:hAnsi="Arial"/>
      <w:b/>
      <w:bCs/>
      <w:sz w:val="20"/>
      <w:szCs w:val="18"/>
    </w:rPr>
  </w:style>
  <w:style w:type="table" w:styleId="TableGrid">
    <w:name w:val="Table Grid"/>
    <w:basedOn w:val="TableNormal"/>
    <w:uiPriority w:val="59"/>
    <w:rsid w:val="003B0DE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3B0DEE"/>
    <w:rPr>
      <w:sz w:val="16"/>
      <w:szCs w:val="16"/>
    </w:rPr>
  </w:style>
  <w:style w:type="paragraph" w:styleId="CommentText">
    <w:name w:val="annotation text"/>
    <w:basedOn w:val="Normal"/>
    <w:link w:val="CommentTextChar"/>
    <w:uiPriority w:val="99"/>
    <w:semiHidden/>
    <w:unhideWhenUsed/>
    <w:rsid w:val="003B0DEE"/>
    <w:pPr>
      <w:spacing w:before="120" w:after="120" w:line="240" w:lineRule="auto"/>
      <w:jc w:val="left"/>
    </w:pPr>
    <w:rPr>
      <w:rFonts w:ascii="Arial" w:hAnsi="Arial"/>
      <w:sz w:val="20"/>
    </w:rPr>
  </w:style>
  <w:style w:type="character" w:customStyle="1" w:styleId="CommentTextChar">
    <w:name w:val="Comment Text Char"/>
    <w:link w:val="CommentText"/>
    <w:uiPriority w:val="99"/>
    <w:semiHidden/>
    <w:rsid w:val="003B0DEE"/>
    <w:rPr>
      <w:rFonts w:ascii="Arial" w:eastAsia="Times New Roman" w:hAnsi="Arial" w:cs="Times New Roman"/>
      <w:sz w:val="20"/>
      <w:szCs w:val="20"/>
      <w:lang w:eastAsia="en-IE"/>
    </w:rPr>
  </w:style>
  <w:style w:type="paragraph" w:styleId="BalloonText">
    <w:name w:val="Balloon Text"/>
    <w:basedOn w:val="Normal"/>
    <w:link w:val="BalloonTextChar"/>
    <w:uiPriority w:val="99"/>
    <w:semiHidden/>
    <w:unhideWhenUsed/>
    <w:rsid w:val="003B0DE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B0DEE"/>
    <w:rPr>
      <w:rFonts w:ascii="Tahoma" w:eastAsia="Times New Roman" w:hAnsi="Tahoma" w:cs="Tahoma"/>
      <w:sz w:val="16"/>
      <w:szCs w:val="16"/>
      <w:lang w:eastAsia="en-IE"/>
    </w:rPr>
  </w:style>
  <w:style w:type="table" w:customStyle="1" w:styleId="DataTable">
    <w:name w:val="DataTable"/>
    <w:basedOn w:val="TableNormal"/>
    <w:uiPriority w:val="99"/>
    <w:rsid w:val="003B0DEE"/>
    <w:pPr>
      <w:spacing w:after="0" w:line="240" w:lineRule="auto"/>
    </w:pPr>
    <w:rPr>
      <w:rFonts w:ascii="Calibri" w:eastAsia="Calibri" w:hAnsi="Calibri" w:cs="Times New Roman"/>
    </w:rPr>
    <w:tblPr>
      <w:tblBorders>
        <w:top w:val="single" w:sz="4" w:space="0" w:color="auto"/>
        <w:bottom w:val="single" w:sz="4" w:space="0" w:color="auto"/>
      </w:tblBorders>
    </w:tblPr>
  </w:style>
  <w:style w:type="table" w:customStyle="1" w:styleId="datatable0">
    <w:name w:val="datatable"/>
    <w:basedOn w:val="TableNormal"/>
    <w:uiPriority w:val="99"/>
    <w:rsid w:val="003B0DEE"/>
    <w:pPr>
      <w:spacing w:after="0" w:line="240" w:lineRule="auto"/>
    </w:pPr>
    <w:rPr>
      <w:rFonts w:ascii="Verdana" w:eastAsia="Times New Roman" w:hAnsi="Verdana" w:cs="Times New Roman"/>
      <w:sz w:val="20"/>
    </w:rPr>
    <w:tblPr>
      <w:tblBorders>
        <w:top w:val="single" w:sz="4" w:space="0" w:color="auto"/>
        <w:bottom w:val="single" w:sz="2" w:space="0" w:color="auto"/>
      </w:tblBorders>
    </w:tblPr>
  </w:style>
  <w:style w:type="paragraph" w:customStyle="1" w:styleId="indentQuote">
    <w:name w:val="indentQuote"/>
    <w:basedOn w:val="Normal"/>
    <w:next w:val="Normal"/>
    <w:autoRedefine/>
    <w:qFormat/>
    <w:rsid w:val="003B0DEE"/>
    <w:pPr>
      <w:spacing w:before="240" w:after="240" w:line="288" w:lineRule="auto"/>
      <w:ind w:left="851" w:right="851"/>
      <w:jc w:val="left"/>
    </w:pPr>
    <w:rPr>
      <w:rFonts w:ascii="Arial" w:hAnsi="Arial"/>
    </w:rPr>
  </w:style>
  <w:style w:type="paragraph" w:customStyle="1" w:styleId="Initial">
    <w:name w:val="Initial"/>
    <w:basedOn w:val="Normal"/>
    <w:next w:val="Normal"/>
    <w:autoRedefine/>
    <w:qFormat/>
    <w:rsid w:val="003B0DEE"/>
    <w:pPr>
      <w:spacing w:before="120" w:after="120" w:line="480" w:lineRule="auto"/>
      <w:jc w:val="left"/>
    </w:pPr>
    <w:rPr>
      <w:rFonts w:ascii="Arial" w:hAnsi="Arial"/>
      <w:b/>
      <w:sz w:val="28"/>
    </w:rPr>
  </w:style>
  <w:style w:type="table" w:customStyle="1" w:styleId="dataTable1">
    <w:name w:val="dataTable"/>
    <w:basedOn w:val="TableNormal"/>
    <w:uiPriority w:val="99"/>
    <w:rsid w:val="003B0DEE"/>
    <w:pPr>
      <w:spacing w:after="0" w:line="240" w:lineRule="auto"/>
    </w:pPr>
    <w:rPr>
      <w:rFonts w:ascii="Calibri" w:eastAsia="Times New Roman" w:hAnsi="Calibri" w:cs="Times New Roman"/>
    </w:rPr>
    <w:tblPr>
      <w:tblBorders>
        <w:top w:val="single" w:sz="2" w:space="0" w:color="auto"/>
        <w:bottom w:val="single" w:sz="2" w:space="0" w:color="auto"/>
      </w:tblBorders>
    </w:tblPr>
  </w:style>
  <w:style w:type="paragraph" w:styleId="NormalWeb">
    <w:name w:val="Normal (Web)"/>
    <w:basedOn w:val="Normal"/>
    <w:uiPriority w:val="99"/>
    <w:semiHidden/>
    <w:unhideWhenUsed/>
    <w:rsid w:val="003B0DEE"/>
    <w:pPr>
      <w:spacing w:before="100" w:beforeAutospacing="1" w:after="100" w:afterAutospacing="1" w:line="240" w:lineRule="auto"/>
      <w:jc w:val="left"/>
    </w:pPr>
    <w:rPr>
      <w:rFonts w:ascii="Times New Roman" w:hAnsi="Times New Roman"/>
      <w:sz w:val="24"/>
      <w:szCs w:val="24"/>
    </w:rPr>
  </w:style>
  <w:style w:type="character" w:styleId="Strong">
    <w:name w:val="Strong"/>
    <w:uiPriority w:val="22"/>
    <w:qFormat/>
    <w:rsid w:val="003B0DEE"/>
    <w:rPr>
      <w:b/>
      <w:bCs/>
    </w:rPr>
  </w:style>
  <w:style w:type="character" w:customStyle="1" w:styleId="wb-inv">
    <w:name w:val="wb-inv"/>
    <w:rsid w:val="003B0DEE"/>
  </w:style>
  <w:style w:type="character" w:customStyle="1" w:styleId="BodyCharChar">
    <w:name w:val="Body Char Char"/>
    <w:link w:val="Body"/>
    <w:locked/>
    <w:rsid w:val="003B0DEE"/>
    <w:rPr>
      <w:rFonts w:ascii="Arial" w:hAnsi="Arial" w:cs="Arial"/>
      <w:color w:val="292929"/>
      <w:lang w:val="en-GB"/>
    </w:rPr>
  </w:style>
  <w:style w:type="paragraph" w:customStyle="1" w:styleId="Body">
    <w:name w:val="Body"/>
    <w:basedOn w:val="Normal"/>
    <w:link w:val="BodyCharChar"/>
    <w:rsid w:val="003B0DEE"/>
    <w:pPr>
      <w:spacing w:before="240" w:after="200" w:line="300" w:lineRule="atLeast"/>
      <w:jc w:val="left"/>
    </w:pPr>
    <w:rPr>
      <w:rFonts w:ascii="Arial" w:eastAsiaTheme="minorHAnsi" w:hAnsi="Arial" w:cs="Arial"/>
      <w:color w:val="292929"/>
      <w:szCs w:val="22"/>
      <w:lang w:val="en-GB" w:eastAsia="en-US"/>
    </w:rPr>
  </w:style>
  <w:style w:type="paragraph" w:customStyle="1" w:styleId="BodyAfter">
    <w:name w:val="BodyAfter"/>
    <w:basedOn w:val="Body"/>
    <w:next w:val="Body"/>
    <w:rsid w:val="003B0DEE"/>
    <w:pPr>
      <w:spacing w:before="0"/>
    </w:pPr>
  </w:style>
  <w:style w:type="character" w:styleId="PlaceholderText">
    <w:name w:val="Placeholder Text"/>
    <w:uiPriority w:val="99"/>
    <w:semiHidden/>
    <w:rsid w:val="003B0DEE"/>
    <w:rPr>
      <w:color w:val="808080"/>
    </w:rPr>
  </w:style>
  <w:style w:type="paragraph" w:styleId="CommentSubject">
    <w:name w:val="annotation subject"/>
    <w:basedOn w:val="CommentText"/>
    <w:next w:val="CommentText"/>
    <w:link w:val="CommentSubjectChar"/>
    <w:uiPriority w:val="99"/>
    <w:semiHidden/>
    <w:unhideWhenUsed/>
    <w:rsid w:val="003B0DEE"/>
    <w:rPr>
      <w:b/>
      <w:bCs/>
      <w:sz w:val="22"/>
    </w:rPr>
  </w:style>
  <w:style w:type="character" w:customStyle="1" w:styleId="CommentSubjectChar">
    <w:name w:val="Comment Subject Char"/>
    <w:link w:val="CommentSubject"/>
    <w:uiPriority w:val="99"/>
    <w:semiHidden/>
    <w:rsid w:val="003B0DEE"/>
    <w:rPr>
      <w:rFonts w:ascii="Arial" w:eastAsia="Times New Roman" w:hAnsi="Arial" w:cs="Times New Roman"/>
      <w:b/>
      <w:bCs/>
      <w:szCs w:val="20"/>
      <w:lang w:eastAsia="en-IE"/>
    </w:rPr>
  </w:style>
  <w:style w:type="paragraph" w:customStyle="1" w:styleId="Texttextleft">
    <w:name w:val="Text(text left)"/>
    <w:basedOn w:val="Normal"/>
    <w:rsid w:val="003B0DEE"/>
    <w:pPr>
      <w:widowControl w:val="0"/>
      <w:shd w:val="clear" w:color="auto" w:fill="E6E6E6"/>
      <w:autoSpaceDE w:val="0"/>
      <w:autoSpaceDN w:val="0"/>
      <w:adjustRightInd w:val="0"/>
      <w:spacing w:line="240" w:lineRule="auto"/>
      <w:jc w:val="left"/>
    </w:pPr>
    <w:rPr>
      <w:rFonts w:ascii="Tahoma" w:hAnsi="Tahoma" w:cs="Tahoma"/>
      <w:color w:val="333399"/>
      <w:sz w:val="16"/>
      <w:szCs w:val="24"/>
      <w:lang w:val="en-GB" w:eastAsia="en-US"/>
    </w:rPr>
  </w:style>
  <w:style w:type="table" w:styleId="LightShading">
    <w:name w:val="Light Shading"/>
    <w:basedOn w:val="TableNormal"/>
    <w:uiPriority w:val="60"/>
    <w:rsid w:val="003B0DEE"/>
    <w:pPr>
      <w:spacing w:after="0" w:line="240" w:lineRule="auto"/>
    </w:pPr>
    <w:rPr>
      <w:rFonts w:ascii="Calibri" w:eastAsia="Times New Roman"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eader">
    <w:name w:val="header"/>
    <w:basedOn w:val="Normal"/>
    <w:link w:val="HeaderChar"/>
    <w:uiPriority w:val="99"/>
    <w:unhideWhenUsed/>
    <w:rsid w:val="003B0DEE"/>
    <w:pPr>
      <w:tabs>
        <w:tab w:val="center" w:pos="4513"/>
        <w:tab w:val="right" w:pos="9026"/>
      </w:tabs>
      <w:spacing w:line="240" w:lineRule="auto"/>
      <w:jc w:val="left"/>
    </w:pPr>
    <w:rPr>
      <w:rFonts w:ascii="Arial" w:hAnsi="Arial"/>
    </w:rPr>
  </w:style>
  <w:style w:type="character" w:customStyle="1" w:styleId="HeaderChar">
    <w:name w:val="Header Char"/>
    <w:link w:val="Header"/>
    <w:uiPriority w:val="99"/>
    <w:rsid w:val="003B0DEE"/>
    <w:rPr>
      <w:rFonts w:ascii="Arial" w:eastAsia="Times New Roman" w:hAnsi="Arial" w:cs="Times New Roman"/>
      <w:szCs w:val="20"/>
      <w:lang w:eastAsia="en-IE"/>
    </w:rPr>
  </w:style>
  <w:style w:type="paragraph" w:styleId="Revision">
    <w:name w:val="Revision"/>
    <w:hidden/>
    <w:uiPriority w:val="99"/>
    <w:semiHidden/>
    <w:rsid w:val="003B0DEE"/>
    <w:pPr>
      <w:spacing w:after="0" w:line="240" w:lineRule="auto"/>
    </w:pPr>
    <w:rPr>
      <w:rFonts w:ascii="Arial" w:eastAsia="Times New Roman" w:hAnsi="Arial" w:cs="Times New Roman"/>
      <w:szCs w:val="20"/>
      <w:lang w:eastAsia="en-IE"/>
    </w:rPr>
  </w:style>
  <w:style w:type="paragraph" w:customStyle="1" w:styleId="graf">
    <w:name w:val="graf"/>
    <w:basedOn w:val="Normal"/>
    <w:rsid w:val="003B0DEE"/>
    <w:pPr>
      <w:spacing w:before="100" w:beforeAutospacing="1" w:after="100" w:afterAutospacing="1" w:line="240" w:lineRule="auto"/>
      <w:jc w:val="left"/>
    </w:pPr>
    <w:rPr>
      <w:rFonts w:ascii="Times New Roman" w:hAnsi="Times New Roman"/>
      <w:sz w:val="24"/>
      <w:szCs w:val="24"/>
    </w:rPr>
  </w:style>
  <w:style w:type="paragraph" w:customStyle="1" w:styleId="version-warning">
    <w:name w:val="version-warning"/>
    <w:basedOn w:val="Normal"/>
    <w:rsid w:val="003B0DEE"/>
    <w:pPr>
      <w:spacing w:before="100" w:beforeAutospacing="1" w:after="100" w:afterAutospacing="1" w:line="240" w:lineRule="auto"/>
      <w:jc w:val="left"/>
    </w:pPr>
    <w:rPr>
      <w:rFonts w:ascii="Times New Roman" w:hAnsi="Times New Roman"/>
      <w:sz w:val="24"/>
      <w:szCs w:val="24"/>
    </w:rPr>
  </w:style>
  <w:style w:type="character" w:customStyle="1" w:styleId="publish-type3">
    <w:name w:val="publish-type3"/>
    <w:rsid w:val="003B0DEE"/>
  </w:style>
  <w:style w:type="character" w:customStyle="1" w:styleId="publish-date3">
    <w:name w:val="publish-date3"/>
    <w:rsid w:val="003B0DEE"/>
  </w:style>
  <w:style w:type="character" w:customStyle="1" w:styleId="author5">
    <w:name w:val="author5"/>
    <w:rsid w:val="003B0DEE"/>
  </w:style>
  <w:style w:type="paragraph" w:styleId="TOC2">
    <w:name w:val="toc 2"/>
    <w:basedOn w:val="Normal"/>
    <w:next w:val="Normal"/>
    <w:autoRedefine/>
    <w:uiPriority w:val="39"/>
    <w:unhideWhenUsed/>
    <w:rsid w:val="003B0DEE"/>
    <w:pPr>
      <w:ind w:left="220"/>
    </w:pPr>
  </w:style>
  <w:style w:type="paragraph" w:styleId="TOC3">
    <w:name w:val="toc 3"/>
    <w:basedOn w:val="Normal"/>
    <w:next w:val="Normal"/>
    <w:autoRedefine/>
    <w:uiPriority w:val="39"/>
    <w:unhideWhenUsed/>
    <w:rsid w:val="003B0DEE"/>
    <w:pPr>
      <w:ind w:left="440"/>
    </w:pPr>
  </w:style>
  <w:style w:type="paragraph" w:styleId="TOC4">
    <w:name w:val="toc 4"/>
    <w:basedOn w:val="Normal"/>
    <w:next w:val="Normal"/>
    <w:autoRedefine/>
    <w:uiPriority w:val="39"/>
    <w:unhideWhenUsed/>
    <w:rsid w:val="003B0DEE"/>
    <w:pPr>
      <w:spacing w:after="100" w:line="276" w:lineRule="auto"/>
      <w:ind w:left="660"/>
      <w:jc w:val="left"/>
    </w:pPr>
    <w:rPr>
      <w:szCs w:val="22"/>
    </w:rPr>
  </w:style>
  <w:style w:type="paragraph" w:styleId="TOC5">
    <w:name w:val="toc 5"/>
    <w:basedOn w:val="Normal"/>
    <w:next w:val="Normal"/>
    <w:autoRedefine/>
    <w:uiPriority w:val="39"/>
    <w:unhideWhenUsed/>
    <w:rsid w:val="003B0DEE"/>
    <w:pPr>
      <w:spacing w:after="100" w:line="276" w:lineRule="auto"/>
      <w:ind w:left="880"/>
      <w:jc w:val="left"/>
    </w:pPr>
    <w:rPr>
      <w:szCs w:val="22"/>
    </w:rPr>
  </w:style>
  <w:style w:type="paragraph" w:styleId="TOC6">
    <w:name w:val="toc 6"/>
    <w:basedOn w:val="Normal"/>
    <w:next w:val="Normal"/>
    <w:autoRedefine/>
    <w:uiPriority w:val="39"/>
    <w:unhideWhenUsed/>
    <w:rsid w:val="003B0DEE"/>
    <w:pPr>
      <w:spacing w:after="100" w:line="276" w:lineRule="auto"/>
      <w:ind w:left="1100"/>
      <w:jc w:val="left"/>
    </w:pPr>
    <w:rPr>
      <w:szCs w:val="22"/>
    </w:rPr>
  </w:style>
  <w:style w:type="paragraph" w:styleId="TOC7">
    <w:name w:val="toc 7"/>
    <w:basedOn w:val="Normal"/>
    <w:next w:val="Normal"/>
    <w:autoRedefine/>
    <w:uiPriority w:val="39"/>
    <w:unhideWhenUsed/>
    <w:rsid w:val="003B0DEE"/>
    <w:pPr>
      <w:spacing w:after="100" w:line="276" w:lineRule="auto"/>
      <w:ind w:left="1320"/>
      <w:jc w:val="left"/>
    </w:pPr>
    <w:rPr>
      <w:szCs w:val="22"/>
    </w:rPr>
  </w:style>
  <w:style w:type="paragraph" w:styleId="TOC8">
    <w:name w:val="toc 8"/>
    <w:basedOn w:val="Normal"/>
    <w:next w:val="Normal"/>
    <w:autoRedefine/>
    <w:uiPriority w:val="39"/>
    <w:unhideWhenUsed/>
    <w:rsid w:val="003B0DEE"/>
    <w:pPr>
      <w:spacing w:after="100" w:line="276" w:lineRule="auto"/>
      <w:ind w:left="1540"/>
      <w:jc w:val="left"/>
    </w:pPr>
    <w:rPr>
      <w:szCs w:val="22"/>
    </w:rPr>
  </w:style>
  <w:style w:type="paragraph" w:styleId="TOC9">
    <w:name w:val="toc 9"/>
    <w:basedOn w:val="Normal"/>
    <w:next w:val="Normal"/>
    <w:autoRedefine/>
    <w:uiPriority w:val="39"/>
    <w:unhideWhenUsed/>
    <w:rsid w:val="003B0DEE"/>
    <w:pPr>
      <w:spacing w:after="100" w:line="276" w:lineRule="auto"/>
      <w:ind w:left="1760"/>
      <w:jc w:val="left"/>
    </w:pPr>
    <w:rPr>
      <w:szCs w:val="22"/>
    </w:rPr>
  </w:style>
  <w:style w:type="paragraph" w:styleId="TableofFigures">
    <w:name w:val="table of figures"/>
    <w:basedOn w:val="Normal"/>
    <w:next w:val="Normal"/>
    <w:uiPriority w:val="99"/>
    <w:unhideWhenUsed/>
    <w:rsid w:val="003B0DEE"/>
    <w:rPr>
      <w:rFonts w:ascii="Arial" w:hAnsi="Arial"/>
      <w:sz w:val="20"/>
    </w:rPr>
  </w:style>
  <w:style w:type="character" w:customStyle="1" w:styleId="st1">
    <w:name w:val="st1"/>
    <w:rsid w:val="003B0DEE"/>
  </w:style>
  <w:style w:type="paragraph" w:customStyle="1" w:styleId="Pa18">
    <w:name w:val="Pa18"/>
    <w:basedOn w:val="Default"/>
    <w:next w:val="Default"/>
    <w:uiPriority w:val="99"/>
    <w:rsid w:val="003B0DEE"/>
    <w:pPr>
      <w:spacing w:line="181" w:lineRule="atLeast"/>
    </w:pPr>
    <w:rPr>
      <w:rFonts w:ascii="Futura" w:hAnsi="Futura" w:cs="Times New Roman"/>
      <w:color w:val="auto"/>
    </w:rPr>
  </w:style>
  <w:style w:type="character" w:customStyle="1" w:styleId="A13">
    <w:name w:val="A13"/>
    <w:uiPriority w:val="99"/>
    <w:rsid w:val="003B0DEE"/>
    <w:rPr>
      <w:rFonts w:cs="Futura"/>
      <w:color w:val="000000"/>
      <w:sz w:val="10"/>
      <w:szCs w:val="10"/>
    </w:rPr>
  </w:style>
  <w:style w:type="character" w:customStyle="1" w:styleId="ilfuvd">
    <w:name w:val="ilfuvd"/>
    <w:basedOn w:val="DefaultParagraphFont"/>
    <w:rsid w:val="003B0DEE"/>
  </w:style>
  <w:style w:type="character" w:customStyle="1" w:styleId="A6">
    <w:name w:val="A6"/>
    <w:uiPriority w:val="99"/>
    <w:rsid w:val="003B0DEE"/>
    <w:rPr>
      <w:rFonts w:cs="Univers 65 Bold"/>
      <w:b/>
      <w:bCs/>
      <w:color w:val="000000"/>
      <w:sz w:val="23"/>
      <w:szCs w:val="23"/>
    </w:rPr>
  </w:style>
  <w:style w:type="character" w:customStyle="1" w:styleId="doi2">
    <w:name w:val="doi2"/>
    <w:basedOn w:val="DefaultParagraphFont"/>
    <w:rsid w:val="003B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dx.doi.org/10.1186%2Fs13011-016-0062-5" TargetMode="External"/><Relationship Id="rId3" Type="http://schemas.microsoft.com/office/2007/relationships/stylesWithEffects" Target="stylesWithEffects.xml"/><Relationship Id="rId21" Type="http://schemas.openxmlformats.org/officeDocument/2006/relationships/image" Target="media/image9.png"/><Relationship Id="rId34"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dx.doi.org/10.1186%2F1747-597X-9-1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dx.doi.org/10.1155%2F2014%2F965267" TargetMode="External"/><Relationship Id="rId36" Type="http://schemas.openxmlformats.org/officeDocument/2006/relationships/fontTable" Target="fontTable.xml"/><Relationship Id="rId10" Type="http://schemas.openxmlformats.org/officeDocument/2006/relationships/hyperlink" Target="http://programme.exordo.com/trinityhirc2016/delegates/presentation/29/" TargetMode="External"/><Relationship Id="rId19" Type="http://schemas.openxmlformats.org/officeDocument/2006/relationships/image" Target="media/image7.png"/><Relationship Id="rId31" Type="http://schemas.openxmlformats.org/officeDocument/2006/relationships/hyperlink" Target="https://dx.doi.org/10.1186%2F1477-7517-10-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image" Target="media/image10.png"/><Relationship Id="rId27" Type="http://schemas.openxmlformats.org/officeDocument/2006/relationships/hyperlink" Target="https://dx.doi.org/10.1186%2Fs12954-018-0272-4" TargetMode="External"/><Relationship Id="rId30" Type="http://schemas.openxmlformats.org/officeDocument/2006/relationships/hyperlink" Target="https://doi.org/10.1136/bmj.j3885" TargetMode="External"/><Relationship Id="rId35"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179</Pages>
  <Words>66737</Words>
  <Characters>380403</Characters>
  <Application>Microsoft Office Word</Application>
  <DocSecurity>0</DocSecurity>
  <Lines>3170</Lines>
  <Paragraphs>892</Paragraphs>
  <ScaleCrop>false</ScaleCrop>
  <HeadingPairs>
    <vt:vector size="2" baseType="variant">
      <vt:variant>
        <vt:lpstr>Title</vt:lpstr>
      </vt:variant>
      <vt:variant>
        <vt:i4>1</vt:i4>
      </vt:variant>
    </vt:vector>
  </HeadingPairs>
  <TitlesOfParts>
    <vt:vector size="1" baseType="lpstr">
      <vt:lpstr/>
    </vt:vector>
  </TitlesOfParts>
  <Company>Health Research Board</Company>
  <LinksUpToDate>false</LinksUpToDate>
  <CharactersWithSpaces>446248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Marie Carew</dc:creator>
  <cp:lastModifiedBy>Anne Marie Carew</cp:lastModifiedBy>
  <cp:revision>2</cp:revision>
  <dcterms:created xsi:type="dcterms:W3CDTF">2019-08-14T20:42:00Z</dcterms:created>
  <dcterms:modified xsi:type="dcterms:W3CDTF">2019-08-14T20:42:00Z</dcterms:modified>
</cp:coreProperties>
</file>