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DDF0BE" w14:textId="77777777" w:rsidR="006846D7" w:rsidRPr="00FF0FB3" w:rsidRDefault="006846D7" w:rsidP="006846D7">
      <w:pPr>
        <w:spacing w:line="480" w:lineRule="auto"/>
        <w:rPr>
          <w:b/>
        </w:rPr>
      </w:pPr>
      <w:r w:rsidRPr="00FF0FB3">
        <w:rPr>
          <w:b/>
        </w:rPr>
        <w:t>Making green technology greener: achieving a balance between carbon and resource savings through eco</w:t>
      </w:r>
      <w:r>
        <w:rPr>
          <w:b/>
        </w:rPr>
        <w:t>design</w:t>
      </w:r>
      <w:r w:rsidRPr="00FF0FB3">
        <w:rPr>
          <w:b/>
        </w:rPr>
        <w:t xml:space="preserve"> in hydropower systems</w:t>
      </w:r>
    </w:p>
    <w:p w14:paraId="2569A987" w14:textId="77777777" w:rsidR="006846D7" w:rsidRPr="00D8289A" w:rsidRDefault="006846D7" w:rsidP="006846D7">
      <w:pPr>
        <w:spacing w:line="480" w:lineRule="auto"/>
      </w:pPr>
    </w:p>
    <w:p w14:paraId="61996739" w14:textId="77777777" w:rsidR="006846D7" w:rsidRPr="00D8289A" w:rsidRDefault="006846D7" w:rsidP="006846D7">
      <w:pPr>
        <w:spacing w:line="480" w:lineRule="auto"/>
      </w:pPr>
      <w:r w:rsidRPr="00D8289A">
        <w:t>John Gallagher</w:t>
      </w:r>
      <w:r w:rsidRPr="00D8289A">
        <w:rPr>
          <w:vertAlign w:val="superscript"/>
        </w:rPr>
        <w:t>a,</w:t>
      </w:r>
      <w:r w:rsidRPr="00D8289A">
        <w:t>*, David Styles</w:t>
      </w:r>
      <w:r w:rsidRPr="00D8289A">
        <w:rPr>
          <w:vertAlign w:val="superscript"/>
        </w:rPr>
        <w:t>a</w:t>
      </w:r>
      <w:r w:rsidRPr="00D8289A">
        <w:t>, Aonghus McNabola</w:t>
      </w:r>
      <w:r w:rsidRPr="00D8289A">
        <w:rPr>
          <w:vertAlign w:val="superscript"/>
        </w:rPr>
        <w:t>b</w:t>
      </w:r>
      <w:r w:rsidRPr="00D8289A">
        <w:t>, A. Prysor Williams</w:t>
      </w:r>
      <w:r w:rsidRPr="00D8289A">
        <w:rPr>
          <w:vertAlign w:val="superscript"/>
        </w:rPr>
        <w:t>a</w:t>
      </w:r>
      <w:r w:rsidRPr="00D8289A">
        <w:t>.</w:t>
      </w:r>
    </w:p>
    <w:p w14:paraId="5519E4F9" w14:textId="77777777" w:rsidR="006846D7" w:rsidRPr="00D8289A" w:rsidRDefault="006846D7" w:rsidP="006846D7">
      <w:pPr>
        <w:spacing w:line="480" w:lineRule="auto"/>
      </w:pPr>
    </w:p>
    <w:p w14:paraId="5D721A8B" w14:textId="77777777" w:rsidR="006846D7" w:rsidRPr="00D8289A" w:rsidRDefault="006846D7" w:rsidP="006846D7">
      <w:pPr>
        <w:spacing w:line="480" w:lineRule="auto"/>
      </w:pPr>
      <w:r w:rsidRPr="00D8289A">
        <w:rPr>
          <w:vertAlign w:val="superscript"/>
        </w:rPr>
        <w:t>a</w:t>
      </w:r>
      <w:r w:rsidRPr="00D8289A">
        <w:t xml:space="preserve"> School of Environment, Natural Resources &amp; Geography, Bangor University, Wales</w:t>
      </w:r>
    </w:p>
    <w:p w14:paraId="7D712A86" w14:textId="77777777" w:rsidR="006846D7" w:rsidRPr="00D8289A" w:rsidRDefault="006846D7" w:rsidP="006846D7">
      <w:pPr>
        <w:spacing w:line="480" w:lineRule="auto"/>
      </w:pPr>
      <w:r w:rsidRPr="00D8289A">
        <w:rPr>
          <w:vertAlign w:val="superscript"/>
        </w:rPr>
        <w:t>b</w:t>
      </w:r>
      <w:r w:rsidRPr="00D8289A">
        <w:t xml:space="preserve"> Department of Civil, Structural &amp; Environmental Engineering, Trinity College Dublin, Ireland</w:t>
      </w:r>
    </w:p>
    <w:p w14:paraId="79794353" w14:textId="77777777" w:rsidR="006846D7" w:rsidRPr="00D8289A" w:rsidRDefault="006846D7" w:rsidP="006846D7">
      <w:pPr>
        <w:spacing w:line="480" w:lineRule="auto"/>
      </w:pPr>
      <w:r w:rsidRPr="00D8289A">
        <w:t xml:space="preserve">* Corresponding author. Email address: </w:t>
      </w:r>
      <w:hyperlink r:id="rId8" w:history="1">
        <w:r w:rsidRPr="00D8289A">
          <w:rPr>
            <w:rStyle w:val="Hyperlink"/>
          </w:rPr>
          <w:t>j.gallagher@bangor.ac.uk</w:t>
        </w:r>
      </w:hyperlink>
      <w:r w:rsidRPr="00D8289A">
        <w:t>.</w:t>
      </w:r>
    </w:p>
    <w:p w14:paraId="3C18AFAE" w14:textId="77777777" w:rsidR="006846D7" w:rsidRPr="00D8289A" w:rsidRDefault="006846D7" w:rsidP="006846D7">
      <w:pPr>
        <w:spacing w:line="480" w:lineRule="auto"/>
      </w:pPr>
    </w:p>
    <w:p w14:paraId="1A1868AD" w14:textId="77777777" w:rsidR="006846D7" w:rsidRPr="003F4330" w:rsidRDefault="006846D7" w:rsidP="006846D7">
      <w:pPr>
        <w:spacing w:line="480" w:lineRule="auto"/>
        <w:rPr>
          <w:b/>
        </w:rPr>
      </w:pPr>
      <w:r w:rsidRPr="003F4330">
        <w:rPr>
          <w:b/>
        </w:rPr>
        <w:t>Abstract</w:t>
      </w:r>
    </w:p>
    <w:p w14:paraId="35746CBF" w14:textId="78E6F700" w:rsidR="006846D7" w:rsidRPr="00A02F35" w:rsidRDefault="006846D7" w:rsidP="006846D7">
      <w:pPr>
        <w:spacing w:line="480" w:lineRule="auto"/>
      </w:pPr>
      <w:r w:rsidRPr="00A02F35">
        <w:t>Renewable energy systems reduce the greenhouse gas (GHG) emissions associated with energy generation. However, we live in a world with depleting reserves of natural resources</w:t>
      </w:r>
      <w:r>
        <w:t>,</w:t>
      </w:r>
      <w:r w:rsidRPr="00A02F35">
        <w:t xml:space="preserve"> and significant quantities of raw materials are </w:t>
      </w:r>
      <w:r w:rsidR="00301E2A">
        <w:t xml:space="preserve">often </w:t>
      </w:r>
      <w:r w:rsidRPr="00A02F35">
        <w:t xml:space="preserve">embodied within </w:t>
      </w:r>
      <w:r>
        <w:t>renewable energy infrastructure</w:t>
      </w:r>
      <w:r w:rsidRPr="00A02F35">
        <w:t xml:space="preserve">. This paper examines the potential </w:t>
      </w:r>
      <w:r>
        <w:t xml:space="preserve">for </w:t>
      </w:r>
      <w:r w:rsidRPr="00A02F35">
        <w:t xml:space="preserve">ecodesign </w:t>
      </w:r>
      <w:r>
        <w:t>measures to improve the GHG and resource balance of</w:t>
      </w:r>
      <w:r w:rsidRPr="00A02F35">
        <w:t xml:space="preserve"> </w:t>
      </w:r>
      <w:r>
        <w:t xml:space="preserve">five small-scale hydropower </w:t>
      </w:r>
      <w:r w:rsidRPr="00A02F35">
        <w:t xml:space="preserve">case studies </w:t>
      </w:r>
      <w:r>
        <w:t>(</w:t>
      </w:r>
      <w:r w:rsidRPr="00E47670">
        <w:t>50-650 kW</w:t>
      </w:r>
      <w:r>
        <w:t xml:space="preserve">). A life cycle assessment (LCA) approach </w:t>
      </w:r>
      <w:r w:rsidRPr="00A02F35">
        <w:t>compare</w:t>
      </w:r>
      <w:r>
        <w:t>s</w:t>
      </w:r>
      <w:r w:rsidRPr="00A02F35">
        <w:t xml:space="preserve"> two specific environment</w:t>
      </w:r>
      <w:r>
        <w:t>al</w:t>
      </w:r>
      <w:r w:rsidRPr="00A02F35">
        <w:t xml:space="preserve"> impact categories: global warming potential (GWP) and abiotic resource depletion potential (ARDP). A number of ecodesign </w:t>
      </w:r>
      <w:r>
        <w:t>measures</w:t>
      </w:r>
      <w:r w:rsidRPr="00A02F35">
        <w:t xml:space="preserve"> were examined for each installation: powerhouse structure, concrete selection, roofing materials, excavation </w:t>
      </w:r>
      <w:r>
        <w:t xml:space="preserve">work </w:t>
      </w:r>
      <w:r w:rsidRPr="00A02F35">
        <w:t xml:space="preserve">and transportation. Ecodesign </w:t>
      </w:r>
      <w:r>
        <w:t>led to cum</w:t>
      </w:r>
      <w:r w:rsidRPr="00A02F35">
        <w:t xml:space="preserve">ulative savings of </w:t>
      </w:r>
      <w:r>
        <w:t>between 2.1% and</w:t>
      </w:r>
      <w:r w:rsidRPr="00A02F35">
        <w:t xml:space="preserve"> </w:t>
      </w:r>
      <w:r>
        <w:t>10</w:t>
      </w:r>
      <w:r w:rsidRPr="00A02F35">
        <w:t>.</w:t>
      </w:r>
      <w:r>
        <w:t>4</w:t>
      </w:r>
      <w:r w:rsidRPr="00A02F35">
        <w:t>%</w:t>
      </w:r>
      <w:r>
        <w:t xml:space="preserve"> for GWP, and ARDP savings of between</w:t>
      </w:r>
      <w:r w:rsidRPr="00A02F35">
        <w:t xml:space="preserve"> 0.1% </w:t>
      </w:r>
      <w:r>
        <w:t>and</w:t>
      </w:r>
      <w:r w:rsidRPr="00A02F35">
        <w:t xml:space="preserve"> </w:t>
      </w:r>
      <w:r>
        <w:t>2</w:t>
      </w:r>
      <w:r w:rsidRPr="00A02F35">
        <w:t>.</w:t>
      </w:r>
      <w:r>
        <w:t>6</w:t>
      </w:r>
      <w:r w:rsidRPr="00A02F35">
        <w:t>%</w:t>
      </w:r>
      <w:r>
        <w:t xml:space="preserve">, for the </w:t>
      </w:r>
      <w:r w:rsidR="00921490">
        <w:t xml:space="preserve">hydropower </w:t>
      </w:r>
      <w:r>
        <w:t>installations</w:t>
      </w:r>
      <w:r w:rsidRPr="00A02F35">
        <w:t xml:space="preserve">. </w:t>
      </w:r>
      <w:r w:rsidR="005B6C20">
        <w:t>S</w:t>
      </w:r>
      <w:r>
        <w:t xml:space="preserve">mall savings </w:t>
      </w:r>
      <w:r w:rsidR="005B6C20">
        <w:t xml:space="preserve">were made with each ecodesign measure applied </w:t>
      </w:r>
      <w:r>
        <w:t>in all</w:t>
      </w:r>
      <w:r w:rsidRPr="00292A47">
        <w:t xml:space="preserve"> case stud</w:t>
      </w:r>
      <w:r>
        <w:t xml:space="preserve">ies. </w:t>
      </w:r>
      <w:r w:rsidRPr="00A02F35">
        <w:t xml:space="preserve">Furthermore, applying a 1% materiality threshold as </w:t>
      </w:r>
      <w:r>
        <w:t>outlin</w:t>
      </w:r>
      <w:r w:rsidRPr="00A02F35">
        <w:t xml:space="preserve">ed by LCA standards </w:t>
      </w:r>
      <w:r>
        <w:t>was shown to</w:t>
      </w:r>
      <w:r w:rsidRPr="00A02F35">
        <w:t xml:space="preserve"> under-estimate the total project burdens</w:t>
      </w:r>
      <w:r>
        <w:t>,</w:t>
      </w:r>
      <w:r w:rsidRPr="00A02F35">
        <w:t xml:space="preserve"> and </w:t>
      </w:r>
      <w:r>
        <w:t>to neglect opportunities for burden savings through ecodesign</w:t>
      </w:r>
      <w:r w:rsidRPr="00A02F35">
        <w:t xml:space="preserve">. </w:t>
      </w:r>
      <w:r w:rsidR="00C659F3">
        <w:t xml:space="preserve">Ecodesign can promote the use </w:t>
      </w:r>
      <w:r w:rsidR="00C659F3">
        <w:lastRenderedPageBreak/>
        <w:t xml:space="preserve">of locally sourced materials and some measures can lead to time savings during the construction process. </w:t>
      </w:r>
      <w:r w:rsidRPr="00A02F35">
        <w:t xml:space="preserve">The findings demonstrate the potential for ecodesign to </w:t>
      </w:r>
      <w:r>
        <w:t xml:space="preserve">modestly </w:t>
      </w:r>
      <w:r w:rsidRPr="00A02F35">
        <w:t xml:space="preserve">improve </w:t>
      </w:r>
      <w:r>
        <w:t xml:space="preserve">the </w:t>
      </w:r>
      <w:r w:rsidRPr="00A02F35">
        <w:t xml:space="preserve">carbon and resource efficiency of </w:t>
      </w:r>
      <w:r w:rsidR="00921490">
        <w:t xml:space="preserve">hydropower </w:t>
      </w:r>
      <w:r w:rsidRPr="00A02F35">
        <w:t>projects</w:t>
      </w:r>
      <w:r>
        <w:t>.</w:t>
      </w:r>
    </w:p>
    <w:p w14:paraId="4E7CA232" w14:textId="77777777" w:rsidR="006846D7" w:rsidRPr="00BF0AFE" w:rsidRDefault="006846D7" w:rsidP="006846D7">
      <w:pPr>
        <w:spacing w:line="480" w:lineRule="auto"/>
      </w:pPr>
    </w:p>
    <w:p w14:paraId="1E672498" w14:textId="759F1D9A" w:rsidR="006846D7" w:rsidRPr="00D8289A" w:rsidRDefault="006846D7" w:rsidP="006846D7">
      <w:pPr>
        <w:spacing w:line="480" w:lineRule="auto"/>
      </w:pPr>
      <w:r w:rsidRPr="00BF0AFE">
        <w:rPr>
          <w:b/>
        </w:rPr>
        <w:t>Keywords:</w:t>
      </w:r>
      <w:r w:rsidRPr="00BF0AFE">
        <w:t xml:space="preserve"> </w:t>
      </w:r>
      <w:r w:rsidR="00F5035F">
        <w:t>life cycle assessment</w:t>
      </w:r>
      <w:r w:rsidRPr="00BF0AFE">
        <w:t xml:space="preserve">; </w:t>
      </w:r>
      <w:r w:rsidR="00F5035F">
        <w:t>global warming potential</w:t>
      </w:r>
      <w:r w:rsidRPr="00BF0AFE">
        <w:t xml:space="preserve">; </w:t>
      </w:r>
      <w:r w:rsidR="00F5035F">
        <w:t>abiotic resource depletion</w:t>
      </w:r>
      <w:r w:rsidRPr="00BF0AFE">
        <w:t xml:space="preserve">; environmental burdens; </w:t>
      </w:r>
      <w:r w:rsidR="00F5035F">
        <w:t>ecodesign</w:t>
      </w:r>
      <w:r w:rsidR="00285965">
        <w:t>; cradle-to-operation</w:t>
      </w:r>
      <w:r w:rsidRPr="00D8289A">
        <w:t>.</w:t>
      </w:r>
    </w:p>
    <w:p w14:paraId="75F3992E" w14:textId="77777777" w:rsidR="006846D7" w:rsidRPr="00D8289A" w:rsidRDefault="006846D7" w:rsidP="006846D7">
      <w:pPr>
        <w:spacing w:line="480" w:lineRule="auto"/>
      </w:pPr>
    </w:p>
    <w:p w14:paraId="1D48823C" w14:textId="77777777" w:rsidR="006846D7" w:rsidRPr="00D8289A" w:rsidRDefault="006846D7" w:rsidP="006846D7">
      <w:pPr>
        <w:pStyle w:val="Heading1"/>
        <w:spacing w:line="480" w:lineRule="auto"/>
      </w:pPr>
      <w:r w:rsidRPr="00D8289A">
        <w:t>Introduction</w:t>
      </w:r>
    </w:p>
    <w:p w14:paraId="7EBF532B" w14:textId="125DB1B3" w:rsidR="008B1E71" w:rsidRDefault="006846D7" w:rsidP="006846D7">
      <w:pPr>
        <w:spacing w:line="480" w:lineRule="auto"/>
        <w:rPr>
          <w:rFonts w:eastAsia="Calibri"/>
        </w:rPr>
      </w:pPr>
      <w:r w:rsidRPr="00FE6710">
        <w:rPr>
          <w:rFonts w:eastAsia="Calibri"/>
        </w:rPr>
        <w:t>Renewable energy systems contribute a</w:t>
      </w:r>
      <w:r>
        <w:rPr>
          <w:rFonts w:eastAsia="Calibri"/>
        </w:rPr>
        <w:t>n increasing</w:t>
      </w:r>
      <w:r w:rsidRPr="00FE6710">
        <w:rPr>
          <w:rFonts w:eastAsia="Calibri"/>
        </w:rPr>
        <w:t xml:space="preserve"> fraction of global electricity </w:t>
      </w:r>
      <w:r w:rsidR="00921490">
        <w:rPr>
          <w:rFonts w:eastAsia="Calibri"/>
        </w:rPr>
        <w:t xml:space="preserve">supply </w:t>
      </w:r>
      <w:r>
        <w:rPr>
          <w:rFonts w:eastAsia="Calibri"/>
        </w:rPr>
        <w:fldChar w:fldCharType="begin"/>
      </w:r>
      <w:r>
        <w:rPr>
          <w:rFonts w:eastAsia="Calibri"/>
        </w:rPr>
        <w:instrText xml:space="preserve"> ADDIN EN.CITE &lt;EndNote&gt;&lt;Cite&gt;&lt;Author&gt;REN21&lt;/Author&gt;&lt;Year&gt;2014&lt;/Year&gt;&lt;RecNum&gt;362&lt;/RecNum&gt;&lt;DisplayText&gt;(REN21, 2014)&lt;/DisplayText&gt;&lt;record&gt;&lt;rec-number&gt;362&lt;/rec-number&gt;&lt;foreign-keys&gt;&lt;key app="EN" db-id="e9rav2ttda9t9re5pfyxxdamzwpp5v00xdx5" timestamp="1423059117"&gt;362&lt;/key&gt;&lt;/foreign-keys&gt;&lt;ref-type name="Report"&gt;27&lt;/ref-type&gt;&lt;contributors&gt;&lt;authors&gt;&lt;author&gt;REN21,&lt;/author&gt;&lt;/authors&gt;&lt;tertiary-authors&gt;&lt;author&gt;REN21 Secretariat&lt;/author&gt;&lt;/tertiary-authors&gt;&lt;/contributors&gt;&lt;titles&gt;&lt;title&gt;Renewables 2014 Global Status Report&lt;/title&gt;&lt;/titles&gt;&lt;edition&gt;ISBN 978-3-9815934-2-6&lt;/edition&gt;&lt;dates&gt;&lt;year&gt;2014&lt;/year&gt;&lt;/dates&gt;&lt;pub-location&gt;Paris&lt;/pub-location&gt;&lt;urls&gt;&lt;/urls&gt;&lt;/record&gt;&lt;/Cite&gt;&lt;/EndNote&gt;</w:instrText>
      </w:r>
      <w:r>
        <w:rPr>
          <w:rFonts w:eastAsia="Calibri"/>
        </w:rPr>
        <w:fldChar w:fldCharType="separate"/>
      </w:r>
      <w:r>
        <w:rPr>
          <w:rFonts w:eastAsia="Calibri"/>
          <w:noProof/>
        </w:rPr>
        <w:t>(REN21, 2014)</w:t>
      </w:r>
      <w:r>
        <w:rPr>
          <w:rFonts w:eastAsia="Calibri"/>
        </w:rPr>
        <w:fldChar w:fldCharType="end"/>
      </w:r>
      <w:r w:rsidRPr="00FE6710">
        <w:rPr>
          <w:rFonts w:eastAsia="Calibri"/>
        </w:rPr>
        <w:t>. The International Energy Agency (IEA) have recognized this growth, with generation almost trebling between 1973 and 2011 to 3,566 TWh</w:t>
      </w:r>
      <w:r w:rsidR="00E60A38">
        <w:rPr>
          <w:rFonts w:eastAsia="Calibri"/>
        </w:rPr>
        <w:t>, and to further double to 7,000 by 2035</w:t>
      </w:r>
      <w:r w:rsidR="00001B97">
        <w:rPr>
          <w:rFonts w:eastAsia="Calibri"/>
        </w:rPr>
        <w:t xml:space="preserve"> </w:t>
      </w:r>
      <w:r>
        <w:rPr>
          <w:rFonts w:eastAsia="Calibri"/>
        </w:rPr>
        <w:fldChar w:fldCharType="begin"/>
      </w:r>
      <w:r w:rsidR="00F5035F">
        <w:rPr>
          <w:rFonts w:eastAsia="Calibri"/>
        </w:rPr>
        <w:instrText xml:space="preserve"> ADDIN EN.CITE &lt;EndNote&gt;&lt;Cite&gt;&lt;Author&gt;IEA&lt;/Author&gt;&lt;Year&gt;2014&lt;/Year&gt;&lt;RecNum&gt;345&lt;/RecNum&gt;&lt;DisplayText&gt;(IEA, 2014)&lt;/DisplayText&gt;&lt;record&gt;&lt;rec-number&gt;345&lt;/rec-number&gt;&lt;foreign-keys&gt;&lt;key app="EN" db-id="e9rav2ttda9t9re5pfyxxdamzwpp5v00xdx5" timestamp="1418312703"&gt;345&lt;/key&gt;&lt;/foreign-keys&gt;&lt;ref-type name="Report"&gt;27&lt;/ref-type&gt;&lt;contributors&gt;&lt;authors&gt;&lt;author&gt;IEA,&lt;/author&gt;&lt;/authors&gt;&lt;/contributors&gt;&lt;titles&gt;&lt;title&gt;World Energy Outlook 2014 - Executive Summary&lt;/title&gt;&lt;/titles&gt;&lt;dates&gt;&lt;year&gt;2014&lt;/year&gt;&lt;/dates&gt;&lt;pub-location&gt;Paris&lt;/pub-location&gt;&lt;publisher&gt;OECD/IEA&lt;/publisher&gt;&lt;urls&gt;&lt;related-urls&gt;&lt;url&gt;https://www.iea.org/publications/freepublications/publication/WEO_2014_ES_English_WEB.pdf&lt;/url&gt;&lt;/related-urls&gt;&lt;/urls&gt;&lt;/record&gt;&lt;/Cite&gt;&lt;/EndNote&gt;</w:instrText>
      </w:r>
      <w:r>
        <w:rPr>
          <w:rFonts w:eastAsia="Calibri"/>
        </w:rPr>
        <w:fldChar w:fldCharType="separate"/>
      </w:r>
      <w:r w:rsidR="00F5035F">
        <w:rPr>
          <w:rFonts w:eastAsia="Calibri"/>
          <w:noProof/>
        </w:rPr>
        <w:t>(IEA, 2014)</w:t>
      </w:r>
      <w:r>
        <w:rPr>
          <w:rFonts w:eastAsia="Calibri"/>
        </w:rPr>
        <w:fldChar w:fldCharType="end"/>
      </w:r>
      <w:r w:rsidRPr="00FE6710">
        <w:rPr>
          <w:rFonts w:eastAsia="Calibri"/>
        </w:rPr>
        <w:t xml:space="preserve">. </w:t>
      </w:r>
      <w:bookmarkStart w:id="0" w:name="_GoBack"/>
      <w:r w:rsidR="00524293">
        <w:rPr>
          <w:rFonts w:eastAsia="Calibri"/>
        </w:rPr>
        <w:t xml:space="preserve">For this sector to continue to expand, significant quantities of raw materials and energy will be used to manufacture these technologies. In a recent review by </w:t>
      </w:r>
      <w:r w:rsidR="00524293">
        <w:rPr>
          <w:rFonts w:eastAsia="Calibri"/>
        </w:rPr>
        <w:fldChar w:fldCharType="begin"/>
      </w:r>
      <w:r w:rsidR="00524293">
        <w:rPr>
          <w:rFonts w:eastAsia="Calibri"/>
        </w:rPr>
        <w:instrText xml:space="preserve"> ADDIN EN.CITE &lt;EndNote&gt;&lt;Cite AuthorYear="1"&gt;&lt;Author&gt;Asdrubali&lt;/Author&gt;&lt;Year&gt;2015&lt;/Year&gt;&lt;RecNum&gt;469&lt;/RecNum&gt;&lt;DisplayText&gt;Asdrubali et al. (2015)&lt;/DisplayText&gt;&lt;record&gt;&lt;rec-number&gt;469&lt;/rec-number&gt;&lt;foreign-keys&gt;&lt;key app="EN" db-id="e9rav2ttda9t9re5pfyxxdamzwpp5v00xdx5" timestamp="1443196184"&gt;469&lt;/key&gt;&lt;/foreign-keys&gt;&lt;ref-type name="Journal Article"&gt;17&lt;/ref-type&gt;&lt;contributors&gt;&lt;authors&gt;&lt;author&gt;Asdrubali, Francesco&lt;/author&gt;&lt;author&gt;Baldinelli, Giorgio&lt;/author&gt;&lt;author&gt;D’Alessandro, Francesco&lt;/author&gt;&lt;author&gt;Scrucca, Flavio&lt;/author&gt;&lt;/authors&gt;&lt;/contributors&gt;&lt;titles&gt;&lt;title&gt;Life cycle assessment of electricity production from renewable energies: Review and results harmonization&lt;/title&gt;&lt;secondary-title&gt;Renewable and Sustainable Energy Reviews&lt;/secondary-title&gt;&lt;/titles&gt;&lt;periodical&gt;&lt;full-title&gt;Renewable and Sustainable Energy Reviews&lt;/full-title&gt;&lt;/periodical&gt;&lt;pages&gt;1113-1122&lt;/pages&gt;&lt;volume&gt;42&lt;/volume&gt;&lt;keywords&gt;&lt;keyword&gt;Electricity production&lt;/keyword&gt;&lt;keyword&gt;Solar&lt;/keyword&gt;&lt;keyword&gt;Wind&lt;/keyword&gt;&lt;keyword&gt;Hydro&lt;/keyword&gt;&lt;keyword&gt;Geothermal&lt;/keyword&gt;&lt;keyword&gt;LCA&lt;/keyword&gt;&lt;/keywords&gt;&lt;dates&gt;&lt;year&gt;2015&lt;/year&gt;&lt;pub-dates&gt;&lt;date&gt;2//&lt;/date&gt;&lt;/pub-dates&gt;&lt;/dates&gt;&lt;isbn&gt;1364-0321&lt;/isbn&gt;&lt;urls&gt;&lt;related-urls&gt;&lt;url&gt;http://www.sciencedirect.com/science/article/pii/S1364032114009071&lt;/url&gt;&lt;/related-urls&gt;&lt;/urls&gt;&lt;electronic-resource-num&gt;http://dx.doi.org/10.1016/j.rser.2014.10.082&lt;/electronic-resource-num&gt;&lt;/record&gt;&lt;/Cite&gt;&lt;/EndNote&gt;</w:instrText>
      </w:r>
      <w:r w:rsidR="00524293">
        <w:rPr>
          <w:rFonts w:eastAsia="Calibri"/>
        </w:rPr>
        <w:fldChar w:fldCharType="separate"/>
      </w:r>
      <w:r w:rsidR="00524293">
        <w:rPr>
          <w:rFonts w:eastAsia="Calibri"/>
          <w:noProof/>
        </w:rPr>
        <w:t>Asdrubali et al. (2015)</w:t>
      </w:r>
      <w:r w:rsidR="00524293">
        <w:rPr>
          <w:rFonts w:eastAsia="Calibri"/>
        </w:rPr>
        <w:fldChar w:fldCharType="end"/>
      </w:r>
      <w:r w:rsidR="00524293">
        <w:rPr>
          <w:rFonts w:eastAsia="Calibri"/>
        </w:rPr>
        <w:t xml:space="preserve">, the reported environmental impacts of renewable energy systems varied significantly between technologies, with wind and hydro providing the best results, while geothermal and photovoltaics (PV) generated significantly higher impacts. The majority of the environmental burdens for renewable technologies are associated with the infrastructural phase of the project life cycle, as opposed to the high contributions of emissions during the operational phase for fossil-fuel systems </w:t>
      </w:r>
      <w:r w:rsidR="00524293">
        <w:rPr>
          <w:rFonts w:eastAsia="Calibri"/>
        </w:rPr>
        <w:fldChar w:fldCharType="begin"/>
      </w:r>
      <w:r w:rsidR="00524293">
        <w:rPr>
          <w:rFonts w:eastAsia="Calibri"/>
        </w:rPr>
        <w:instrText xml:space="preserve"> ADDIN EN.CITE &lt;EndNote&gt;&lt;Cite&gt;&lt;Author&gt;Turconi&lt;/Author&gt;&lt;Year&gt;2013&lt;/Year&gt;&lt;RecNum&gt;470&lt;/RecNum&gt;&lt;DisplayText&gt;(Turconi et al., 2013)&lt;/DisplayText&gt;&lt;record&gt;&lt;rec-number&gt;470&lt;/rec-number&gt;&lt;foreign-keys&gt;&lt;key app="EN" db-id="e9rav2ttda9t9re5pfyxxdamzwpp5v00xdx5" timestamp="1443196185"&gt;470&lt;/key&gt;&lt;/foreign-keys&gt;&lt;ref-type name="Journal Article"&gt;17&lt;/ref-type&gt;&lt;contributors&gt;&lt;authors&gt;&lt;author&gt;Turconi, Roberto&lt;/author&gt;&lt;author&gt;Boldrin, Alessio&lt;/author&gt;&lt;author&gt;Astrup, Thomas&lt;/author&gt;&lt;/authors&gt;&lt;/contributors&gt;&lt;titles&gt;&lt;title&gt;Life cycle assessment (LCA) of electricity generation technologies: Overview, comparability and limitations&lt;/title&gt;&lt;secondary-title&gt;Renewable and Sustainable Energy Reviews&lt;/secondary-title&gt;&lt;/titles&gt;&lt;periodical&gt;&lt;full-title&gt;Renewable and Sustainable Energy Reviews&lt;/full-title&gt;&lt;/periodical&gt;&lt;pages&gt;555-565&lt;/pages&gt;&lt;volume&gt;28&lt;/volume&gt;&lt;keywords&gt;&lt;keyword&gt;Life cycle assessment&lt;/keyword&gt;&lt;keyword&gt;Electricity generation&lt;/keyword&gt;&lt;keyword&gt;Emission factors&lt;/keyword&gt;&lt;keyword&gt;Environmental impacts&lt;/keyword&gt;&lt;keyword&gt;Emissions&lt;/keyword&gt;&lt;/keywords&gt;&lt;dates&gt;&lt;year&gt;2013&lt;/year&gt;&lt;pub-dates&gt;&lt;date&gt;12//&lt;/date&gt;&lt;/pub-dates&gt;&lt;/dates&gt;&lt;isbn&gt;1364-0321&lt;/isbn&gt;&lt;urls&gt;&lt;related-urls&gt;&lt;url&gt;http://www.sciencedirect.com/science/article/pii/S1364032113005534&lt;/url&gt;&lt;/related-urls&gt;&lt;/urls&gt;&lt;electronic-resource-num&gt;http://dx.doi.org/10.1016/j.rser.2013.08.013&lt;/electronic-resource-num&gt;&lt;/record&gt;&lt;/Cite&gt;&lt;/EndNote&gt;</w:instrText>
      </w:r>
      <w:r w:rsidR="00524293">
        <w:rPr>
          <w:rFonts w:eastAsia="Calibri"/>
        </w:rPr>
        <w:fldChar w:fldCharType="separate"/>
      </w:r>
      <w:r w:rsidR="00524293">
        <w:rPr>
          <w:rFonts w:eastAsia="Calibri"/>
          <w:noProof/>
        </w:rPr>
        <w:t>(Turconi et al., 2013)</w:t>
      </w:r>
      <w:r w:rsidR="00524293">
        <w:rPr>
          <w:rFonts w:eastAsia="Calibri"/>
        </w:rPr>
        <w:fldChar w:fldCharType="end"/>
      </w:r>
      <w:r w:rsidR="00524293">
        <w:rPr>
          <w:rFonts w:eastAsia="Calibri"/>
        </w:rPr>
        <w:t>. Overall, the environmental burdens (e.g. greenhouse gas emissions) of electricity generation from renewables over their life cycle are significantly lower than fossil-fuel systems, except in a number of cases for the abiotic resource depletion impact category (Gallagher et al., 2015a).</w:t>
      </w:r>
    </w:p>
    <w:p w14:paraId="038A9EF6" w14:textId="77777777" w:rsidR="008B1E71" w:rsidRDefault="008B1E71" w:rsidP="006846D7">
      <w:pPr>
        <w:spacing w:line="480" w:lineRule="auto"/>
        <w:rPr>
          <w:rFonts w:eastAsia="Calibri"/>
        </w:rPr>
      </w:pPr>
    </w:p>
    <w:p w14:paraId="6FA3C83A" w14:textId="2829EF18" w:rsidR="000A013E" w:rsidRDefault="00524293" w:rsidP="006846D7">
      <w:pPr>
        <w:spacing w:line="480" w:lineRule="auto"/>
        <w:rPr>
          <w:rFonts w:eastAsia="Calibri"/>
        </w:rPr>
      </w:pPr>
      <w:r>
        <w:rPr>
          <w:rFonts w:eastAsia="Calibri"/>
        </w:rPr>
        <w:t xml:space="preserve">In comparison to other renewable technologies, hydropower infrastructure has the longest lifespan, and therefore could represent a highly effective method of investing our depleting </w:t>
      </w:r>
      <w:r>
        <w:rPr>
          <w:rFonts w:eastAsia="Calibri"/>
        </w:rPr>
        <w:lastRenderedPageBreak/>
        <w:t xml:space="preserve">natural resources </w:t>
      </w:r>
      <w:r>
        <w:rPr>
          <w:rFonts w:eastAsia="Calibri"/>
        </w:rPr>
        <w:fldChar w:fldCharType="begin"/>
      </w:r>
      <w:r>
        <w:rPr>
          <w:rFonts w:eastAsia="Calibri"/>
        </w:rPr>
        <w:instrText xml:space="preserve"> ADDIN EN.CITE &lt;EndNote&gt;&lt;Cite&gt;&lt;Author&gt;Asdrubali&lt;/Author&gt;&lt;Year&gt;2015&lt;/Year&gt;&lt;RecNum&gt;469&lt;/RecNum&gt;&lt;DisplayText&gt;(Asdrubali et al., 2015)&lt;/DisplayText&gt;&lt;record&gt;&lt;rec-number&gt;469&lt;/rec-number&gt;&lt;foreign-keys&gt;&lt;key app="EN" db-id="e9rav2ttda9t9re5pfyxxdamzwpp5v00xdx5" timestamp="1443196184"&gt;469&lt;/key&gt;&lt;/foreign-keys&gt;&lt;ref-type name="Journal Article"&gt;17&lt;/ref-type&gt;&lt;contributors&gt;&lt;authors&gt;&lt;author&gt;Asdrubali, Francesco&lt;/author&gt;&lt;author&gt;Baldinelli, Giorgio&lt;/author&gt;&lt;author&gt;D’Alessandro, Francesco&lt;/author&gt;&lt;author&gt;Scrucca, Flavio&lt;/author&gt;&lt;/authors&gt;&lt;/contributors&gt;&lt;titles&gt;&lt;title&gt;Life cycle assessment of electricity production from renewable energies: Review and results harmonization&lt;/title&gt;&lt;secondary-title&gt;Renewable and Sustainable Energy Reviews&lt;/secondary-title&gt;&lt;/titles&gt;&lt;periodical&gt;&lt;full-title&gt;Renewable and Sustainable Energy Reviews&lt;/full-title&gt;&lt;/periodical&gt;&lt;pages&gt;1113-1122&lt;/pages&gt;&lt;volume&gt;42&lt;/volume&gt;&lt;keywords&gt;&lt;keyword&gt;Electricity production&lt;/keyword&gt;&lt;keyword&gt;Solar&lt;/keyword&gt;&lt;keyword&gt;Wind&lt;/keyword&gt;&lt;keyword&gt;Hydro&lt;/keyword&gt;&lt;keyword&gt;Geothermal&lt;/keyword&gt;&lt;keyword&gt;LCA&lt;/keyword&gt;&lt;/keywords&gt;&lt;dates&gt;&lt;year&gt;2015&lt;/year&gt;&lt;pub-dates&gt;&lt;date&gt;2//&lt;/date&gt;&lt;/pub-dates&gt;&lt;/dates&gt;&lt;isbn&gt;1364-0321&lt;/isbn&gt;&lt;urls&gt;&lt;related-urls&gt;&lt;url&gt;http://www.sciencedirect.com/science/article/pii/S1364032114009071&lt;/url&gt;&lt;/related-urls&gt;&lt;/urls&gt;&lt;electronic-resource-num&gt;http://dx.doi.org/10.1016/j.rser.2014.10.082&lt;/electronic-resource-num&gt;&lt;/record&gt;&lt;/Cite&gt;&lt;/EndNote&gt;</w:instrText>
      </w:r>
      <w:r>
        <w:rPr>
          <w:rFonts w:eastAsia="Calibri"/>
        </w:rPr>
        <w:fldChar w:fldCharType="separate"/>
      </w:r>
      <w:r>
        <w:rPr>
          <w:rFonts w:eastAsia="Calibri"/>
          <w:noProof/>
        </w:rPr>
        <w:t>(Asdrubali et al., 2015)</w:t>
      </w:r>
      <w:r>
        <w:rPr>
          <w:rFonts w:eastAsia="Calibri"/>
        </w:rPr>
        <w:fldChar w:fldCharType="end"/>
      </w:r>
      <w:r>
        <w:rPr>
          <w:rFonts w:eastAsia="Calibri"/>
        </w:rPr>
        <w:t xml:space="preserve">. </w:t>
      </w:r>
      <w:bookmarkEnd w:id="0"/>
      <w:r w:rsidR="006846D7" w:rsidRPr="00FE6710">
        <w:rPr>
          <w:rFonts w:eastAsia="Calibri"/>
        </w:rPr>
        <w:t xml:space="preserve">Hydropower (HP) is </w:t>
      </w:r>
      <w:r w:rsidR="005E0619">
        <w:rPr>
          <w:rFonts w:eastAsia="Calibri"/>
        </w:rPr>
        <w:t xml:space="preserve">currently </w:t>
      </w:r>
      <w:r w:rsidR="006846D7" w:rsidRPr="00FE6710">
        <w:rPr>
          <w:rFonts w:eastAsia="Calibri"/>
        </w:rPr>
        <w:t xml:space="preserve">the largest </w:t>
      </w:r>
      <w:r w:rsidR="00E55E2F">
        <w:rPr>
          <w:rFonts w:eastAsia="Calibri"/>
        </w:rPr>
        <w:t xml:space="preserve">contributor of </w:t>
      </w:r>
      <w:r w:rsidR="006846D7" w:rsidRPr="00FE6710">
        <w:rPr>
          <w:rFonts w:eastAsia="Calibri"/>
        </w:rPr>
        <w:t>renewable energy</w:t>
      </w:r>
      <w:r w:rsidR="00E55E2F">
        <w:rPr>
          <w:rFonts w:eastAsia="Calibri"/>
        </w:rPr>
        <w:t xml:space="preserve"> to global electricity production, providing </w:t>
      </w:r>
      <w:r w:rsidR="00301E2A">
        <w:rPr>
          <w:rFonts w:eastAsia="Calibri"/>
        </w:rPr>
        <w:t xml:space="preserve">over </w:t>
      </w:r>
      <w:r w:rsidR="00E55E2F">
        <w:rPr>
          <w:rFonts w:eastAsia="Calibri"/>
        </w:rPr>
        <w:t>16% of global electricity demands</w:t>
      </w:r>
      <w:r w:rsidR="006846D7" w:rsidRPr="00FE6710">
        <w:rPr>
          <w:rFonts w:eastAsia="Calibri"/>
        </w:rPr>
        <w:t xml:space="preserve">, which helps mitigate substantial greenhouse gas (GHG) emissions from fossil fuel </w:t>
      </w:r>
      <w:r w:rsidR="006846D7">
        <w:rPr>
          <w:rFonts w:eastAsia="Calibri"/>
        </w:rPr>
        <w:t xml:space="preserve">combustion </w:t>
      </w:r>
      <w:r w:rsidR="006846D7">
        <w:rPr>
          <w:rFonts w:eastAsia="Calibri"/>
        </w:rPr>
        <w:fldChar w:fldCharType="begin"/>
      </w:r>
      <w:r w:rsidR="006846D7">
        <w:rPr>
          <w:rFonts w:eastAsia="Calibri"/>
        </w:rPr>
        <w:instrText xml:space="preserve"> ADDIN EN.CITE &lt;EndNote&gt;&lt;Cite&gt;&lt;Author&gt;REN21&lt;/Author&gt;&lt;Year&gt;2014&lt;/Year&gt;&lt;RecNum&gt;362&lt;/RecNum&gt;&lt;DisplayText&gt;(REN21, 2014)&lt;/DisplayText&gt;&lt;record&gt;&lt;rec-number&gt;362&lt;/rec-number&gt;&lt;foreign-keys&gt;&lt;key app="EN" db-id="e9rav2ttda9t9re5pfyxxdamzwpp5v00xdx5" timestamp="1423059117"&gt;362&lt;/key&gt;&lt;/foreign-keys&gt;&lt;ref-type name="Report"&gt;27&lt;/ref-type&gt;&lt;contributors&gt;&lt;authors&gt;&lt;author&gt;REN21,&lt;/author&gt;&lt;/authors&gt;&lt;tertiary-authors&gt;&lt;author&gt;REN21 Secretariat&lt;/author&gt;&lt;/tertiary-authors&gt;&lt;/contributors&gt;&lt;titles&gt;&lt;title&gt;Renewables 2014 Global Status Report&lt;/title&gt;&lt;/titles&gt;&lt;edition&gt;ISBN 978-3-9815934-2-6&lt;/edition&gt;&lt;dates&gt;&lt;year&gt;2014&lt;/year&gt;&lt;/dates&gt;&lt;pub-location&gt;Paris&lt;/pub-location&gt;&lt;urls&gt;&lt;/urls&gt;&lt;/record&gt;&lt;/Cite&gt;&lt;/EndNote&gt;</w:instrText>
      </w:r>
      <w:r w:rsidR="006846D7">
        <w:rPr>
          <w:rFonts w:eastAsia="Calibri"/>
        </w:rPr>
        <w:fldChar w:fldCharType="separate"/>
      </w:r>
      <w:r w:rsidR="006846D7">
        <w:rPr>
          <w:rFonts w:eastAsia="Calibri"/>
          <w:noProof/>
        </w:rPr>
        <w:t>(REN21, 2014)</w:t>
      </w:r>
      <w:r w:rsidR="006846D7">
        <w:rPr>
          <w:rFonts w:eastAsia="Calibri"/>
        </w:rPr>
        <w:fldChar w:fldCharType="end"/>
      </w:r>
      <w:r w:rsidR="006846D7" w:rsidRPr="00FE6710">
        <w:rPr>
          <w:rFonts w:eastAsia="Calibri"/>
        </w:rPr>
        <w:t xml:space="preserve">. The </w:t>
      </w:r>
      <w:r w:rsidR="006846D7">
        <w:rPr>
          <w:rFonts w:eastAsia="Calibri"/>
        </w:rPr>
        <w:fldChar w:fldCharType="begin"/>
      </w:r>
      <w:r w:rsidR="00F5035F">
        <w:rPr>
          <w:rFonts w:eastAsia="Calibri"/>
        </w:rPr>
        <w:instrText xml:space="preserve"> ADDIN EN.CITE &lt;EndNote&gt;&lt;Cite AuthorYear="1"&gt;&lt;Author&gt;IEA&lt;/Author&gt;&lt;Year&gt;2014&lt;/Year&gt;&lt;RecNum&gt;345&lt;/RecNum&gt;&lt;DisplayText&gt;IEA (2014)&lt;/DisplayText&gt;&lt;record&gt;&lt;rec-number&gt;345&lt;/rec-number&gt;&lt;foreign-keys&gt;&lt;key app="EN" db-id="e9rav2ttda9t9re5pfyxxdamzwpp5v00xdx5" timestamp="1418312703"&gt;345&lt;/key&gt;&lt;/foreign-keys&gt;&lt;ref-type name="Report"&gt;27&lt;/ref-type&gt;&lt;contributors&gt;&lt;authors&gt;&lt;author&gt;IEA,&lt;/author&gt;&lt;/authors&gt;&lt;/contributors&gt;&lt;titles&gt;&lt;title&gt;World Energy Outlook 2014 - Executive Summary&lt;/title&gt;&lt;/titles&gt;&lt;dates&gt;&lt;year&gt;2014&lt;/year&gt;&lt;/dates&gt;&lt;pub-location&gt;Paris&lt;/pub-location&gt;&lt;publisher&gt;OECD/IEA&lt;/publisher&gt;&lt;urls&gt;&lt;related-urls&gt;&lt;url&gt;https://www.iea.org/publications/freepublications/publication/WEO_2014_ES_English_WEB.pdf&lt;/url&gt;&lt;/related-urls&gt;&lt;/urls&gt;&lt;/record&gt;&lt;/Cite&gt;&lt;/EndNote&gt;</w:instrText>
      </w:r>
      <w:r w:rsidR="006846D7">
        <w:rPr>
          <w:rFonts w:eastAsia="Calibri"/>
        </w:rPr>
        <w:fldChar w:fldCharType="separate"/>
      </w:r>
      <w:r w:rsidR="00F5035F">
        <w:rPr>
          <w:rFonts w:eastAsia="Calibri"/>
          <w:noProof/>
        </w:rPr>
        <w:t>IEA (2014)</w:t>
      </w:r>
      <w:r w:rsidR="006846D7">
        <w:rPr>
          <w:rFonts w:eastAsia="Calibri"/>
        </w:rPr>
        <w:fldChar w:fldCharType="end"/>
      </w:r>
      <w:r w:rsidR="006846D7" w:rsidRPr="00FE6710">
        <w:rPr>
          <w:rFonts w:eastAsia="Calibri"/>
        </w:rPr>
        <w:t xml:space="preserve"> report</w:t>
      </w:r>
      <w:r w:rsidR="006846D7">
        <w:rPr>
          <w:rFonts w:eastAsia="Calibri"/>
        </w:rPr>
        <w:t xml:space="preserve"> </w:t>
      </w:r>
      <w:r w:rsidR="005E0619">
        <w:rPr>
          <w:rFonts w:eastAsia="Calibri"/>
        </w:rPr>
        <w:t xml:space="preserve">states </w:t>
      </w:r>
      <w:r w:rsidR="006846D7" w:rsidRPr="00FE6710">
        <w:rPr>
          <w:rFonts w:eastAsia="Calibri"/>
        </w:rPr>
        <w:t>that there is significant potential for further HP developments</w:t>
      </w:r>
      <w:r w:rsidR="006846D7">
        <w:rPr>
          <w:rFonts w:eastAsia="Calibri"/>
        </w:rPr>
        <w:t>, with t</w:t>
      </w:r>
      <w:r w:rsidR="006846D7" w:rsidRPr="00FE6710">
        <w:rPr>
          <w:rFonts w:eastAsia="Calibri"/>
        </w:rPr>
        <w:t xml:space="preserve">he </w:t>
      </w:r>
      <w:r w:rsidR="006846D7">
        <w:rPr>
          <w:rFonts w:eastAsia="Calibri"/>
        </w:rPr>
        <w:t>I</w:t>
      </w:r>
      <w:r w:rsidR="006846D7" w:rsidRPr="00FE6710">
        <w:rPr>
          <w:rFonts w:eastAsia="Calibri"/>
        </w:rPr>
        <w:t xml:space="preserve">ntergovernmental </w:t>
      </w:r>
      <w:r w:rsidR="006846D7">
        <w:rPr>
          <w:rFonts w:eastAsia="Calibri"/>
        </w:rPr>
        <w:t>P</w:t>
      </w:r>
      <w:r w:rsidR="006846D7" w:rsidRPr="00FE6710">
        <w:rPr>
          <w:rFonts w:eastAsia="Calibri"/>
        </w:rPr>
        <w:t xml:space="preserve">anel on </w:t>
      </w:r>
      <w:r w:rsidR="006846D7">
        <w:rPr>
          <w:rFonts w:eastAsia="Calibri"/>
        </w:rPr>
        <w:t>C</w:t>
      </w:r>
      <w:r w:rsidR="006846D7" w:rsidRPr="00FE6710">
        <w:rPr>
          <w:rFonts w:eastAsia="Calibri"/>
        </w:rPr>
        <w:t xml:space="preserve">limate </w:t>
      </w:r>
      <w:r w:rsidR="006846D7">
        <w:rPr>
          <w:rFonts w:eastAsia="Calibri"/>
        </w:rPr>
        <w:t>C</w:t>
      </w:r>
      <w:r w:rsidR="006846D7" w:rsidRPr="00FE6710">
        <w:rPr>
          <w:rFonts w:eastAsia="Calibri"/>
        </w:rPr>
        <w:t xml:space="preserve">hange </w:t>
      </w:r>
      <w:r w:rsidR="006846D7">
        <w:rPr>
          <w:rFonts w:eastAsia="Calibri"/>
        </w:rPr>
        <w:t>(IPCC) stating</w:t>
      </w:r>
      <w:r w:rsidR="006846D7" w:rsidRPr="00FE6710">
        <w:rPr>
          <w:rFonts w:eastAsia="Calibri"/>
        </w:rPr>
        <w:t xml:space="preserve"> that </w:t>
      </w:r>
      <w:r w:rsidR="006846D7">
        <w:rPr>
          <w:rFonts w:eastAsia="Calibri"/>
        </w:rPr>
        <w:t>h</w:t>
      </w:r>
      <w:r w:rsidR="006846D7" w:rsidRPr="00FE6710">
        <w:rPr>
          <w:rFonts w:eastAsia="Calibri"/>
        </w:rPr>
        <w:t xml:space="preserve">ydropower offers significant potential for carbon emission reductions </w:t>
      </w:r>
      <w:r w:rsidR="006846D7">
        <w:rPr>
          <w:rFonts w:eastAsia="Calibri"/>
        </w:rPr>
        <w:fldChar w:fldCharType="begin"/>
      </w:r>
      <w:r w:rsidR="00F5035F">
        <w:rPr>
          <w:rFonts w:eastAsia="Calibri"/>
        </w:rPr>
        <w:instrText xml:space="preserve"> ADDIN EN.CITE &lt;EndNote&gt;&lt;Cite&gt;&lt;Author&gt;Kumar&lt;/Author&gt;&lt;Year&gt;2011&lt;/Year&gt;&lt;RecNum&gt;178&lt;/RecNum&gt;&lt;DisplayText&gt;(Kumar et al., 2011)&lt;/DisplayText&gt;&lt;record&gt;&lt;rec-number&gt;178&lt;/rec-number&gt;&lt;foreign-keys&gt;&lt;key app="EN" db-id="e9rav2ttda9t9re5pfyxxdamzwpp5v00xdx5" timestamp="1358960226"&gt;178&lt;/key&gt;&lt;/foreign-keys&gt;&lt;ref-type name="Book Section"&gt;5&lt;/ref-type&gt;&lt;contributors&gt;&lt;authors&gt;&lt;author&gt;Kumar, A.&lt;/author&gt;&lt;author&gt;Schei, T.&lt;/author&gt;&lt;author&gt;Ahenkorah, A.&lt;/author&gt;&lt;author&gt;Caceres Rodriguez, R.&lt;/author&gt;&lt;author&gt;Devernay, J. M.&lt;/author&gt;&lt;author&gt;Freitas, M.&lt;/author&gt;&lt;author&gt;Hall, D.&lt;/author&gt;&lt;author&gt;Killingtveit, Å.&lt;/author&gt;&lt;author&gt;Liu, Z.&lt;/author&gt;&lt;/authors&gt;&lt;secondary-authors&gt;&lt;author&gt;O. Edenhofer&lt;/author&gt;&lt;author&gt;R. Pichs-Madruga&lt;/author&gt;&lt;author&gt;Y. Sokona&lt;/author&gt;&lt;author&gt;K. Seyboth&lt;/author&gt;&lt;author&gt;P. Matschoss&lt;/author&gt;&lt;author&gt;S. Kadner&lt;/author&gt;&lt;author&gt;T. Zwickel&lt;/author&gt;&lt;author&gt;P. Eickemeier&lt;/author&gt;&lt;author&gt;G. Hansen&lt;/author&gt;&lt;author&gt;S. Schlömer&lt;/author&gt;&lt;author&gt;C. von Stechow&lt;/author&gt;&lt;/secondary-authors&gt;&lt;/contributors&gt;&lt;titles&gt;&lt;title&gt;Hydropower&lt;/title&gt;&lt;secondary-title&gt;In IPCC Special Report on Renewable Energy Sources and Climate Change Mitigation&lt;/secondary-title&gt;&lt;/titles&gt;&lt;dates&gt;&lt;year&gt;2011&lt;/year&gt;&lt;/dates&gt;&lt;pub-location&gt;Cambridge,&amp;#xD;United Kingdom and New York, NY, USA&lt;/pub-location&gt;&lt;publisher&gt;Cambridge University Press&lt;/publisher&gt;&lt;urls&gt;&lt;/urls&gt;&lt;/record&gt;&lt;/Cite&gt;&lt;/EndNote&gt;</w:instrText>
      </w:r>
      <w:r w:rsidR="006846D7">
        <w:rPr>
          <w:rFonts w:eastAsia="Calibri"/>
        </w:rPr>
        <w:fldChar w:fldCharType="separate"/>
      </w:r>
      <w:r w:rsidR="00F5035F">
        <w:rPr>
          <w:rFonts w:eastAsia="Calibri"/>
          <w:noProof/>
        </w:rPr>
        <w:t>(Kumar et al., 2011)</w:t>
      </w:r>
      <w:r w:rsidR="006846D7">
        <w:rPr>
          <w:rFonts w:eastAsia="Calibri"/>
        </w:rPr>
        <w:fldChar w:fldCharType="end"/>
      </w:r>
      <w:r w:rsidR="006846D7" w:rsidRPr="00FE6710">
        <w:rPr>
          <w:rFonts w:eastAsia="Calibri"/>
        </w:rPr>
        <w:t>.</w:t>
      </w:r>
    </w:p>
    <w:p w14:paraId="73876F4C" w14:textId="77777777" w:rsidR="000A013E" w:rsidRDefault="000A013E" w:rsidP="006846D7">
      <w:pPr>
        <w:spacing w:line="480" w:lineRule="auto"/>
        <w:rPr>
          <w:rFonts w:eastAsia="Calibri"/>
        </w:rPr>
      </w:pPr>
    </w:p>
    <w:p w14:paraId="46580776" w14:textId="368C611D" w:rsidR="006846D7" w:rsidRPr="00FE6710" w:rsidRDefault="00B61615" w:rsidP="006846D7">
      <w:pPr>
        <w:spacing w:line="480" w:lineRule="auto"/>
        <w:rPr>
          <w:rFonts w:eastAsia="Calibri"/>
        </w:rPr>
      </w:pPr>
      <w:r>
        <w:rPr>
          <w:rFonts w:eastAsia="Calibri"/>
        </w:rPr>
        <w:t>A</w:t>
      </w:r>
      <w:r w:rsidR="000A013E">
        <w:rPr>
          <w:rFonts w:eastAsia="Calibri"/>
        </w:rPr>
        <w:t xml:space="preserve"> </w:t>
      </w:r>
      <w:r>
        <w:rPr>
          <w:rFonts w:eastAsia="Calibri"/>
        </w:rPr>
        <w:t xml:space="preserve">recent </w:t>
      </w:r>
      <w:r w:rsidR="000A013E">
        <w:rPr>
          <w:rFonts w:eastAsia="Calibri"/>
        </w:rPr>
        <w:t xml:space="preserve">paper by </w:t>
      </w:r>
      <w:r w:rsidR="006846D7">
        <w:rPr>
          <w:rFonts w:eastAsia="Calibri"/>
        </w:rPr>
        <w:fldChar w:fldCharType="begin"/>
      </w:r>
      <w:r w:rsidR="006846D7">
        <w:rPr>
          <w:rFonts w:eastAsia="Calibri"/>
        </w:rPr>
        <w:instrText xml:space="preserve"> ADDIN EN.CITE &lt;EndNote&gt;&lt;Cite AuthorYear="1"&gt;&lt;Author&gt;Bódis&lt;/Author&gt;&lt;Year&gt;2014&lt;/Year&gt;&lt;RecNum&gt;348&lt;/RecNum&gt;&lt;DisplayText&gt;Bódis et al. (2014)&lt;/DisplayText&gt;&lt;record&gt;&lt;rec-number&gt;348&lt;/rec-number&gt;&lt;foreign-keys&gt;&lt;key app="EN" db-id="e9rav2ttda9t9re5pfyxxdamzwpp5v00xdx5" timestamp="1420465165"&gt;348&lt;/key&gt;&lt;/foreign-keys&gt;&lt;ref-type name="Journal Article"&gt;17&lt;/ref-type&gt;&lt;contributors&gt;&lt;authors&gt;&lt;author&gt;Bódis, K.&lt;/author&gt;&lt;author&gt;Monforti, F.&lt;/author&gt;&lt;author&gt;Szabó, S.&lt;/author&gt;&lt;/authors&gt;&lt;/contributors&gt;&lt;titles&gt;&lt;title&gt;Could Europe have more mini hydro sites? A suitability analysis based on continentally harmonized geographical and hydrological data&lt;/title&gt;&lt;secondary-title&gt;Renewable and Sustainable Energy Reviews&lt;/secondary-title&gt;&lt;/titles&gt;&lt;periodical&gt;&lt;full-title&gt;Renewable and Sustainable Energy Reviews&lt;/full-title&gt;&lt;/periodical&gt;&lt;pages&gt;794-808&lt;/pages&gt;&lt;volume&gt;37&lt;/volume&gt;&lt;number&gt;0&lt;/number&gt;&lt;keywords&gt;&lt;keyword&gt;Hydropower&lt;/keyword&gt;&lt;keyword&gt;Potential assessment&lt;/keyword&gt;&lt;keyword&gt;Spatial analysis&lt;/keyword&gt;&lt;keyword&gt;Suitability mapping&lt;/keyword&gt;&lt;/keywords&gt;&lt;dates&gt;&lt;year&gt;2014&lt;/year&gt;&lt;pub-dates&gt;&lt;date&gt;9//&lt;/date&gt;&lt;/pub-dates&gt;&lt;/dates&gt;&lt;isbn&gt;1364-0321&lt;/isbn&gt;&lt;urls&gt;&lt;related-urls&gt;&lt;url&gt;http://www.sciencedirect.com/science/article/pii/S1364032114003967&lt;/url&gt;&lt;/related-urls&gt;&lt;/urls&gt;&lt;electronic-resource-num&gt;http://dx.doi.org/10.1016/j.rser.2014.05.071&lt;/electronic-resource-num&gt;&lt;/record&gt;&lt;/Cite&gt;&lt;/EndNote&gt;</w:instrText>
      </w:r>
      <w:r w:rsidR="006846D7">
        <w:rPr>
          <w:rFonts w:eastAsia="Calibri"/>
        </w:rPr>
        <w:fldChar w:fldCharType="separate"/>
      </w:r>
      <w:r w:rsidR="006846D7">
        <w:rPr>
          <w:rFonts w:eastAsia="Calibri"/>
          <w:noProof/>
        </w:rPr>
        <w:t>Bódis et al. (2014)</w:t>
      </w:r>
      <w:r w:rsidR="006846D7">
        <w:rPr>
          <w:rFonts w:eastAsia="Calibri"/>
        </w:rPr>
        <w:fldChar w:fldCharType="end"/>
      </w:r>
      <w:r w:rsidR="006846D7" w:rsidRPr="00FE6710">
        <w:rPr>
          <w:rFonts w:eastAsia="Calibri"/>
        </w:rPr>
        <w:t xml:space="preserve"> suggested that 28,000 unexploited HP sites remain in Europe</w:t>
      </w:r>
      <w:r w:rsidR="000A013E">
        <w:rPr>
          <w:rFonts w:eastAsia="Calibri"/>
        </w:rPr>
        <w:t>.</w:t>
      </w:r>
      <w:r w:rsidR="006846D7" w:rsidRPr="00FE6710">
        <w:rPr>
          <w:rFonts w:eastAsia="Calibri"/>
        </w:rPr>
        <w:t xml:space="preserve"> </w:t>
      </w:r>
      <w:r w:rsidR="000A013E">
        <w:rPr>
          <w:rFonts w:eastAsia="Calibri"/>
        </w:rPr>
        <w:t xml:space="preserve">Following this, </w:t>
      </w:r>
      <w:r w:rsidR="00A15209">
        <w:rPr>
          <w:rFonts w:eastAsia="Calibri"/>
        </w:rPr>
        <w:t xml:space="preserve">Gallagher et al. </w:t>
      </w:r>
      <w:r w:rsidR="006B6072">
        <w:rPr>
          <w:rFonts w:eastAsia="Calibri"/>
        </w:rPr>
        <w:t>(</w:t>
      </w:r>
      <w:r w:rsidR="00A15209">
        <w:rPr>
          <w:rFonts w:eastAsia="Calibri"/>
        </w:rPr>
        <w:t>2015a)</w:t>
      </w:r>
      <w:r w:rsidR="006846D7" w:rsidRPr="00FE6710">
        <w:rPr>
          <w:rFonts w:eastAsia="Calibri"/>
        </w:rPr>
        <w:t xml:space="preserve"> </w:t>
      </w:r>
      <w:r w:rsidR="00D20C4D">
        <w:rPr>
          <w:rFonts w:eastAsia="Calibri"/>
        </w:rPr>
        <w:t>estimated</w:t>
      </w:r>
      <w:r w:rsidR="00D20C4D" w:rsidRPr="00FE6710">
        <w:rPr>
          <w:rFonts w:eastAsia="Calibri"/>
        </w:rPr>
        <w:t xml:space="preserve"> </w:t>
      </w:r>
      <w:r w:rsidR="000A013E">
        <w:rPr>
          <w:rFonts w:eastAsia="Calibri"/>
        </w:rPr>
        <w:t>the total potential as</w:t>
      </w:r>
      <w:r w:rsidR="006846D7" w:rsidRPr="00FE6710">
        <w:rPr>
          <w:rFonts w:eastAsia="Calibri"/>
        </w:rPr>
        <w:t xml:space="preserve"> 7.35 TWh of additional generation </w:t>
      </w:r>
      <w:r w:rsidR="00525CE1">
        <w:rPr>
          <w:rFonts w:eastAsia="Calibri"/>
        </w:rPr>
        <w:t>which c</w:t>
      </w:r>
      <w:r w:rsidR="00D20C4D">
        <w:rPr>
          <w:rFonts w:eastAsia="Calibri"/>
        </w:rPr>
        <w:t xml:space="preserve">ould </w:t>
      </w:r>
      <w:r w:rsidR="006846D7">
        <w:rPr>
          <w:rFonts w:eastAsia="Calibri"/>
        </w:rPr>
        <w:t>offset 2.96 Mt of CO</w:t>
      </w:r>
      <w:r w:rsidR="006846D7">
        <w:rPr>
          <w:rFonts w:eastAsia="Calibri"/>
          <w:vertAlign w:val="subscript"/>
        </w:rPr>
        <w:t>2</w:t>
      </w:r>
      <w:r w:rsidR="006846D7" w:rsidRPr="00FE6710">
        <w:rPr>
          <w:rFonts w:eastAsia="Calibri"/>
        </w:rPr>
        <w:t xml:space="preserve"> from fossil fuel savings</w:t>
      </w:r>
      <w:r w:rsidR="000A013E">
        <w:rPr>
          <w:rFonts w:eastAsia="Calibri"/>
        </w:rPr>
        <w:t xml:space="preserve"> </w:t>
      </w:r>
      <w:r w:rsidR="000A013E">
        <w:rPr>
          <w:rFonts w:eastAsia="Calibri"/>
        </w:rPr>
        <w:fldChar w:fldCharType="begin"/>
      </w:r>
      <w:r w:rsidR="000A013E">
        <w:rPr>
          <w:rFonts w:eastAsia="Calibri"/>
        </w:rPr>
        <w:instrText xml:space="preserve"> ADDIN EN.CITE &lt;EndNote&gt;&lt;Cite&gt;&lt;Author&gt;Gallagher&lt;/Author&gt;&lt;Year&gt;2015&lt;/Year&gt;&lt;RecNum&gt;404&lt;/RecNum&gt;&lt;DisplayText&gt;(Gallagher et al., 2015a)&lt;/DisplayText&gt;&lt;record&gt;&lt;rec-number&gt;404&lt;/rec-number&gt;&lt;foreign-keys&gt;&lt;key app="EN" db-id="e9rav2ttda9t9re5pfyxxdamzwpp5v00xdx5" timestamp="1430839210"&gt;404&lt;/key&gt;&lt;/foreign-keys&gt;&lt;ref-type name="Journal Article"&gt;17&lt;/ref-type&gt;&lt;contributors&gt;&lt;authors&gt;&lt;author&gt;Gallagher, J.&lt;/author&gt;&lt;author&gt;Styles, D.&lt;/author&gt;&lt;author&gt;McNabola, A.&lt;/author&gt;&lt;author&gt;Williams, A.P.&lt;/author&gt;&lt;/authors&gt;&lt;/contributors&gt;&lt;titles&gt;&lt;title&gt;Current and future environmental balance of small-scale run-of-river hydropower&lt;/title&gt;&lt;secondary-title&gt;Environ Sci Technol&lt;/secondary-title&gt;&lt;/titles&gt;&lt;periodical&gt;&lt;full-title&gt;Environ Sci Technol&lt;/full-title&gt;&lt;abbr-1&gt;Environmental science &amp;amp; technology&lt;/abbr-1&gt;&lt;/periodical&gt;&lt;pages&gt;6344-6351&lt;/pages&gt;&lt;volume&gt;40&lt;/volume&gt;&lt;number&gt;10&lt;/number&gt;&lt;edition&gt;2015/04/25&lt;/edition&gt;&lt;dates&gt;&lt;year&gt;2015&lt;/year&gt;&lt;pub-dates&gt;&lt;date&gt;Apr 24&lt;/date&gt;&lt;/pub-dates&gt;&lt;/dates&gt;&lt;isbn&gt;1520-5851 (Electronic)&amp;#xD;0013-936X (Linking)&lt;/isbn&gt;&lt;accession-num&gt;25909899&lt;/accession-num&gt;&lt;urls&gt;&lt;related-urls&gt;&lt;url&gt;http://pubs.acs.org/doi/abs/10.1021/acs.est.5b00716&lt;/url&gt;&lt;/related-urls&gt;&lt;/urls&gt;&lt;electronic-resource-num&gt;10.1021/acs.est.5b00716&lt;/electronic-resource-num&gt;&lt;remote-database-provider&gt;NLM&lt;/remote-database-provider&gt;&lt;language&gt;Eng&lt;/language&gt;&lt;/record&gt;&lt;/Cite&gt;&lt;/EndNote&gt;</w:instrText>
      </w:r>
      <w:r w:rsidR="000A013E">
        <w:rPr>
          <w:rFonts w:eastAsia="Calibri"/>
        </w:rPr>
        <w:fldChar w:fldCharType="separate"/>
      </w:r>
      <w:r w:rsidR="000A013E">
        <w:rPr>
          <w:rFonts w:eastAsia="Calibri"/>
          <w:noProof/>
        </w:rPr>
        <w:t>(Gallagher et al., 2015a)</w:t>
      </w:r>
      <w:r w:rsidR="000A013E">
        <w:rPr>
          <w:rFonts w:eastAsia="Calibri"/>
        </w:rPr>
        <w:fldChar w:fldCharType="end"/>
      </w:r>
      <w:r w:rsidR="006846D7" w:rsidRPr="00FE6710">
        <w:rPr>
          <w:rFonts w:eastAsia="Calibri"/>
        </w:rPr>
        <w:t>.</w:t>
      </w:r>
      <w:r w:rsidR="00525CE1">
        <w:rPr>
          <w:rFonts w:eastAsia="Calibri"/>
        </w:rPr>
        <w:t xml:space="preserve"> </w:t>
      </w:r>
      <w:r w:rsidR="006846D7" w:rsidRPr="00FE6710">
        <w:rPr>
          <w:rFonts w:eastAsia="Calibri"/>
        </w:rPr>
        <w:t>Studies have shown that the embodied carbon in HP projects ranges from 0.2 to 152 g CO</w:t>
      </w:r>
      <w:r w:rsidR="006846D7">
        <w:rPr>
          <w:rFonts w:eastAsia="Calibri"/>
          <w:vertAlign w:val="subscript"/>
        </w:rPr>
        <w:t>2</w:t>
      </w:r>
      <w:r w:rsidR="006846D7" w:rsidRPr="00FE6710">
        <w:rPr>
          <w:rFonts w:eastAsia="Calibri"/>
        </w:rPr>
        <w:t xml:space="preserve"> eq./kWh </w:t>
      </w:r>
      <w:r w:rsidR="006846D7">
        <w:rPr>
          <w:rFonts w:eastAsia="Calibri"/>
        </w:rPr>
        <w:fldChar w:fldCharType="begin"/>
      </w:r>
      <w:r w:rsidR="00F5035F">
        <w:rPr>
          <w:rFonts w:eastAsia="Calibri"/>
        </w:rPr>
        <w:instrText xml:space="preserve"> ADDIN EN.CITE &lt;EndNote&gt;&lt;Cite&gt;&lt;Author&gt;Raadal&lt;/Author&gt;&lt;Year&gt;2011&lt;/Year&gt;&lt;RecNum&gt;90&lt;/RecNum&gt;&lt;DisplayText&gt;(Raadal et al., 2011)&lt;/DisplayText&gt;&lt;record&gt;&lt;rec-number&gt;90&lt;/rec-number&gt;&lt;foreign-keys&gt;&lt;key app="EN" db-id="e9rav2ttda9t9re5pfyxxdamzwpp5v00xdx5" timestamp="0"&gt;90&lt;/key&gt;&lt;/foreign-keys&gt;&lt;ref-type name="Journal Article"&gt;17&lt;/ref-type&gt;&lt;contributors&gt;&lt;authors&gt;&lt;author&gt;Raadal, Hanne Lerche&lt;/author&gt;&lt;author&gt;Gagnon, Luc&lt;/author&gt;&lt;author&gt;Modahl, Ingunn Saur&lt;/author&gt;&lt;author&gt;Hanssen, Ole Jørgen&lt;/author&gt;&lt;/authors&gt;&lt;/contributors&gt;&lt;titles&gt;&lt;title&gt;Life cycle greenhouse gas (GHG) emissions from the generation of wind and hydro power&lt;/title&gt;&lt;secondary-title&gt;Renewable and Sustainable Energy Reviews&lt;/secondary-title&gt;&lt;/titles&gt;&lt;periodical&gt;&lt;full-title&gt;Renewable and Sustainable Energy Reviews&lt;/full-title&gt;&lt;/periodical&gt;&lt;pages&gt;3417-3422&lt;/pages&gt;&lt;volume&gt;15&lt;/volume&gt;&lt;number&gt;7&lt;/number&gt;&lt;keywords&gt;&lt;keyword&gt;LCA&lt;/keyword&gt;&lt;keyword&gt;Greenhouse gases&lt;/keyword&gt;&lt;keyword&gt;Wind power&lt;/keyword&gt;&lt;keyword&gt;Hydro power&lt;/keyword&gt;&lt;keyword&gt;Electricity&lt;/keyword&gt;&lt;/keywords&gt;&lt;dates&gt;&lt;year&gt;2011&lt;/year&gt;&lt;pub-dates&gt;&lt;date&gt;9//&lt;/date&gt;&lt;/pub-dates&gt;&lt;/dates&gt;&lt;isbn&gt;1364-0321&lt;/isbn&gt;&lt;urls&gt;&lt;related-urls&gt;&lt;url&gt;http://www.sciencedirect.com/science/article/pii/S1364032111001924&lt;/url&gt;&lt;/related-urls&gt;&lt;/urls&gt;&lt;electronic-resource-num&gt;http://dx.doi.org/10.1016/j.rser.2011.05.001&lt;/electronic-resource-num&gt;&lt;/record&gt;&lt;/Cite&gt;&lt;/EndNote&gt;</w:instrText>
      </w:r>
      <w:r w:rsidR="006846D7">
        <w:rPr>
          <w:rFonts w:eastAsia="Calibri"/>
        </w:rPr>
        <w:fldChar w:fldCharType="separate"/>
      </w:r>
      <w:r w:rsidR="00F5035F">
        <w:rPr>
          <w:rFonts w:eastAsia="Calibri"/>
          <w:noProof/>
        </w:rPr>
        <w:t>(Raadal et al., 2011)</w:t>
      </w:r>
      <w:r w:rsidR="006846D7">
        <w:rPr>
          <w:rFonts w:eastAsia="Calibri"/>
        </w:rPr>
        <w:fldChar w:fldCharType="end"/>
      </w:r>
      <w:r w:rsidR="006846D7" w:rsidRPr="00FE6710">
        <w:rPr>
          <w:rFonts w:eastAsia="Calibri"/>
        </w:rPr>
        <w:t>, which is lower than the current average</w:t>
      </w:r>
      <w:r w:rsidR="00524293" w:rsidRPr="00524293">
        <w:rPr>
          <w:rFonts w:eastAsia="Calibri"/>
        </w:rPr>
        <w:t xml:space="preserve"> </w:t>
      </w:r>
      <w:r w:rsidR="00524293">
        <w:rPr>
          <w:rFonts w:eastAsia="Calibri"/>
        </w:rPr>
        <w:t xml:space="preserve">carbon footprint of </w:t>
      </w:r>
      <w:r w:rsidR="00524293" w:rsidRPr="00FE6710">
        <w:rPr>
          <w:rFonts w:eastAsia="Calibri"/>
        </w:rPr>
        <w:t>Europe</w:t>
      </w:r>
      <w:r w:rsidR="00524293">
        <w:rPr>
          <w:rFonts w:eastAsia="Calibri"/>
        </w:rPr>
        <w:t>an grid electricity</w:t>
      </w:r>
      <w:r w:rsidR="00524293" w:rsidRPr="00FE6710">
        <w:rPr>
          <w:rFonts w:eastAsia="Calibri"/>
        </w:rPr>
        <w:t xml:space="preserve"> of 352 g CO</w:t>
      </w:r>
      <w:r w:rsidR="00524293">
        <w:rPr>
          <w:rFonts w:eastAsia="Calibri"/>
          <w:vertAlign w:val="subscript"/>
        </w:rPr>
        <w:t>2</w:t>
      </w:r>
      <w:r w:rsidR="00524293" w:rsidRPr="00FE6710">
        <w:rPr>
          <w:rFonts w:eastAsia="Calibri"/>
        </w:rPr>
        <w:t xml:space="preserve"> eq./kWh </w:t>
      </w:r>
      <w:r w:rsidR="00524293">
        <w:rPr>
          <w:rFonts w:eastAsia="Calibri"/>
        </w:rPr>
        <w:fldChar w:fldCharType="begin"/>
      </w:r>
      <w:r w:rsidR="00524293">
        <w:rPr>
          <w:rFonts w:eastAsia="Calibri"/>
        </w:rPr>
        <w:instrText xml:space="preserve"> ADDIN EN.CITE &lt;EndNote&gt;&lt;Cite&gt;&lt;Author&gt;Defra&lt;/Author&gt;&lt;Year&gt;2014&lt;/Year&gt;&lt;RecNum&gt;349&lt;/RecNum&gt;&lt;DisplayText&gt;(Defra, 2014)&lt;/DisplayText&gt;&lt;record&gt;&lt;rec-number&gt;349&lt;/rec-number&gt;&lt;foreign-keys&gt;&lt;key app="EN" db-id="e9rav2ttda9t9re5pfyxxdamzwpp5v00xdx5" timestamp="1420550420"&gt;349&lt;/key&gt;&lt;/foreign-keys&gt;&lt;ref-type name="Report"&gt;27&lt;/ref-type&gt;&lt;contributors&gt;&lt;authors&gt;&lt;author&gt;Defra,&lt;/author&gt;&lt;/authors&gt;&lt;/contributors&gt;&lt;titles&gt;&lt;title&gt;Greenhouse Gas Conversion Factor Repository&lt;/title&gt;&lt;/titles&gt;&lt;num-vols&gt;1.2&lt;/num-vols&gt;&lt;dates&gt;&lt;year&gt;2014&lt;/year&gt;&lt;/dates&gt;&lt;publisher&gt;DEFRA, UK&lt;/publisher&gt;&lt;urls&gt;&lt;related-urls&gt;&lt;url&gt;http://www.ukconversionfactorscarbonsmart.co.uk/&lt;/url&gt;&lt;/related-urls&gt;&lt;/urls&gt;&lt;/record&gt;&lt;/Cite&gt;&lt;/EndNote&gt;</w:instrText>
      </w:r>
      <w:r w:rsidR="00524293">
        <w:rPr>
          <w:rFonts w:eastAsia="Calibri"/>
        </w:rPr>
        <w:fldChar w:fldCharType="separate"/>
      </w:r>
      <w:r w:rsidR="00524293">
        <w:rPr>
          <w:rFonts w:eastAsia="Calibri"/>
          <w:noProof/>
        </w:rPr>
        <w:t>(Defra, 2014)</w:t>
      </w:r>
      <w:r w:rsidR="00524293">
        <w:rPr>
          <w:rFonts w:eastAsia="Calibri"/>
        </w:rPr>
        <w:fldChar w:fldCharType="end"/>
      </w:r>
      <w:r w:rsidR="00524293" w:rsidRPr="00FE6710">
        <w:rPr>
          <w:rFonts w:eastAsia="Calibri"/>
        </w:rPr>
        <w:t xml:space="preserve">. </w:t>
      </w:r>
      <w:r w:rsidR="00524293">
        <w:rPr>
          <w:rFonts w:eastAsia="Calibri"/>
        </w:rPr>
        <w:t>Other publications have presented the carbon footprint of different sized HP projects: 15 g CO</w:t>
      </w:r>
      <w:r w:rsidR="00524293">
        <w:rPr>
          <w:rFonts w:eastAsia="Calibri"/>
          <w:vertAlign w:val="subscript"/>
        </w:rPr>
        <w:t>2</w:t>
      </w:r>
      <w:r w:rsidR="00524293">
        <w:rPr>
          <w:rFonts w:eastAsia="Calibri"/>
        </w:rPr>
        <w:t xml:space="preserve"> eq./kWh for a small HP plant </w:t>
      </w:r>
      <w:r w:rsidR="00524293">
        <w:rPr>
          <w:rFonts w:eastAsia="Calibri"/>
        </w:rPr>
        <w:fldChar w:fldCharType="begin"/>
      </w:r>
      <w:r w:rsidR="00524293">
        <w:rPr>
          <w:rFonts w:eastAsia="Calibri"/>
        </w:rPr>
        <w:instrText xml:space="preserve"> ADDIN EN.CITE &lt;EndNote&gt;&lt;Cite&gt;&lt;Author&gt;Gagnon&lt;/Author&gt;&lt;Year&gt;1997&lt;/Year&gt;&lt;RecNum&gt;105&lt;/RecNum&gt;&lt;DisplayText&gt;(Gagnon &amp;amp; van de Vate, 1997)&lt;/DisplayText&gt;&lt;record&gt;&lt;rec-number&gt;105&lt;/rec-number&gt;&lt;foreign-keys&gt;&lt;key app="EN" db-id="e9rav2ttda9t9re5pfyxxdamzwpp5v00xdx5" timestamp="0"&gt;105&lt;/key&gt;&lt;/foreign-keys&gt;&lt;ref-type name="Journal Article"&gt;17&lt;/ref-type&gt;&lt;contributors&gt;&lt;authors&gt;&lt;author&gt;Gagnon, Luc&lt;/author&gt;&lt;author&gt;van de Vate, Joop F.&lt;/author&gt;&lt;/authors&gt;&lt;/contributors&gt;&lt;titles&gt;&lt;title&gt;Greenhouse gas emissions from hydropower: The state of research in 1996&lt;/title&gt;&lt;secondary-title&gt;Energy Policy&lt;/secondary-title&gt;&lt;/titles&gt;&lt;periodical&gt;&lt;full-title&gt;Energy Policy&lt;/full-title&gt;&lt;/periodical&gt;&lt;pages&gt;7-13&lt;/pages&gt;&lt;volume&gt;25&lt;/volume&gt;&lt;number&gt;1&lt;/number&gt;&lt;keywords&gt;&lt;keyword&gt;Greenhouse gases&lt;/keyword&gt;&lt;keyword&gt;Hydropower&lt;/keyword&gt;&lt;keyword&gt;Reservoirs&lt;/keyword&gt;&lt;/keywords&gt;&lt;dates&gt;&lt;year&gt;1997&lt;/year&gt;&lt;pub-dates&gt;&lt;date&gt;1//&lt;/date&gt;&lt;/pub-dates&gt;&lt;/dates&gt;&lt;isbn&gt;0301-4215&lt;/isbn&gt;&lt;urls&gt;&lt;related-urls&gt;&lt;url&gt;http://www.sciencedirect.com/science/article/pii/S0301421596001255&lt;/url&gt;&lt;/related-urls&gt;&lt;/urls&gt;&lt;electronic-resource-num&gt;http://dx.doi.org/10.1016/S0301-4215(96)00125-5&lt;/electronic-resource-num&gt;&lt;/record&gt;&lt;/Cite&gt;&lt;/EndNote&gt;</w:instrText>
      </w:r>
      <w:r w:rsidR="00524293">
        <w:rPr>
          <w:rFonts w:eastAsia="Calibri"/>
        </w:rPr>
        <w:fldChar w:fldCharType="separate"/>
      </w:r>
      <w:r w:rsidR="00524293">
        <w:rPr>
          <w:rFonts w:eastAsia="Calibri"/>
          <w:noProof/>
        </w:rPr>
        <w:t>(Gagnon &amp; van de Vate, 1997)</w:t>
      </w:r>
      <w:r w:rsidR="00524293">
        <w:rPr>
          <w:rFonts w:eastAsia="Calibri"/>
        </w:rPr>
        <w:fldChar w:fldCharType="end"/>
      </w:r>
      <w:r w:rsidR="00524293">
        <w:rPr>
          <w:rFonts w:eastAsia="Calibri"/>
        </w:rPr>
        <w:t>; 35-75 g CO</w:t>
      </w:r>
      <w:r w:rsidR="00524293">
        <w:rPr>
          <w:rFonts w:eastAsia="Calibri"/>
          <w:vertAlign w:val="subscript"/>
        </w:rPr>
        <w:t>2</w:t>
      </w:r>
      <w:r w:rsidR="00524293">
        <w:rPr>
          <w:rFonts w:eastAsia="Calibri"/>
        </w:rPr>
        <w:t xml:space="preserve"> eq./kWh for a range of sizes of HP plants </w:t>
      </w:r>
      <w:r w:rsidR="00524293">
        <w:rPr>
          <w:rFonts w:eastAsia="Calibri"/>
        </w:rPr>
        <w:fldChar w:fldCharType="begin"/>
      </w:r>
      <w:r w:rsidR="00524293">
        <w:rPr>
          <w:rFonts w:eastAsia="Calibri"/>
        </w:rPr>
        <w:instrText xml:space="preserve"> ADDIN EN.CITE &lt;EndNote&gt;&lt;Cite&gt;&lt;Author&gt;Varun&lt;/Author&gt;&lt;Year&gt;2008&lt;/Year&gt;&lt;RecNum&gt;104&lt;/RecNum&gt;&lt;DisplayText&gt;(Varun et al., 2008)&lt;/DisplayText&gt;&lt;record&gt;&lt;rec-number&gt;104&lt;/rec-number&gt;&lt;foreign-keys&gt;&lt;key app="EN" db-id="e9rav2ttda9t9re5pfyxxdamzwpp5v00xdx5" timestamp="0"&gt;104&lt;/key&gt;&lt;/foreign-keys&gt;&lt;ref-type name="Journal Article"&gt;17&lt;/ref-type&gt;&lt;contributors&gt;&lt;authors&gt;&lt;author&gt;Varun, I.,&lt;/author&gt;&lt;author&gt;Bhat, K.,&lt;/author&gt;&lt;author&gt;Prakash, Ravi,&lt;/author&gt;&lt;/authors&gt;&lt;/contributors&gt;&lt;titles&gt;&lt;title&gt;Life Cycle Analysis of Run-of River Small Hydro Power Plants in India&lt;/title&gt;&lt;secondary-title&gt;The Open Renewable Energy Journal&lt;/secondary-title&gt;&lt;/titles&gt;&lt;pages&gt;11-16&lt;/pages&gt;&lt;volume&gt;1&lt;/volume&gt;&lt;dates&gt;&lt;year&gt;2008&lt;/year&gt;&lt;/dates&gt;&lt;isbn&gt;1876-3871/08&lt;/isbn&gt;&lt;urls&gt;&lt;related-urls&gt;&lt;url&gt;http://www.benthamscience.com/open/torej/articles/V001/11TOREJ.pdf&lt;/url&gt;&lt;/related-urls&gt;&lt;/urls&gt;&lt;/record&gt;&lt;/Cite&gt;&lt;/EndNote&gt;</w:instrText>
      </w:r>
      <w:r w:rsidR="00524293">
        <w:rPr>
          <w:rFonts w:eastAsia="Calibri"/>
        </w:rPr>
        <w:fldChar w:fldCharType="separate"/>
      </w:r>
      <w:r w:rsidR="00524293">
        <w:rPr>
          <w:rFonts w:eastAsia="Calibri"/>
          <w:noProof/>
        </w:rPr>
        <w:t>(Varun et al., 2008)</w:t>
      </w:r>
      <w:r w:rsidR="00524293">
        <w:rPr>
          <w:rFonts w:eastAsia="Calibri"/>
        </w:rPr>
        <w:fldChar w:fldCharType="end"/>
      </w:r>
      <w:r w:rsidR="00524293">
        <w:rPr>
          <w:rFonts w:eastAsia="Calibri"/>
        </w:rPr>
        <w:t>;</w:t>
      </w:r>
      <w:r w:rsidR="00524293">
        <w:rPr>
          <w:rFonts w:eastAsia="Calibri"/>
          <w:vertAlign w:val="subscript"/>
        </w:rPr>
        <w:t xml:space="preserve"> </w:t>
      </w:r>
      <w:r w:rsidR="00524293">
        <w:rPr>
          <w:rFonts w:eastAsia="Calibri"/>
        </w:rPr>
        <w:t>53 g CO</w:t>
      </w:r>
      <w:r w:rsidR="00524293">
        <w:rPr>
          <w:rFonts w:eastAsia="Calibri"/>
          <w:vertAlign w:val="subscript"/>
        </w:rPr>
        <w:t>2</w:t>
      </w:r>
      <w:r w:rsidR="00524293">
        <w:rPr>
          <w:rFonts w:eastAsia="Calibri"/>
        </w:rPr>
        <w:t xml:space="preserve"> eq./kWh for a micro HP installation </w:t>
      </w:r>
      <w:r w:rsidR="00524293">
        <w:rPr>
          <w:rFonts w:eastAsia="Calibri"/>
        </w:rPr>
        <w:fldChar w:fldCharType="begin"/>
      </w:r>
      <w:r w:rsidR="00524293">
        <w:rPr>
          <w:rFonts w:eastAsia="Calibri"/>
        </w:rPr>
        <w:instrText xml:space="preserve"> ADDIN EN.CITE &lt;EndNote&gt;&lt;Cite&gt;&lt;Author&gt;Pascale&lt;/Author&gt;&lt;Year&gt;2011&lt;/Year&gt;&lt;RecNum&gt;91&lt;/RecNum&gt;&lt;DisplayText&gt;(Pascale et al., 2011)&lt;/DisplayText&gt;&lt;record&gt;&lt;rec-number&gt;91&lt;/rec-number&gt;&lt;foreign-keys&gt;&lt;key app="EN" db-id="e9rav2ttda9t9re5pfyxxdamzwpp5v00xdx5" timestamp="0"&gt;91&lt;/key&gt;&lt;/foreign-keys&gt;&lt;ref-type name="Journal Article"&gt;17&lt;/ref-type&gt;&lt;contributors&gt;&lt;authors&gt;&lt;author&gt;Pascale, Andrew&lt;/author&gt;&lt;author&gt;Urmee, Tania&lt;/author&gt;&lt;author&gt;Moore, Andrew&lt;/author&gt;&lt;/authors&gt;&lt;/contributors&gt;&lt;titles&gt;&lt;title&gt;Life cycle assessment of a community hydroelectric power system in rural Thailand&lt;/title&gt;&lt;secondary-title&gt;Renewable Energy&lt;/secondary-title&gt;&lt;/titles&gt;&lt;periodical&gt;&lt;full-title&gt;Renewable Energy&lt;/full-title&gt;&lt;/periodical&gt;&lt;pages&gt;2799-2808&lt;/pages&gt;&lt;volume&gt;36&lt;/volume&gt;&lt;number&gt;11&lt;/number&gt;&lt;keywords&gt;&lt;keyword&gt;Life cycle assessment (lca)&lt;/keyword&gt;&lt;keyword&gt;Hydropower&lt;/keyword&gt;&lt;keyword&gt;Micro hydro&lt;/keyword&gt;&lt;keyword&gt;Rural electrification&lt;/keyword&gt;&lt;keyword&gt;Thailand&lt;/keyword&gt;&lt;/keywords&gt;&lt;dates&gt;&lt;year&gt;2011&lt;/year&gt;&lt;pub-dates&gt;&lt;date&gt;11//&lt;/date&gt;&lt;/pub-dates&gt;&lt;/dates&gt;&lt;isbn&gt;0960-1481&lt;/isbn&gt;&lt;urls&gt;&lt;related-urls&gt;&lt;url&gt;http://www.sciencedirect.com/science/article/pii/S0960148111001959&lt;/url&gt;&lt;/related-urls&gt;&lt;/urls&gt;&lt;electronic-resource-num&gt;http://dx.doi.org/10.1016/j.renene.2011.04.023&lt;/electronic-resource-num&gt;&lt;/record&gt;&lt;/Cite&gt;&lt;/EndNote&gt;</w:instrText>
      </w:r>
      <w:r w:rsidR="00524293">
        <w:rPr>
          <w:rFonts w:eastAsia="Calibri"/>
        </w:rPr>
        <w:fldChar w:fldCharType="separate"/>
      </w:r>
      <w:r w:rsidR="00524293">
        <w:rPr>
          <w:rFonts w:eastAsia="Calibri"/>
          <w:noProof/>
        </w:rPr>
        <w:t>(Pascale et al., 2011)</w:t>
      </w:r>
      <w:r w:rsidR="00524293">
        <w:rPr>
          <w:rFonts w:eastAsia="Calibri"/>
        </w:rPr>
        <w:fldChar w:fldCharType="end"/>
      </w:r>
      <w:r w:rsidR="00524293">
        <w:rPr>
          <w:rFonts w:eastAsia="Calibri"/>
        </w:rPr>
        <w:t>; 195 g CO</w:t>
      </w:r>
      <w:r w:rsidR="00524293">
        <w:rPr>
          <w:rFonts w:eastAsia="Calibri"/>
          <w:vertAlign w:val="subscript"/>
        </w:rPr>
        <w:t>2</w:t>
      </w:r>
      <w:r w:rsidR="00524293">
        <w:rPr>
          <w:rFonts w:eastAsia="Calibri"/>
        </w:rPr>
        <w:t xml:space="preserve"> eq./kWh for a large HP project </w:t>
      </w:r>
      <w:r w:rsidR="00524293">
        <w:rPr>
          <w:rFonts w:eastAsia="Calibri"/>
        </w:rPr>
        <w:fldChar w:fldCharType="begin"/>
      </w:r>
      <w:r w:rsidR="00524293">
        <w:rPr>
          <w:rFonts w:eastAsia="Calibri"/>
        </w:rPr>
        <w:instrText xml:space="preserve"> ADDIN EN.CITE &lt;EndNote&gt;&lt;Cite&gt;&lt;Author&gt;Zhang&lt;/Author&gt;&lt;Year&gt;2015&lt;/Year&gt;&lt;RecNum&gt;472&lt;/RecNum&gt;&lt;DisplayText&gt;(Zhang &amp;amp; Xu, 2015)&lt;/DisplayText&gt;&lt;record&gt;&lt;rec-number&gt;472&lt;/rec-number&gt;&lt;foreign-keys&gt;&lt;key app="EN" db-id="e9rav2ttda9t9re5pfyxxdamzwpp5v00xdx5" timestamp="1443791249"&gt;472&lt;/key&gt;&lt;/foreign-keys&gt;&lt;ref-type name="Journal Article"&gt;17&lt;/ref-type&gt;&lt;contributors&gt;&lt;authors&gt;&lt;author&gt;Zhang, Jin&lt;/author&gt;&lt;author&gt;Xu, Linyu&lt;/author&gt;&lt;/authors&gt;&lt;/contributors&gt;&lt;titles&gt;&lt;title&gt;Embodied carbon budget accounting system for calculating carbon footprint of large hydropower project&lt;/title&gt;&lt;secondary-title&gt;Journal of Cleaner Production&lt;/secondary-title&gt;&lt;/titles&gt;&lt;periodical&gt;&lt;full-title&gt;Journal of Cleaner Production&lt;/full-title&gt;&lt;/periodical&gt;&lt;pages&gt;444-451&lt;/pages&gt;&lt;volume&gt;96&lt;/volume&gt;&lt;keywords&gt;&lt;keyword&gt;Carbon-related behavior&lt;/keyword&gt;&lt;keyword&gt;Embodied carbon&lt;/keyword&gt;&lt;keyword&gt;Large hydropower project&lt;/keyword&gt;&lt;keyword&gt;Tibet&lt;/keyword&gt;&lt;/keywords&gt;&lt;dates&gt;&lt;year&gt;2015&lt;/year&gt;&lt;pub-dates&gt;&lt;date&gt;6/1/&lt;/date&gt;&lt;/pub-dates&gt;&lt;/dates&gt;&lt;isbn&gt;0959-6526&lt;/isbn&gt;&lt;urls&gt;&lt;related-urls&gt;&lt;url&gt;http://www.sciencedirect.com/science/article/pii/S095965261300766X&lt;/url&gt;&lt;/related-urls&gt;&lt;/urls&gt;&lt;electronic-resource-num&gt;http://dx.doi.org/10.1016/j.jclepro.2013.10.060&lt;/electronic-resource-num&gt;&lt;/record&gt;&lt;/Cite&gt;&lt;/EndNote&gt;</w:instrText>
      </w:r>
      <w:r w:rsidR="00524293">
        <w:rPr>
          <w:rFonts w:eastAsia="Calibri"/>
        </w:rPr>
        <w:fldChar w:fldCharType="separate"/>
      </w:r>
      <w:r w:rsidR="00524293">
        <w:rPr>
          <w:rFonts w:eastAsia="Calibri"/>
          <w:noProof/>
        </w:rPr>
        <w:t>(Zhang &amp; Xu, 2015)</w:t>
      </w:r>
      <w:r w:rsidR="00524293">
        <w:rPr>
          <w:rFonts w:eastAsia="Calibri"/>
        </w:rPr>
        <w:fldChar w:fldCharType="end"/>
      </w:r>
      <w:r w:rsidR="000A013E">
        <w:rPr>
          <w:rFonts w:eastAsia="Calibri"/>
        </w:rPr>
        <w:t xml:space="preserve">. </w:t>
      </w:r>
      <w:r w:rsidR="006846D7" w:rsidRPr="00FE6710">
        <w:rPr>
          <w:rFonts w:eastAsia="Calibri"/>
        </w:rPr>
        <w:t>More recent studies have presented ‘cradle-to-operation’ results for small- and micro-HP projects installed in water supply infrastructure and run-of-river settings as low as 5-10 g CO</w:t>
      </w:r>
      <w:r w:rsidR="006846D7">
        <w:rPr>
          <w:rFonts w:eastAsia="Calibri"/>
          <w:vertAlign w:val="subscript"/>
        </w:rPr>
        <w:t>2</w:t>
      </w:r>
      <w:r w:rsidR="006846D7" w:rsidRPr="00FE6710">
        <w:rPr>
          <w:rFonts w:eastAsia="Calibri"/>
        </w:rPr>
        <w:t xml:space="preserve"> eq./kWh</w:t>
      </w:r>
      <w:r w:rsidR="006846D7">
        <w:rPr>
          <w:rFonts w:eastAsia="Calibri"/>
        </w:rPr>
        <w:t xml:space="preserve"> </w:t>
      </w:r>
      <w:r w:rsidR="003E0895">
        <w:rPr>
          <w:rFonts w:eastAsia="Calibri"/>
        </w:rPr>
        <w:fldChar w:fldCharType="begin"/>
      </w:r>
      <w:r w:rsidR="005358E9">
        <w:rPr>
          <w:rFonts w:eastAsia="Calibri"/>
        </w:rPr>
        <w:instrText xml:space="preserve"> ADDIN EN.CITE &lt;EndNote&gt;&lt;Cite&gt;&lt;Author&gt;Gallagher&lt;/Author&gt;&lt;Year&gt;2015&lt;/Year&gt;&lt;RecNum&gt;404&lt;/RecNum&gt;&lt;Suffix&gt;`, c&lt;/Suffix&gt;&lt;DisplayText&gt;(Gallagher et al., 2015a, c)&lt;/DisplayText&gt;&lt;record&gt;&lt;rec-number&gt;404&lt;/rec-number&gt;&lt;foreign-keys&gt;&lt;key app="EN" db-id="e9rav2ttda9t9re5pfyxxdamzwpp5v00xdx5" timestamp="1430839210"&gt;404&lt;/key&gt;&lt;/foreign-keys&gt;&lt;ref-type name="Journal Article"&gt;17&lt;/ref-type&gt;&lt;contributors&gt;&lt;authors&gt;&lt;author&gt;Gallagher, J.&lt;/author&gt;&lt;author&gt;Styles, D.&lt;/author&gt;&lt;author&gt;McNabola, A.&lt;/author&gt;&lt;author&gt;Williams, A.P.&lt;/author&gt;&lt;/authors&gt;&lt;/contributors&gt;&lt;titles&gt;&lt;title&gt;Current and future environmental balance of small-scale run-of-river hydropower&lt;/title&gt;&lt;secondary-title&gt;Environ Sci Technol&lt;/secondary-title&gt;&lt;/titles&gt;&lt;periodical&gt;&lt;full-title&gt;Environ Sci Technol&lt;/full-title&gt;&lt;abbr-1&gt;Environmental science &amp;amp; technology&lt;/abbr-1&gt;&lt;/periodical&gt;&lt;pages&gt;6344-6351&lt;/pages&gt;&lt;volume&gt;40&lt;/volume&gt;&lt;number&gt;10&lt;/number&gt;&lt;edition&gt;2015/04/25&lt;/edition&gt;&lt;dates&gt;&lt;year&gt;2015&lt;/year&gt;&lt;pub-dates&gt;&lt;date&gt;Apr 24&lt;/date&gt;&lt;/pub-dates&gt;&lt;/dates&gt;&lt;isbn&gt;1520-5851 (Electronic)&amp;#xD;0013-936X (Linking)&lt;/isbn&gt;&lt;accession-num&gt;25909899&lt;/accession-num&gt;&lt;urls&gt;&lt;related-urls&gt;&lt;url&gt;http://pubs.acs.org/doi/abs/10.1021/acs.est.5b00716&lt;/url&gt;&lt;/related-urls&gt;&lt;/urls&gt;&lt;electronic-resource-num&gt;10.1021/acs.est.5b00716&lt;/electronic-resource-num&gt;&lt;remote-database-provider&gt;NLM&lt;/remote-database-provider&gt;&lt;language&gt;Eng&lt;/language&gt;&lt;/record&gt;&lt;/Cite&gt;&lt;/EndNote&gt;</w:instrText>
      </w:r>
      <w:r w:rsidR="003E0895">
        <w:rPr>
          <w:rFonts w:eastAsia="Calibri"/>
        </w:rPr>
        <w:fldChar w:fldCharType="separate"/>
      </w:r>
      <w:r w:rsidR="00F5035F">
        <w:rPr>
          <w:rFonts w:eastAsia="Calibri"/>
          <w:noProof/>
        </w:rPr>
        <w:t>(Gallagher et al., 2015a, c)</w:t>
      </w:r>
      <w:r w:rsidR="003E0895">
        <w:rPr>
          <w:rFonts w:eastAsia="Calibri"/>
        </w:rPr>
        <w:fldChar w:fldCharType="end"/>
      </w:r>
      <w:r w:rsidR="006846D7" w:rsidRPr="00FE6710">
        <w:rPr>
          <w:rFonts w:eastAsia="Calibri"/>
        </w:rPr>
        <w:t>.</w:t>
      </w:r>
    </w:p>
    <w:p w14:paraId="3A23161B" w14:textId="77777777" w:rsidR="006846D7" w:rsidRDefault="006846D7" w:rsidP="006846D7">
      <w:pPr>
        <w:spacing w:line="480" w:lineRule="auto"/>
        <w:rPr>
          <w:rFonts w:eastAsia="Calibri"/>
        </w:rPr>
      </w:pPr>
    </w:p>
    <w:p w14:paraId="04B663ED" w14:textId="42032F98" w:rsidR="00525CE1" w:rsidRDefault="00525CE1" w:rsidP="00525CE1">
      <w:pPr>
        <w:spacing w:line="480" w:lineRule="auto"/>
        <w:rPr>
          <w:lang w:val="en-IE" w:eastAsia="en-IE"/>
        </w:rPr>
      </w:pPr>
      <w:r w:rsidRPr="00FE6710">
        <w:rPr>
          <w:rFonts w:eastAsia="Calibri"/>
        </w:rPr>
        <w:t xml:space="preserve">Life cycle assessment (LCA) is a method of quantifying the environmental burdens for a product or service, such as a HP installation, through its life cycle </w:t>
      </w:r>
      <w:r>
        <w:rPr>
          <w:rFonts w:eastAsia="Calibri"/>
        </w:rPr>
        <w:fldChar w:fldCharType="begin"/>
      </w:r>
      <w:r>
        <w:rPr>
          <w:rFonts w:eastAsia="Calibri"/>
        </w:rPr>
        <w:instrText xml:space="preserve"> ADDIN EN.CITE &lt;EndNote&gt;&lt;Cite&gt;&lt;Author&gt;BSI&lt;/Author&gt;&lt;Year&gt;2011&lt;/Year&gt;&lt;RecNum&gt;181&lt;/RecNum&gt;&lt;DisplayText&gt;(BSI, 2011)&lt;/DisplayText&gt;&lt;record&gt;&lt;rec-number&gt;181&lt;/rec-number&gt;&lt;foreign-keys&gt;&lt;key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8&lt;/isbn&gt;&lt;urls&gt;&lt;/urls&gt;&lt;/record&gt;&lt;/Cite&gt;&lt;/EndNote&gt;</w:instrText>
      </w:r>
      <w:r>
        <w:rPr>
          <w:rFonts w:eastAsia="Calibri"/>
        </w:rPr>
        <w:fldChar w:fldCharType="separate"/>
      </w:r>
      <w:r>
        <w:rPr>
          <w:rFonts w:eastAsia="Calibri"/>
          <w:noProof/>
        </w:rPr>
        <w:t>(BSI, 2011)</w:t>
      </w:r>
      <w:r>
        <w:rPr>
          <w:rFonts w:eastAsia="Calibri"/>
        </w:rPr>
        <w:fldChar w:fldCharType="end"/>
      </w:r>
      <w:r w:rsidRPr="00FE6710">
        <w:rPr>
          <w:rFonts w:eastAsia="Calibri"/>
        </w:rPr>
        <w:t xml:space="preserve">. It provides a simple platform for comparison of HP projects with other fossil fuel electricity generation </w:t>
      </w:r>
      <w:r w:rsidRPr="00FE6710">
        <w:rPr>
          <w:rFonts w:eastAsia="Calibri"/>
        </w:rPr>
        <w:lastRenderedPageBreak/>
        <w:t xml:space="preserve">systems </w:t>
      </w:r>
      <w:r>
        <w:rPr>
          <w:rFonts w:eastAsia="Calibri"/>
        </w:rPr>
        <w:fldChar w:fldCharType="begin"/>
      </w:r>
      <w:r>
        <w:rPr>
          <w:rFonts w:eastAsia="Calibri"/>
        </w:rPr>
        <w:instrText xml:space="preserve"> ADDIN EN.CITE &lt;EndNote&gt;&lt;Cite&gt;&lt;Author&gt;Raadal&lt;/Author&gt;&lt;Year&gt;2011&lt;/Year&gt;&lt;RecNum&gt;90&lt;/RecNum&gt;&lt;DisplayText&gt;(Raadal et al., 2011)&lt;/DisplayText&gt;&lt;record&gt;&lt;rec-number&gt;90&lt;/rec-number&gt;&lt;foreign-keys&gt;&lt;key app="EN" db-id="e9rav2ttda9t9re5pfyxxdamzwpp5v00xdx5" timestamp="0"&gt;90&lt;/key&gt;&lt;/foreign-keys&gt;&lt;ref-type name="Journal Article"&gt;17&lt;/ref-type&gt;&lt;contributors&gt;&lt;authors&gt;&lt;author&gt;Raadal, Hanne Lerche&lt;/author&gt;&lt;author&gt;Gagnon, Luc&lt;/author&gt;&lt;author&gt;Modahl, Ingunn Saur&lt;/author&gt;&lt;author&gt;Hanssen, Ole Jørgen&lt;/author&gt;&lt;/authors&gt;&lt;/contributors&gt;&lt;titles&gt;&lt;title&gt;Life cycle greenhouse gas (GHG) emissions from the generation of wind and hydro power&lt;/title&gt;&lt;secondary-title&gt;Renewable and Sustainable Energy Reviews&lt;/secondary-title&gt;&lt;/titles&gt;&lt;periodical&gt;&lt;full-title&gt;Renewable and Sustainable Energy Reviews&lt;/full-title&gt;&lt;/periodical&gt;&lt;pages&gt;3417-3422&lt;/pages&gt;&lt;volume&gt;15&lt;/volume&gt;&lt;number&gt;7&lt;/number&gt;&lt;keywords&gt;&lt;keyword&gt;LCA&lt;/keyword&gt;&lt;keyword&gt;Greenhouse gases&lt;/keyword&gt;&lt;keyword&gt;Wind power&lt;/keyword&gt;&lt;keyword&gt;Hydro power&lt;/keyword&gt;&lt;keyword&gt;Electricity&lt;/keyword&gt;&lt;/keywords&gt;&lt;dates&gt;&lt;year&gt;2011&lt;/year&gt;&lt;pub-dates&gt;&lt;date&gt;9//&lt;/date&gt;&lt;/pub-dates&gt;&lt;/dates&gt;&lt;isbn&gt;1364-0321&lt;/isbn&gt;&lt;urls&gt;&lt;related-urls&gt;&lt;url&gt;http://www.sciencedirect.com/science/article/pii/S1364032111001924&lt;/url&gt;&lt;/related-urls&gt;&lt;/urls&gt;&lt;electronic-resource-num&gt;http://dx.doi.org/10.1016/j.rser.2011.05.001&lt;/electronic-resource-num&gt;&lt;/record&gt;&lt;/Cite&gt;&lt;/EndNote&gt;</w:instrText>
      </w:r>
      <w:r>
        <w:rPr>
          <w:rFonts w:eastAsia="Calibri"/>
        </w:rPr>
        <w:fldChar w:fldCharType="separate"/>
      </w:r>
      <w:r>
        <w:rPr>
          <w:rFonts w:eastAsia="Calibri"/>
          <w:noProof/>
        </w:rPr>
        <w:t>(Raadal et al., 2011)</w:t>
      </w:r>
      <w:r>
        <w:rPr>
          <w:rFonts w:eastAsia="Calibri"/>
        </w:rPr>
        <w:fldChar w:fldCharType="end"/>
      </w:r>
      <w:r w:rsidRPr="00FE6710">
        <w:rPr>
          <w:rFonts w:eastAsia="Calibri"/>
        </w:rPr>
        <w:t xml:space="preserve">. However, a detailed database of raw materials and energy processes are required to accurately report the environmental burdens for these projects </w:t>
      </w:r>
      <w:r>
        <w:rPr>
          <w:rFonts w:eastAsia="Calibri"/>
        </w:rPr>
        <w:fldChar w:fldCharType="begin"/>
      </w:r>
      <w:r>
        <w:rPr>
          <w:rFonts w:eastAsia="Calibri"/>
        </w:rPr>
        <w:instrText xml:space="preserve"> ADDIN EN.CITE &lt;EndNote&gt;&lt;Cite&gt;&lt;Author&gt;Chomkhamsri&lt;/Author&gt;&lt;Year&gt;2011&lt;/Year&gt;&lt;RecNum&gt;354&lt;/RecNum&gt;&lt;DisplayText&gt;(Chomkhamsri &amp;amp; Pelletier, 2011; Curran, 2013)&lt;/DisplayText&gt;&lt;record&gt;&lt;rec-number&gt;354&lt;/rec-number&gt;&lt;foreign-keys&gt;&lt;key app="EN" db-id="e9rav2ttda9t9re5pfyxxdamzwpp5v00xdx5" timestamp="1420728975"&gt;354&lt;/key&gt;&lt;/foreign-keys&gt;&lt;ref-type name="Report"&gt;27&lt;/ref-type&gt;&lt;contributors&gt;&lt;authors&gt;&lt;author&gt;Chomkhamsri, Kirana&lt;/author&gt;&lt;author&gt;Pelletier,  Nathan&lt;/author&gt;&lt;/authors&gt;&lt;secondary-authors&gt;&lt;author&gt;H08 Sustainability Assessment Unit&lt;/author&gt;&lt;/secondary-authors&gt;&lt;/contributors&gt;&lt;titles&gt;&lt;title&gt;Analysis of Existing Environmental Footprint Methodologies for Products and Organizations: Recommendations, Rationale, and Alignment&lt;/title&gt;&lt;/titles&gt;&lt;dates&gt;&lt;year&gt;2011&lt;/year&gt;&lt;pub-dates&gt;&lt;date&gt;November 2011&lt;/date&gt;&lt;/pub-dates&gt;&lt;/dates&gt;&lt;pub-location&gt;Ispra, Italy&lt;/pub-location&gt;&lt;publisher&gt;Institute of Environment and Sustainability&lt;/publisher&gt;&lt;urls&gt;&lt;/urls&gt;&lt;/record&gt;&lt;/Cite&gt;&lt;Cite&gt;&lt;Author&gt;Curran&lt;/Author&gt;&lt;Year&gt;2013&lt;/Year&gt;&lt;RecNum&gt;353&lt;/RecNum&gt;&lt;record&gt;&lt;rec-number&gt;353&lt;/rec-number&gt;&lt;foreign-keys&gt;&lt;key app="EN" db-id="e9rav2ttda9t9re5pfyxxdamzwpp5v00xdx5" timestamp="1420728219"&gt;353&lt;/key&gt;&lt;/foreign-keys&gt;&lt;ref-type name="Journal Article"&gt;17&lt;/ref-type&gt;&lt;contributors&gt;&lt;authors&gt;&lt;author&gt;Curran, Mary Ann&lt;/author&gt;&lt;/authors&gt;&lt;/contributors&gt;&lt;titles&gt;&lt;title&gt;Life Cycle Assessment: a review of the methodology and its application to sustainability&lt;/title&gt;&lt;secondary-title&gt;Current Opinion in Chemical Engineering&lt;/secondary-title&gt;&lt;/titles&gt;&lt;periodical&gt;&lt;full-title&gt;Current Opinion in Chemical Engineering&lt;/full-title&gt;&lt;/periodical&gt;&lt;pages&gt;273-277&lt;/pages&gt;&lt;volume&gt;2&lt;/volume&gt;&lt;number&gt;3&lt;/number&gt;&lt;dates&gt;&lt;year&gt;2013&lt;/year&gt;&lt;pub-dates&gt;&lt;date&gt;8//&lt;/date&gt;&lt;/pub-dates&gt;&lt;/dates&gt;&lt;isbn&gt;2211-3398&lt;/isbn&gt;&lt;urls&gt;&lt;related-urls&gt;&lt;url&gt;http://www.sciencedirect.com/science/article/pii/S2211339813000221&lt;/url&gt;&lt;/related-urls&gt;&lt;/urls&gt;&lt;electronic-resource-num&gt;http://dx.doi.org/10.1016/j.coche.2013.02.002&lt;/electronic-resource-num&gt;&lt;/record&gt;&lt;/Cite&gt;&lt;/EndNote&gt;</w:instrText>
      </w:r>
      <w:r>
        <w:rPr>
          <w:rFonts w:eastAsia="Calibri"/>
        </w:rPr>
        <w:fldChar w:fldCharType="separate"/>
      </w:r>
      <w:r>
        <w:rPr>
          <w:rFonts w:eastAsia="Calibri"/>
          <w:noProof/>
        </w:rPr>
        <w:t>(Chomkhamsri &amp; Pelletier, 2011; Curran, 2013)</w:t>
      </w:r>
      <w:r>
        <w:rPr>
          <w:rFonts w:eastAsia="Calibri"/>
        </w:rPr>
        <w:fldChar w:fldCharType="end"/>
      </w:r>
      <w:r w:rsidRPr="00FE6710">
        <w:rPr>
          <w:rFonts w:eastAsia="Calibri"/>
        </w:rPr>
        <w:t>.</w:t>
      </w:r>
      <w:r>
        <w:rPr>
          <w:rFonts w:eastAsia="Calibri"/>
        </w:rPr>
        <w:t xml:space="preserve"> </w:t>
      </w:r>
      <w:r>
        <w:rPr>
          <w:lang w:val="en-IE" w:eastAsia="en-IE"/>
        </w:rPr>
        <w:t xml:space="preserve">Carbon footprinting is considered as a universal method of presenting the environmental impacts of a product or service </w:t>
      </w:r>
      <w:r>
        <w:rPr>
          <w:lang w:val="en-IE" w:eastAsia="en-IE"/>
        </w:rPr>
        <w:fldChar w:fldCharType="begin"/>
      </w:r>
      <w:r>
        <w:rPr>
          <w:lang w:val="en-IE" w:eastAsia="en-IE"/>
        </w:rPr>
        <w:instrText xml:space="preserve"> ADDIN EN.CITE &lt;EndNote&gt;&lt;Cite&gt;&lt;Author&gt;BSI&lt;/Author&gt;&lt;Year&gt;2011&lt;/Year&gt;&lt;RecNum&gt;181&lt;/RecNum&gt;&lt;DisplayText&gt;(BSI, 2011)&lt;/DisplayText&gt;&lt;record&gt;&lt;rec-number&gt;181&lt;/rec-number&gt;&lt;foreign-keys&gt;&lt;key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8&lt;/isbn&gt;&lt;urls&gt;&lt;/urls&gt;&lt;/record&gt;&lt;/Cite&gt;&lt;/EndNote&gt;</w:instrText>
      </w:r>
      <w:r>
        <w:rPr>
          <w:lang w:val="en-IE" w:eastAsia="en-IE"/>
        </w:rPr>
        <w:fldChar w:fldCharType="separate"/>
      </w:r>
      <w:r>
        <w:rPr>
          <w:noProof/>
          <w:lang w:val="en-IE" w:eastAsia="en-IE"/>
        </w:rPr>
        <w:t>(BSI, 2011)</w:t>
      </w:r>
      <w:r>
        <w:rPr>
          <w:lang w:val="en-IE" w:eastAsia="en-IE"/>
        </w:rPr>
        <w:fldChar w:fldCharType="end"/>
      </w:r>
      <w:r>
        <w:rPr>
          <w:lang w:val="en-IE" w:eastAsia="en-IE"/>
        </w:rPr>
        <w:t xml:space="preserve">, and has been used as the sole indicator by a number of LCA studies for the construction industry </w:t>
      </w:r>
      <w:r>
        <w:rPr>
          <w:lang w:val="en-IE" w:eastAsia="en-IE"/>
        </w:rPr>
        <w:fldChar w:fldCharType="begin">
          <w:fldData xml:space="preserve">PEVuZE5vdGU+PENpdGU+PEF1dGhvcj5CYXNiYWdpbGw8L0F1dGhvcj48WWVhcj4yMDEzPC9ZZWFy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</w:fldData>
        </w:fldChar>
      </w:r>
      <w:r>
        <w:rPr>
          <w:lang w:val="en-IE" w:eastAsia="en-IE"/>
        </w:rPr>
        <w:instrText xml:space="preserve"> ADDIN EN.CITE </w:instrText>
      </w:r>
      <w:r>
        <w:rPr>
          <w:lang w:val="en-IE" w:eastAsia="en-IE"/>
        </w:rPr>
        <w:fldChar w:fldCharType="begin">
          <w:fldData xml:space="preserve">PEVuZE5vdGU+PENpdGU+PEF1dGhvcj5CYXNiYWdpbGw8L0F1dGhvcj48WWVhcj4yMDEzPC9ZZWFy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</w:fldData>
        </w:fldChar>
      </w:r>
      <w:r>
        <w:rPr>
          <w:lang w:val="en-IE" w:eastAsia="en-IE"/>
        </w:rPr>
        <w:instrText xml:space="preserve"> ADDIN EN.CITE.DATA </w:instrText>
      </w:r>
      <w:r>
        <w:rPr>
          <w:lang w:val="en-IE" w:eastAsia="en-IE"/>
        </w:rPr>
      </w:r>
      <w:r>
        <w:rPr>
          <w:lang w:val="en-IE" w:eastAsia="en-IE"/>
        </w:rPr>
        <w:fldChar w:fldCharType="end"/>
      </w:r>
      <w:r>
        <w:rPr>
          <w:lang w:val="en-IE" w:eastAsia="en-IE"/>
        </w:rPr>
      </w:r>
      <w:r>
        <w:rPr>
          <w:lang w:val="en-IE" w:eastAsia="en-IE"/>
        </w:rPr>
        <w:fldChar w:fldCharType="separate"/>
      </w:r>
      <w:r>
        <w:rPr>
          <w:noProof/>
          <w:lang w:val="en-IE" w:eastAsia="en-IE"/>
        </w:rPr>
        <w:t>(Kenny et al., 2010; Basbagill et al., 2013)</w:t>
      </w:r>
      <w:r>
        <w:rPr>
          <w:lang w:val="en-IE" w:eastAsia="en-IE"/>
        </w:rPr>
        <w:fldChar w:fldCharType="end"/>
      </w:r>
      <w:r>
        <w:rPr>
          <w:lang w:val="en-IE" w:eastAsia="en-IE"/>
        </w:rPr>
        <w:t xml:space="preserve">. Furthermore, guidelines developed by the Waste and Resource Action Programme </w:t>
      </w:r>
      <w:r>
        <w:rPr>
          <w:lang w:val="en-IE" w:eastAsia="en-IE"/>
        </w:rPr>
        <w:fldChar w:fldCharType="begin"/>
      </w:r>
      <w:r>
        <w:rPr>
          <w:lang w:val="en-IE" w:eastAsia="en-IE"/>
        </w:rPr>
        <w:instrText xml:space="preserve"> ADDIN EN.CITE &lt;EndNote&gt;&lt;Cite&gt;&lt;Author&gt;WRAP&lt;/Author&gt;&lt;Year&gt;2012&lt;/Year&gt;&lt;RecNum&gt;379&lt;/RecNum&gt;&lt;DisplayText&gt;(WRAP, 2012)&lt;/DisplayText&gt;&lt;record&gt;&lt;rec-number&gt;379&lt;/rec-number&gt;&lt;foreign-keys&gt;&lt;key app="EN" db-id="e9rav2ttda9t9re5pfyxxdamzwpp5v00xdx5" timestamp="1426071073"&gt;379&lt;/key&gt;&lt;/foreign-keys&gt;&lt;ref-type name="Online Multimedia"&gt;48&lt;/ref-type&gt;&lt;contributors&gt;&lt;authors&gt;&lt;author&gt;WRAP,&lt;/author&gt;&lt;/authors&gt;&lt;/contributors&gt;&lt;titles&gt;&lt;title&gt;Cutting embodied carbon in construction projects&lt;/title&gt;&lt;/titles&gt;&lt;dates&gt;&lt;year&gt;2012&lt;/year&gt;&lt;/dates&gt;&lt;publisher&gt;Waste &amp;amp; Resource Action Programme&lt;/publisher&gt;&lt;work-type&gt;Information sheet for construction clients and designers&lt;/work-type&gt;&lt;urls&gt;&lt;related-urls&gt;&lt;url&gt;http://www.wrap.org.uk/sites/files/wrap/FINAL%20PRO095-009%20Embodied%20Carbon%20Annex.pdf&lt;/url&gt;&lt;/related-urls&gt;&lt;/urls&gt;&lt;/record&gt;&lt;/Cite&gt;&lt;/EndNote&gt;</w:instrText>
      </w:r>
      <w:r>
        <w:rPr>
          <w:lang w:val="en-IE" w:eastAsia="en-IE"/>
        </w:rPr>
        <w:fldChar w:fldCharType="separate"/>
      </w:r>
      <w:r>
        <w:rPr>
          <w:noProof/>
          <w:lang w:val="en-IE" w:eastAsia="en-IE"/>
        </w:rPr>
        <w:t>(WRAP, 2012)</w:t>
      </w:r>
      <w:r>
        <w:rPr>
          <w:lang w:val="en-IE" w:eastAsia="en-IE"/>
        </w:rPr>
        <w:fldChar w:fldCharType="end"/>
      </w:r>
      <w:r>
        <w:rPr>
          <w:lang w:val="en-IE" w:eastAsia="en-IE"/>
        </w:rPr>
        <w:t xml:space="preserve"> outline carbon as the sole indicator for environmental impacts in material selection</w:t>
      </w:r>
      <w:r w:rsidRPr="00716393">
        <w:rPr>
          <w:lang w:val="en-IE" w:eastAsia="en-IE"/>
        </w:rPr>
        <w:t xml:space="preserve"> </w:t>
      </w:r>
      <w:r>
        <w:rPr>
          <w:lang w:val="en-IE" w:eastAsia="en-IE"/>
        </w:rPr>
        <w:t>for the construction sector. The focus on carbon footprinting risks under- or over-estimating overall life cycle burdens, and savings potentials, when evaluating ecodesign options for renewable energy systems.</w:t>
      </w:r>
    </w:p>
    <w:p w14:paraId="124AA7F0" w14:textId="77777777" w:rsidR="00525CE1" w:rsidRPr="00FE6710" w:rsidRDefault="00525CE1" w:rsidP="006846D7">
      <w:pPr>
        <w:spacing w:line="480" w:lineRule="auto"/>
        <w:rPr>
          <w:rFonts w:eastAsia="Calibri"/>
        </w:rPr>
      </w:pPr>
    </w:p>
    <w:p w14:paraId="6F13D449" w14:textId="140F8817" w:rsidR="006846D7" w:rsidRPr="00FE6710" w:rsidRDefault="006846D7" w:rsidP="006846D7">
      <w:pPr>
        <w:spacing w:line="480" w:lineRule="auto"/>
        <w:rPr>
          <w:rFonts w:eastAsia="Calibri"/>
        </w:rPr>
      </w:pPr>
      <w:r w:rsidRPr="00FE6710">
        <w:rPr>
          <w:rFonts w:eastAsia="Calibri"/>
        </w:rPr>
        <w:t xml:space="preserve">Significant quantities of embodied energy </w:t>
      </w:r>
      <w:r>
        <w:rPr>
          <w:rFonts w:eastAsia="Calibri"/>
        </w:rPr>
        <w:t>are included from</w:t>
      </w:r>
      <w:r w:rsidRPr="00FE6710">
        <w:rPr>
          <w:rFonts w:eastAsia="Calibri"/>
        </w:rPr>
        <w:t xml:space="preserve"> raw materials</w:t>
      </w:r>
      <w:r>
        <w:rPr>
          <w:rFonts w:eastAsia="Calibri"/>
        </w:rPr>
        <w:t xml:space="preserve">, component </w:t>
      </w:r>
      <w:r w:rsidRPr="00FE6710">
        <w:rPr>
          <w:rFonts w:eastAsia="Calibri"/>
        </w:rPr>
        <w:t xml:space="preserve">manufacturing </w:t>
      </w:r>
      <w:r>
        <w:rPr>
          <w:rFonts w:eastAsia="Calibri"/>
        </w:rPr>
        <w:t>and construction of</w:t>
      </w:r>
      <w:r w:rsidRPr="00FE6710">
        <w:rPr>
          <w:rFonts w:eastAsia="Calibri"/>
        </w:rPr>
        <w:t xml:space="preserve"> HP projects </w:t>
      </w:r>
      <w:r>
        <w:rPr>
          <w:rFonts w:eastAsia="Calibri"/>
        </w:rPr>
        <w:fldChar w:fldCharType="begin"/>
      </w:r>
      <w:r w:rsidR="00F5035F">
        <w:rPr>
          <w:rFonts w:eastAsia="Calibri"/>
        </w:rPr>
        <w:instrText xml:space="preserve"> ADDIN EN.CITE &lt;EndNote&gt;&lt;Cite&gt;&lt;Author&gt;Rule&lt;/Author&gt;&lt;Year&gt;2009&lt;/Year&gt;&lt;RecNum&gt;238&lt;/RecNum&gt;&lt;DisplayText&gt;(Rule et al., 2009)&lt;/DisplayText&gt;&lt;record&gt;&lt;rec-number&gt;238&lt;/rec-number&gt;&lt;foreign-keys&gt;&lt;key app="EN" db-id="e9rav2ttda9t9re5pfyxxdamzwpp5v00xdx5" timestamp="1382455297"&gt;238&lt;/key&gt;&lt;/foreign-keys&gt;&lt;ref-type name="Journal Article"&gt;17&lt;/ref-type&gt;&lt;contributors&gt;&lt;authors&gt;&lt;author&gt;Rule, B. M.&lt;/author&gt;&lt;author&gt;Worth, Z. J.&lt;/author&gt;&lt;author&gt;Boyle, C. A.&lt;/author&gt;&lt;/authors&gt;&lt;/contributors&gt;&lt;auth-address&gt;Department of Civil and Environmental Engineering, The University of Auckland, Private Bag 92019, Auckland Mail Centre, Auckland 1142, New Zealand brul001@aucklanduni.ac.nz&lt;/auth-address&gt;&lt;titles&gt;&lt;title&gt;Comparison of life cycle carbon dioxide emissions and embodied energy in four renewable electricity generation technologies in New Zealand&lt;/title&gt;&lt;secondary-title&gt;Environ Sci Technol&lt;/secondary-title&gt;&lt;alt-title&gt;Environmental science &amp;amp; technology&lt;/alt-title&gt;&lt;/titles&gt;&lt;periodical&gt;&lt;full-title&gt;Environ Sci Technol&lt;/full-title&gt;&lt;abbr-1&gt;Environmental science &amp;amp; technology&lt;/abbr-1&gt;&lt;/periodical&gt;&lt;alt-periodical&gt;&lt;full-title&gt;Environ Sci Technol&lt;/full-title&gt;&lt;abbr-1&gt;Environmental science &amp;amp; technology&lt;/abbr-1&gt;&lt;/alt-periodical&gt;&lt;pages&gt;6406-13&lt;/pages&gt;&lt;volume&gt;43&lt;/volume&gt;&lt;number&gt;16&lt;/number&gt;&lt;edition&gt;2009/09/15&lt;/edition&gt;&lt;keywords&gt;&lt;keyword&gt;Carbon Dioxide/ analysis&lt;/keyword&gt;&lt;keyword&gt;Conservation of Energy Resources&lt;/keyword&gt;&lt;keyword&gt;Electric Power Supplies&lt;/keyword&gt;&lt;keyword&gt;Electricity&lt;/keyword&gt;&lt;keyword&gt;New Zealand&lt;/keyword&gt;&lt;keyword&gt;Technology&lt;/keyword&gt;&lt;keyword&gt;Thermodynamics&lt;/keyword&gt;&lt;/keywords&gt;&lt;dates&gt;&lt;year&gt;2009&lt;/year&gt;&lt;pub-dates&gt;&lt;date&gt;Aug 15&lt;/date&gt;&lt;/pub-dates&gt;&lt;/dates&gt;&lt;isbn&gt;0013-936X (Print)&amp;#xD;0013-936X (Linking)&lt;/isbn&gt;&lt;accession-num&gt;19746744&lt;/accession-num&gt;&lt;urls&gt;&lt;/urls&gt;&lt;remote-database-provider&gt;NLM&lt;/remote-database-provider&gt;&lt;language&gt;eng&lt;/language&gt;&lt;/record&gt;&lt;/Cite&gt;&lt;/EndNote&gt;</w:instrText>
      </w:r>
      <w:r>
        <w:rPr>
          <w:rFonts w:eastAsia="Calibri"/>
        </w:rPr>
        <w:fldChar w:fldCharType="separate"/>
      </w:r>
      <w:r w:rsidR="00F5035F">
        <w:rPr>
          <w:rFonts w:eastAsia="Calibri"/>
          <w:noProof/>
        </w:rPr>
        <w:t>(Rule et al., 2009)</w:t>
      </w:r>
      <w:r>
        <w:rPr>
          <w:rFonts w:eastAsia="Calibri"/>
        </w:rPr>
        <w:fldChar w:fldCharType="end"/>
      </w:r>
      <w:r w:rsidRPr="00FE6710">
        <w:rPr>
          <w:rFonts w:eastAsia="Calibri"/>
        </w:rPr>
        <w:t xml:space="preserve">. </w:t>
      </w:r>
      <w:r w:rsidR="001732A5">
        <w:rPr>
          <w:rFonts w:eastAsia="Calibri"/>
        </w:rPr>
        <w:t>However, r</w:t>
      </w:r>
      <w:r w:rsidRPr="00FE6710">
        <w:rPr>
          <w:rFonts w:eastAsia="Calibri"/>
        </w:rPr>
        <w:t xml:space="preserve">eporting </w:t>
      </w:r>
      <w:r>
        <w:rPr>
          <w:rFonts w:eastAsia="Calibri"/>
        </w:rPr>
        <w:t xml:space="preserve">on </w:t>
      </w:r>
      <w:r w:rsidRPr="00FE6710">
        <w:rPr>
          <w:rFonts w:eastAsia="Calibri"/>
        </w:rPr>
        <w:t>the environmental impacts of renewable energy projects ha</w:t>
      </w:r>
      <w:r>
        <w:rPr>
          <w:rFonts w:eastAsia="Calibri"/>
        </w:rPr>
        <w:t>s</w:t>
      </w:r>
      <w:r w:rsidRPr="00FE6710">
        <w:rPr>
          <w:rFonts w:eastAsia="Calibri"/>
        </w:rPr>
        <w:t xml:space="preserve"> typically focused on carbon</w:t>
      </w:r>
      <w:r>
        <w:rPr>
          <w:rFonts w:eastAsia="Calibri"/>
        </w:rPr>
        <w:t>.</w:t>
      </w:r>
      <w:r w:rsidRPr="00FE6710">
        <w:rPr>
          <w:rFonts w:eastAsia="Calibri"/>
        </w:rPr>
        <w:t xml:space="preserve"> </w:t>
      </w:r>
      <w:r>
        <w:rPr>
          <w:rFonts w:eastAsia="Calibri"/>
        </w:rPr>
        <w:fldChar w:fldCharType="begin"/>
      </w:r>
      <w:r w:rsidR="00F5035F">
        <w:rPr>
          <w:rFonts w:eastAsia="Calibri"/>
        </w:rPr>
        <w:instrText xml:space="preserve"> ADDIN EN.CITE &lt;EndNote&gt;&lt;Cite AuthorYear="1"&gt;&lt;Author&gt;Rule&lt;/Author&gt;&lt;Year&gt;2009&lt;/Year&gt;&lt;RecNum&gt;238&lt;/RecNum&gt;&lt;DisplayText&gt;Rule et al. (2009)&lt;/DisplayText&gt;&lt;record&gt;&lt;rec-number&gt;238&lt;/rec-number&gt;&lt;foreign-keys&gt;&lt;key app="EN" db-id="e9rav2ttda9t9re5pfyxxdamzwpp5v00xdx5" timestamp="1382455297"&gt;238&lt;/key&gt;&lt;/foreign-keys&gt;&lt;ref-type name="Journal Article"&gt;17&lt;/ref-type&gt;&lt;contributors&gt;&lt;authors&gt;&lt;author&gt;Rule, B. M.&lt;/author&gt;&lt;author&gt;Worth, Z. J.&lt;/author&gt;&lt;author&gt;Boyle, C. A.&lt;/author&gt;&lt;/authors&gt;&lt;/contributors&gt;&lt;auth-address&gt;Department of Civil and Environmental Engineering, The University of Auckland, Private Bag 92019, Auckland Mail Centre, Auckland 1142, New Zealand brul001@aucklanduni.ac.nz&lt;/auth-address&gt;&lt;titles&gt;&lt;title&gt;Comparison of life cycle carbon dioxide emissions and embodied energy in four renewable electricity generation technologies in New Zealand&lt;/title&gt;&lt;secondary-title&gt;Environ Sci Technol&lt;/secondary-title&gt;&lt;alt-title&gt;Environmental science &amp;amp; technology&lt;/alt-title&gt;&lt;/titles&gt;&lt;periodical&gt;&lt;full-title&gt;Environ Sci Technol&lt;/full-title&gt;&lt;abbr-1&gt;Environmental science &amp;amp; technology&lt;/abbr-1&gt;&lt;/periodical&gt;&lt;alt-periodical&gt;&lt;full-title&gt;Environ Sci Technol&lt;/full-title&gt;&lt;abbr-1&gt;Environmental science &amp;amp; technology&lt;/abbr-1&gt;&lt;/alt-periodical&gt;&lt;pages&gt;6406-13&lt;/pages&gt;&lt;volume&gt;43&lt;/volume&gt;&lt;number&gt;16&lt;/number&gt;&lt;edition&gt;2009/09/15&lt;/edition&gt;&lt;keywords&gt;&lt;keyword&gt;Carbon Dioxide/ analysis&lt;/keyword&gt;&lt;keyword&gt;Conservation of Energy Resources&lt;/keyword&gt;&lt;keyword&gt;Electric Power Supplies&lt;/keyword&gt;&lt;keyword&gt;Electricity&lt;/keyword&gt;&lt;keyword&gt;New Zealand&lt;/keyword&gt;&lt;keyword&gt;Technology&lt;/keyword&gt;&lt;keyword&gt;Thermodynamics&lt;/keyword&gt;&lt;/keywords&gt;&lt;dates&gt;&lt;year&gt;2009&lt;/year&gt;&lt;pub-dates&gt;&lt;date&gt;Aug 15&lt;/date&gt;&lt;/pub-dates&gt;&lt;/dates&gt;&lt;isbn&gt;0013-936X (Print)&amp;#xD;0013-936X (Linking)&lt;/isbn&gt;&lt;accession-num&gt;19746744&lt;/accession-num&gt;&lt;urls&gt;&lt;/urls&gt;&lt;remote-database-provider&gt;NLM&lt;/remote-database-provider&gt;&lt;language&gt;eng&lt;/language&gt;&lt;/record&gt;&lt;/Cite&gt;&lt;/EndNote&gt;</w:instrText>
      </w:r>
      <w:r>
        <w:rPr>
          <w:rFonts w:eastAsia="Calibri"/>
        </w:rPr>
        <w:fldChar w:fldCharType="separate"/>
      </w:r>
      <w:r w:rsidR="00F5035F">
        <w:rPr>
          <w:rFonts w:eastAsia="Calibri"/>
          <w:noProof/>
        </w:rPr>
        <w:t>Rule et al. (2009)</w:t>
      </w:r>
      <w:r>
        <w:rPr>
          <w:rFonts w:eastAsia="Calibri"/>
        </w:rPr>
        <w:fldChar w:fldCharType="end"/>
      </w:r>
      <w:r w:rsidRPr="00FE6710">
        <w:rPr>
          <w:rFonts w:eastAsia="Calibri"/>
        </w:rPr>
        <w:t xml:space="preserve"> noted that the use of natural resources and embodied energy</w:t>
      </w:r>
      <w:r w:rsidR="006B6072">
        <w:rPr>
          <w:rFonts w:eastAsia="Calibri"/>
        </w:rPr>
        <w:t>,</w:t>
      </w:r>
      <w:r w:rsidRPr="00FE6710">
        <w:rPr>
          <w:rFonts w:eastAsia="Calibri"/>
        </w:rPr>
        <w:t xml:space="preserve"> or ‘emergy’</w:t>
      </w:r>
      <w:r w:rsidR="006B6072">
        <w:rPr>
          <w:rFonts w:eastAsia="Calibri"/>
        </w:rPr>
        <w:t>,</w:t>
      </w:r>
      <w:r w:rsidRPr="00FE6710">
        <w:rPr>
          <w:rFonts w:eastAsia="Calibri"/>
        </w:rPr>
        <w:t xml:space="preserve"> has not widely been used as an indicator of sustainability. The depletion of abiotic resources has received more interest in recent years as current production and demands for raw materials continues to grow </w:t>
      </w:r>
      <w:r>
        <w:rPr>
          <w:rFonts w:eastAsia="Calibri"/>
        </w:rPr>
        <w:fldChar w:fldCharType="begin">
          <w:fldData xml:space="preserve">PEVuZE5vdGU+PENpdGU+PEF1dGhvcj5ZZWxsaXNoZXR0eTwvQXV0aG9yPjxZZWFyPjIwMTE8L1ll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</w:fldData>
        </w:fldChar>
      </w:r>
      <w:r w:rsidR="00F5035F">
        <w:rPr>
          <w:rFonts w:eastAsia="Calibri"/>
        </w:rPr>
        <w:instrText xml:space="preserve"> ADDIN EN.CITE </w:instrText>
      </w:r>
      <w:r w:rsidR="00F5035F">
        <w:rPr>
          <w:rFonts w:eastAsia="Calibri"/>
        </w:rPr>
        <w:fldChar w:fldCharType="begin">
          <w:fldData xml:space="preserve">PEVuZE5vdGU+PENpdGU+PEF1dGhvcj5ZZWxsaXNoZXR0eTwvQXV0aG9yPjxZZWFyPjIwMTE8L1ll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</w:fldData>
        </w:fldChar>
      </w:r>
      <w:r w:rsidR="00F5035F">
        <w:rPr>
          <w:rFonts w:eastAsia="Calibri"/>
        </w:rPr>
        <w:instrText xml:space="preserve"> ADDIN EN.CITE.DATA </w:instrText>
      </w:r>
      <w:r w:rsidR="00F5035F">
        <w:rPr>
          <w:rFonts w:eastAsia="Calibri"/>
        </w:rPr>
      </w:r>
      <w:r w:rsidR="00F5035F">
        <w:rPr>
          <w:rFonts w:eastAsia="Calibri"/>
        </w:rPr>
        <w:fldChar w:fldCharType="end"/>
      </w:r>
      <w:r>
        <w:rPr>
          <w:rFonts w:eastAsia="Calibri"/>
        </w:rPr>
      </w:r>
      <w:r>
        <w:rPr>
          <w:rFonts w:eastAsia="Calibri"/>
        </w:rPr>
        <w:fldChar w:fldCharType="separate"/>
      </w:r>
      <w:r w:rsidR="00F5035F">
        <w:rPr>
          <w:rFonts w:eastAsia="Calibri"/>
          <w:noProof/>
        </w:rPr>
        <w:t>(Muilerman &amp; Blonk, 2001; Yellishetty et al., 2011; Klinglmair et al., 2014)</w:t>
      </w:r>
      <w:r>
        <w:rPr>
          <w:rFonts w:eastAsia="Calibri"/>
        </w:rPr>
        <w:fldChar w:fldCharType="end"/>
      </w:r>
      <w:r w:rsidRPr="00FE6710">
        <w:rPr>
          <w:rFonts w:eastAsia="Calibri"/>
        </w:rPr>
        <w:t xml:space="preserve">. The concept of ‘dematerialisation’ has been considered to reduce consumption by increasing material efficiency, promoting material shifts and increasing the reuse and recycling of products </w:t>
      </w:r>
      <w:r>
        <w:rPr>
          <w:rFonts w:eastAsia="Calibri"/>
        </w:rPr>
        <w:fldChar w:fldCharType="begin"/>
      </w:r>
      <w:r w:rsidR="00F5035F">
        <w:rPr>
          <w:rFonts w:eastAsia="Calibri"/>
        </w:rPr>
        <w:instrText xml:space="preserve"> ADDIN EN.CITE &lt;EndNote&gt;&lt;Cite&gt;&lt;Author&gt;van der Voet&lt;/Author&gt;&lt;Year&gt;2004&lt;/Year&gt;&lt;RecNum&gt;378&lt;/RecNum&gt;&lt;DisplayText&gt;(van der Voet et al., 2004)&lt;/DisplayText&gt;&lt;record&gt;&lt;rec-number&gt;378&lt;/rec-number&gt;&lt;foreign-keys&gt;&lt;key app="EN" db-id="e9rav2ttda9t9re5pfyxxdamzwpp5v00xdx5" timestamp="1425920924"&gt;378&lt;/key&gt;&lt;/foreign-keys&gt;&lt;ref-type name="Journal Article"&gt;17&lt;/ref-type&gt;&lt;contributors&gt;&lt;authors&gt;&lt;author&gt;van der Voet, Ester&lt;/author&gt;&lt;author&gt;van Oers, Lauran&lt;/author&gt;&lt;author&gt;Nikolic, Igor&lt;/author&gt;&lt;/authors&gt;&lt;/contributors&gt;&lt;titles&gt;&lt;title&gt;Dematerialization: Not Just a Matter of Weight&lt;/title&gt;&lt;secondary-title&gt;Journal of Industrial Ecology&lt;/secondary-title&gt;&lt;/titles&gt;&lt;periodical&gt;&lt;full-title&gt;Journal of Industrial Ecology&lt;/full-title&gt;&lt;/periodical&gt;&lt;pages&gt;121-137&lt;/pages&gt;&lt;volume&gt;8&lt;/volume&gt;&lt;number&gt;4&lt;/number&gt;&lt;keywords&gt;&lt;keyword&gt;dematerialization&lt;/keyword&gt;&lt;keyword&gt;environmental impacts&lt;/keyword&gt;&lt;keyword&gt;indicators&lt;/keyword&gt;&lt;keyword&gt;life-cycle assessment (LCA)&lt;/keyword&gt;&lt;keyword&gt;materials&lt;/keyword&gt;&lt;keyword&gt;materials flow analysis&lt;/keyword&gt;&lt;/keywords&gt;&lt;dates&gt;&lt;year&gt;2004&lt;/year&gt;&lt;/dates&gt;&lt;publisher&gt;MIT Press&lt;/publisher&gt;&lt;isbn&gt;1530-9290&lt;/isbn&gt;&lt;urls&gt;&lt;related-urls&gt;&lt;url&gt;http://dx.doi.org/10.1162/1088198043630432&lt;/url&gt;&lt;/related-urls&gt;&lt;/urls&gt;&lt;electronic-resource-num&gt;10.1162/1088198043630432&lt;/electronic-resource-num&gt;&lt;/record&gt;&lt;/Cite&gt;&lt;/EndNote&gt;</w:instrText>
      </w:r>
      <w:r>
        <w:rPr>
          <w:rFonts w:eastAsia="Calibri"/>
        </w:rPr>
        <w:fldChar w:fldCharType="separate"/>
      </w:r>
      <w:r w:rsidR="00F5035F">
        <w:rPr>
          <w:rFonts w:eastAsia="Calibri"/>
          <w:noProof/>
        </w:rPr>
        <w:t>(van der Voet et al., 2004)</w:t>
      </w:r>
      <w:r>
        <w:rPr>
          <w:rFonts w:eastAsia="Calibri"/>
        </w:rPr>
        <w:fldChar w:fldCharType="end"/>
      </w:r>
      <w:r w:rsidRPr="00FE6710">
        <w:rPr>
          <w:rFonts w:eastAsia="Calibri"/>
        </w:rPr>
        <w:t xml:space="preserve">. </w:t>
      </w:r>
    </w:p>
    <w:p w14:paraId="3947EE7B" w14:textId="77777777" w:rsidR="00525CE1" w:rsidRDefault="00525CE1" w:rsidP="006846D7">
      <w:pPr>
        <w:spacing w:line="480" w:lineRule="auto"/>
        <w:rPr>
          <w:rFonts w:eastAsia="Calibri"/>
        </w:rPr>
      </w:pPr>
    </w:p>
    <w:p w14:paraId="765D53EB" w14:textId="3A8F1B5F" w:rsidR="00D20C4D" w:rsidRDefault="00D20C4D" w:rsidP="00D20C4D">
      <w:pPr>
        <w:spacing w:line="480" w:lineRule="auto"/>
        <w:rPr>
          <w:rFonts w:eastAsia="Calibri"/>
        </w:rPr>
      </w:pPr>
      <w:r>
        <w:rPr>
          <w:rFonts w:eastAsia="Calibri"/>
        </w:rPr>
        <w:t>For the majority of LCA studies of HP installations, the focus has been on GHG emissions and the associated carbon</w:t>
      </w:r>
      <w:r w:rsidR="00301E2A">
        <w:rPr>
          <w:rFonts w:eastAsia="Calibri"/>
        </w:rPr>
        <w:t xml:space="preserve"> </w:t>
      </w:r>
      <w:r>
        <w:rPr>
          <w:rFonts w:eastAsia="Calibri"/>
        </w:rPr>
        <w:t xml:space="preserve">footprint of </w:t>
      </w:r>
      <w:r w:rsidR="00C02DC8">
        <w:rPr>
          <w:rFonts w:eastAsia="Calibri"/>
        </w:rPr>
        <w:t>a</w:t>
      </w:r>
      <w:r>
        <w:rPr>
          <w:rFonts w:eastAsia="Calibri"/>
        </w:rPr>
        <w:t xml:space="preserve"> project. For example, </w:t>
      </w:r>
      <w:r>
        <w:rPr>
          <w:rFonts w:eastAsia="Calibri"/>
        </w:rPr>
        <w:fldChar w:fldCharType="begin"/>
      </w:r>
      <w:r>
        <w:rPr>
          <w:rFonts w:eastAsia="Calibri"/>
        </w:rPr>
        <w:instrText xml:space="preserve"> ADDIN EN.CITE &lt;EndNote&gt;&lt;Cite AuthorYear="1"&gt;&lt;Author&gt;Zhang&lt;/Author&gt;&lt;Year&gt;2015&lt;/Year&gt;&lt;RecNum&gt;471&lt;/RecNum&gt;&lt;DisplayText&gt;Zhang et al. (2015)&lt;/DisplayText&gt;&lt;record&gt;&lt;rec-number&gt;471&lt;/rec-number&gt;&lt;foreign-keys&gt;&lt;key app="EN" db-id="e9rav2ttda9t9re5pfyxxdamzwpp5v00xdx5" timestamp="1443789682"&gt;471&lt;/key&gt;&lt;/foreign-keys&gt;&lt;ref-type name="Journal Article"&gt;17&lt;/ref-type&gt;&lt;contributors&gt;&lt;authors&gt;&lt;author&gt;Zhang, Sherong&lt;/author&gt;&lt;author&gt;Pang, Bohui&lt;/author&gt;&lt;author&gt;Zhang, Zongliang&lt;/author&gt;&lt;/authors&gt;&lt;/contributors&gt;&lt;titles&gt;&lt;title&gt;Carbon footprint analysis of two different types of hydropower schemes: comparing earth-rockfill dams and concrete gravity dams using hybrid life cycle assessment&lt;/title&gt;&lt;secondary-title&gt;Journal of Cleaner Production&lt;/secondary-title&gt;&lt;/titles&gt;&lt;periodical&gt;&lt;full-title&gt;Journal of Cleaner Production&lt;/full-title&gt;&lt;/periodical&gt;&lt;pages&gt;854-862&lt;/pages&gt;&lt;volume&gt;103&lt;/volume&gt;&lt;keywords&gt;&lt;keyword&gt;Hydropower scheme&lt;/keyword&gt;&lt;keyword&gt;Carbon footprint&lt;/keyword&gt;&lt;keyword&gt;Earth-rockfill dam&lt;/keyword&gt;&lt;keyword&gt;Concrete gravity dam&lt;/keyword&gt;&lt;keyword&gt;Hybrid life cycle assessment&lt;/keyword&gt;&lt;/keywords&gt;&lt;dates&gt;&lt;year&gt;2015&lt;/year&gt;&lt;pub-dates&gt;&lt;date&gt;9/15/&lt;/date&gt;&lt;/pub-dates&gt;&lt;/dates&gt;&lt;isbn&gt;0959-6526&lt;/isbn&gt;&lt;urls&gt;&lt;related-urls&gt;&lt;url&gt;http://www.sciencedirect.com/science/article/pii/S0959652614006416&lt;/url&gt;&lt;/related-urls&gt;&lt;/urls&gt;&lt;electronic-resource-num&gt;http://dx.doi.org/10.1016/j.jclepro.2014.06.053&lt;/electronic-resource-num&gt;&lt;/record&gt;&lt;/Cite&gt;&lt;/EndNote&gt;</w:instrText>
      </w:r>
      <w:r>
        <w:rPr>
          <w:rFonts w:eastAsia="Calibri"/>
        </w:rPr>
        <w:fldChar w:fldCharType="separate"/>
      </w:r>
      <w:r>
        <w:rPr>
          <w:rFonts w:eastAsia="Calibri"/>
          <w:noProof/>
        </w:rPr>
        <w:t>Zhang et al. (2015)</w:t>
      </w:r>
      <w:r>
        <w:rPr>
          <w:rFonts w:eastAsia="Calibri"/>
        </w:rPr>
        <w:fldChar w:fldCharType="end"/>
      </w:r>
      <w:r>
        <w:rPr>
          <w:rFonts w:eastAsia="Calibri"/>
        </w:rPr>
        <w:t xml:space="preserve"> compared the carbon</w:t>
      </w:r>
      <w:r w:rsidR="00301E2A">
        <w:rPr>
          <w:rFonts w:eastAsia="Calibri"/>
        </w:rPr>
        <w:t xml:space="preserve"> </w:t>
      </w:r>
      <w:r>
        <w:rPr>
          <w:rFonts w:eastAsia="Calibri"/>
        </w:rPr>
        <w:t xml:space="preserve">footprint of two HP projects, an earth-core rockfill dam (ECRD) and a concrete </w:t>
      </w:r>
      <w:r>
        <w:rPr>
          <w:rFonts w:eastAsia="Calibri"/>
        </w:rPr>
        <w:lastRenderedPageBreak/>
        <w:t>dam, and demonstrated the potential to reduce CO</w:t>
      </w:r>
      <w:r>
        <w:rPr>
          <w:rFonts w:eastAsia="Calibri"/>
          <w:vertAlign w:val="subscript"/>
        </w:rPr>
        <w:t>2</w:t>
      </w:r>
      <w:r>
        <w:rPr>
          <w:rFonts w:eastAsia="Calibri"/>
        </w:rPr>
        <w:t xml:space="preserve"> emissions by almost 25% using the ECRD design. This provides a positive outlook upon alternative construction methods</w:t>
      </w:r>
      <w:r w:rsidR="00C02DC8">
        <w:rPr>
          <w:rFonts w:eastAsia="Calibri"/>
        </w:rPr>
        <w:t>, yet it only presented</w:t>
      </w:r>
      <w:r>
        <w:rPr>
          <w:rFonts w:eastAsia="Calibri"/>
        </w:rPr>
        <w:t xml:space="preserve"> one environmental burden. It is important to examine a range of categories and taking an ecodesign approach to a project, </w:t>
      </w:r>
      <w:r w:rsidR="00C02DC8">
        <w:rPr>
          <w:rFonts w:eastAsia="Calibri"/>
        </w:rPr>
        <w:t xml:space="preserve">even for a renewable energy system like </w:t>
      </w:r>
      <w:r>
        <w:rPr>
          <w:rFonts w:eastAsia="Calibri"/>
        </w:rPr>
        <w:t xml:space="preserve">a HP installation, as there is a need to examine the quantity of </w:t>
      </w:r>
      <w:r w:rsidR="00C02DC8">
        <w:rPr>
          <w:rFonts w:eastAsia="Calibri"/>
        </w:rPr>
        <w:t>natural resources used in addition to the carbon</w:t>
      </w:r>
      <w:r w:rsidR="00301E2A">
        <w:rPr>
          <w:rFonts w:eastAsia="Calibri"/>
        </w:rPr>
        <w:t xml:space="preserve"> </w:t>
      </w:r>
      <w:r w:rsidR="00C02DC8">
        <w:rPr>
          <w:rFonts w:eastAsia="Calibri"/>
        </w:rPr>
        <w:t>footprint of materials and manufacturing processes.</w:t>
      </w:r>
    </w:p>
    <w:p w14:paraId="070F708C" w14:textId="77777777" w:rsidR="00D20C4D" w:rsidRPr="00FE6710" w:rsidRDefault="00D20C4D" w:rsidP="006846D7">
      <w:pPr>
        <w:spacing w:line="480" w:lineRule="auto"/>
        <w:rPr>
          <w:rFonts w:eastAsia="Calibri"/>
        </w:rPr>
      </w:pPr>
    </w:p>
    <w:p w14:paraId="03FB0CB4" w14:textId="65D182C1" w:rsidR="006846D7" w:rsidRPr="00FE6710" w:rsidRDefault="00525CE1" w:rsidP="006846D7">
      <w:pPr>
        <w:spacing w:line="480" w:lineRule="auto"/>
        <w:rPr>
          <w:rFonts w:eastAsia="Calibri"/>
        </w:rPr>
      </w:pPr>
      <w:r>
        <w:rPr>
          <w:rFonts w:eastAsia="Calibri"/>
        </w:rPr>
        <w:t xml:space="preserve">The </w:t>
      </w:r>
      <w:r w:rsidR="006846D7" w:rsidRPr="00FE6710">
        <w:rPr>
          <w:rFonts w:eastAsia="Calibri"/>
        </w:rPr>
        <w:t xml:space="preserve">EU </w:t>
      </w:r>
      <w:r w:rsidR="006B6072">
        <w:rPr>
          <w:rFonts w:eastAsia="Calibri"/>
        </w:rPr>
        <w:t>D</w:t>
      </w:r>
      <w:r w:rsidR="006846D7" w:rsidRPr="00FE6710">
        <w:rPr>
          <w:rFonts w:eastAsia="Calibri"/>
        </w:rPr>
        <w:t>irective 2009/125/EC defines ecodesign as ‘the integration of environmental aspects into product design</w:t>
      </w:r>
      <w:r w:rsidR="006B6072">
        <w:rPr>
          <w:rFonts w:eastAsia="Calibri"/>
        </w:rPr>
        <w:t>,</w:t>
      </w:r>
      <w:r w:rsidR="006846D7" w:rsidRPr="00FE6710">
        <w:rPr>
          <w:rFonts w:eastAsia="Calibri"/>
        </w:rPr>
        <w:t xml:space="preserve"> with the aim of improving the environmental performance of the product throughout its whole life cycle’ </w:t>
      </w:r>
      <w:r w:rsidR="006846D7">
        <w:rPr>
          <w:rFonts w:eastAsia="Calibri"/>
        </w:rPr>
        <w:fldChar w:fldCharType="begin"/>
      </w:r>
      <w:r w:rsidR="006846D7">
        <w:rPr>
          <w:rFonts w:eastAsia="Calibri"/>
        </w:rPr>
        <w:instrText xml:space="preserve"> ADDIN EN.CITE &lt;EndNote&gt;&lt;Cite&gt;&lt;Author&gt;EC&lt;/Author&gt;&lt;Year&gt;2009&lt;/Year&gt;&lt;RecNum&gt;360&lt;/RecNum&gt;&lt;DisplayText&gt;(EC, 2009)&lt;/DisplayText&gt;&lt;record&gt;&lt;rec-number&gt;360&lt;/rec-number&gt;&lt;foreign-keys&gt;&lt;key app="EN" db-id="e9rav2ttda9t9re5pfyxxdamzwpp5v00xdx5" timestamp="1421167791"&gt;360&lt;/key&gt;&lt;/foreign-keys&gt;&lt;ref-type name="Standard"&gt;58&lt;/ref-type&gt;&lt;contributors&gt;&lt;authors&gt;&lt;author&gt;EC,&lt;/author&gt;&lt;/authors&gt;&lt;/contributors&gt;&lt;titles&gt;&lt;title&gt;Directive 2009/125/EC of 21 October 2009 establishing a framework for the setting of ecodesign requirements for energy-related products&lt;/title&gt;&lt;/titles&gt;&lt;dates&gt;&lt;year&gt;2009&lt;/year&gt;&lt;/dates&gt;&lt;urls&gt;&lt;/urls&gt;&lt;/record&gt;&lt;/Cite&gt;&lt;/EndNote&gt;</w:instrText>
      </w:r>
      <w:r w:rsidR="006846D7">
        <w:rPr>
          <w:rFonts w:eastAsia="Calibri"/>
        </w:rPr>
        <w:fldChar w:fldCharType="separate"/>
      </w:r>
      <w:r w:rsidR="006846D7">
        <w:rPr>
          <w:rFonts w:eastAsia="Calibri"/>
          <w:noProof/>
        </w:rPr>
        <w:t>(EC, 2009)</w:t>
      </w:r>
      <w:r w:rsidR="006846D7">
        <w:rPr>
          <w:rFonts w:eastAsia="Calibri"/>
        </w:rPr>
        <w:fldChar w:fldCharType="end"/>
      </w:r>
      <w:r w:rsidR="006846D7" w:rsidRPr="00FE6710">
        <w:rPr>
          <w:rFonts w:eastAsia="Calibri"/>
        </w:rPr>
        <w:t xml:space="preserve">. </w:t>
      </w:r>
      <w:r w:rsidR="006846D7">
        <w:rPr>
          <w:rFonts w:eastAsia="Calibri"/>
        </w:rPr>
        <w:t>In 2012, the Energy Efficiency Directive demonstrate</w:t>
      </w:r>
      <w:r w:rsidR="006B6072">
        <w:rPr>
          <w:rFonts w:eastAsia="Calibri"/>
        </w:rPr>
        <w:t>d</w:t>
      </w:r>
      <w:r w:rsidR="006846D7">
        <w:rPr>
          <w:rFonts w:eastAsia="Calibri"/>
        </w:rPr>
        <w:t xml:space="preserve"> the commitment of the EU to achieving more energy efficient products </w:t>
      </w:r>
      <w:r w:rsidR="006846D7">
        <w:rPr>
          <w:rFonts w:eastAsia="Calibri"/>
        </w:rPr>
        <w:fldChar w:fldCharType="begin"/>
      </w:r>
      <w:r w:rsidR="006846D7">
        <w:rPr>
          <w:rFonts w:eastAsia="Calibri"/>
        </w:rPr>
        <w:instrText xml:space="preserve"> ADDIN EN.CITE &lt;EndNote&gt;&lt;Cite&gt;&lt;Author&gt;EC&lt;/Author&gt;&lt;Year&gt;2015&lt;/Year&gt;&lt;RecNum&gt;359&lt;/RecNum&gt;&lt;DisplayText&gt;(EC, 2015)&lt;/DisplayText&gt;&lt;record&gt;&lt;rec-number&gt;359&lt;/rec-number&gt;&lt;foreign-keys&gt;&lt;key app="EN" db-id="e9rav2ttda9t9re5pfyxxdamzwpp5v00xdx5" timestamp="1421167287"&gt;359&lt;/key&gt;&lt;/foreign-keys&gt;&lt;ref-type name="Online Database"&gt;45&lt;/ref-type&gt;&lt;contributors&gt;&lt;authors&gt;&lt;author&gt;EC,&lt;/author&gt;&lt;/authors&gt;&lt;/contributors&gt;&lt;titles&gt;&lt;title&gt;Ecodesign legislation&lt;/title&gt;&lt;/titles&gt;&lt;edition&gt;6.1.2015&lt;/edition&gt;&lt;dates&gt;&lt;year&gt;2015&lt;/year&gt;&lt;/dates&gt;&lt;urls&gt;&lt;related-urls&gt;&lt;url&gt;http://ec.europa.eu/energy/efficiency/ecodesign/doc/list_of_ecodesign_measures.pdf&lt;/url&gt;&lt;/related-urls&gt;&lt;/urls&gt;&lt;/record&gt;&lt;/Cite&gt;&lt;/EndNote&gt;</w:instrText>
      </w:r>
      <w:r w:rsidR="006846D7">
        <w:rPr>
          <w:rFonts w:eastAsia="Calibri"/>
        </w:rPr>
        <w:fldChar w:fldCharType="separate"/>
      </w:r>
      <w:r w:rsidR="006846D7">
        <w:rPr>
          <w:rFonts w:eastAsia="Calibri"/>
          <w:noProof/>
        </w:rPr>
        <w:t>(EC, 2015)</w:t>
      </w:r>
      <w:r w:rsidR="006846D7">
        <w:rPr>
          <w:rFonts w:eastAsia="Calibri"/>
        </w:rPr>
        <w:fldChar w:fldCharType="end"/>
      </w:r>
      <w:r w:rsidR="006846D7">
        <w:rPr>
          <w:rFonts w:eastAsia="Calibri"/>
        </w:rPr>
        <w:t xml:space="preserve">. </w:t>
      </w:r>
      <w:r w:rsidR="006846D7" w:rsidRPr="00FE6710">
        <w:rPr>
          <w:rFonts w:eastAsia="Calibri"/>
        </w:rPr>
        <w:t>In product design, ecodesign is presented as one method of minimizing the environmental burdens over a product</w:t>
      </w:r>
      <w:r w:rsidR="006846D7">
        <w:rPr>
          <w:rFonts w:eastAsia="Calibri"/>
        </w:rPr>
        <w:t>’</w:t>
      </w:r>
      <w:r w:rsidR="006846D7" w:rsidRPr="00FE6710">
        <w:rPr>
          <w:rFonts w:eastAsia="Calibri"/>
        </w:rPr>
        <w:t xml:space="preserve">s lifespan </w:t>
      </w:r>
      <w:r w:rsidR="006846D7">
        <w:rPr>
          <w:rFonts w:eastAsia="Calibri"/>
        </w:rPr>
        <w:fldChar w:fldCharType="begin"/>
      </w:r>
      <w:r w:rsidR="00F5035F">
        <w:rPr>
          <w:rFonts w:eastAsia="Calibri"/>
        </w:rPr>
        <w:instrText xml:space="preserve"> ADDIN EN.CITE &lt;EndNote&gt;&lt;Cite&gt;&lt;Author&gt;Zbicinski&lt;/Author&gt;&lt;Year&gt;2006&lt;/Year&gt;&lt;RecNum&gt;377&lt;/RecNum&gt;&lt;DisplayText&gt;(Zbicinski et al., 2006)&lt;/DisplayText&gt;&lt;record&gt;&lt;rec-number&gt;377&lt;/rec-number&gt;&lt;foreign-keys&gt;&lt;key app="EN" db-id="e9rav2ttda9t9re5pfyxxdamzwpp5v00xdx5" timestamp="1425918618"&gt;377&lt;/key&gt;&lt;/foreign-keys&gt;&lt;ref-type name="Book"&gt;6&lt;/ref-type&gt;&lt;contributors&gt;&lt;authors&gt;&lt;author&gt;Zbicinski, Ireneusz&lt;/author&gt;&lt;author&gt;Stavenuiter, John&lt;/author&gt;&lt;author&gt;Kozlowska, Barbara&lt;/author&gt;&lt;author&gt;van de Coevering, Hennie&lt;/author&gt;&lt;/authors&gt;&lt;secondary-authors&gt;&lt;author&gt;D. MacQueen&lt;/author&gt;&lt;/secondary-authors&gt;&lt;/contributors&gt;&lt;titles&gt;&lt;title&gt;Product Design and Life Cycle Assessment&lt;/title&gt;&lt;secondary-title&gt;Environmental Management&lt;/secondary-title&gt;&lt;/titles&gt;&lt;volume&gt;3&lt;/volume&gt;&lt;dates&gt;&lt;year&gt;2006&lt;/year&gt;&lt;/dates&gt;&lt;pub-location&gt;Baltic University Press&lt;/pub-location&gt;&lt;publisher&gt;Baltic University&lt;/publisher&gt;&lt;urls&gt;&lt;/urls&gt;&lt;/record&gt;&lt;/Cite&gt;&lt;/EndNote&gt;</w:instrText>
      </w:r>
      <w:r w:rsidR="006846D7">
        <w:rPr>
          <w:rFonts w:eastAsia="Calibri"/>
        </w:rPr>
        <w:fldChar w:fldCharType="separate"/>
      </w:r>
      <w:r w:rsidR="00F5035F">
        <w:rPr>
          <w:rFonts w:eastAsia="Calibri"/>
          <w:noProof/>
        </w:rPr>
        <w:t>(Zbicinski et al., 2006)</w:t>
      </w:r>
      <w:r w:rsidR="006846D7">
        <w:rPr>
          <w:rFonts w:eastAsia="Calibri"/>
        </w:rPr>
        <w:fldChar w:fldCharType="end"/>
      </w:r>
      <w:r w:rsidR="006846D7" w:rsidRPr="00FE6710">
        <w:rPr>
          <w:rFonts w:eastAsia="Calibri"/>
        </w:rPr>
        <w:t xml:space="preserve">. Despite being considered in other industries </w:t>
      </w:r>
      <w:r w:rsidR="006846D7">
        <w:rPr>
          <w:rFonts w:eastAsia="Calibri"/>
        </w:rPr>
        <w:fldChar w:fldCharType="begin">
          <w:fldData xml:space="preserve">PEVuZE5vdGU+PENpdGU+PEF1dGhvcj5CYXNiYWdpbGw8L0F1dGhvcj48WWVhcj4yMDEzPC9ZZWFy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</w:fldData>
        </w:fldChar>
      </w:r>
      <w:r w:rsidR="00F5035F">
        <w:rPr>
          <w:rFonts w:eastAsia="Calibri"/>
        </w:rPr>
        <w:instrText xml:space="preserve"> ADDIN EN.CITE </w:instrText>
      </w:r>
      <w:r w:rsidR="00F5035F">
        <w:rPr>
          <w:rFonts w:eastAsia="Calibri"/>
        </w:rPr>
        <w:fldChar w:fldCharType="begin">
          <w:fldData xml:space="preserve">PEVuZE5vdGU+PENpdGU+PEF1dGhvcj5CYXNiYWdpbGw8L0F1dGhvcj48WWVhcj4yMDEzPC9ZZWFy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</w:fldData>
        </w:fldChar>
      </w:r>
      <w:r w:rsidR="00F5035F">
        <w:rPr>
          <w:rFonts w:eastAsia="Calibri"/>
        </w:rPr>
        <w:instrText xml:space="preserve"> ADDIN EN.CITE.DATA </w:instrText>
      </w:r>
      <w:r w:rsidR="00F5035F">
        <w:rPr>
          <w:rFonts w:eastAsia="Calibri"/>
        </w:rPr>
      </w:r>
      <w:r w:rsidR="00F5035F">
        <w:rPr>
          <w:rFonts w:eastAsia="Calibri"/>
        </w:rPr>
        <w:fldChar w:fldCharType="end"/>
      </w:r>
      <w:r w:rsidR="006846D7">
        <w:rPr>
          <w:rFonts w:eastAsia="Calibri"/>
        </w:rPr>
      </w:r>
      <w:r w:rsidR="006846D7">
        <w:rPr>
          <w:rFonts w:eastAsia="Calibri"/>
        </w:rPr>
        <w:fldChar w:fldCharType="separate"/>
      </w:r>
      <w:r w:rsidR="00F5035F">
        <w:rPr>
          <w:rFonts w:eastAsia="Calibri"/>
          <w:noProof/>
        </w:rPr>
        <w:t>(Sala et al., 2012; Basbagill et al., 2013)</w:t>
      </w:r>
      <w:r w:rsidR="006846D7">
        <w:rPr>
          <w:rFonts w:eastAsia="Calibri"/>
        </w:rPr>
        <w:fldChar w:fldCharType="end"/>
      </w:r>
      <w:r w:rsidR="006846D7" w:rsidRPr="00FE6710">
        <w:rPr>
          <w:rFonts w:eastAsia="Calibri"/>
        </w:rPr>
        <w:t xml:space="preserve">, ecodesign has only recently been suggested for a renewable energy system </w:t>
      </w:r>
      <w:r w:rsidR="006B6072">
        <w:rPr>
          <w:rFonts w:eastAsia="Calibri"/>
        </w:rPr>
        <w:t>(</w:t>
      </w:r>
      <w:r w:rsidR="00A15209">
        <w:rPr>
          <w:rFonts w:eastAsia="Calibri"/>
        </w:rPr>
        <w:t>Gallagher et al., 2015a)</w:t>
      </w:r>
      <w:r w:rsidR="006846D7" w:rsidRPr="00FE6710">
        <w:rPr>
          <w:rFonts w:eastAsia="Calibri"/>
        </w:rPr>
        <w:t xml:space="preserve">. </w:t>
      </w:r>
      <w:r w:rsidR="006846D7">
        <w:rPr>
          <w:rFonts w:eastAsia="Calibri"/>
        </w:rPr>
        <w:t>An ecodesign approach to a</w:t>
      </w:r>
      <w:r w:rsidR="006846D7" w:rsidRPr="00FE6710">
        <w:rPr>
          <w:rFonts w:eastAsia="Calibri"/>
        </w:rPr>
        <w:t xml:space="preserve"> renewable energy system, </w:t>
      </w:r>
      <w:r w:rsidR="006846D7">
        <w:rPr>
          <w:rFonts w:eastAsia="Calibri"/>
        </w:rPr>
        <w:t>which is made up of a combination of multiple products, can</w:t>
      </w:r>
      <w:r w:rsidR="006846D7" w:rsidRPr="00FE6710">
        <w:rPr>
          <w:rFonts w:eastAsia="Calibri"/>
        </w:rPr>
        <w:t xml:space="preserve"> maximize material and energy savings. </w:t>
      </w:r>
      <w:r w:rsidR="006846D7">
        <w:rPr>
          <w:rFonts w:eastAsia="Calibri"/>
        </w:rPr>
        <w:t>Assuming</w:t>
      </w:r>
      <w:r w:rsidR="006846D7" w:rsidRPr="00FE6710">
        <w:rPr>
          <w:rFonts w:eastAsia="Calibri"/>
        </w:rPr>
        <w:t xml:space="preserve"> ecodesign was applied to all 28,000 technically feasible HP projects identified by </w:t>
      </w:r>
      <w:r w:rsidR="006846D7">
        <w:rPr>
          <w:rFonts w:eastAsia="Calibri"/>
        </w:rPr>
        <w:fldChar w:fldCharType="begin"/>
      </w:r>
      <w:r w:rsidR="00F5035F">
        <w:rPr>
          <w:rFonts w:eastAsia="Calibri"/>
        </w:rPr>
        <w:instrText xml:space="preserve"> ADDIN EN.CITE &lt;EndNote&gt;&lt;Cite AuthorYear="1"&gt;&lt;Author&gt;Bódis&lt;/Author&gt;&lt;Year&gt;2014&lt;/Year&gt;&lt;RecNum&gt;348&lt;/RecNum&gt;&lt;DisplayText&gt;Bódis et al. (2014)&lt;/DisplayText&gt;&lt;record&gt;&lt;rec-number&gt;348&lt;/rec-number&gt;&lt;foreign-keys&gt;&lt;key app="EN" db-id="e9rav2ttda9t9re5pfyxxdamzwpp5v00xdx5" timestamp="1420465165"&gt;348&lt;/key&gt;&lt;/foreign-keys&gt;&lt;ref-type name="Journal Article"&gt;17&lt;/ref-type&gt;&lt;contributors&gt;&lt;authors&gt;&lt;author&gt;Bódis, K.&lt;/author&gt;&lt;author&gt;Monforti, F.&lt;/author&gt;&lt;author&gt;Szabó, S.&lt;/author&gt;&lt;/authors&gt;&lt;/contributors&gt;&lt;titles&gt;&lt;title&gt;Could Europe have more mini hydro sites? A suitability analysis based on continentally harmonized geographical and hydrological data&lt;/title&gt;&lt;secondary-title&gt;Renewable and Sustainable Energy Reviews&lt;/secondary-title&gt;&lt;/titles&gt;&lt;periodical&gt;&lt;full-title&gt;Renewable and Sustainable Energy Reviews&lt;/full-title&gt;&lt;/periodical&gt;&lt;pages&gt;794-808&lt;/pages&gt;&lt;volume&gt;37&lt;/volume&gt;&lt;number&gt;0&lt;/number&gt;&lt;keywords&gt;&lt;keyword&gt;Hydropower&lt;/keyword&gt;&lt;keyword&gt;Potential assessment&lt;/keyword&gt;&lt;keyword&gt;Spatial analysis&lt;/keyword&gt;&lt;keyword&gt;Suitability mapping&lt;/keyword&gt;&lt;/keywords&gt;&lt;dates&gt;&lt;year&gt;2014&lt;/year&gt;&lt;pub-dates&gt;&lt;date&gt;9//&lt;/date&gt;&lt;/pub-dates&gt;&lt;/dates&gt;&lt;isbn&gt;1364-0321&lt;/isbn&gt;&lt;urls&gt;&lt;related-urls&gt;&lt;url&gt;http://www.sciencedirect.com/science/article/pii/S1364032114003967&lt;/url&gt;&lt;/related-urls&gt;&lt;/urls&gt;&lt;electronic-resource-num&gt;http://dx.doi.org/10.1016/j.rser.2014.05.071&lt;/electronic-resource-num&gt;&lt;/record&gt;&lt;/Cite&gt;&lt;/EndNote&gt;</w:instrText>
      </w:r>
      <w:r w:rsidR="006846D7">
        <w:rPr>
          <w:rFonts w:eastAsia="Calibri"/>
        </w:rPr>
        <w:fldChar w:fldCharType="separate"/>
      </w:r>
      <w:r w:rsidR="00F5035F">
        <w:rPr>
          <w:rFonts w:eastAsia="Calibri"/>
          <w:noProof/>
        </w:rPr>
        <w:t>Bódis et al. (2014)</w:t>
      </w:r>
      <w:r w:rsidR="006846D7">
        <w:rPr>
          <w:rFonts w:eastAsia="Calibri"/>
        </w:rPr>
        <w:fldChar w:fldCharType="end"/>
      </w:r>
      <w:r w:rsidR="006846D7" w:rsidRPr="00FE6710">
        <w:rPr>
          <w:rFonts w:eastAsia="Calibri"/>
        </w:rPr>
        <w:t xml:space="preserve"> for Europe, </w:t>
      </w:r>
      <w:r w:rsidR="00A15209">
        <w:rPr>
          <w:rFonts w:eastAsia="Calibri"/>
        </w:rPr>
        <w:t>Gallagher et al. (2015a)</w:t>
      </w:r>
      <w:r w:rsidR="006846D7" w:rsidRPr="00FE6710">
        <w:rPr>
          <w:rFonts w:eastAsia="Calibri"/>
        </w:rPr>
        <w:t xml:space="preserve"> </w:t>
      </w:r>
      <w:r w:rsidR="006846D7">
        <w:rPr>
          <w:rFonts w:eastAsia="Calibri"/>
        </w:rPr>
        <w:t>estimated</w:t>
      </w:r>
      <w:r w:rsidR="006846D7" w:rsidRPr="00FE6710">
        <w:rPr>
          <w:rFonts w:eastAsia="Calibri"/>
        </w:rPr>
        <w:t xml:space="preserve"> potential savings of 800,000 tonnes of concrete, 10,000 of steel and 65 million vehicle miles. As the majority of the environmental burdens for a renewable energy system are embodied in the design and construction stages, ecodesign presents a significant opportunity for </w:t>
      </w:r>
      <w:r w:rsidR="00C02DC8">
        <w:rPr>
          <w:rFonts w:eastAsia="Calibri"/>
        </w:rPr>
        <w:t xml:space="preserve">carbon and resource </w:t>
      </w:r>
      <w:r w:rsidR="006846D7" w:rsidRPr="00FE6710">
        <w:rPr>
          <w:rFonts w:eastAsia="Calibri"/>
        </w:rPr>
        <w:t xml:space="preserve">savings in HP projects </w:t>
      </w:r>
      <w:r w:rsidR="006846D7">
        <w:rPr>
          <w:rFonts w:eastAsia="Calibri"/>
        </w:rPr>
        <w:fldChar w:fldCharType="begin">
          <w:fldData xml:space="preserve">PEVuZE5vdGU+PENpdGU+PEF1dGhvcj5E4oCYU291emE8L0F1dGhvcj48WWVhcj4yMDExPC9ZZWFy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</w:fldData>
        </w:fldChar>
      </w:r>
      <w:r w:rsidR="00F5035F">
        <w:rPr>
          <w:rFonts w:eastAsia="Calibri"/>
        </w:rPr>
        <w:instrText xml:space="preserve"> ADDIN EN.CITE </w:instrText>
      </w:r>
      <w:r w:rsidR="00F5035F">
        <w:rPr>
          <w:rFonts w:eastAsia="Calibri"/>
        </w:rPr>
        <w:fldChar w:fldCharType="begin">
          <w:fldData xml:space="preserve">PEVuZE5vdGU+PENpdGU+PEF1dGhvcj5E4oCYU291emE8L0F1dGhvcj48WWVhcj4yMDExPC9ZZWFy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</w:fldData>
        </w:fldChar>
      </w:r>
      <w:r w:rsidR="00F5035F">
        <w:rPr>
          <w:rFonts w:eastAsia="Calibri"/>
        </w:rPr>
        <w:instrText xml:space="preserve"> ADDIN EN.CITE.DATA </w:instrText>
      </w:r>
      <w:r w:rsidR="00F5035F">
        <w:rPr>
          <w:rFonts w:eastAsia="Calibri"/>
        </w:rPr>
      </w:r>
      <w:r w:rsidR="00F5035F">
        <w:rPr>
          <w:rFonts w:eastAsia="Calibri"/>
        </w:rPr>
        <w:fldChar w:fldCharType="end"/>
      </w:r>
      <w:r w:rsidR="006846D7">
        <w:rPr>
          <w:rFonts w:eastAsia="Calibri"/>
        </w:rPr>
      </w:r>
      <w:r w:rsidR="006846D7">
        <w:rPr>
          <w:rFonts w:eastAsia="Calibri"/>
        </w:rPr>
        <w:fldChar w:fldCharType="separate"/>
      </w:r>
      <w:r w:rsidR="00F5035F">
        <w:rPr>
          <w:rFonts w:eastAsia="Calibri"/>
          <w:noProof/>
        </w:rPr>
        <w:t>(D‘Souza et al., 2011; Suwanit &amp; Gheewala, 2011; Guezuraga et al., 2012)</w:t>
      </w:r>
      <w:r w:rsidR="006846D7">
        <w:rPr>
          <w:rFonts w:eastAsia="Calibri"/>
        </w:rPr>
        <w:fldChar w:fldCharType="end"/>
      </w:r>
      <w:r w:rsidR="006846D7" w:rsidRPr="00FE6710">
        <w:rPr>
          <w:rFonts w:eastAsia="Calibri"/>
        </w:rPr>
        <w:t xml:space="preserve">. </w:t>
      </w:r>
    </w:p>
    <w:p w14:paraId="38305A11" w14:textId="77777777" w:rsidR="006846D7" w:rsidRPr="00FE6710" w:rsidRDefault="006846D7" w:rsidP="006846D7">
      <w:pPr>
        <w:spacing w:line="480" w:lineRule="auto"/>
        <w:rPr>
          <w:rFonts w:eastAsia="Calibri"/>
        </w:rPr>
      </w:pPr>
    </w:p>
    <w:p w14:paraId="31FC1B2A" w14:textId="77777777" w:rsidR="006846D7" w:rsidRDefault="006846D7" w:rsidP="006846D7">
      <w:pPr>
        <w:spacing w:line="480" w:lineRule="auto"/>
        <w:rPr>
          <w:rFonts w:eastAsia="Calibri"/>
        </w:rPr>
      </w:pPr>
      <w:r w:rsidRPr="00FE6710">
        <w:rPr>
          <w:rFonts w:eastAsia="Calibri"/>
        </w:rPr>
        <w:lastRenderedPageBreak/>
        <w:t xml:space="preserve">This paper </w:t>
      </w:r>
      <w:r>
        <w:rPr>
          <w:rFonts w:eastAsia="Calibri"/>
        </w:rPr>
        <w:t xml:space="preserve">applies </w:t>
      </w:r>
      <w:r w:rsidRPr="00FE6710">
        <w:rPr>
          <w:rFonts w:eastAsia="Calibri"/>
        </w:rPr>
        <w:t xml:space="preserve">LCA to capture the environmental burdens of five </w:t>
      </w:r>
      <w:r>
        <w:rPr>
          <w:rFonts w:eastAsia="Calibri"/>
        </w:rPr>
        <w:t xml:space="preserve">small-scale </w:t>
      </w:r>
      <w:r w:rsidRPr="00FE6710">
        <w:rPr>
          <w:rFonts w:eastAsia="Calibri"/>
        </w:rPr>
        <w:t>HP project</w:t>
      </w:r>
      <w:r>
        <w:rPr>
          <w:rFonts w:eastAsia="Calibri"/>
        </w:rPr>
        <w:t>s</w:t>
      </w:r>
      <w:r w:rsidRPr="00FE6710">
        <w:rPr>
          <w:rFonts w:eastAsia="Calibri"/>
        </w:rPr>
        <w:t xml:space="preserve">, representing water supply infrastructure and run-of-river installations. </w:t>
      </w:r>
      <w:r>
        <w:rPr>
          <w:rFonts w:eastAsia="Calibri"/>
        </w:rPr>
        <w:t>S</w:t>
      </w:r>
      <w:r w:rsidRPr="00FE6710">
        <w:rPr>
          <w:rFonts w:eastAsia="Calibri"/>
        </w:rPr>
        <w:t xml:space="preserve">everal potential ecodesign </w:t>
      </w:r>
      <w:r>
        <w:rPr>
          <w:rFonts w:eastAsia="Calibri"/>
        </w:rPr>
        <w:t>measures</w:t>
      </w:r>
      <w:r w:rsidRPr="00FE6710">
        <w:rPr>
          <w:rFonts w:eastAsia="Calibri"/>
        </w:rPr>
        <w:t xml:space="preserve"> are examined for these projects. </w:t>
      </w:r>
      <w:r>
        <w:rPr>
          <w:rFonts w:eastAsia="Calibri"/>
        </w:rPr>
        <w:t>The r</w:t>
      </w:r>
      <w:r w:rsidRPr="00FE6710">
        <w:rPr>
          <w:rFonts w:eastAsia="Calibri"/>
        </w:rPr>
        <w:t xml:space="preserve">esults </w:t>
      </w:r>
      <w:r>
        <w:rPr>
          <w:rFonts w:eastAsia="Calibri"/>
        </w:rPr>
        <w:t>focus on</w:t>
      </w:r>
      <w:r w:rsidRPr="00FE6710">
        <w:rPr>
          <w:rFonts w:eastAsia="Calibri"/>
        </w:rPr>
        <w:t xml:space="preserve"> </w:t>
      </w:r>
      <w:r w:rsidRPr="009D6546">
        <w:rPr>
          <w:rFonts w:eastAsia="Calibri"/>
        </w:rPr>
        <w:t>carbon- and resource-based environmental burdens represented by global warming potential (GWP) and abiotic resource depletion potential (ARDP) impact categories, respectively. Finally, the study ex</w:t>
      </w:r>
      <w:r>
        <w:rPr>
          <w:rFonts w:eastAsia="Calibri"/>
        </w:rPr>
        <w:t>amines the implications for eco</w:t>
      </w:r>
      <w:r w:rsidRPr="009D6546">
        <w:rPr>
          <w:rFonts w:eastAsia="Calibri"/>
        </w:rPr>
        <w:t xml:space="preserve">design </w:t>
      </w:r>
      <w:r>
        <w:rPr>
          <w:rFonts w:eastAsia="Calibri"/>
        </w:rPr>
        <w:t>of</w:t>
      </w:r>
      <w:r w:rsidRPr="009D6546">
        <w:rPr>
          <w:rFonts w:eastAsia="Calibri"/>
        </w:rPr>
        <w:t xml:space="preserve"> using </w:t>
      </w:r>
      <w:r>
        <w:rPr>
          <w:rFonts w:eastAsia="Calibri"/>
        </w:rPr>
        <w:t>the</w:t>
      </w:r>
      <w:r w:rsidRPr="009D6546">
        <w:rPr>
          <w:rFonts w:eastAsia="Calibri"/>
        </w:rPr>
        <w:t xml:space="preserve"> 1% materiality threshold </w:t>
      </w:r>
      <w:r>
        <w:rPr>
          <w:rFonts w:eastAsia="Calibri"/>
        </w:rPr>
        <w:t xml:space="preserve">commonly quoted in LCA guidelines for </w:t>
      </w:r>
      <w:r w:rsidRPr="009D6546">
        <w:rPr>
          <w:rFonts w:eastAsia="Calibri"/>
        </w:rPr>
        <w:t>inventory compilation.</w:t>
      </w:r>
    </w:p>
    <w:p w14:paraId="2FAADDB2" w14:textId="77777777" w:rsidR="006846D7" w:rsidRPr="00A96BF7" w:rsidRDefault="006846D7" w:rsidP="006846D7">
      <w:pPr>
        <w:spacing w:line="480" w:lineRule="auto"/>
        <w:rPr>
          <w:rFonts w:eastAsia="Calibri"/>
        </w:rPr>
      </w:pPr>
    </w:p>
    <w:p w14:paraId="4907BB6C" w14:textId="77777777" w:rsidR="006846D7" w:rsidRPr="00A96BF7" w:rsidRDefault="006846D7" w:rsidP="006846D7">
      <w:pPr>
        <w:pStyle w:val="Heading1"/>
        <w:spacing w:line="480" w:lineRule="auto"/>
      </w:pPr>
      <w:r w:rsidRPr="00787C85">
        <w:t>M</w:t>
      </w:r>
      <w:r w:rsidRPr="00A96BF7">
        <w:t>ethods</w:t>
      </w:r>
    </w:p>
    <w:p w14:paraId="48ADFC32" w14:textId="77777777" w:rsidR="006846D7" w:rsidRPr="00A96BF7" w:rsidRDefault="006846D7" w:rsidP="006846D7">
      <w:pPr>
        <w:pStyle w:val="Heading2"/>
        <w:spacing w:line="480" w:lineRule="auto"/>
      </w:pPr>
      <w:r w:rsidRPr="00A96BF7">
        <w:t>Goal &amp; scope definitions</w:t>
      </w:r>
    </w:p>
    <w:p w14:paraId="55B0DB76" w14:textId="79B9EABD" w:rsidR="006846D7" w:rsidRPr="00D45BE5" w:rsidRDefault="006846D7" w:rsidP="006846D7">
      <w:pPr>
        <w:spacing w:line="480" w:lineRule="auto"/>
        <w:rPr>
          <w:rFonts w:eastAsia="Calibri"/>
        </w:rPr>
      </w:pPr>
      <w:r w:rsidRPr="003F4330">
        <w:rPr>
          <w:rFonts w:eastAsia="Calibri"/>
        </w:rPr>
        <w:t>This paper presents five distinct HP projects in the UK and Ireland, three run-of-river and two water</w:t>
      </w:r>
      <w:r>
        <w:rPr>
          <w:rFonts w:eastAsia="Calibri"/>
        </w:rPr>
        <w:t xml:space="preserve"> supply</w:t>
      </w:r>
      <w:r w:rsidRPr="003F4330">
        <w:rPr>
          <w:rFonts w:eastAsia="Calibri"/>
        </w:rPr>
        <w:t xml:space="preserve"> </w:t>
      </w:r>
      <w:r>
        <w:rPr>
          <w:rFonts w:eastAsia="Calibri"/>
        </w:rPr>
        <w:t xml:space="preserve">network </w:t>
      </w:r>
      <w:r w:rsidRPr="003F4330">
        <w:rPr>
          <w:rFonts w:eastAsia="Calibri"/>
        </w:rPr>
        <w:t xml:space="preserve">infrastructure projects, each of which required a unique combination of material quantities, manufacturing processes and </w:t>
      </w:r>
      <w:r w:rsidR="00B61615">
        <w:rPr>
          <w:rFonts w:eastAsia="Calibri"/>
        </w:rPr>
        <w:t xml:space="preserve">component </w:t>
      </w:r>
      <w:r w:rsidRPr="003F4330">
        <w:rPr>
          <w:rFonts w:eastAsia="Calibri"/>
        </w:rPr>
        <w:t xml:space="preserve">transport </w:t>
      </w:r>
      <w:r w:rsidR="00A15209">
        <w:rPr>
          <w:rFonts w:eastAsia="Calibri"/>
        </w:rPr>
        <w:fldChar w:fldCharType="begin"/>
      </w:r>
      <w:r w:rsidR="0040712D">
        <w:rPr>
          <w:rFonts w:eastAsia="Calibri"/>
        </w:rPr>
        <w:instrText xml:space="preserve"> ADDIN EN.CITE &lt;EndNote&gt;&lt;Cite&gt;&lt;Author&gt;Gallagher&lt;/Author&gt;&lt;Year&gt;2015&lt;/Year&gt;&lt;RecNum&gt;405&lt;/RecNum&gt;&lt;DisplayText&gt;(Gallagher et al., 2015c)&lt;/DisplayText&gt;&lt;record&gt;&lt;rec-number&gt;405&lt;/rec-number&gt;&lt;foreign-keys&gt;&lt;key app="EN" db-id="e9rav2ttda9t9re5pfyxxdamzwpp5v00xdx5" timestamp="1430839517"&gt;405&lt;/key&gt;&lt;/foreign-keys&gt;&lt;ref-type name="Journal Article"&gt;17&lt;/ref-type&gt;&lt;contributors&gt;&lt;authors&gt;&lt;author&gt;Gallagher, J.&lt;/author&gt;&lt;author&gt;Styles, D.&lt;/author&gt;&lt;author&gt;McNabola, A.&lt;/author&gt;&lt;author&gt;Williams, A.P.&lt;/author&gt;&lt;/authors&gt;&lt;/contributors&gt;&lt;titles&gt;&lt;title&gt;Life cycle environmental balance and greenhouse gas mitigation potential of micro-hydropower energy recovery in the water industry&lt;/title&gt;&lt;secondary-title&gt;Journal of Cleaner Production&lt;/secondary-title&gt;&lt;/titles&gt;&lt;periodical&gt;&lt;full-title&gt;Journal of Cleaner Production&lt;/full-title&gt;&lt;/periodical&gt;&lt;pages&gt;152-159&lt;/pages&gt;&lt;number&gt;99&lt;/number&gt;&lt;keywords&gt;&lt;keyword&gt;Environmental burdens&lt;/keyword&gt;&lt;keyword&gt;Carbon footprint&lt;/keyword&gt;&lt;keyword&gt;Fossil fuel mitigation&lt;/keyword&gt;&lt;keyword&gt;Water infrastructure&lt;/keyword&gt;&lt;keyword&gt;Renewable energy&lt;/keyword&gt;&lt;/keywords&gt;&lt;dates&gt;&lt;year&gt;2015&lt;/year&gt;&lt;/dates&gt;&lt;isbn&gt;0959-6526&lt;/isbn&gt;&lt;urls&gt;&lt;related-urls&gt;&lt;url&gt;http://www.sciencedirect.com/science/article/pii/S0959652615002280&lt;/url&gt;&lt;/related-urls&gt;&lt;/urls&gt;&lt;electronic-resource-num&gt;10.1016/j.jclepro.2015.03.011&lt;/electronic-resource-num&gt;&lt;/record&gt;&lt;/Cite&gt;&lt;/EndNote&gt;</w:instrText>
      </w:r>
      <w:r w:rsidR="00A15209">
        <w:rPr>
          <w:rFonts w:eastAsia="Calibri"/>
        </w:rPr>
        <w:fldChar w:fldCharType="separate"/>
      </w:r>
      <w:r w:rsidR="00F5035F">
        <w:rPr>
          <w:rFonts w:eastAsia="Calibri"/>
          <w:noProof/>
        </w:rPr>
        <w:t>(Gallagher et al., 2015c)</w:t>
      </w:r>
      <w:r w:rsidR="00A15209">
        <w:rPr>
          <w:rFonts w:eastAsia="Calibri"/>
        </w:rPr>
        <w:fldChar w:fldCharType="end"/>
      </w:r>
      <w:r w:rsidRPr="003F4330">
        <w:rPr>
          <w:rFonts w:eastAsia="Calibri"/>
        </w:rPr>
        <w:t xml:space="preserve">. The focus of </w:t>
      </w:r>
      <w:r w:rsidRPr="00D45BE5">
        <w:rPr>
          <w:rFonts w:eastAsia="Calibri"/>
        </w:rPr>
        <w:t xml:space="preserve">this paper </w:t>
      </w:r>
      <w:r>
        <w:rPr>
          <w:rFonts w:eastAsia="Calibri"/>
        </w:rPr>
        <w:t>i</w:t>
      </w:r>
      <w:r w:rsidRPr="00D45BE5">
        <w:rPr>
          <w:rFonts w:eastAsia="Calibri"/>
        </w:rPr>
        <w:t>s to consider ecodesign in the construction of these HP installations</w:t>
      </w:r>
      <w:r w:rsidR="00B61615">
        <w:rPr>
          <w:rFonts w:eastAsia="Calibri"/>
        </w:rPr>
        <w:t>;</w:t>
      </w:r>
      <w:r w:rsidRPr="00D45BE5">
        <w:rPr>
          <w:rFonts w:eastAsia="Calibri"/>
        </w:rPr>
        <w:t xml:space="preserve"> therefore a ‘cradle-to-operation’ scope was adopted to account for all environmental impacts up to the stage of generating electricity. </w:t>
      </w:r>
      <w:r>
        <w:rPr>
          <w:rFonts w:eastAsia="Calibri"/>
        </w:rPr>
        <w:t xml:space="preserve">This scope was considered suitable as the </w:t>
      </w:r>
      <w:r w:rsidR="00B61615">
        <w:rPr>
          <w:rFonts w:eastAsia="Calibri"/>
        </w:rPr>
        <w:t xml:space="preserve">vast </w:t>
      </w:r>
      <w:r>
        <w:rPr>
          <w:rFonts w:eastAsia="Calibri"/>
        </w:rPr>
        <w:t xml:space="preserve">majority of burdens are linked to the main project components required in the construction stage </w:t>
      </w:r>
      <w:r>
        <w:rPr>
          <w:rFonts w:eastAsia="Calibri"/>
        </w:rPr>
        <w:fldChar w:fldCharType="begin"/>
      </w:r>
      <w:r w:rsidR="00F5035F">
        <w:rPr>
          <w:rFonts w:eastAsia="Calibri"/>
        </w:rPr>
        <w:instrText xml:space="preserve"> ADDIN EN.CITE &lt;EndNote&gt;&lt;Cite&gt;&lt;Author&gt;Raadal&lt;/Author&gt;&lt;Year&gt;2011&lt;/Year&gt;&lt;RecNum&gt;90&lt;/RecNum&gt;&lt;DisplayText&gt;(Raadal et al., 2011)&lt;/DisplayText&gt;&lt;record&gt;&lt;rec-number&gt;90&lt;/rec-number&gt;&lt;foreign-keys&gt;&lt;key app="EN" db-id="e9rav2ttda9t9re5pfyxxdamzwpp5v00xdx5" timestamp="0"&gt;90&lt;/key&gt;&lt;/foreign-keys&gt;&lt;ref-type name="Journal Article"&gt;17&lt;/ref-type&gt;&lt;contributors&gt;&lt;authors&gt;&lt;author&gt;Raadal, Hanne Lerche&lt;/author&gt;&lt;author&gt;Gagnon, Luc&lt;/author&gt;&lt;author&gt;Modahl, Ingunn Saur&lt;/author&gt;&lt;author&gt;Hanssen, Ole Jørgen&lt;/author&gt;&lt;/authors&gt;&lt;/contributors&gt;&lt;titles&gt;&lt;title&gt;Life cycle greenhouse gas (GHG) emissions from the generation of wind and hydro power&lt;/title&gt;&lt;secondary-title&gt;Renewable and Sustainable Energy Reviews&lt;/secondary-title&gt;&lt;/titles&gt;&lt;periodical&gt;&lt;full-title&gt;Renewable and Sustainable Energy Reviews&lt;/full-title&gt;&lt;/periodical&gt;&lt;pages&gt;3417-3422&lt;/pages&gt;&lt;volume&gt;15&lt;/volume&gt;&lt;number&gt;7&lt;/number&gt;&lt;keywords&gt;&lt;keyword&gt;LCA&lt;/keyword&gt;&lt;keyword&gt;Greenhouse gases&lt;/keyword&gt;&lt;keyword&gt;Wind power&lt;/keyword&gt;&lt;keyword&gt;Hydro power&lt;/keyword&gt;&lt;keyword&gt;Electricity&lt;/keyword&gt;&lt;/keywords&gt;&lt;dates&gt;&lt;year&gt;2011&lt;/year&gt;&lt;pub-dates&gt;&lt;date&gt;9//&lt;/date&gt;&lt;/pub-dates&gt;&lt;/dates&gt;&lt;isbn&gt;1364-0321&lt;/isbn&gt;&lt;urls&gt;&lt;related-urls&gt;&lt;url&gt;http://www.sciencedirect.com/science/article/pii/S1364032111001924&lt;/url&gt;&lt;/related-urls&gt;&lt;/urls&gt;&lt;electronic-resource-num&gt;http://dx.doi.org/10.1016/j.rser.2011.05.001&lt;/electronic-resource-num&gt;&lt;/record&gt;&lt;/Cite&gt;&lt;/EndNote&gt;</w:instrText>
      </w:r>
      <w:r>
        <w:rPr>
          <w:rFonts w:eastAsia="Calibri"/>
        </w:rPr>
        <w:fldChar w:fldCharType="separate"/>
      </w:r>
      <w:r w:rsidR="00F5035F">
        <w:rPr>
          <w:rFonts w:eastAsia="Calibri"/>
          <w:noProof/>
        </w:rPr>
        <w:t>(Raadal et al., 2011)</w:t>
      </w:r>
      <w:r>
        <w:rPr>
          <w:rFonts w:eastAsia="Calibri"/>
        </w:rPr>
        <w:fldChar w:fldCharType="end"/>
      </w:r>
      <w:r>
        <w:rPr>
          <w:rFonts w:eastAsia="Calibri"/>
        </w:rPr>
        <w:t xml:space="preserve">. In addition, the end-of-life stage for HP installations is difficult to quantify due to typically long, though uncertain, operational lifespans and unknown future materials recycling performance </w:t>
      </w:r>
      <w:r>
        <w:rPr>
          <w:rFonts w:eastAsia="Calibri"/>
        </w:rPr>
        <w:fldChar w:fldCharType="begin"/>
      </w:r>
      <w:r>
        <w:rPr>
          <w:rFonts w:eastAsia="Calibri"/>
        </w:rPr>
        <w:instrText xml:space="preserve"> ADDIN EN.CITE &lt;EndNote&gt;&lt;Cite&gt;&lt;Author&gt;Haynes&lt;/Author&gt;&lt;Year&gt;2010&lt;/Year&gt;&lt;RecNum&gt;372&lt;/RecNum&gt;&lt;DisplayText&gt;(Haynes, 2010)&lt;/DisplayText&gt;&lt;record&gt;&lt;rec-number&gt;372&lt;/rec-number&gt;&lt;foreign-keys&gt;&lt;key app="EN" db-id="e9rav2ttda9t9re5pfyxxdamzwpp5v00xdx5" timestamp="1425914988"&gt;372&lt;/key&gt;&lt;/foreign-keys&gt;&lt;ref-type name="Electronic Article"&gt;43&lt;/ref-type&gt;&lt;contributors&gt;&lt;authors&gt;&lt;author&gt;Haynes, R.&lt;/author&gt;&lt;/authors&gt;&lt;/contributors&gt;&lt;titles&gt;&lt;title&gt;Embodied energy calculations within life cycle analysis of residential buildings&lt;/title&gt;&lt;/titles&gt;&lt;dates&gt;&lt;year&gt;2010&lt;/year&gt;&lt;/dates&gt;&lt;publisher&gt;eTool Global&lt;/publisher&gt;&lt;urls&gt;&lt;related-urls&gt;&lt;url&gt;http://www.etoolglobal.com/wp-content/uploads/2012/10/Embodied-Energy-Paper-Richard-Haynes.pdf&lt;/url&gt;&lt;/related-urls&gt;&lt;/urls&gt;&lt;/record&gt;&lt;/Cite&gt;&lt;/EndNote&gt;</w:instrText>
      </w:r>
      <w:r>
        <w:rPr>
          <w:rFonts w:eastAsia="Calibri"/>
        </w:rPr>
        <w:fldChar w:fldCharType="separate"/>
      </w:r>
      <w:r>
        <w:rPr>
          <w:rFonts w:eastAsia="Calibri"/>
          <w:noProof/>
        </w:rPr>
        <w:t>(Haynes, 2010)</w:t>
      </w:r>
      <w:r>
        <w:rPr>
          <w:rFonts w:eastAsia="Calibri"/>
        </w:rPr>
        <w:fldChar w:fldCharType="end"/>
      </w:r>
      <w:r>
        <w:rPr>
          <w:rFonts w:eastAsia="Calibri"/>
        </w:rPr>
        <w:t>.</w:t>
      </w:r>
    </w:p>
    <w:p w14:paraId="7CE01AC6" w14:textId="77777777" w:rsidR="006846D7" w:rsidRDefault="006846D7" w:rsidP="006846D7">
      <w:pPr>
        <w:spacing w:line="480" w:lineRule="auto"/>
      </w:pPr>
    </w:p>
    <w:p w14:paraId="3C702720" w14:textId="419DB7C3" w:rsidR="006846D7" w:rsidRPr="00013B72" w:rsidRDefault="006846D7" w:rsidP="006846D7">
      <w:pPr>
        <w:spacing w:line="480" w:lineRule="auto"/>
        <w:rPr>
          <w:rFonts w:eastAsia="Calibri"/>
        </w:rPr>
      </w:pPr>
      <w:r w:rsidRPr="00013B72">
        <w:rPr>
          <w:rFonts w:eastAsia="Calibri"/>
        </w:rPr>
        <w:t>Two relevant environmental impact categories were selected from the CML impact assessment method: global warming potential (GWP), expressed as kg CO</w:t>
      </w:r>
      <w:r w:rsidRPr="00013B72">
        <w:rPr>
          <w:rFonts w:eastAsia="Calibri"/>
          <w:vertAlign w:val="subscript"/>
        </w:rPr>
        <w:t>2</w:t>
      </w:r>
      <w:r w:rsidRPr="00013B72">
        <w:rPr>
          <w:rFonts w:eastAsia="Calibri"/>
        </w:rPr>
        <w:t xml:space="preserve"> eq.</w:t>
      </w:r>
      <w:r w:rsidR="00F72297">
        <w:rPr>
          <w:rFonts w:eastAsia="Calibri"/>
        </w:rPr>
        <w:t>,</w:t>
      </w:r>
      <w:r w:rsidRPr="00013B72">
        <w:rPr>
          <w:rFonts w:eastAsia="Calibri"/>
        </w:rPr>
        <w:t xml:space="preserve"> and abiotic resource depletion (ARDP), </w:t>
      </w:r>
      <w:r w:rsidRPr="00543B2E">
        <w:rPr>
          <w:rFonts w:eastAsia="Calibri"/>
        </w:rPr>
        <w:t xml:space="preserve">expressed as kg Sb eq. </w:t>
      </w:r>
      <w:r w:rsidRPr="00543B2E">
        <w:rPr>
          <w:rFonts w:eastAsia="Calibri"/>
        </w:rPr>
        <w:fldChar w:fldCharType="begin"/>
      </w:r>
      <w:r w:rsidRPr="00543B2E">
        <w:rPr>
          <w:rFonts w:eastAsia="Calibri"/>
        </w:rPr>
        <w:instrText xml:space="preserve"> ADDIN EN.CITE &lt;EndNote&gt;&lt;Cite&gt;&lt;Author&gt;CML&lt;/Author&gt;&lt;Year&gt;2010&lt;/Year&gt;&lt;RecNum&gt;277&lt;/RecNum&gt;&lt;DisplayText&gt;(CML, 2010)&lt;/DisplayText&gt;&lt;record&gt;&lt;rec-number&gt;277&lt;/rec-number&gt;&lt;foreign-keys&gt;&lt;key app="EN" db-id="e9rav2ttda9t9re5pfyxxdamzwpp5v00xdx5" timestamp="1399551612"&gt;277&lt;/key&gt;&lt;/foreign-keys&gt;&lt;ref-type name="Online Database"&gt;45&lt;/ref-type&gt;&lt;contributors&gt;&lt;authors&gt;&lt;author&gt;CML,&lt;/author&gt;&lt;/authors&gt;&lt;/contributors&gt;&lt;titles&gt;&lt;title&gt;Characterisation Factors database available online from Institute of Environmental Sciences (CML)&lt;/title&gt;&lt;/titles&gt;&lt;dates&gt;&lt;year&gt;2010&lt;/year&gt;&lt;pub-dates&gt;&lt;date&gt;May 2012&lt;/date&gt;&lt;/pub-dates&gt;&lt;/dates&gt;&lt;publisher&gt;Universiteit Leiden, Leiden, 2010&lt;/publisher&gt;&lt;urls&gt;&lt;related-urls&gt;&lt;url&gt;http://cml.leiden.edu/software/data-cmlia.html &lt;/url&gt;&lt;/related-urls&gt;&lt;/urls&gt;&lt;/record&gt;&lt;/Cite&gt;&lt;/EndNote&gt;</w:instrText>
      </w:r>
      <w:r w:rsidRPr="00543B2E">
        <w:rPr>
          <w:rFonts w:eastAsia="Calibri"/>
        </w:rPr>
        <w:fldChar w:fldCharType="separate"/>
      </w:r>
      <w:r w:rsidRPr="00543B2E">
        <w:rPr>
          <w:rFonts w:eastAsia="Calibri"/>
          <w:noProof/>
        </w:rPr>
        <w:t>(CML, 2010)</w:t>
      </w:r>
      <w:r w:rsidRPr="00543B2E">
        <w:rPr>
          <w:rFonts w:eastAsia="Calibri"/>
        </w:rPr>
        <w:fldChar w:fldCharType="end"/>
      </w:r>
      <w:r w:rsidRPr="00543B2E">
        <w:rPr>
          <w:rFonts w:eastAsia="Calibri"/>
        </w:rPr>
        <w:t>. These categories represent the primary environmental burdens</w:t>
      </w:r>
      <w:r w:rsidR="00524293">
        <w:rPr>
          <w:rFonts w:eastAsia="Calibri"/>
        </w:rPr>
        <w:t xml:space="preserve"> </w:t>
      </w:r>
      <w:r w:rsidR="00524293" w:rsidRPr="00543B2E">
        <w:rPr>
          <w:rFonts w:eastAsia="Calibri"/>
        </w:rPr>
        <w:t>(</w:t>
      </w:r>
      <w:r w:rsidR="00524293">
        <w:rPr>
          <w:rFonts w:eastAsia="Calibri"/>
        </w:rPr>
        <w:t xml:space="preserve">climate change </w:t>
      </w:r>
      <w:r w:rsidR="00524293" w:rsidRPr="00543B2E">
        <w:rPr>
          <w:rFonts w:eastAsia="Calibri"/>
        </w:rPr>
        <w:t>and resource</w:t>
      </w:r>
      <w:r w:rsidR="00524293">
        <w:rPr>
          <w:rFonts w:eastAsia="Calibri"/>
        </w:rPr>
        <w:t xml:space="preserve"> depletion</w:t>
      </w:r>
      <w:r w:rsidR="00524293" w:rsidRPr="00543B2E">
        <w:rPr>
          <w:rFonts w:eastAsia="Calibri"/>
        </w:rPr>
        <w:t xml:space="preserve">) associated with </w:t>
      </w:r>
      <w:r w:rsidR="00524293" w:rsidRPr="00543B2E">
        <w:rPr>
          <w:rFonts w:eastAsia="Calibri"/>
        </w:rPr>
        <w:lastRenderedPageBreak/>
        <w:t>hydro projects and grid electricity generation</w:t>
      </w:r>
      <w:r w:rsidR="00524293">
        <w:rPr>
          <w:rFonts w:eastAsia="Calibri"/>
        </w:rPr>
        <w:t>. Thus, the results of eco-design modifications are presented as percentage changes in these environmental burdens for the cradle-to-operation phase of deployment, relative to the standard designs reported in Gallagher et al. (2015a).</w:t>
      </w:r>
    </w:p>
    <w:p w14:paraId="3599C095" w14:textId="77777777" w:rsidR="006846D7" w:rsidRPr="00D45BE5" w:rsidRDefault="006846D7" w:rsidP="006846D7">
      <w:pPr>
        <w:spacing w:line="480" w:lineRule="auto"/>
      </w:pPr>
    </w:p>
    <w:p w14:paraId="667DD251" w14:textId="77777777" w:rsidR="006846D7" w:rsidRPr="00D45BE5" w:rsidRDefault="006846D7" w:rsidP="006846D7">
      <w:pPr>
        <w:pStyle w:val="Heading2"/>
        <w:spacing w:line="480" w:lineRule="auto"/>
        <w:rPr>
          <w:color w:val="auto"/>
        </w:rPr>
      </w:pPr>
      <w:r w:rsidRPr="00D45BE5">
        <w:rPr>
          <w:color w:val="auto"/>
        </w:rPr>
        <w:t>Inventory for LCA case studies</w:t>
      </w:r>
    </w:p>
    <w:p w14:paraId="03FA647E" w14:textId="094BD47F" w:rsidR="006846D7" w:rsidRPr="005468B0" w:rsidRDefault="006846D7" w:rsidP="006846D7">
      <w:pPr>
        <w:spacing w:line="480" w:lineRule="auto"/>
        <w:rPr>
          <w:rFonts w:eastAsia="Calibri"/>
        </w:rPr>
      </w:pPr>
      <w:r w:rsidRPr="005468B0">
        <w:rPr>
          <w:rFonts w:eastAsia="Calibri"/>
        </w:rPr>
        <w:t xml:space="preserve">To accurately assess the environmental burdens of all project components, materials and processes, a complete </w:t>
      </w:r>
      <w:r>
        <w:rPr>
          <w:rFonts w:eastAsia="Calibri"/>
        </w:rPr>
        <w:t xml:space="preserve">and detailed </w:t>
      </w:r>
      <w:r w:rsidRPr="005468B0">
        <w:rPr>
          <w:rFonts w:eastAsia="Calibri"/>
        </w:rPr>
        <w:t>inventory database was generated from previous life cycle HP investigations</w:t>
      </w:r>
      <w:r w:rsidR="0040712D">
        <w:rPr>
          <w:rFonts w:eastAsia="Calibri"/>
        </w:rPr>
        <w:t xml:space="preserve"> </w:t>
      </w:r>
      <w:r w:rsidR="0040712D">
        <w:rPr>
          <w:rFonts w:eastAsia="Calibri"/>
        </w:rPr>
        <w:fldChar w:fldCharType="begin">
          <w:fldData xml:space="preserve">PEVuZE5vdGU+PENpdGU+PEF1dGhvcj5HYWxsYWdoZXI8L0F1dGhvcj48WWVhcj4yMDE1PC9ZZWFy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</w:fldData>
        </w:fldChar>
      </w:r>
      <w:r w:rsidR="005E7147">
        <w:rPr>
          <w:rFonts w:eastAsia="Calibri"/>
        </w:rPr>
        <w:instrText xml:space="preserve"> ADDIN EN.CITE </w:instrText>
      </w:r>
      <w:r w:rsidR="005E7147">
        <w:rPr>
          <w:rFonts w:eastAsia="Calibri"/>
        </w:rPr>
        <w:fldChar w:fldCharType="begin">
          <w:fldData xml:space="preserve">PEVuZE5vdGU+PENpdGU+PEF1dGhvcj5HYWxsYWdoZXI8L0F1dGhvcj48WWVhcj4yMDE1PC9ZZWFy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</w:fldData>
        </w:fldChar>
      </w:r>
      <w:r w:rsidR="005E7147">
        <w:rPr>
          <w:rFonts w:eastAsia="Calibri"/>
        </w:rPr>
        <w:instrText xml:space="preserve"> ADDIN EN.CITE.DATA </w:instrText>
      </w:r>
      <w:r w:rsidR="005E7147">
        <w:rPr>
          <w:rFonts w:eastAsia="Calibri"/>
        </w:rPr>
      </w:r>
      <w:r w:rsidR="005E7147">
        <w:rPr>
          <w:rFonts w:eastAsia="Calibri"/>
        </w:rPr>
        <w:fldChar w:fldCharType="end"/>
      </w:r>
      <w:r w:rsidR="0040712D">
        <w:rPr>
          <w:rFonts w:eastAsia="Calibri"/>
        </w:rPr>
      </w:r>
      <w:r w:rsidR="0040712D">
        <w:rPr>
          <w:rFonts w:eastAsia="Calibri"/>
        </w:rPr>
        <w:fldChar w:fldCharType="separate"/>
      </w:r>
      <w:r w:rsidR="005358E9">
        <w:rPr>
          <w:rFonts w:eastAsia="Calibri"/>
          <w:noProof/>
        </w:rPr>
        <w:t>(Gallagher et al., 2015a; b; c)</w:t>
      </w:r>
      <w:r w:rsidR="0040712D">
        <w:rPr>
          <w:rFonts w:eastAsia="Calibri"/>
        </w:rPr>
        <w:fldChar w:fldCharType="end"/>
      </w:r>
      <w:r w:rsidR="005358E9" w:rsidRPr="005358E9">
        <w:rPr>
          <w:rFonts w:eastAsia="Calibri"/>
        </w:rPr>
        <w:t xml:space="preserve"> </w:t>
      </w:r>
      <w:r w:rsidR="005358E9">
        <w:rPr>
          <w:rFonts w:eastAsia="Calibri"/>
        </w:rPr>
        <w:t xml:space="preserve">and is included in Table SI.1 in </w:t>
      </w:r>
      <w:r w:rsidR="0087641C">
        <w:rPr>
          <w:rFonts w:eastAsia="Calibri"/>
        </w:rPr>
        <w:t>the S</w:t>
      </w:r>
      <w:r w:rsidR="005358E9">
        <w:rPr>
          <w:rFonts w:eastAsia="Calibri"/>
        </w:rPr>
        <w:t xml:space="preserve">upplementary </w:t>
      </w:r>
      <w:r w:rsidR="0087641C">
        <w:rPr>
          <w:rFonts w:eastAsia="Calibri"/>
        </w:rPr>
        <w:t>I</w:t>
      </w:r>
      <w:r w:rsidR="005358E9">
        <w:rPr>
          <w:rFonts w:eastAsia="Calibri"/>
        </w:rPr>
        <w:t>nformation</w:t>
      </w:r>
      <w:r w:rsidRPr="005468B0">
        <w:rPr>
          <w:rFonts w:eastAsia="Calibri"/>
        </w:rPr>
        <w:t>. The database of environmental burdens relat</w:t>
      </w:r>
      <w:r>
        <w:rPr>
          <w:rFonts w:eastAsia="Calibri"/>
        </w:rPr>
        <w:t>e</w:t>
      </w:r>
      <w:r w:rsidRPr="005468B0">
        <w:rPr>
          <w:rFonts w:eastAsia="Calibri"/>
        </w:rPr>
        <w:t xml:space="preserve"> to raw material extraction, product manufacturing and transport burdens</w:t>
      </w:r>
      <w:r>
        <w:rPr>
          <w:rFonts w:eastAsia="Calibri"/>
        </w:rPr>
        <w:t xml:space="preserve">, and </w:t>
      </w:r>
      <w:r w:rsidRPr="005468B0">
        <w:rPr>
          <w:rFonts w:eastAsia="Calibri"/>
        </w:rPr>
        <w:t xml:space="preserve">was generated in MS Excel. The Ecoinvent v.3 database accessed via SimaPro 8.0 software was used to calculate the environmental burdens of the HP installations </w:t>
      </w:r>
      <w:r>
        <w:rPr>
          <w:rFonts w:eastAsia="Calibri"/>
        </w:rPr>
        <w:fldChar w:fldCharType="begin"/>
      </w:r>
      <w:r>
        <w:rPr>
          <w:rFonts w:eastAsia="Calibri"/>
        </w:rPr>
        <w:instrText xml:space="preserve"> ADDIN EN.CITE &lt;EndNote&gt;&lt;Cite&gt;&lt;Author&gt;Ecoinvent&lt;/Author&gt;&lt;Year&gt;2014&lt;/Year&gt;&lt;RecNum&gt;260&lt;/RecNum&gt;&lt;DisplayText&gt;(Ecoinvent, 2014)&lt;/DisplayText&gt;&lt;record&gt;&lt;rec-number&gt;260&lt;/rec-number&gt;&lt;foreign-keys&gt;&lt;key app="EN" db-id="e9rav2ttda9t9re5pfyxxdamzwpp5v00xdx5" timestamp="1395914685"&gt;260&lt;/key&gt;&lt;/foreign-keys&gt;&lt;ref-type name="Dataset"&gt;59&lt;/ref-type&gt;&lt;contributors&gt;&lt;authors&gt;&lt;author&gt;Ecoinvent,&lt;/author&gt;&lt;/authors&gt;&lt;secondary-authors&gt;&lt;author&gt;accessed via SimaPro&lt;/author&gt;&lt;/secondary-authors&gt;&lt;/contributors&gt;&lt;titles&gt;&lt;title&gt;Ecoinvent database version 3&lt;/title&gt;&lt;/titles&gt;&lt;dates&gt;&lt;year&gt;2014&lt;/year&gt;&lt;/dates&gt;&lt;urls&gt;&lt;/urls&gt;&lt;/record&gt;&lt;/Cite&gt;&lt;/EndNote&gt;</w:instrText>
      </w:r>
      <w:r>
        <w:rPr>
          <w:rFonts w:eastAsia="Calibri"/>
        </w:rPr>
        <w:fldChar w:fldCharType="separate"/>
      </w:r>
      <w:r>
        <w:rPr>
          <w:rFonts w:eastAsia="Calibri"/>
          <w:noProof/>
        </w:rPr>
        <w:t>(Ecoinvent, 2014)</w:t>
      </w:r>
      <w:r>
        <w:rPr>
          <w:rFonts w:eastAsia="Calibri"/>
        </w:rPr>
        <w:fldChar w:fldCharType="end"/>
      </w:r>
      <w:r w:rsidRPr="005468B0">
        <w:rPr>
          <w:rFonts w:eastAsia="Calibri"/>
        </w:rPr>
        <w:t xml:space="preserve">. This study followed ISO 14040 standards for LCA </w:t>
      </w:r>
      <w:r>
        <w:rPr>
          <w:rFonts w:eastAsia="Calibri"/>
        </w:rPr>
        <w:fldChar w:fldCharType="begin"/>
      </w:r>
      <w:r>
        <w:rPr>
          <w:rFonts w:eastAsia="Calibri"/>
        </w:rPr>
        <w:instrText xml:space="preserve"> ADDIN EN.CITE &lt;EndNote&gt;&lt;Cite&gt;&lt;Author&gt;ISO&lt;/Author&gt;&lt;Year&gt;2006&lt;/Year&gt;&lt;RecNum&gt;162&lt;/RecNum&gt;&lt;DisplayText&gt;(ISO, 2006)&lt;/DisplayText&gt;&lt;record&gt;&lt;rec-number&gt;162&lt;/rec-number&gt;&lt;foreign-keys&gt;&lt;key app="EN" db-id="e9rav2ttda9t9re5pfyxxdamzwpp5v00xdx5" timestamp="1358715816"&gt;162&lt;/key&gt;&lt;/foreign-keys&gt;&lt;ref-type name="Standard"&gt;58&lt;/ref-type&gt;&lt;contributors&gt;&lt;authors&gt;&lt;author&gt;ISO,&lt;/author&gt;&lt;/authors&gt;&lt;/contributors&gt;&lt;titles&gt;&lt;title&gt;ISO 14040: environmental management - life cycle assessment - principles and framework&lt;/title&gt;&lt;/titles&gt;&lt;dates&gt;&lt;year&gt;2006&lt;/year&gt;&lt;/dates&gt;&lt;publisher&gt;ISO, Geneva&lt;/publisher&gt;&lt;urls&gt;&lt;/urls&gt;&lt;/record&gt;&lt;/Cite&gt;&lt;/EndNote&gt;</w:instrText>
      </w:r>
      <w:r>
        <w:rPr>
          <w:rFonts w:eastAsia="Calibri"/>
        </w:rPr>
        <w:fldChar w:fldCharType="separate"/>
      </w:r>
      <w:r>
        <w:rPr>
          <w:rFonts w:eastAsia="Calibri"/>
          <w:noProof/>
        </w:rPr>
        <w:t>(ISO, 2006)</w:t>
      </w:r>
      <w:r>
        <w:rPr>
          <w:rFonts w:eastAsia="Calibri"/>
        </w:rPr>
        <w:fldChar w:fldCharType="end"/>
      </w:r>
      <w:r>
        <w:rPr>
          <w:rFonts w:eastAsia="Calibri"/>
        </w:rPr>
        <w:t>, but included all material contributions for which there were data, including many below the 1% materiality threshold proposed in LCA standards</w:t>
      </w:r>
      <w:r w:rsidRPr="005468B0">
        <w:rPr>
          <w:rFonts w:eastAsia="Calibri"/>
        </w:rPr>
        <w:t>.</w:t>
      </w:r>
    </w:p>
    <w:p w14:paraId="37EDDAF0" w14:textId="77777777" w:rsidR="006846D7" w:rsidRPr="00A07DE3" w:rsidRDefault="006846D7" w:rsidP="006846D7">
      <w:pPr>
        <w:spacing w:line="480" w:lineRule="auto"/>
        <w:rPr>
          <w:rFonts w:eastAsia="Calibri"/>
        </w:rPr>
      </w:pPr>
    </w:p>
    <w:p w14:paraId="3AF506A0" w14:textId="77777777" w:rsidR="006846D7" w:rsidRPr="004415CA" w:rsidRDefault="006846D7" w:rsidP="006846D7">
      <w:pPr>
        <w:pStyle w:val="Heading2"/>
        <w:spacing w:line="480" w:lineRule="auto"/>
      </w:pPr>
      <w:r w:rsidRPr="004415CA">
        <w:t>Case study descriptions</w:t>
      </w:r>
    </w:p>
    <w:p w14:paraId="650BEF01" w14:textId="6F5DC7C7" w:rsidR="006846D7" w:rsidRPr="00D45BE5" w:rsidRDefault="006846D7" w:rsidP="006846D7">
      <w:pPr>
        <w:spacing w:line="480" w:lineRule="auto"/>
        <w:rPr>
          <w:rFonts w:eastAsia="Calibri"/>
        </w:rPr>
      </w:pPr>
      <w:r w:rsidRPr="00D45BE5">
        <w:rPr>
          <w:rFonts w:eastAsia="Calibri"/>
        </w:rPr>
        <w:t>Summary details for the five case studies</w:t>
      </w:r>
      <w:r w:rsidR="00657474">
        <w:rPr>
          <w:rFonts w:eastAsia="Calibri"/>
        </w:rPr>
        <w:t xml:space="preserve"> (three run-of-river and two water infrastructure hydropower projects)</w:t>
      </w:r>
      <w:r w:rsidRPr="00D45BE5">
        <w:rPr>
          <w:rFonts w:eastAsia="Calibri"/>
        </w:rPr>
        <w:t xml:space="preserve"> are provided in</w:t>
      </w:r>
      <w:r>
        <w:rPr>
          <w:rFonts w:eastAsia="Calibri"/>
        </w:rPr>
        <w:t xml:space="preserve"> </w:t>
      </w:r>
      <w:r>
        <w:rPr>
          <w:rFonts w:eastAsia="Calibri"/>
        </w:rPr>
        <w:fldChar w:fldCharType="begin"/>
      </w:r>
      <w:r>
        <w:rPr>
          <w:rFonts w:eastAsia="Calibri"/>
        </w:rPr>
        <w:instrText xml:space="preserve"> REF _Ref413786720 \h </w:instrText>
      </w:r>
      <w:r>
        <w:rPr>
          <w:rFonts w:eastAsia="Calibri"/>
        </w:rPr>
      </w:r>
      <w:r>
        <w:rPr>
          <w:rFonts w:eastAsia="Calibri"/>
        </w:rPr>
        <w:fldChar w:fldCharType="separate"/>
      </w:r>
      <w:r w:rsidR="00A03096" w:rsidRPr="004415CA">
        <w:t xml:space="preserve">Table </w:t>
      </w:r>
      <w:r w:rsidR="00A03096">
        <w:rPr>
          <w:noProof/>
        </w:rPr>
        <w:t>1</w:t>
      </w:r>
      <w:r>
        <w:rPr>
          <w:rFonts w:eastAsia="Calibri"/>
        </w:rPr>
        <w:fldChar w:fldCharType="end"/>
      </w:r>
      <w:r w:rsidR="00A03096">
        <w:rPr>
          <w:rFonts w:eastAsia="Calibri"/>
        </w:rPr>
        <w:t xml:space="preserve"> and </w:t>
      </w:r>
      <w:r w:rsidR="00A03096">
        <w:rPr>
          <w:rFonts w:eastAsia="Calibri"/>
        </w:rPr>
        <w:fldChar w:fldCharType="begin"/>
      </w:r>
      <w:r w:rsidR="00A03096">
        <w:rPr>
          <w:rFonts w:eastAsia="Calibri"/>
        </w:rPr>
        <w:instrText xml:space="preserve"> REF _Ref430783430 \h </w:instrText>
      </w:r>
      <w:r w:rsidR="00A03096">
        <w:rPr>
          <w:rFonts w:eastAsia="Calibri"/>
        </w:rPr>
      </w:r>
      <w:r w:rsidR="00A03096">
        <w:rPr>
          <w:rFonts w:eastAsia="Calibri"/>
        </w:rPr>
        <w:fldChar w:fldCharType="separate"/>
      </w:r>
      <w:r w:rsidR="00A03096">
        <w:t xml:space="preserve">Figure </w:t>
      </w:r>
      <w:r w:rsidR="00A03096">
        <w:rPr>
          <w:noProof/>
        </w:rPr>
        <w:t>1</w:t>
      </w:r>
      <w:r w:rsidR="00A03096">
        <w:rPr>
          <w:rFonts w:eastAsia="Calibri"/>
        </w:rPr>
        <w:fldChar w:fldCharType="end"/>
      </w:r>
      <w:r w:rsidRPr="00D45BE5">
        <w:rPr>
          <w:rFonts w:eastAsia="Calibri"/>
        </w:rPr>
        <w:t>.</w:t>
      </w:r>
    </w:p>
    <w:p w14:paraId="15DCF320" w14:textId="77777777" w:rsidR="006846D7" w:rsidRPr="00D45BE5" w:rsidRDefault="006846D7" w:rsidP="006846D7">
      <w:pPr>
        <w:rPr>
          <w:rFonts w:eastAsia="Calibri"/>
        </w:rPr>
      </w:pPr>
    </w:p>
    <w:p w14:paraId="5867CC78" w14:textId="29751DF8" w:rsidR="006846D7" w:rsidRPr="004415CA" w:rsidRDefault="006846D7" w:rsidP="006846D7">
      <w:pPr>
        <w:pStyle w:val="Table"/>
      </w:pPr>
      <w:bookmarkStart w:id="1" w:name="_Ref413786720"/>
      <w:r w:rsidRPr="004415CA">
        <w:t xml:space="preserve">Table </w:t>
      </w:r>
      <w:r w:rsidR="005A26A7">
        <w:fldChar w:fldCharType="begin"/>
      </w:r>
      <w:r w:rsidR="005A26A7">
        <w:instrText xml:space="preserve"> SEQ Table \* ARABIC </w:instrText>
      </w:r>
      <w:r w:rsidR="005A26A7">
        <w:fldChar w:fldCharType="separate"/>
      </w:r>
      <w:r w:rsidR="00A03096">
        <w:rPr>
          <w:noProof/>
        </w:rPr>
        <w:t>1</w:t>
      </w:r>
      <w:r w:rsidR="005A26A7">
        <w:rPr>
          <w:noProof/>
        </w:rPr>
        <w:fldChar w:fldCharType="end"/>
      </w:r>
      <w:bookmarkEnd w:id="1"/>
      <w:r w:rsidRPr="004415CA">
        <w:t>. Description of five HP case studies</w:t>
      </w:r>
      <w:r w:rsidR="00A03096">
        <w:t xml:space="preserve"> </w:t>
      </w:r>
      <w:r w:rsidR="00A03096">
        <w:fldChar w:fldCharType="begin"/>
      </w:r>
      <w:r w:rsidR="005E7147">
        <w:instrText xml:space="preserve"> ADDIN EN.CITE &lt;EndNote&gt;&lt;Cite&gt;&lt;Author&gt;Gallagher&lt;/Author&gt;&lt;Year&gt;2015&lt;/Year&gt;&lt;RecNum&gt;371&lt;/RecNum&gt;&lt;DisplayText&gt;(Gallagher et al., 2015b)&lt;/DisplayText&gt;&lt;record&gt;&lt;rec-number&gt;371&lt;/rec-number&gt;&lt;foreign-keys&gt;&lt;key app="EN" db-id="e9rav2ttda9t9re5pfyxxdamzwpp5v00xdx5" timestamp="1425904659"&gt;371&lt;/key&gt;&lt;/foreign-keys&gt;&lt;ref-type name="Journal Article"&gt;17&lt;/ref-type&gt;&lt;contributors&gt;&lt;authors&gt;&lt;author&gt;Gallagher, J.&lt;/author&gt;&lt;author&gt;Styles, D.&lt;/author&gt;&lt;author&gt;McNabola, A.&lt;/author&gt;&lt;author&gt;Williams, A.P.&lt;/author&gt;&lt;/authors&gt;&lt;/contributors&gt;&lt;titles&gt;&lt;title&gt;Inventory compilation for renewable energy systems: the pitfalls of materiality thresholds and priority impact categories using hydropower case studies&lt;/title&gt;&lt;secondary-title&gt;International Journal of Life Cycle Assessment&lt;/secondary-title&gt;&lt;/titles&gt;&lt;periodical&gt;&lt;full-title&gt;International Journal of Life Cycle Assessment&lt;/full-title&gt;&lt;/periodical&gt;&lt;dates&gt;&lt;year&gt;2015&lt;/year&gt;&lt;/dates&gt;&lt;urls&gt;&lt;/urls&gt;&lt;electronic-resource-num&gt;10.1007/s11367-015-0976-6&lt;/electronic-resource-num&gt;&lt;/record&gt;&lt;/Cite&gt;&lt;/EndNote&gt;</w:instrText>
      </w:r>
      <w:r w:rsidR="00A03096">
        <w:fldChar w:fldCharType="separate"/>
      </w:r>
      <w:r w:rsidR="00A03096">
        <w:rPr>
          <w:noProof/>
        </w:rPr>
        <w:t>(Gallagher et al., 2015b)</w:t>
      </w:r>
      <w:r w:rsidR="00A03096">
        <w:fldChar w:fldCharType="end"/>
      </w:r>
      <w:r>
        <w:t>.</w:t>
      </w:r>
    </w:p>
    <w:tbl>
      <w:tblPr>
        <w:tblStyle w:val="LightShading12"/>
        <w:tblW w:w="9356" w:type="dxa"/>
        <w:jc w:val="center"/>
        <w:tblLook w:val="04A0" w:firstRow="1" w:lastRow="0" w:firstColumn="1" w:lastColumn="0" w:noHBand="0" w:noVBand="1"/>
      </w:tblPr>
      <w:tblGrid>
        <w:gridCol w:w="1701"/>
        <w:gridCol w:w="1474"/>
        <w:gridCol w:w="1474"/>
        <w:gridCol w:w="1474"/>
        <w:gridCol w:w="283"/>
        <w:gridCol w:w="1474"/>
        <w:gridCol w:w="1476"/>
      </w:tblGrid>
      <w:tr w:rsidR="006846D7" w:rsidRPr="00C56D2C" w14:paraId="3489AA20" w14:textId="77777777" w:rsidTr="003E0895">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vMerge w:val="restart"/>
            <w:shd w:val="clear" w:color="auto" w:fill="auto"/>
            <w:vAlign w:val="center"/>
          </w:tcPr>
          <w:p w14:paraId="211BFA20" w14:textId="77777777" w:rsidR="006846D7" w:rsidRPr="00C56D2C" w:rsidRDefault="006846D7" w:rsidP="003E0895">
            <w:pPr>
              <w:rPr>
                <w:sz w:val="20"/>
              </w:rPr>
            </w:pPr>
            <w:r w:rsidRPr="00C56D2C">
              <w:rPr>
                <w:sz w:val="20"/>
              </w:rPr>
              <w:t>Parameter</w:t>
            </w:r>
          </w:p>
        </w:tc>
        <w:tc>
          <w:tcPr>
            <w:tcW w:w="4422" w:type="dxa"/>
            <w:gridSpan w:val="3"/>
            <w:shd w:val="clear" w:color="auto" w:fill="auto"/>
            <w:vAlign w:val="center"/>
          </w:tcPr>
          <w:p w14:paraId="495771FE" w14:textId="77777777" w:rsidR="006846D7" w:rsidRPr="00C56D2C" w:rsidRDefault="006846D7" w:rsidP="003E0895">
            <w:pPr>
              <w:jc w:val="center"/>
              <w:cnfStyle w:val="100000000000" w:firstRow="1" w:lastRow="0" w:firstColumn="0" w:lastColumn="0" w:oddVBand="0" w:evenVBand="0" w:oddHBand="0" w:evenHBand="0" w:firstRowFirstColumn="0" w:firstRowLastColumn="0" w:lastRowFirstColumn="0" w:lastRowLastColumn="0"/>
              <w:rPr>
                <w:sz w:val="20"/>
              </w:rPr>
            </w:pPr>
            <w:r w:rsidRPr="00C56D2C">
              <w:rPr>
                <w:sz w:val="20"/>
              </w:rPr>
              <w:t>Run-of-river</w:t>
            </w:r>
          </w:p>
        </w:tc>
        <w:tc>
          <w:tcPr>
            <w:tcW w:w="283" w:type="dxa"/>
            <w:tcBorders>
              <w:top w:val="single" w:sz="4" w:space="0" w:color="auto"/>
              <w:bottom w:val="nil"/>
            </w:tcBorders>
            <w:shd w:val="clear" w:color="auto" w:fill="auto"/>
            <w:vAlign w:val="center"/>
          </w:tcPr>
          <w:p w14:paraId="3ABD0B58" w14:textId="77777777" w:rsidR="006846D7" w:rsidRPr="00C56D2C" w:rsidRDefault="006846D7" w:rsidP="003E0895">
            <w:pPr>
              <w:jc w:val="center"/>
              <w:cnfStyle w:val="100000000000" w:firstRow="1" w:lastRow="0" w:firstColumn="0" w:lastColumn="0" w:oddVBand="0" w:evenVBand="0" w:oddHBand="0" w:evenHBand="0" w:firstRowFirstColumn="0" w:firstRowLastColumn="0" w:lastRowFirstColumn="0" w:lastRowLastColumn="0"/>
              <w:rPr>
                <w:sz w:val="20"/>
              </w:rPr>
            </w:pPr>
          </w:p>
        </w:tc>
        <w:tc>
          <w:tcPr>
            <w:tcW w:w="2950" w:type="dxa"/>
            <w:gridSpan w:val="2"/>
            <w:shd w:val="clear" w:color="auto" w:fill="auto"/>
            <w:vAlign w:val="center"/>
          </w:tcPr>
          <w:p w14:paraId="0169024B" w14:textId="77777777" w:rsidR="006846D7" w:rsidRPr="00C56D2C" w:rsidRDefault="006846D7" w:rsidP="003E0895">
            <w:pPr>
              <w:jc w:val="center"/>
              <w:cnfStyle w:val="100000000000" w:firstRow="1" w:lastRow="0" w:firstColumn="0" w:lastColumn="0" w:oddVBand="0" w:evenVBand="0" w:oddHBand="0" w:evenHBand="0" w:firstRowFirstColumn="0" w:firstRowLastColumn="0" w:lastRowFirstColumn="0" w:lastRowLastColumn="0"/>
              <w:rPr>
                <w:sz w:val="20"/>
              </w:rPr>
            </w:pPr>
            <w:r w:rsidRPr="00C56D2C">
              <w:rPr>
                <w:sz w:val="20"/>
              </w:rPr>
              <w:t>Water infrastructure</w:t>
            </w:r>
          </w:p>
        </w:tc>
      </w:tr>
      <w:tr w:rsidR="006846D7" w:rsidRPr="00C56D2C" w14:paraId="68B5D869" w14:textId="77777777" w:rsidTr="003E089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vMerge/>
            <w:tcBorders>
              <w:bottom w:val="single" w:sz="4" w:space="0" w:color="auto"/>
            </w:tcBorders>
            <w:shd w:val="clear" w:color="auto" w:fill="auto"/>
            <w:vAlign w:val="center"/>
          </w:tcPr>
          <w:p w14:paraId="20504DEB" w14:textId="77777777" w:rsidR="006846D7" w:rsidRPr="00C56D2C" w:rsidRDefault="006846D7" w:rsidP="003E0895">
            <w:pPr>
              <w:rPr>
                <w:sz w:val="20"/>
              </w:rPr>
            </w:pPr>
          </w:p>
        </w:tc>
        <w:tc>
          <w:tcPr>
            <w:tcW w:w="1474" w:type="dxa"/>
            <w:tcBorders>
              <w:top w:val="single" w:sz="8" w:space="0" w:color="000000"/>
              <w:bottom w:val="single" w:sz="4" w:space="0" w:color="auto"/>
            </w:tcBorders>
            <w:shd w:val="clear" w:color="auto" w:fill="auto"/>
            <w:vAlign w:val="center"/>
          </w:tcPr>
          <w:p w14:paraId="43C9E981" w14:textId="77777777" w:rsidR="006846D7" w:rsidRPr="00C56D2C"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r>
              <w:rPr>
                <w:b/>
                <w:sz w:val="20"/>
              </w:rPr>
              <w:t>Private</w:t>
            </w:r>
          </w:p>
        </w:tc>
        <w:tc>
          <w:tcPr>
            <w:tcW w:w="1474" w:type="dxa"/>
            <w:tcBorders>
              <w:top w:val="single" w:sz="8" w:space="0" w:color="000000"/>
              <w:bottom w:val="single" w:sz="4" w:space="0" w:color="auto"/>
            </w:tcBorders>
            <w:shd w:val="clear" w:color="auto" w:fill="auto"/>
            <w:vAlign w:val="center"/>
          </w:tcPr>
          <w:p w14:paraId="340FD3BE" w14:textId="77777777" w:rsidR="006846D7" w:rsidRPr="00C56D2C"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r w:rsidRPr="00C56D2C">
              <w:rPr>
                <w:b/>
                <w:sz w:val="20"/>
              </w:rPr>
              <w:t>Hafod y Porth</w:t>
            </w:r>
          </w:p>
        </w:tc>
        <w:tc>
          <w:tcPr>
            <w:tcW w:w="1474" w:type="dxa"/>
            <w:tcBorders>
              <w:top w:val="single" w:sz="8" w:space="0" w:color="000000"/>
              <w:bottom w:val="single" w:sz="4" w:space="0" w:color="auto"/>
            </w:tcBorders>
            <w:shd w:val="clear" w:color="auto" w:fill="auto"/>
            <w:vAlign w:val="center"/>
          </w:tcPr>
          <w:p w14:paraId="5E3AE1F5" w14:textId="77777777" w:rsidR="006846D7" w:rsidRPr="00C56D2C"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r w:rsidRPr="00C56D2C">
              <w:rPr>
                <w:b/>
                <w:sz w:val="20"/>
              </w:rPr>
              <w:t>Hafod y Llan</w:t>
            </w:r>
          </w:p>
        </w:tc>
        <w:tc>
          <w:tcPr>
            <w:tcW w:w="283" w:type="dxa"/>
            <w:tcBorders>
              <w:top w:val="nil"/>
              <w:bottom w:val="single" w:sz="4" w:space="0" w:color="auto"/>
            </w:tcBorders>
            <w:shd w:val="clear" w:color="auto" w:fill="auto"/>
            <w:vAlign w:val="center"/>
          </w:tcPr>
          <w:p w14:paraId="13FB6E37" w14:textId="77777777" w:rsidR="006846D7" w:rsidRPr="00C56D2C"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p>
        </w:tc>
        <w:tc>
          <w:tcPr>
            <w:tcW w:w="1474" w:type="dxa"/>
            <w:tcBorders>
              <w:top w:val="single" w:sz="8" w:space="0" w:color="000000"/>
              <w:bottom w:val="single" w:sz="4" w:space="0" w:color="auto"/>
            </w:tcBorders>
            <w:shd w:val="clear" w:color="auto" w:fill="auto"/>
            <w:vAlign w:val="center"/>
          </w:tcPr>
          <w:p w14:paraId="2FBFF146" w14:textId="77777777" w:rsidR="006846D7" w:rsidRPr="00C56D2C"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r w:rsidRPr="00C56D2C">
              <w:rPr>
                <w:b/>
                <w:sz w:val="20"/>
              </w:rPr>
              <w:t>Vartry</w:t>
            </w:r>
          </w:p>
        </w:tc>
        <w:tc>
          <w:tcPr>
            <w:tcW w:w="1476" w:type="dxa"/>
            <w:tcBorders>
              <w:top w:val="single" w:sz="8" w:space="0" w:color="000000"/>
              <w:bottom w:val="single" w:sz="4" w:space="0" w:color="auto"/>
            </w:tcBorders>
            <w:shd w:val="clear" w:color="auto" w:fill="auto"/>
            <w:vAlign w:val="center"/>
          </w:tcPr>
          <w:p w14:paraId="7197D43B" w14:textId="77777777" w:rsidR="006846D7" w:rsidRPr="00C56D2C"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r w:rsidRPr="00C56D2C">
              <w:rPr>
                <w:b/>
                <w:sz w:val="20"/>
              </w:rPr>
              <w:t>Strata Florida</w:t>
            </w:r>
          </w:p>
        </w:tc>
      </w:tr>
      <w:tr w:rsidR="006846D7" w:rsidRPr="00C56D2C" w14:paraId="3ACBD4B4" w14:textId="77777777" w:rsidTr="003E0895">
        <w:trPr>
          <w:trHeight w:val="283"/>
          <w:jc w:val="center"/>
        </w:trPr>
        <w:tc>
          <w:tcPr>
            <w:cnfStyle w:val="001000000000" w:firstRow="0" w:lastRow="0" w:firstColumn="1" w:lastColumn="0" w:oddVBand="0" w:evenVBand="0" w:oddHBand="0" w:evenHBand="0" w:firstRowFirstColumn="0" w:firstRowLastColumn="0" w:lastRowFirstColumn="0" w:lastRowLastColumn="0"/>
            <w:tcW w:w="1701" w:type="dxa"/>
            <w:tcBorders>
              <w:top w:val="single" w:sz="4" w:space="0" w:color="auto"/>
            </w:tcBorders>
            <w:shd w:val="clear" w:color="auto" w:fill="auto"/>
            <w:vAlign w:val="center"/>
          </w:tcPr>
          <w:p w14:paraId="233C3373" w14:textId="77777777" w:rsidR="006846D7" w:rsidRPr="00C56D2C" w:rsidRDefault="006846D7" w:rsidP="003E0895">
            <w:pPr>
              <w:rPr>
                <w:sz w:val="20"/>
              </w:rPr>
            </w:pPr>
            <w:r w:rsidRPr="00C56D2C">
              <w:rPr>
                <w:sz w:val="20"/>
              </w:rPr>
              <w:t>Location</w:t>
            </w:r>
          </w:p>
        </w:tc>
        <w:tc>
          <w:tcPr>
            <w:tcW w:w="1474" w:type="dxa"/>
            <w:tcBorders>
              <w:top w:val="single" w:sz="4" w:space="0" w:color="auto"/>
            </w:tcBorders>
            <w:shd w:val="clear" w:color="auto" w:fill="auto"/>
            <w:vAlign w:val="center"/>
          </w:tcPr>
          <w:p w14:paraId="578E8D8E"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North England</w:t>
            </w:r>
          </w:p>
        </w:tc>
        <w:tc>
          <w:tcPr>
            <w:tcW w:w="1474" w:type="dxa"/>
            <w:tcBorders>
              <w:top w:val="single" w:sz="4" w:space="0" w:color="auto"/>
            </w:tcBorders>
            <w:shd w:val="clear" w:color="auto" w:fill="auto"/>
            <w:vAlign w:val="center"/>
          </w:tcPr>
          <w:p w14:paraId="12D96511"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North Wales</w:t>
            </w:r>
          </w:p>
        </w:tc>
        <w:tc>
          <w:tcPr>
            <w:tcW w:w="1474" w:type="dxa"/>
            <w:tcBorders>
              <w:top w:val="single" w:sz="4" w:space="0" w:color="auto"/>
            </w:tcBorders>
            <w:shd w:val="clear" w:color="auto" w:fill="auto"/>
            <w:vAlign w:val="center"/>
          </w:tcPr>
          <w:p w14:paraId="390706E8"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North Wales</w:t>
            </w:r>
          </w:p>
        </w:tc>
        <w:tc>
          <w:tcPr>
            <w:tcW w:w="283" w:type="dxa"/>
            <w:tcBorders>
              <w:top w:val="single" w:sz="4" w:space="0" w:color="auto"/>
            </w:tcBorders>
            <w:shd w:val="clear" w:color="auto" w:fill="auto"/>
            <w:vAlign w:val="center"/>
          </w:tcPr>
          <w:p w14:paraId="5DA0C1EE"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p>
        </w:tc>
        <w:tc>
          <w:tcPr>
            <w:tcW w:w="1474" w:type="dxa"/>
            <w:tcBorders>
              <w:top w:val="single" w:sz="4" w:space="0" w:color="auto"/>
            </w:tcBorders>
            <w:shd w:val="clear" w:color="auto" w:fill="auto"/>
            <w:vAlign w:val="center"/>
          </w:tcPr>
          <w:p w14:paraId="7B3CA485"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East Ireland</w:t>
            </w:r>
          </w:p>
        </w:tc>
        <w:tc>
          <w:tcPr>
            <w:tcW w:w="1476" w:type="dxa"/>
            <w:tcBorders>
              <w:top w:val="single" w:sz="4" w:space="0" w:color="auto"/>
            </w:tcBorders>
            <w:shd w:val="clear" w:color="auto" w:fill="auto"/>
            <w:vAlign w:val="center"/>
          </w:tcPr>
          <w:p w14:paraId="60807315"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Mid Wales</w:t>
            </w:r>
          </w:p>
        </w:tc>
      </w:tr>
      <w:tr w:rsidR="006846D7" w:rsidRPr="00C56D2C" w14:paraId="7452637A" w14:textId="77777777" w:rsidTr="003E089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38ABE2B2" w14:textId="76024C70" w:rsidR="006846D7" w:rsidRPr="00C56D2C" w:rsidRDefault="006846D7" w:rsidP="0087641C">
            <w:pPr>
              <w:rPr>
                <w:sz w:val="20"/>
              </w:rPr>
            </w:pPr>
            <w:r w:rsidRPr="00C56D2C">
              <w:rPr>
                <w:sz w:val="20"/>
              </w:rPr>
              <w:t xml:space="preserve">Net </w:t>
            </w:r>
            <w:r w:rsidR="0087641C">
              <w:rPr>
                <w:sz w:val="20"/>
              </w:rPr>
              <w:t>h</w:t>
            </w:r>
            <w:r w:rsidRPr="00C56D2C">
              <w:rPr>
                <w:sz w:val="20"/>
              </w:rPr>
              <w:t>ead</w:t>
            </w:r>
          </w:p>
        </w:tc>
        <w:tc>
          <w:tcPr>
            <w:tcW w:w="1474" w:type="dxa"/>
            <w:shd w:val="clear" w:color="auto" w:fill="auto"/>
            <w:vAlign w:val="center"/>
          </w:tcPr>
          <w:p w14:paraId="35249052"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105 m</w:t>
            </w:r>
          </w:p>
        </w:tc>
        <w:tc>
          <w:tcPr>
            <w:tcW w:w="1474" w:type="dxa"/>
            <w:shd w:val="clear" w:color="auto" w:fill="auto"/>
            <w:vAlign w:val="center"/>
          </w:tcPr>
          <w:p w14:paraId="56C16278"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128 m</w:t>
            </w:r>
          </w:p>
        </w:tc>
        <w:tc>
          <w:tcPr>
            <w:tcW w:w="1474" w:type="dxa"/>
            <w:shd w:val="clear" w:color="auto" w:fill="auto"/>
            <w:vAlign w:val="center"/>
          </w:tcPr>
          <w:p w14:paraId="53EB76C6"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175 m</w:t>
            </w:r>
          </w:p>
        </w:tc>
        <w:tc>
          <w:tcPr>
            <w:tcW w:w="283" w:type="dxa"/>
            <w:shd w:val="clear" w:color="auto" w:fill="auto"/>
            <w:vAlign w:val="center"/>
          </w:tcPr>
          <w:p w14:paraId="0B387A53"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p>
        </w:tc>
        <w:tc>
          <w:tcPr>
            <w:tcW w:w="1474" w:type="dxa"/>
            <w:shd w:val="clear" w:color="auto" w:fill="auto"/>
            <w:vAlign w:val="center"/>
          </w:tcPr>
          <w:p w14:paraId="10B98750"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7-16 m</w:t>
            </w:r>
          </w:p>
        </w:tc>
        <w:tc>
          <w:tcPr>
            <w:tcW w:w="1476" w:type="dxa"/>
            <w:shd w:val="clear" w:color="auto" w:fill="auto"/>
            <w:vAlign w:val="center"/>
          </w:tcPr>
          <w:p w14:paraId="3888D4A4"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183-196 m</w:t>
            </w:r>
          </w:p>
        </w:tc>
      </w:tr>
      <w:tr w:rsidR="006846D7" w:rsidRPr="00C56D2C" w14:paraId="554A6A52" w14:textId="77777777" w:rsidTr="003E0895">
        <w:trPr>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17BF3F9A" w14:textId="77777777" w:rsidR="006846D7" w:rsidRPr="00C56D2C" w:rsidRDefault="006846D7" w:rsidP="003E0895">
            <w:pPr>
              <w:rPr>
                <w:sz w:val="20"/>
              </w:rPr>
            </w:pPr>
            <w:r w:rsidRPr="00C56D2C">
              <w:rPr>
                <w:sz w:val="20"/>
              </w:rPr>
              <w:t>Flow</w:t>
            </w:r>
          </w:p>
        </w:tc>
        <w:tc>
          <w:tcPr>
            <w:tcW w:w="1474" w:type="dxa"/>
            <w:shd w:val="clear" w:color="auto" w:fill="auto"/>
            <w:vAlign w:val="center"/>
          </w:tcPr>
          <w:p w14:paraId="1EF7A939"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~90 l/s</w:t>
            </w:r>
          </w:p>
        </w:tc>
        <w:tc>
          <w:tcPr>
            <w:tcW w:w="1474" w:type="dxa"/>
            <w:shd w:val="clear" w:color="auto" w:fill="auto"/>
            <w:vAlign w:val="center"/>
          </w:tcPr>
          <w:p w14:paraId="1E23C4FA"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~100 l/s</w:t>
            </w:r>
          </w:p>
        </w:tc>
        <w:tc>
          <w:tcPr>
            <w:tcW w:w="1474" w:type="dxa"/>
            <w:shd w:val="clear" w:color="auto" w:fill="auto"/>
            <w:vAlign w:val="center"/>
          </w:tcPr>
          <w:p w14:paraId="5D48796B"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~450 l/s</w:t>
            </w:r>
          </w:p>
        </w:tc>
        <w:tc>
          <w:tcPr>
            <w:tcW w:w="283" w:type="dxa"/>
            <w:shd w:val="clear" w:color="auto" w:fill="auto"/>
            <w:vAlign w:val="center"/>
          </w:tcPr>
          <w:p w14:paraId="4066EC77"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p>
        </w:tc>
        <w:tc>
          <w:tcPr>
            <w:tcW w:w="1474" w:type="dxa"/>
            <w:shd w:val="clear" w:color="auto" w:fill="auto"/>
            <w:vAlign w:val="center"/>
          </w:tcPr>
          <w:p w14:paraId="478A6EF7"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~580-1200 l/s</w:t>
            </w:r>
          </w:p>
        </w:tc>
        <w:tc>
          <w:tcPr>
            <w:tcW w:w="1476" w:type="dxa"/>
            <w:shd w:val="clear" w:color="auto" w:fill="auto"/>
            <w:vAlign w:val="center"/>
          </w:tcPr>
          <w:p w14:paraId="24CFDC7D" w14:textId="77777777" w:rsidR="006846D7" w:rsidRPr="00C56D2C"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C56D2C">
              <w:rPr>
                <w:sz w:val="20"/>
              </w:rPr>
              <w:t>~100 l/s</w:t>
            </w:r>
          </w:p>
        </w:tc>
      </w:tr>
      <w:tr w:rsidR="006846D7" w:rsidRPr="00C56D2C" w14:paraId="7F295F89" w14:textId="77777777" w:rsidTr="003E089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22DDAD7F" w14:textId="513B69FC" w:rsidR="006846D7" w:rsidRPr="00C56D2C" w:rsidRDefault="006846D7" w:rsidP="003E0895">
            <w:pPr>
              <w:rPr>
                <w:sz w:val="20"/>
              </w:rPr>
            </w:pPr>
            <w:r w:rsidRPr="00C56D2C">
              <w:rPr>
                <w:sz w:val="20"/>
              </w:rPr>
              <w:t xml:space="preserve">Design </w:t>
            </w:r>
            <w:r w:rsidR="0087641C">
              <w:rPr>
                <w:sz w:val="20"/>
              </w:rPr>
              <w:t>c</w:t>
            </w:r>
            <w:r w:rsidRPr="00C56D2C">
              <w:rPr>
                <w:sz w:val="20"/>
              </w:rPr>
              <w:t>apacity</w:t>
            </w:r>
          </w:p>
        </w:tc>
        <w:tc>
          <w:tcPr>
            <w:tcW w:w="1474" w:type="dxa"/>
            <w:shd w:val="clear" w:color="auto" w:fill="auto"/>
            <w:vAlign w:val="center"/>
          </w:tcPr>
          <w:p w14:paraId="2D55B595"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50 kW</w:t>
            </w:r>
          </w:p>
        </w:tc>
        <w:tc>
          <w:tcPr>
            <w:tcW w:w="1474" w:type="dxa"/>
            <w:shd w:val="clear" w:color="auto" w:fill="auto"/>
            <w:vAlign w:val="center"/>
          </w:tcPr>
          <w:p w14:paraId="4C23E3CE"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100 kW</w:t>
            </w:r>
          </w:p>
        </w:tc>
        <w:tc>
          <w:tcPr>
            <w:tcW w:w="1474" w:type="dxa"/>
            <w:shd w:val="clear" w:color="auto" w:fill="auto"/>
            <w:vAlign w:val="center"/>
          </w:tcPr>
          <w:p w14:paraId="17E7250A"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650 kW</w:t>
            </w:r>
          </w:p>
        </w:tc>
        <w:tc>
          <w:tcPr>
            <w:tcW w:w="283" w:type="dxa"/>
            <w:shd w:val="clear" w:color="auto" w:fill="auto"/>
            <w:vAlign w:val="center"/>
          </w:tcPr>
          <w:p w14:paraId="1984A3E3"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p>
        </w:tc>
        <w:tc>
          <w:tcPr>
            <w:tcW w:w="1474" w:type="dxa"/>
            <w:shd w:val="clear" w:color="auto" w:fill="auto"/>
            <w:vAlign w:val="center"/>
          </w:tcPr>
          <w:p w14:paraId="108FF83C"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90 kW</w:t>
            </w:r>
          </w:p>
        </w:tc>
        <w:tc>
          <w:tcPr>
            <w:tcW w:w="1476" w:type="dxa"/>
            <w:shd w:val="clear" w:color="auto" w:fill="auto"/>
            <w:vAlign w:val="center"/>
          </w:tcPr>
          <w:p w14:paraId="7E32D52F"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140 kW</w:t>
            </w:r>
          </w:p>
        </w:tc>
      </w:tr>
      <w:tr w:rsidR="00C93371" w:rsidRPr="00C56D2C" w14:paraId="070A6732" w14:textId="77777777" w:rsidTr="003E0895">
        <w:trPr>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740C5010" w14:textId="76D438A0" w:rsidR="00C93371" w:rsidRPr="00C56D2C" w:rsidRDefault="00C93371" w:rsidP="003E0895">
            <w:pPr>
              <w:rPr>
                <w:sz w:val="20"/>
              </w:rPr>
            </w:pPr>
            <w:r>
              <w:rPr>
                <w:sz w:val="20"/>
              </w:rPr>
              <w:t>Turbine type</w:t>
            </w:r>
          </w:p>
        </w:tc>
        <w:tc>
          <w:tcPr>
            <w:tcW w:w="1474" w:type="dxa"/>
            <w:shd w:val="clear" w:color="auto" w:fill="auto"/>
            <w:vAlign w:val="center"/>
          </w:tcPr>
          <w:p w14:paraId="17686010" w14:textId="54CF42C5" w:rsidR="00C93371" w:rsidRPr="00C56D2C" w:rsidRDefault="00D33E4E" w:rsidP="003E0895">
            <w:pPr>
              <w:jc w:val="right"/>
              <w:cnfStyle w:val="000000000000" w:firstRow="0" w:lastRow="0" w:firstColumn="0" w:lastColumn="0" w:oddVBand="0" w:evenVBand="0" w:oddHBand="0" w:evenHBand="0" w:firstRowFirstColumn="0" w:firstRowLastColumn="0" w:lastRowFirstColumn="0" w:lastRowLastColumn="0"/>
              <w:rPr>
                <w:sz w:val="20"/>
              </w:rPr>
            </w:pPr>
            <w:r>
              <w:rPr>
                <w:sz w:val="20"/>
              </w:rPr>
              <w:t>Turgo</w:t>
            </w:r>
          </w:p>
        </w:tc>
        <w:tc>
          <w:tcPr>
            <w:tcW w:w="1474" w:type="dxa"/>
            <w:shd w:val="clear" w:color="auto" w:fill="auto"/>
            <w:vAlign w:val="center"/>
          </w:tcPr>
          <w:p w14:paraId="1A3A0F2C" w14:textId="1E3D589F" w:rsidR="00C93371" w:rsidRPr="00C56D2C" w:rsidRDefault="00C93371" w:rsidP="003E0895">
            <w:pPr>
              <w:jc w:val="right"/>
              <w:cnfStyle w:val="000000000000" w:firstRow="0" w:lastRow="0" w:firstColumn="0" w:lastColumn="0" w:oddVBand="0" w:evenVBand="0" w:oddHBand="0" w:evenHBand="0" w:firstRowFirstColumn="0" w:firstRowLastColumn="0" w:lastRowFirstColumn="0" w:lastRowLastColumn="0"/>
              <w:rPr>
                <w:sz w:val="20"/>
              </w:rPr>
            </w:pPr>
            <w:r>
              <w:rPr>
                <w:sz w:val="20"/>
              </w:rPr>
              <w:t>Turgo</w:t>
            </w:r>
          </w:p>
        </w:tc>
        <w:tc>
          <w:tcPr>
            <w:tcW w:w="1474" w:type="dxa"/>
            <w:shd w:val="clear" w:color="auto" w:fill="auto"/>
            <w:vAlign w:val="center"/>
          </w:tcPr>
          <w:p w14:paraId="4064B7CB" w14:textId="0A57F590" w:rsidR="00C93371" w:rsidRPr="00C56D2C" w:rsidRDefault="00C93371" w:rsidP="003E0895">
            <w:pPr>
              <w:jc w:val="right"/>
              <w:cnfStyle w:val="000000000000" w:firstRow="0" w:lastRow="0" w:firstColumn="0" w:lastColumn="0" w:oddVBand="0" w:evenVBand="0" w:oddHBand="0" w:evenHBand="0" w:firstRowFirstColumn="0" w:firstRowLastColumn="0" w:lastRowFirstColumn="0" w:lastRowLastColumn="0"/>
              <w:rPr>
                <w:sz w:val="20"/>
              </w:rPr>
            </w:pPr>
            <w:r>
              <w:rPr>
                <w:sz w:val="20"/>
              </w:rPr>
              <w:t>Pelton</w:t>
            </w:r>
          </w:p>
        </w:tc>
        <w:tc>
          <w:tcPr>
            <w:tcW w:w="283" w:type="dxa"/>
            <w:shd w:val="clear" w:color="auto" w:fill="auto"/>
            <w:vAlign w:val="center"/>
          </w:tcPr>
          <w:p w14:paraId="72EBB20C" w14:textId="77777777" w:rsidR="00C93371" w:rsidRPr="00C56D2C" w:rsidRDefault="00C93371" w:rsidP="003E0895">
            <w:pPr>
              <w:jc w:val="right"/>
              <w:cnfStyle w:val="000000000000" w:firstRow="0" w:lastRow="0" w:firstColumn="0" w:lastColumn="0" w:oddVBand="0" w:evenVBand="0" w:oddHBand="0" w:evenHBand="0" w:firstRowFirstColumn="0" w:firstRowLastColumn="0" w:lastRowFirstColumn="0" w:lastRowLastColumn="0"/>
              <w:rPr>
                <w:sz w:val="20"/>
              </w:rPr>
            </w:pPr>
          </w:p>
        </w:tc>
        <w:tc>
          <w:tcPr>
            <w:tcW w:w="1474" w:type="dxa"/>
            <w:shd w:val="clear" w:color="auto" w:fill="auto"/>
            <w:vAlign w:val="center"/>
          </w:tcPr>
          <w:p w14:paraId="571A6541" w14:textId="468D5972" w:rsidR="00C93371" w:rsidRPr="00C56D2C" w:rsidRDefault="00C93371" w:rsidP="003E0895">
            <w:pPr>
              <w:jc w:val="right"/>
              <w:cnfStyle w:val="000000000000" w:firstRow="0" w:lastRow="0" w:firstColumn="0" w:lastColumn="0" w:oddVBand="0" w:evenVBand="0" w:oddHBand="0" w:evenHBand="0" w:firstRowFirstColumn="0" w:firstRowLastColumn="0" w:lastRowFirstColumn="0" w:lastRowLastColumn="0"/>
              <w:rPr>
                <w:sz w:val="20"/>
              </w:rPr>
            </w:pPr>
            <w:r>
              <w:rPr>
                <w:sz w:val="20"/>
              </w:rPr>
              <w:t>Kaplan</w:t>
            </w:r>
          </w:p>
        </w:tc>
        <w:tc>
          <w:tcPr>
            <w:tcW w:w="1476" w:type="dxa"/>
            <w:shd w:val="clear" w:color="auto" w:fill="auto"/>
            <w:vAlign w:val="center"/>
          </w:tcPr>
          <w:p w14:paraId="2AAB41DC" w14:textId="7B4EEF40" w:rsidR="00C93371" w:rsidRPr="00C56D2C" w:rsidRDefault="00C93371" w:rsidP="00C93371">
            <w:pPr>
              <w:jc w:val="right"/>
              <w:cnfStyle w:val="000000000000" w:firstRow="0" w:lastRow="0" w:firstColumn="0" w:lastColumn="0" w:oddVBand="0" w:evenVBand="0" w:oddHBand="0" w:evenHBand="0" w:firstRowFirstColumn="0" w:firstRowLastColumn="0" w:lastRowFirstColumn="0" w:lastRowLastColumn="0"/>
              <w:rPr>
                <w:sz w:val="20"/>
              </w:rPr>
            </w:pPr>
            <w:r>
              <w:rPr>
                <w:sz w:val="20"/>
              </w:rPr>
              <w:t>Pelton</w:t>
            </w:r>
          </w:p>
        </w:tc>
      </w:tr>
      <w:tr w:rsidR="006846D7" w:rsidRPr="00C56D2C" w14:paraId="67434551" w14:textId="77777777" w:rsidTr="003E089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tcBorders>
              <w:bottom w:val="single" w:sz="4" w:space="0" w:color="auto"/>
            </w:tcBorders>
            <w:shd w:val="clear" w:color="auto" w:fill="auto"/>
            <w:vAlign w:val="center"/>
          </w:tcPr>
          <w:p w14:paraId="71430786" w14:textId="77777777" w:rsidR="006846D7" w:rsidRPr="00C56D2C" w:rsidRDefault="006846D7" w:rsidP="003E0895">
            <w:pPr>
              <w:rPr>
                <w:sz w:val="20"/>
              </w:rPr>
            </w:pPr>
            <w:r w:rsidRPr="00C56D2C">
              <w:rPr>
                <w:sz w:val="20"/>
              </w:rPr>
              <w:t>Annual output*</w:t>
            </w:r>
          </w:p>
        </w:tc>
        <w:tc>
          <w:tcPr>
            <w:tcW w:w="1474" w:type="dxa"/>
            <w:tcBorders>
              <w:bottom w:val="single" w:sz="4" w:space="0" w:color="auto"/>
            </w:tcBorders>
            <w:shd w:val="clear" w:color="auto" w:fill="auto"/>
            <w:vAlign w:val="center"/>
          </w:tcPr>
          <w:p w14:paraId="33848A27"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0.2-0.3 GWh</w:t>
            </w:r>
          </w:p>
        </w:tc>
        <w:tc>
          <w:tcPr>
            <w:tcW w:w="1474" w:type="dxa"/>
            <w:tcBorders>
              <w:bottom w:val="single" w:sz="4" w:space="0" w:color="auto"/>
            </w:tcBorders>
            <w:shd w:val="clear" w:color="auto" w:fill="auto"/>
            <w:vAlign w:val="center"/>
          </w:tcPr>
          <w:p w14:paraId="7EB4D859"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0.4-0.5 GWh</w:t>
            </w:r>
          </w:p>
        </w:tc>
        <w:tc>
          <w:tcPr>
            <w:tcW w:w="1474" w:type="dxa"/>
            <w:tcBorders>
              <w:bottom w:val="single" w:sz="4" w:space="0" w:color="auto"/>
            </w:tcBorders>
            <w:shd w:val="clear" w:color="auto" w:fill="auto"/>
            <w:vAlign w:val="center"/>
          </w:tcPr>
          <w:p w14:paraId="7ADCDAE5"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1.8-2.1 GWh</w:t>
            </w:r>
          </w:p>
        </w:tc>
        <w:tc>
          <w:tcPr>
            <w:tcW w:w="283" w:type="dxa"/>
            <w:tcBorders>
              <w:bottom w:val="single" w:sz="4" w:space="0" w:color="auto"/>
            </w:tcBorders>
            <w:shd w:val="clear" w:color="auto" w:fill="auto"/>
            <w:vAlign w:val="center"/>
          </w:tcPr>
          <w:p w14:paraId="05C67A1B"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p>
        </w:tc>
        <w:tc>
          <w:tcPr>
            <w:tcW w:w="1474" w:type="dxa"/>
            <w:tcBorders>
              <w:bottom w:val="single" w:sz="4" w:space="0" w:color="auto"/>
            </w:tcBorders>
            <w:shd w:val="clear" w:color="auto" w:fill="auto"/>
            <w:vAlign w:val="center"/>
          </w:tcPr>
          <w:p w14:paraId="2A471B7A"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0.6-0.7 GWh</w:t>
            </w:r>
          </w:p>
        </w:tc>
        <w:tc>
          <w:tcPr>
            <w:tcW w:w="1476" w:type="dxa"/>
            <w:tcBorders>
              <w:bottom w:val="single" w:sz="4" w:space="0" w:color="auto"/>
            </w:tcBorders>
            <w:shd w:val="clear" w:color="auto" w:fill="auto"/>
            <w:vAlign w:val="center"/>
          </w:tcPr>
          <w:p w14:paraId="04F5DD9B" w14:textId="77777777" w:rsidR="006846D7" w:rsidRPr="00C56D2C"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sidRPr="00C56D2C">
              <w:rPr>
                <w:sz w:val="20"/>
              </w:rPr>
              <w:t>0.9-1.0 GWh</w:t>
            </w:r>
          </w:p>
        </w:tc>
      </w:tr>
      <w:tr w:rsidR="006846D7" w:rsidRPr="00C56D2C" w14:paraId="6760347A" w14:textId="77777777" w:rsidTr="003E0895">
        <w:trPr>
          <w:trHeight w:val="283"/>
          <w:jc w:val="center"/>
        </w:trPr>
        <w:tc>
          <w:tcPr>
            <w:cnfStyle w:val="001000000000" w:firstRow="0" w:lastRow="0" w:firstColumn="1" w:lastColumn="0" w:oddVBand="0" w:evenVBand="0" w:oddHBand="0" w:evenHBand="0" w:firstRowFirstColumn="0" w:firstRowLastColumn="0" w:lastRowFirstColumn="0" w:lastRowLastColumn="0"/>
            <w:tcW w:w="9356" w:type="dxa"/>
            <w:gridSpan w:val="7"/>
            <w:tcBorders>
              <w:top w:val="single" w:sz="4" w:space="0" w:color="auto"/>
              <w:bottom w:val="nil"/>
            </w:tcBorders>
            <w:shd w:val="clear" w:color="auto" w:fill="auto"/>
            <w:vAlign w:val="center"/>
          </w:tcPr>
          <w:p w14:paraId="1AC7359B" w14:textId="77777777" w:rsidR="006846D7" w:rsidRPr="0019737A" w:rsidRDefault="006846D7" w:rsidP="003E0895">
            <w:pPr>
              <w:rPr>
                <w:b w:val="0"/>
                <w:bCs w:val="0"/>
                <w:sz w:val="18"/>
                <w:szCs w:val="18"/>
              </w:rPr>
            </w:pPr>
            <w:r w:rsidRPr="0019737A">
              <w:rPr>
                <w:b w:val="0"/>
                <w:sz w:val="18"/>
                <w:szCs w:val="18"/>
              </w:rPr>
              <w:t>* Annual output based on design for each HP project.</w:t>
            </w:r>
          </w:p>
        </w:tc>
      </w:tr>
    </w:tbl>
    <w:p w14:paraId="5103CC6C" w14:textId="77777777" w:rsidR="00A03096" w:rsidRDefault="00A03096" w:rsidP="00137FCB">
      <w:pPr>
        <w:pStyle w:val="7StandardText"/>
        <w:spacing w:line="480" w:lineRule="auto"/>
      </w:pPr>
    </w:p>
    <w:p w14:paraId="3F308F83" w14:textId="01A1B628" w:rsidR="003A7FC0" w:rsidRDefault="0052625A" w:rsidP="00A03096">
      <w:pPr>
        <w:pStyle w:val="Figure"/>
      </w:pPr>
      <w:r>
        <w:rPr>
          <w:noProof/>
        </w:rPr>
        <w:drawing>
          <wp:inline distT="0" distB="0" distL="0" distR="0" wp14:anchorId="33D5C7FE" wp14:editId="2B661C3D">
            <wp:extent cx="5715000" cy="1924050"/>
            <wp:effectExtent l="0" t="0" r="0" b="0"/>
            <wp:docPr id="4" name="Picture 4" descr="C:\Users\afs02e\Desktop\Hydro-BPT\Project Dissimination\Papers\6) Making green technology greener - what is the potential of ecodesign for renewable energy systems\RC&amp;R\2nd Submission\Figures\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s02e\Desktop\Hydro-BPT\Project Dissimination\Papers\6) Making green technology greener - what is the potential of ecodesign for renewable energy systems\RC&amp;R\2nd Submission\Figures\Figure 1.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1924050"/>
                    </a:xfrm>
                    <a:prstGeom prst="rect">
                      <a:avLst/>
                    </a:prstGeom>
                    <a:noFill/>
                    <a:ln>
                      <a:noFill/>
                    </a:ln>
                  </pic:spPr>
                </pic:pic>
              </a:graphicData>
            </a:graphic>
          </wp:inline>
        </w:drawing>
      </w:r>
    </w:p>
    <w:p w14:paraId="19C63BDB" w14:textId="79A00BE1" w:rsidR="00A03096" w:rsidRDefault="00A03096" w:rsidP="00A03096">
      <w:pPr>
        <w:pStyle w:val="Figure"/>
      </w:pPr>
      <w:r>
        <w:t xml:space="preserve">Figure </w:t>
      </w:r>
      <w:r>
        <w:fldChar w:fldCharType="begin"/>
      </w:r>
      <w:r>
        <w:instrText xml:space="preserve"> SEQ Figure \* ARABIC </w:instrText>
      </w:r>
      <w:r>
        <w:fldChar w:fldCharType="separate"/>
      </w:r>
      <w:r>
        <w:rPr>
          <w:noProof/>
        </w:rPr>
        <w:t>1</w:t>
      </w:r>
      <w:r>
        <w:fldChar w:fldCharType="end"/>
      </w:r>
      <w:r w:rsidR="00137FCB">
        <w:t>. P</w:t>
      </w:r>
      <w:r w:rsidR="0087641C">
        <w:t>hotos</w:t>
      </w:r>
      <w:r w:rsidR="00137FCB">
        <w:t xml:space="preserve"> of </w:t>
      </w:r>
      <w:r w:rsidR="0052625A">
        <w:t xml:space="preserve">(a) 140 kW water infrastructure and (b) 650 kW </w:t>
      </w:r>
      <w:r w:rsidR="00137FCB">
        <w:t xml:space="preserve">run-of-river </w:t>
      </w:r>
      <w:r w:rsidR="0052625A">
        <w:t>hydropower project</w:t>
      </w:r>
      <w:r w:rsidR="00137FCB">
        <w:t>s</w:t>
      </w:r>
      <w:r w:rsidR="001C7214">
        <w:t xml:space="preserve"> </w:t>
      </w:r>
      <w:r w:rsidR="001C7214">
        <w:fldChar w:fldCharType="begin"/>
      </w:r>
      <w:r w:rsidR="001C7214">
        <w:instrText xml:space="preserve"> ADDIN EN.CITE &lt;EndNote&gt;&lt;Cite&gt;&lt;Author&gt;Dŵr Cymru Welsh Water&lt;/Author&gt;&lt;Year&gt;2013&lt;/Year&gt;&lt;RecNum&gt;280&lt;/RecNum&gt;&lt;DisplayText&gt;(Dŵr Cymru Welsh Water, 2013; National Trust Wales, 2014)&lt;/DisplayText&gt;&lt;record&gt;&lt;rec-number&gt;280&lt;/rec-number&gt;&lt;foreign-keys&gt;&lt;key app="EN" db-id="e9rav2ttda9t9re5pfyxxdamzwpp5v00xdx5" timestamp="1399555706"&gt;280&lt;/key&gt;&lt;/foreign-keys&gt;&lt;ref-type name="Personal Communication"&gt;26&lt;/ref-type&gt;&lt;contributors&gt;&lt;authors&gt;&lt;author&gt;Dŵr Cymru Welsh Water,&lt;/author&gt;&lt;/authors&gt;&lt;secondary-authors&gt;&lt;author&gt;M. Pedley; A. Fairman&lt;/author&gt;&lt;/secondary-authors&gt;&lt;/contributors&gt;&lt;titles&gt;&lt;title&gt;Strata Florida Water Treatment Works - Hydro Scheme&lt;/title&gt;&lt;/titles&gt;&lt;dates&gt;&lt;year&gt;2013&lt;/year&gt;&lt;/dates&gt;&lt;urls&gt;&lt;/urls&gt;&lt;/record&gt;&lt;/Cite&gt;&lt;Cite&gt;&lt;Author&gt;National Trust Wales&lt;/Author&gt;&lt;Year&gt;2014&lt;/Year&gt;&lt;RecNum&gt;350&lt;/RecNum&gt;&lt;record&gt;&lt;rec-number&gt;350&lt;/rec-number&gt;&lt;foreign-keys&gt;&lt;key app="EN" db-id="e9rav2ttda9t9re5pfyxxdamzwpp5v00xdx5" timestamp="1420724932"&gt;350&lt;/key&gt;&lt;/foreign-keys&gt;&lt;ref-type name="Dataset"&gt;59&lt;/ref-type&gt;&lt;contributors&gt;&lt;authors&gt;&lt;author&gt;National Trust Wales,&lt;/author&gt;&lt;/authors&gt;&lt;/contributors&gt;&lt;titles&gt;&lt;title&gt;650 kW Hafod y Llan Hydro&lt;/title&gt;&lt;/titles&gt;&lt;dates&gt;&lt;year&gt;2014&lt;/year&gt;&lt;/dates&gt;&lt;urls&gt;&lt;/urls&gt;&lt;/record&gt;&lt;/Cite&gt;&lt;/EndNote&gt;</w:instrText>
      </w:r>
      <w:r w:rsidR="001C7214">
        <w:fldChar w:fldCharType="separate"/>
      </w:r>
      <w:r w:rsidR="001C7214">
        <w:rPr>
          <w:noProof/>
        </w:rPr>
        <w:t>(Dŵr Cymru Welsh Water, 2013; National Trust Wales, 2014)</w:t>
      </w:r>
      <w:r w:rsidR="001C7214">
        <w:fldChar w:fldCharType="end"/>
      </w:r>
    </w:p>
    <w:p w14:paraId="64F2F442" w14:textId="77777777" w:rsidR="00A03096" w:rsidRDefault="00A03096" w:rsidP="00137FCB">
      <w:pPr>
        <w:spacing w:line="480" w:lineRule="auto"/>
      </w:pPr>
    </w:p>
    <w:p w14:paraId="467912E5" w14:textId="6D94984D" w:rsidR="00A03096" w:rsidRDefault="00A03096" w:rsidP="00137FCB">
      <w:pPr>
        <w:pStyle w:val="7StandardText"/>
        <w:spacing w:line="480" w:lineRule="auto"/>
      </w:pPr>
      <w:r w:rsidRPr="00D45BE5">
        <w:t xml:space="preserve">In addition, the assumptions for this LCA study are outlined </w:t>
      </w:r>
      <w:r>
        <w:t xml:space="preserve">in </w:t>
      </w:r>
      <w:r w:rsidR="002345E4">
        <w:fldChar w:fldCharType="begin"/>
      </w:r>
      <w:r w:rsidR="002345E4">
        <w:instrText xml:space="preserve"> REF _Ref430792928 \h </w:instrText>
      </w:r>
      <w:r w:rsidR="002345E4">
        <w:fldChar w:fldCharType="separate"/>
      </w:r>
      <w:r w:rsidR="002345E4" w:rsidRPr="004415CA">
        <w:t xml:space="preserve">Table </w:t>
      </w:r>
      <w:r w:rsidR="002345E4">
        <w:rPr>
          <w:noProof/>
        </w:rPr>
        <w:t>2</w:t>
      </w:r>
      <w:r w:rsidR="002345E4">
        <w:fldChar w:fldCharType="end"/>
      </w:r>
      <w:r w:rsidRPr="00D45BE5">
        <w:t>, based on comparable system boundaries across each project that account for all important contributory processes, including raw material extraction, manufacturing, transportation and construction.</w:t>
      </w:r>
    </w:p>
    <w:p w14:paraId="5768E876" w14:textId="77777777" w:rsidR="00A03096" w:rsidRDefault="00A03096" w:rsidP="00137FCB">
      <w:pPr>
        <w:pStyle w:val="7StandardText"/>
        <w:spacing w:line="480" w:lineRule="auto"/>
      </w:pPr>
    </w:p>
    <w:p w14:paraId="17E97E30" w14:textId="2F396CAA" w:rsidR="0040712D" w:rsidRPr="005358E9" w:rsidRDefault="005358E9" w:rsidP="009850BD">
      <w:pPr>
        <w:pStyle w:val="Table"/>
      </w:pPr>
      <w:bookmarkStart w:id="2" w:name="_Ref430792928"/>
      <w:r w:rsidRPr="004415CA">
        <w:t xml:space="preserve">Table </w:t>
      </w:r>
      <w:r w:rsidR="005A26A7">
        <w:fldChar w:fldCharType="begin"/>
      </w:r>
      <w:r w:rsidR="005A26A7">
        <w:instrText xml:space="preserve"> SEQ Table \* ARABIC </w:instrText>
      </w:r>
      <w:r w:rsidR="005A26A7">
        <w:fldChar w:fldCharType="separate"/>
      </w:r>
      <w:r w:rsidR="00A03096">
        <w:rPr>
          <w:noProof/>
        </w:rPr>
        <w:t>2</w:t>
      </w:r>
      <w:r w:rsidR="005A26A7">
        <w:rPr>
          <w:noProof/>
        </w:rPr>
        <w:fldChar w:fldCharType="end"/>
      </w:r>
      <w:bookmarkEnd w:id="2"/>
      <w:r w:rsidRPr="004415CA">
        <w:t xml:space="preserve">. </w:t>
      </w:r>
      <w:r>
        <w:t>Assumptions made for life cycle assessment of HP p</w:t>
      </w:r>
      <w:r w:rsidRPr="00133C83">
        <w:t>rojects</w:t>
      </w:r>
      <w:r w:rsidR="00A03096">
        <w:t xml:space="preserve"> </w:t>
      </w:r>
      <w:r w:rsidR="00A03096">
        <w:fldChar w:fldCharType="begin"/>
      </w:r>
      <w:r w:rsidR="005E7147">
        <w:instrText xml:space="preserve"> ADDIN EN.CITE &lt;EndNote&gt;&lt;Cite&gt;&lt;Author&gt;Gallagher&lt;/Author&gt;&lt;Year&gt;2015&lt;/Year&gt;&lt;RecNum&gt;371&lt;/RecNum&gt;&lt;DisplayText&gt;(Gallagher et al., 2015b)&lt;/DisplayText&gt;&lt;record&gt;&lt;rec-number&gt;371&lt;/rec-number&gt;&lt;foreign-keys&gt;&lt;key app="EN" db-id="e9rav2ttda9t9re5pfyxxdamzwpp5v00xdx5" timestamp="1425904659"&gt;371&lt;/key&gt;&lt;/foreign-keys&gt;&lt;ref-type name="Journal Article"&gt;17&lt;/ref-type&gt;&lt;contributors&gt;&lt;authors&gt;&lt;author&gt;Gallagher, J.&lt;/author&gt;&lt;author&gt;Styles, D.&lt;/author&gt;&lt;author&gt;McNabola, A.&lt;/author&gt;&lt;author&gt;Williams, A.P.&lt;/author&gt;&lt;/authors&gt;&lt;/contributors&gt;&lt;titles&gt;&lt;title&gt;Inventory compilation for renewable energy systems: the pitfalls of materiality thresholds and priority impact categories using hydropower case studies&lt;/title&gt;&lt;secondary-title&gt;International Journal of Life Cycle Assessment&lt;/secondary-title&gt;&lt;/titles&gt;&lt;periodical&gt;&lt;full-title&gt;International Journal of Life Cycle Assessment&lt;/full-title&gt;&lt;/periodical&gt;&lt;dates&gt;&lt;year&gt;2015&lt;/year&gt;&lt;/dates&gt;&lt;urls&gt;&lt;/urls&gt;&lt;electronic-resource-num&gt;10.1007/s11367-015-0976-6&lt;/electronic-resource-num&gt;&lt;/record&gt;&lt;/Cite&gt;&lt;/EndNote&gt;</w:instrText>
      </w:r>
      <w:r w:rsidR="00A03096">
        <w:fldChar w:fldCharType="separate"/>
      </w:r>
      <w:r w:rsidR="00A03096">
        <w:rPr>
          <w:noProof/>
        </w:rPr>
        <w:t>(Gallagher et al., 2015b)</w:t>
      </w:r>
      <w:r w:rsidR="00A03096">
        <w:fldChar w:fldCharType="end"/>
      </w:r>
      <w:r w:rsidRPr="00133C83">
        <w:t>.</w:t>
      </w:r>
    </w:p>
    <w:tbl>
      <w:tblPr>
        <w:tblStyle w:val="LightShading62"/>
        <w:tblW w:w="9071" w:type="dxa"/>
        <w:jc w:val="center"/>
        <w:tblLook w:val="04A0" w:firstRow="1" w:lastRow="0" w:firstColumn="1" w:lastColumn="0" w:noHBand="0" w:noVBand="1"/>
      </w:tblPr>
      <w:tblGrid>
        <w:gridCol w:w="1984"/>
        <w:gridCol w:w="7087"/>
      </w:tblGrid>
      <w:tr w:rsidR="00AA682E" w:rsidRPr="005358E9" w14:paraId="3DE2453E" w14:textId="77777777" w:rsidTr="00233950">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984" w:type="dxa"/>
            <w:shd w:val="clear" w:color="auto" w:fill="auto"/>
            <w:vAlign w:val="center"/>
          </w:tcPr>
          <w:p w14:paraId="12E2B2DB" w14:textId="77777777" w:rsidR="005358E9" w:rsidRPr="005358E9" w:rsidRDefault="005358E9" w:rsidP="00E60A38">
            <w:pPr>
              <w:autoSpaceDE w:val="0"/>
              <w:autoSpaceDN w:val="0"/>
              <w:adjustRightInd w:val="0"/>
              <w:spacing w:line="23" w:lineRule="atLeast"/>
              <w:jc w:val="center"/>
              <w:rPr>
                <w:sz w:val="20"/>
              </w:rPr>
            </w:pPr>
            <w:r w:rsidRPr="005358E9">
              <w:rPr>
                <w:sz w:val="20"/>
              </w:rPr>
              <w:t>Assumptions</w:t>
            </w:r>
          </w:p>
        </w:tc>
        <w:tc>
          <w:tcPr>
            <w:tcW w:w="7087" w:type="dxa"/>
            <w:shd w:val="clear" w:color="auto" w:fill="auto"/>
            <w:vAlign w:val="center"/>
          </w:tcPr>
          <w:p w14:paraId="1DF43D59" w14:textId="77777777" w:rsidR="005358E9" w:rsidRPr="005358E9" w:rsidRDefault="005358E9" w:rsidP="00E60A38">
            <w:pPr>
              <w:autoSpaceDE w:val="0"/>
              <w:autoSpaceDN w:val="0"/>
              <w:adjustRightInd w:val="0"/>
              <w:spacing w:line="23" w:lineRule="atLeast"/>
              <w:jc w:val="center"/>
              <w:cnfStyle w:val="100000000000" w:firstRow="1" w:lastRow="0" w:firstColumn="0" w:lastColumn="0" w:oddVBand="0" w:evenVBand="0" w:oddHBand="0" w:evenHBand="0" w:firstRowFirstColumn="0" w:firstRowLastColumn="0" w:lastRowFirstColumn="0" w:lastRowLastColumn="0"/>
              <w:rPr>
                <w:sz w:val="20"/>
              </w:rPr>
            </w:pPr>
            <w:r w:rsidRPr="005358E9">
              <w:rPr>
                <w:sz w:val="20"/>
              </w:rPr>
              <w:t>Details</w:t>
            </w:r>
          </w:p>
        </w:tc>
      </w:tr>
      <w:tr w:rsidR="00233950" w:rsidRPr="005358E9" w14:paraId="033C0387" w14:textId="77777777" w:rsidTr="00233950">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984" w:type="dxa"/>
            <w:shd w:val="clear" w:color="auto" w:fill="auto"/>
            <w:vAlign w:val="center"/>
          </w:tcPr>
          <w:p w14:paraId="2C87210F" w14:textId="77777777" w:rsidR="005358E9" w:rsidRPr="00AA682E" w:rsidRDefault="005358E9" w:rsidP="0052625A">
            <w:pPr>
              <w:autoSpaceDE w:val="0"/>
              <w:autoSpaceDN w:val="0"/>
              <w:adjustRightInd w:val="0"/>
              <w:spacing w:line="23" w:lineRule="atLeast"/>
              <w:jc w:val="left"/>
              <w:rPr>
                <w:b w:val="0"/>
                <w:sz w:val="20"/>
              </w:rPr>
            </w:pPr>
            <w:r w:rsidRPr="00AA682E">
              <w:rPr>
                <w:b w:val="0"/>
                <w:sz w:val="20"/>
              </w:rPr>
              <w:t>Boundary conditions</w:t>
            </w:r>
          </w:p>
        </w:tc>
        <w:tc>
          <w:tcPr>
            <w:tcW w:w="7087" w:type="dxa"/>
            <w:shd w:val="clear" w:color="auto" w:fill="auto"/>
            <w:vAlign w:val="center"/>
          </w:tcPr>
          <w:p w14:paraId="570C0581" w14:textId="77777777" w:rsidR="005358E9" w:rsidRPr="005358E9" w:rsidRDefault="005358E9" w:rsidP="00E60A38">
            <w:pPr>
              <w:autoSpaceDE w:val="0"/>
              <w:autoSpaceDN w:val="0"/>
              <w:adjustRightInd w:val="0"/>
              <w:spacing w:line="23" w:lineRule="atLeast"/>
              <w:ind w:left="151"/>
              <w:cnfStyle w:val="000000100000" w:firstRow="0" w:lastRow="0" w:firstColumn="0" w:lastColumn="0" w:oddVBand="0" w:evenVBand="0" w:oddHBand="1" w:evenHBand="0" w:firstRowFirstColumn="0" w:firstRowLastColumn="0" w:lastRowFirstColumn="0" w:lastRowLastColumn="0"/>
              <w:rPr>
                <w:sz w:val="20"/>
              </w:rPr>
            </w:pPr>
            <w:r w:rsidRPr="005358E9">
              <w:rPr>
                <w:sz w:val="20"/>
              </w:rPr>
              <w:t>Grid transmission infrastructure, operation/maintenance and decommissioning omitted.</w:t>
            </w:r>
          </w:p>
        </w:tc>
      </w:tr>
      <w:tr w:rsidR="00233950" w:rsidRPr="005358E9" w14:paraId="1FADEB76" w14:textId="77777777" w:rsidTr="00233950">
        <w:trPr>
          <w:trHeight w:val="510"/>
          <w:jc w:val="center"/>
        </w:trPr>
        <w:tc>
          <w:tcPr>
            <w:cnfStyle w:val="001000000000" w:firstRow="0" w:lastRow="0" w:firstColumn="1" w:lastColumn="0" w:oddVBand="0" w:evenVBand="0" w:oddHBand="0" w:evenHBand="0" w:firstRowFirstColumn="0" w:firstRowLastColumn="0" w:lastRowFirstColumn="0" w:lastRowLastColumn="0"/>
            <w:tcW w:w="1984" w:type="dxa"/>
            <w:shd w:val="clear" w:color="auto" w:fill="auto"/>
            <w:vAlign w:val="center"/>
          </w:tcPr>
          <w:p w14:paraId="30600778" w14:textId="77777777" w:rsidR="005358E9" w:rsidRPr="00AA682E" w:rsidRDefault="005358E9" w:rsidP="0052625A">
            <w:pPr>
              <w:autoSpaceDE w:val="0"/>
              <w:autoSpaceDN w:val="0"/>
              <w:adjustRightInd w:val="0"/>
              <w:spacing w:line="23" w:lineRule="atLeast"/>
              <w:jc w:val="left"/>
              <w:rPr>
                <w:b w:val="0"/>
                <w:sz w:val="20"/>
              </w:rPr>
            </w:pPr>
            <w:r w:rsidRPr="00AA682E">
              <w:rPr>
                <w:b w:val="0"/>
                <w:sz w:val="20"/>
              </w:rPr>
              <w:t>Project lifespan</w:t>
            </w:r>
          </w:p>
        </w:tc>
        <w:tc>
          <w:tcPr>
            <w:tcW w:w="7087" w:type="dxa"/>
            <w:shd w:val="clear" w:color="auto" w:fill="auto"/>
            <w:vAlign w:val="center"/>
          </w:tcPr>
          <w:p w14:paraId="6F0B4DA0" w14:textId="33ED5056" w:rsidR="005358E9" w:rsidRPr="005358E9" w:rsidRDefault="005358E9" w:rsidP="0087641C">
            <w:pPr>
              <w:autoSpaceDE w:val="0"/>
              <w:autoSpaceDN w:val="0"/>
              <w:adjustRightInd w:val="0"/>
              <w:spacing w:line="23" w:lineRule="atLeast"/>
              <w:ind w:left="151"/>
              <w:cnfStyle w:val="000000000000" w:firstRow="0" w:lastRow="0" w:firstColumn="0" w:lastColumn="0" w:oddVBand="0" w:evenVBand="0" w:oddHBand="0" w:evenHBand="0" w:firstRowFirstColumn="0" w:firstRowLastColumn="0" w:lastRowFirstColumn="0" w:lastRowLastColumn="0"/>
              <w:rPr>
                <w:sz w:val="20"/>
              </w:rPr>
            </w:pPr>
            <w:r w:rsidRPr="005358E9">
              <w:rPr>
                <w:sz w:val="20"/>
              </w:rPr>
              <w:t>50-year lifespan for turbines, 100-year lifespan for pipework and housing (further details</w:t>
            </w:r>
            <w:r w:rsidR="003A7FC0">
              <w:rPr>
                <w:sz w:val="20"/>
              </w:rPr>
              <w:t xml:space="preserve"> in </w:t>
            </w:r>
            <w:r w:rsidR="003A7FC0">
              <w:rPr>
                <w:sz w:val="20"/>
              </w:rPr>
              <w:fldChar w:fldCharType="begin">
                <w:fldData xml:space="preserve">PEVuZE5vdGU+PENpdGUgQXV0aG9yWWVhcj0iMSI+PEF1dGhvcj5HYWxsYWdoZXI8L0F1dGhvcj48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</w:fldData>
              </w:fldChar>
            </w:r>
            <w:r w:rsidR="0052625A">
              <w:rPr>
                <w:sz w:val="20"/>
              </w:rPr>
              <w:instrText xml:space="preserve"> ADDIN EN.CITE </w:instrText>
            </w:r>
            <w:r w:rsidR="0052625A">
              <w:rPr>
                <w:sz w:val="20"/>
              </w:rPr>
              <w:fldChar w:fldCharType="begin">
                <w:fldData xml:space="preserve">PEVuZE5vdGU+PENpdGUgQXV0aG9yWWVhcj0iMSI+PEF1dGhvcj5HYWxsYWdoZXI8L0F1dGhvcj48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</w:fldData>
              </w:fldChar>
            </w:r>
            <w:r w:rsidR="0052625A">
              <w:rPr>
                <w:sz w:val="20"/>
              </w:rPr>
              <w:instrText xml:space="preserve"> ADDIN EN.CITE.DATA </w:instrText>
            </w:r>
            <w:r w:rsidR="0052625A">
              <w:rPr>
                <w:sz w:val="20"/>
              </w:rPr>
            </w:r>
            <w:r w:rsidR="0052625A">
              <w:rPr>
                <w:sz w:val="20"/>
              </w:rPr>
              <w:fldChar w:fldCharType="end"/>
            </w:r>
            <w:r w:rsidR="003A7FC0">
              <w:rPr>
                <w:sz w:val="20"/>
              </w:rPr>
            </w:r>
            <w:r w:rsidR="003A7FC0">
              <w:rPr>
                <w:sz w:val="20"/>
              </w:rPr>
              <w:fldChar w:fldCharType="separate"/>
            </w:r>
            <w:r w:rsidR="0052625A">
              <w:rPr>
                <w:noProof/>
                <w:sz w:val="20"/>
              </w:rPr>
              <w:t>Gallagher et al. (2015a; 2015c)</w:t>
            </w:r>
            <w:r w:rsidR="003A7FC0">
              <w:rPr>
                <w:sz w:val="20"/>
              </w:rPr>
              <w:fldChar w:fldCharType="end"/>
            </w:r>
            <w:r w:rsidRPr="005358E9">
              <w:rPr>
                <w:sz w:val="20"/>
              </w:rPr>
              <w:t>.</w:t>
            </w:r>
          </w:p>
        </w:tc>
      </w:tr>
      <w:tr w:rsidR="00233950" w:rsidRPr="005358E9" w14:paraId="5B288AE1" w14:textId="77777777" w:rsidTr="00233950">
        <w:trPr>
          <w:cnfStyle w:val="000000100000" w:firstRow="0" w:lastRow="0" w:firstColumn="0" w:lastColumn="0" w:oddVBand="0" w:evenVBand="0" w:oddHBand="1" w:evenHBand="0" w:firstRowFirstColumn="0" w:firstRowLastColumn="0" w:lastRowFirstColumn="0" w:lastRowLastColumn="0"/>
          <w:trHeight w:val="1191"/>
          <w:jc w:val="center"/>
        </w:trPr>
        <w:tc>
          <w:tcPr>
            <w:cnfStyle w:val="001000000000" w:firstRow="0" w:lastRow="0" w:firstColumn="1" w:lastColumn="0" w:oddVBand="0" w:evenVBand="0" w:oddHBand="0" w:evenHBand="0" w:firstRowFirstColumn="0" w:firstRowLastColumn="0" w:lastRowFirstColumn="0" w:lastRowLastColumn="0"/>
            <w:tcW w:w="1984" w:type="dxa"/>
            <w:shd w:val="clear" w:color="auto" w:fill="auto"/>
            <w:vAlign w:val="center"/>
          </w:tcPr>
          <w:p w14:paraId="6E2EDCEA" w14:textId="77777777" w:rsidR="005358E9" w:rsidRPr="00AA682E" w:rsidRDefault="005358E9" w:rsidP="0052625A">
            <w:pPr>
              <w:autoSpaceDE w:val="0"/>
              <w:autoSpaceDN w:val="0"/>
              <w:adjustRightInd w:val="0"/>
              <w:spacing w:line="23" w:lineRule="atLeast"/>
              <w:jc w:val="left"/>
              <w:rPr>
                <w:b w:val="0"/>
                <w:sz w:val="20"/>
              </w:rPr>
            </w:pPr>
            <w:r w:rsidRPr="00AA682E">
              <w:rPr>
                <w:b w:val="0"/>
                <w:sz w:val="20"/>
              </w:rPr>
              <w:t>Raw materials, manufacturing, construction &amp; transportation</w:t>
            </w:r>
          </w:p>
        </w:tc>
        <w:tc>
          <w:tcPr>
            <w:tcW w:w="7087" w:type="dxa"/>
            <w:shd w:val="clear" w:color="auto" w:fill="auto"/>
            <w:vAlign w:val="center"/>
          </w:tcPr>
          <w:p w14:paraId="16DDEF0D" w14:textId="1CD9D986" w:rsidR="005358E9" w:rsidRPr="005358E9" w:rsidRDefault="005358E9" w:rsidP="0087641C">
            <w:pPr>
              <w:autoSpaceDE w:val="0"/>
              <w:autoSpaceDN w:val="0"/>
              <w:adjustRightInd w:val="0"/>
              <w:spacing w:line="23" w:lineRule="atLeast"/>
              <w:ind w:left="151"/>
              <w:cnfStyle w:val="000000100000" w:firstRow="0" w:lastRow="0" w:firstColumn="0" w:lastColumn="0" w:oddVBand="0" w:evenVBand="0" w:oddHBand="1" w:evenHBand="0" w:firstRowFirstColumn="0" w:firstRowLastColumn="0" w:lastRowFirstColumn="0" w:lastRowLastColumn="0"/>
              <w:rPr>
                <w:sz w:val="20"/>
              </w:rPr>
            </w:pPr>
            <w:r w:rsidRPr="005358E9">
              <w:rPr>
                <w:sz w:val="20"/>
              </w:rPr>
              <w:t>Impact category data for raw materials (e.g. steel, concrete, etc.), manufacturing (e.g. steel product manufacturing) and transportation (e.g. freight transport) were sourced from Ecoinvent v.3 database via SimaPro8</w:t>
            </w:r>
            <w:r w:rsidR="0052625A">
              <w:rPr>
                <w:sz w:val="20"/>
              </w:rPr>
              <w:t xml:space="preserve"> </w:t>
            </w:r>
            <w:r w:rsidRPr="005358E9">
              <w:rPr>
                <w:sz w:val="20"/>
              </w:rPr>
              <w:fldChar w:fldCharType="begin"/>
            </w:r>
            <w:r w:rsidRPr="005358E9">
              <w:rPr>
                <w:sz w:val="20"/>
              </w:rPr>
              <w:instrText xml:space="preserve"> ADDIN EN.CITE &lt;EndNote&gt;&lt;Cite&gt;&lt;Author&gt;Ecoinvent&lt;/Author&gt;&lt;Year&gt;2014&lt;/Year&gt;&lt;RecNum&gt;260&lt;/RecNum&gt;&lt;DisplayText&gt;(Ecoinvent, 2014)&lt;/DisplayText&gt;&lt;record&gt;&lt;rec-number&gt;260&lt;/rec-number&gt;&lt;foreign-keys&gt;&lt;key app="EN" db-id="e9rav2ttda9t9re5pfyxxdamzwpp5v00xdx5" timestamp="1395914685"&gt;260&lt;/key&gt;&lt;/foreign-keys&gt;&lt;ref-type name="Dataset"&gt;59&lt;/ref-type&gt;&lt;contributors&gt;&lt;authors&gt;&lt;author&gt;Ecoinvent,&lt;/author&gt;&lt;/authors&gt;&lt;secondary-authors&gt;&lt;author&gt;accessed via SimaPro&lt;/author&gt;&lt;/secondary-authors&gt;&lt;/contributors&gt;&lt;titles&gt;&lt;title&gt;Ecoinvent database version 3&lt;/title&gt;&lt;/titles&gt;&lt;dates&gt;&lt;year&gt;2014&lt;/year&gt;&lt;/dates&gt;&lt;urls&gt;&lt;/urls&gt;&lt;/record&gt;&lt;/Cite&gt;&lt;/EndNote&gt;</w:instrText>
            </w:r>
            <w:r w:rsidRPr="005358E9">
              <w:rPr>
                <w:sz w:val="20"/>
              </w:rPr>
              <w:fldChar w:fldCharType="separate"/>
            </w:r>
            <w:r w:rsidRPr="005358E9">
              <w:rPr>
                <w:noProof/>
                <w:sz w:val="20"/>
              </w:rPr>
              <w:t>(Ecoinvent, 2014)</w:t>
            </w:r>
            <w:r w:rsidRPr="005358E9">
              <w:rPr>
                <w:sz w:val="20"/>
              </w:rPr>
              <w:fldChar w:fldCharType="end"/>
            </w:r>
            <w:r w:rsidR="0052625A">
              <w:rPr>
                <w:sz w:val="20"/>
              </w:rPr>
              <w:t>.</w:t>
            </w:r>
            <w:r w:rsidRPr="005358E9">
              <w:rPr>
                <w:sz w:val="20"/>
              </w:rPr>
              <w:t xml:space="preserve"> The environmental impact</w:t>
            </w:r>
            <w:r w:rsidR="0087641C">
              <w:rPr>
                <w:sz w:val="20"/>
              </w:rPr>
              <w:t>s</w:t>
            </w:r>
            <w:r w:rsidRPr="005358E9">
              <w:rPr>
                <w:sz w:val="20"/>
              </w:rPr>
              <w:t xml:space="preserve"> of soil movement and construction processes were included</w:t>
            </w:r>
            <w:r w:rsidR="0087641C">
              <w:rPr>
                <w:sz w:val="20"/>
              </w:rPr>
              <w:t>;</w:t>
            </w:r>
            <w:r w:rsidRPr="005358E9">
              <w:rPr>
                <w:sz w:val="20"/>
              </w:rPr>
              <w:t xml:space="preserve"> however, the impact of excess displaced soil/turf was omitted.</w:t>
            </w:r>
          </w:p>
        </w:tc>
      </w:tr>
      <w:tr w:rsidR="00233950" w:rsidRPr="005358E9" w14:paraId="100A6174" w14:textId="77777777" w:rsidTr="00233950">
        <w:trPr>
          <w:trHeight w:val="510"/>
          <w:jc w:val="center"/>
        </w:trPr>
        <w:tc>
          <w:tcPr>
            <w:cnfStyle w:val="001000000000" w:firstRow="0" w:lastRow="0" w:firstColumn="1" w:lastColumn="0" w:oddVBand="0" w:evenVBand="0" w:oddHBand="0" w:evenHBand="0" w:firstRowFirstColumn="0" w:firstRowLastColumn="0" w:lastRowFirstColumn="0" w:lastRowLastColumn="0"/>
            <w:tcW w:w="1984" w:type="dxa"/>
            <w:shd w:val="clear" w:color="auto" w:fill="auto"/>
            <w:vAlign w:val="center"/>
          </w:tcPr>
          <w:p w14:paraId="3D64CCAE" w14:textId="77777777" w:rsidR="005358E9" w:rsidRPr="00AA682E" w:rsidRDefault="005358E9" w:rsidP="0052625A">
            <w:pPr>
              <w:autoSpaceDE w:val="0"/>
              <w:autoSpaceDN w:val="0"/>
              <w:adjustRightInd w:val="0"/>
              <w:spacing w:line="23" w:lineRule="atLeast"/>
              <w:jc w:val="left"/>
              <w:rPr>
                <w:b w:val="0"/>
                <w:sz w:val="20"/>
              </w:rPr>
            </w:pPr>
            <w:r w:rsidRPr="00AA682E">
              <w:rPr>
                <w:b w:val="0"/>
                <w:sz w:val="20"/>
              </w:rPr>
              <w:t>Products</w:t>
            </w:r>
          </w:p>
        </w:tc>
        <w:tc>
          <w:tcPr>
            <w:tcW w:w="7087" w:type="dxa"/>
            <w:shd w:val="clear" w:color="auto" w:fill="auto"/>
            <w:vAlign w:val="center"/>
          </w:tcPr>
          <w:p w14:paraId="5F0CFB1D" w14:textId="77777777" w:rsidR="005358E9" w:rsidRPr="005358E9" w:rsidRDefault="005358E9" w:rsidP="00E60A38">
            <w:pPr>
              <w:autoSpaceDE w:val="0"/>
              <w:autoSpaceDN w:val="0"/>
              <w:adjustRightInd w:val="0"/>
              <w:spacing w:line="23" w:lineRule="atLeast"/>
              <w:ind w:left="151"/>
              <w:cnfStyle w:val="000000000000" w:firstRow="0" w:lastRow="0" w:firstColumn="0" w:lastColumn="0" w:oddVBand="0" w:evenVBand="0" w:oddHBand="0" w:evenHBand="0" w:firstRowFirstColumn="0" w:firstRowLastColumn="0" w:lastRowFirstColumn="0" w:lastRowLastColumn="0"/>
              <w:rPr>
                <w:sz w:val="20"/>
              </w:rPr>
            </w:pPr>
            <w:r w:rsidRPr="005358E9">
              <w:rPr>
                <w:sz w:val="20"/>
              </w:rPr>
              <w:t>Estimations for the mass of raw materials contained in turbine/generator units were based on consultation with project stakeholders.</w:t>
            </w:r>
          </w:p>
        </w:tc>
      </w:tr>
    </w:tbl>
    <w:p w14:paraId="35C99EED" w14:textId="77777777" w:rsidR="005358E9" w:rsidRDefault="005358E9" w:rsidP="006846D7"/>
    <w:p w14:paraId="739AC642" w14:textId="77777777" w:rsidR="0040712D" w:rsidRPr="00013B72" w:rsidRDefault="0040712D" w:rsidP="006846D7"/>
    <w:p w14:paraId="14C21D62" w14:textId="77777777" w:rsidR="006846D7" w:rsidRPr="00A52F3D" w:rsidRDefault="006846D7" w:rsidP="006846D7">
      <w:pPr>
        <w:pStyle w:val="Heading2"/>
        <w:spacing w:line="480" w:lineRule="auto"/>
        <w:rPr>
          <w:rStyle w:val="SubtleEmphasis"/>
          <w:color w:val="auto"/>
        </w:rPr>
      </w:pPr>
      <w:r w:rsidRPr="00A52F3D">
        <w:rPr>
          <w:color w:val="auto"/>
        </w:rPr>
        <w:t xml:space="preserve">Ecodesign </w:t>
      </w:r>
      <w:r>
        <w:rPr>
          <w:color w:val="auto"/>
        </w:rPr>
        <w:t>measures</w:t>
      </w:r>
    </w:p>
    <w:p w14:paraId="75EDFD02" w14:textId="6846E35D" w:rsidR="006846D7" w:rsidRDefault="006846D7" w:rsidP="006846D7">
      <w:pPr>
        <w:spacing w:line="480" w:lineRule="auto"/>
        <w:rPr>
          <w:rFonts w:eastAsia="Calibri"/>
        </w:rPr>
      </w:pPr>
      <w:r w:rsidRPr="00A52F3D">
        <w:rPr>
          <w:rFonts w:eastAsia="Calibri"/>
        </w:rPr>
        <w:t>Ecodesign helps identify opportunities for economic and energy savin</w:t>
      </w:r>
      <w:r w:rsidRPr="00411219">
        <w:rPr>
          <w:rFonts w:eastAsia="Calibri"/>
        </w:rPr>
        <w:t xml:space="preserve">gs for a HP system </w:t>
      </w:r>
      <w:r>
        <w:rPr>
          <w:rFonts w:eastAsia="Calibri"/>
        </w:rPr>
        <w:fldChar w:fldCharType="begin"/>
      </w:r>
      <w:r w:rsidR="00F5035F">
        <w:rPr>
          <w:rFonts w:eastAsia="Calibri"/>
        </w:rPr>
        <w:instrText xml:space="preserve"> ADDIN EN.CITE &lt;EndNote&gt;&lt;Cite&gt;&lt;Author&gt;Lee&lt;/Author&gt;&lt;Year&gt;2015&lt;/Year&gt;&lt;RecNum&gt;344&lt;/RecNum&gt;&lt;DisplayText&gt;(Lee et al., 2015)&lt;/DisplayText&gt;&lt;record&gt;&lt;rec-number&gt;344&lt;/rec-number&gt;&lt;foreign-keys&gt;&lt;key app="EN" db-id="e9rav2ttda9t9re5pfyxxdamzwpp5v00xdx5" timestamp="1418066003"&gt;344&lt;/key&gt;&lt;/foreign-keys&gt;&lt;ref-type name="Journal Article"&gt;17&lt;/ref-type&gt;&lt;contributors&gt;&lt;authors&gt;&lt;author&gt;Lee, Cheul-Kyu&lt;/author&gt;&lt;author&gt;Lee, Jae-Young&lt;/author&gt;&lt;author&gt;Choi, Yo-Han&lt;/author&gt;&lt;author&gt;Lee, Kun-Mo&lt;/author&gt;&lt;/authors&gt;&lt;/contributors&gt;&lt;titles&gt;&lt;title&gt;Application of the integrated ecodesign method using the GHG emission as a single indicator and its GHG recyclability&lt;/title&gt;&lt;secondary-title&gt;Journal of Cleaner Production&lt;/secondary-title&gt;&lt;/titles&gt;&lt;periodical&gt;&lt;full-title&gt;Journal of Cleaner Production&lt;/full-title&gt;&lt;/periodical&gt;&lt;number&gt;0&lt;/number&gt;&lt;keywords&gt;&lt;keyword&gt;Ecodesign&lt;/keyword&gt;&lt;keyword&gt;LCA&lt;/keyword&gt;&lt;keyword&gt;LCC&lt;/keyword&gt;&lt;keyword&gt;CO2&lt;/keyword&gt;&lt;keyword&gt;Railway vehicle&lt;/keyword&gt;&lt;/keywords&gt;&lt;dates&gt;&lt;year&gt;2015&lt;/year&gt;&lt;/dates&gt;&lt;isbn&gt;0959-6526&lt;/isbn&gt;&lt;urls&gt;&lt;related-urls&gt;&lt;url&gt;http://www.sciencedirect.com/science/article/pii/S095965261401124X&lt;/url&gt;&lt;/related-urls&gt;&lt;/urls&gt;&lt;electronic-resource-num&gt;http://dx.doi.org/10.1016/j.jclepro.2014.10.081&lt;/electronic-resource-num&gt;&lt;/record&gt;&lt;/Cite&gt;&lt;/EndNote&gt;</w:instrText>
      </w:r>
      <w:r>
        <w:rPr>
          <w:rFonts w:eastAsia="Calibri"/>
        </w:rPr>
        <w:fldChar w:fldCharType="separate"/>
      </w:r>
      <w:r w:rsidR="00F5035F">
        <w:rPr>
          <w:rFonts w:eastAsia="Calibri"/>
          <w:noProof/>
        </w:rPr>
        <w:t>(Lee et al., 2015)</w:t>
      </w:r>
      <w:r>
        <w:rPr>
          <w:rFonts w:eastAsia="Calibri"/>
        </w:rPr>
        <w:fldChar w:fldCharType="end"/>
      </w:r>
      <w:r w:rsidRPr="00411219">
        <w:rPr>
          <w:rFonts w:eastAsia="Calibri"/>
        </w:rPr>
        <w:t xml:space="preserve">. A recent driver has been the development of the EC Directive 2009/125/EC, which provides a framework for ecodesign of </w:t>
      </w:r>
      <w:r w:rsidRPr="008D44D1">
        <w:rPr>
          <w:rFonts w:eastAsia="Calibri"/>
        </w:rPr>
        <w:t xml:space="preserve">energy-related products </w:t>
      </w:r>
      <w:r w:rsidRPr="008D44D1">
        <w:rPr>
          <w:rFonts w:eastAsia="Calibri"/>
        </w:rPr>
        <w:fldChar w:fldCharType="begin"/>
      </w:r>
      <w:r w:rsidR="00F5035F">
        <w:rPr>
          <w:rFonts w:eastAsia="Calibri"/>
        </w:rPr>
        <w:instrText xml:space="preserve"> ADDIN EN.CITE &lt;EndNote&gt;&lt;Cite&gt;&lt;Author&gt;EC&lt;/Author&gt;&lt;Year&gt;2009&lt;/Year&gt;&lt;RecNum&gt;360&lt;/RecNum&gt;&lt;DisplayText&gt;(EC, 2009; 2015)&lt;/DisplayText&gt;&lt;record&gt;&lt;rec-number&gt;360&lt;/rec-number&gt;&lt;foreign-keys&gt;&lt;key app="EN" db-id="e9rav2ttda9t9re5pfyxxdamzwpp5v00xdx5" timestamp="1421167791"&gt;360&lt;/key&gt;&lt;/foreign-keys&gt;&lt;ref-type name="Standard"&gt;58&lt;/ref-type&gt;&lt;contributors&gt;&lt;authors&gt;&lt;author&gt;EC,&lt;/author&gt;&lt;/authors&gt;&lt;/contributors&gt;&lt;titles&gt;&lt;title&gt;Directive 2009/125/EC of 21 October 2009 establishing a framework for the setting of ecodesign requirements for energy-related products&lt;/title&gt;&lt;/titles&gt;&lt;dates&gt;&lt;year&gt;2009&lt;/year&gt;&lt;/dates&gt;&lt;urls&gt;&lt;/urls&gt;&lt;/record&gt;&lt;/Cite&gt;&lt;Cite&gt;&lt;Author&gt;EC&lt;/Author&gt;&lt;Year&gt;2015&lt;/Year&gt;&lt;RecNum&gt;359&lt;/RecNum&gt;&lt;record&gt;&lt;rec-number&gt;359&lt;/rec-number&gt;&lt;foreign-keys&gt;&lt;key app="EN" db-id="e9rav2ttda9t9re5pfyxxdamzwpp5v00xdx5" timestamp="1421167287"&gt;359&lt;/key&gt;&lt;/foreign-keys&gt;&lt;ref-type name="Online Database"&gt;45&lt;/ref-type&gt;&lt;contributors&gt;&lt;authors&gt;&lt;author&gt;EC,&lt;/author&gt;&lt;/authors&gt;&lt;/contributors&gt;&lt;titles&gt;&lt;title&gt;Ecodesign legislation&lt;/title&gt;&lt;/titles&gt;&lt;edition&gt;6.1.2015&lt;/edition&gt;&lt;dates&gt;&lt;year&gt;2015&lt;/year&gt;&lt;/dates&gt;&lt;urls&gt;&lt;related-urls&gt;&lt;url&gt;http://ec.europa.eu/energy/efficiency/ecodesign/doc/list_of_ecodesign_measures.pdf&lt;/url&gt;&lt;/related-urls&gt;&lt;/urls&gt;&lt;/record&gt;&lt;/Cite&gt;&lt;/EndNote&gt;</w:instrText>
      </w:r>
      <w:r w:rsidRPr="008D44D1">
        <w:rPr>
          <w:rFonts w:eastAsia="Calibri"/>
        </w:rPr>
        <w:fldChar w:fldCharType="separate"/>
      </w:r>
      <w:r w:rsidR="00F5035F">
        <w:rPr>
          <w:rFonts w:eastAsia="Calibri"/>
          <w:noProof/>
        </w:rPr>
        <w:t>(EC, 2009; 2015)</w:t>
      </w:r>
      <w:r w:rsidRPr="008D44D1">
        <w:rPr>
          <w:rFonts w:eastAsia="Calibri"/>
        </w:rPr>
        <w:fldChar w:fldCharType="end"/>
      </w:r>
      <w:r w:rsidRPr="008D44D1">
        <w:rPr>
          <w:rFonts w:eastAsia="Calibri"/>
        </w:rPr>
        <w:t>. In the present study, no materiality threshold was applied for ecodesign measures</w:t>
      </w:r>
      <w:r w:rsidR="00F72297">
        <w:rPr>
          <w:rFonts w:eastAsia="Calibri"/>
        </w:rPr>
        <w:t>,</w:t>
      </w:r>
      <w:r w:rsidRPr="008D44D1">
        <w:rPr>
          <w:rFonts w:eastAsia="Calibri"/>
        </w:rPr>
        <w:t xml:space="preserve"> to ensure all environmental burdens were captured in the LCA process. Therefore,</w:t>
      </w:r>
      <w:r>
        <w:rPr>
          <w:rFonts w:eastAsia="Calibri"/>
        </w:rPr>
        <w:t xml:space="preserve"> </w:t>
      </w:r>
      <w:r>
        <w:rPr>
          <w:rFonts w:eastAsia="Calibri"/>
        </w:rPr>
        <w:lastRenderedPageBreak/>
        <w:t xml:space="preserve">the baseline case for comparison of ecodesign measures accounted for all life cycle burdens associated with the development of the HP installations. </w:t>
      </w:r>
    </w:p>
    <w:p w14:paraId="46102FB6" w14:textId="77777777" w:rsidR="006846D7" w:rsidRDefault="006846D7" w:rsidP="006846D7">
      <w:pPr>
        <w:spacing w:line="480" w:lineRule="auto"/>
        <w:rPr>
          <w:rFonts w:eastAsia="Calibri"/>
        </w:rPr>
      </w:pPr>
    </w:p>
    <w:p w14:paraId="760327DD" w14:textId="38B9DEEE" w:rsidR="006846D7" w:rsidRDefault="006846D7" w:rsidP="006846D7">
      <w:pPr>
        <w:spacing w:line="480" w:lineRule="auto"/>
        <w:rPr>
          <w:rFonts w:eastAsia="Calibri"/>
        </w:rPr>
      </w:pPr>
      <w:r>
        <w:rPr>
          <w:rFonts w:eastAsia="Calibri"/>
        </w:rPr>
        <w:t xml:space="preserve">A number of ecodesign opportunities were identified based on exploring some of the opportunities considered for the construction industry </w:t>
      </w:r>
      <w:r>
        <w:rPr>
          <w:rFonts w:eastAsia="Calibri"/>
        </w:rPr>
        <w:fldChar w:fldCharType="begin"/>
      </w:r>
      <w:r>
        <w:rPr>
          <w:rFonts w:eastAsia="Calibri"/>
        </w:rPr>
        <w:instrText xml:space="preserve"> ADDIN EN.CITE &lt;EndNote&gt;&lt;Cite&gt;&lt;Author&gt;WRAP&lt;/Author&gt;&lt;Year&gt;2012&lt;/Year&gt;&lt;RecNum&gt;379&lt;/RecNum&gt;&lt;DisplayText&gt;(WRAP, 2012)&lt;/DisplayText&gt;&lt;record&gt;&lt;rec-number&gt;379&lt;/rec-number&gt;&lt;foreign-keys&gt;&lt;key app="EN" db-id="e9rav2ttda9t9re5pfyxxdamzwpp5v00xdx5" timestamp="1426071073"&gt;379&lt;/key&gt;&lt;/foreign-keys&gt;&lt;ref-type name="Online Multimedia"&gt;48&lt;/ref-type&gt;&lt;contributors&gt;&lt;authors&gt;&lt;author&gt;WRAP,&lt;/author&gt;&lt;/authors&gt;&lt;/contributors&gt;&lt;titles&gt;&lt;title&gt;Cutting embodied carbon in construction projects&lt;/title&gt;&lt;/titles&gt;&lt;dates&gt;&lt;year&gt;2012&lt;/year&gt;&lt;/dates&gt;&lt;publisher&gt;Waste &amp;amp; Resource Action Programme&lt;/publisher&gt;&lt;work-type&gt;Information sheet for construction clients and designers&lt;/work-type&gt;&lt;urls&gt;&lt;related-urls&gt;&lt;url&gt;http://www.wrap.org.uk/sites/files/wrap/FINAL%20PRO095-009%20Embodied%20Carbon%20Annex.pdf&lt;/url&gt;&lt;/related-urls&gt;&lt;/urls&gt;&lt;/record&gt;&lt;/Cite&gt;&lt;/EndNote&gt;</w:instrText>
      </w:r>
      <w:r>
        <w:rPr>
          <w:rFonts w:eastAsia="Calibri"/>
        </w:rPr>
        <w:fldChar w:fldCharType="separate"/>
      </w:r>
      <w:r>
        <w:rPr>
          <w:rFonts w:eastAsia="Calibri"/>
          <w:noProof/>
        </w:rPr>
        <w:t>(WRAP, 2012)</w:t>
      </w:r>
      <w:r>
        <w:rPr>
          <w:rFonts w:eastAsia="Calibri"/>
        </w:rPr>
        <w:fldChar w:fldCharType="end"/>
      </w:r>
      <w:r>
        <w:rPr>
          <w:rFonts w:eastAsia="Calibri"/>
        </w:rPr>
        <w:t xml:space="preserve">, and small measures taken in a previous HP case study </w:t>
      </w:r>
      <w:r w:rsidR="00A15209">
        <w:rPr>
          <w:rFonts w:eastAsia="Calibri"/>
        </w:rPr>
        <w:t>(Gallagher et al., 2015c)</w:t>
      </w:r>
      <w:r>
        <w:rPr>
          <w:rFonts w:eastAsia="Calibri"/>
        </w:rPr>
        <w:t xml:space="preserve">. Based on a study by </w:t>
      </w:r>
      <w:r>
        <w:rPr>
          <w:rFonts w:eastAsia="Calibri"/>
        </w:rPr>
        <w:fldChar w:fldCharType="begin"/>
      </w:r>
      <w:r w:rsidR="00F5035F">
        <w:rPr>
          <w:rFonts w:eastAsia="Calibri"/>
        </w:rPr>
        <w:instrText xml:space="preserve"> ADDIN EN.CITE &lt;EndNote&gt;&lt;Cite AuthorYear="1"&gt;&lt;Author&gt;van der Voet&lt;/Author&gt;&lt;Year&gt;2004&lt;/Year&gt;&lt;RecNum&gt;378&lt;/RecNum&gt;&lt;DisplayText&gt;van der Voet et al. (2004)&lt;/DisplayText&gt;&lt;record&gt;&lt;rec-number&gt;378&lt;/rec-number&gt;&lt;foreign-keys&gt;&lt;key app="EN" db-id="e9rav2ttda9t9re5pfyxxdamzwpp5v00xdx5" timestamp="1425920924"&gt;378&lt;/key&gt;&lt;/foreign-keys&gt;&lt;ref-type name="Journal Article"&gt;17&lt;/ref-type&gt;&lt;contributors&gt;&lt;authors&gt;&lt;author&gt;van der Voet, Ester&lt;/author&gt;&lt;author&gt;van Oers, Lauran&lt;/author&gt;&lt;author&gt;Nikolic, Igor&lt;/author&gt;&lt;/authors&gt;&lt;/contributors&gt;&lt;titles&gt;&lt;title&gt;Dematerialization: Not Just a Matter of Weight&lt;/title&gt;&lt;secondary-title&gt;Journal of Industrial Ecology&lt;/secondary-title&gt;&lt;/titles&gt;&lt;periodical&gt;&lt;full-title&gt;Journal of Industrial Ecology&lt;/full-title&gt;&lt;/periodical&gt;&lt;pages&gt;121-137&lt;/pages&gt;&lt;volume&gt;8&lt;/volume&gt;&lt;number&gt;4&lt;/number&gt;&lt;keywords&gt;&lt;keyword&gt;dematerialization&lt;/keyword&gt;&lt;keyword&gt;environmental impacts&lt;/keyword&gt;&lt;keyword&gt;indicators&lt;/keyword&gt;&lt;keyword&gt;life-cycle assessment (LCA)&lt;/keyword&gt;&lt;keyword&gt;materials&lt;/keyword&gt;&lt;keyword&gt;materials flow analysis&lt;/keyword&gt;&lt;/keywords&gt;&lt;dates&gt;&lt;year&gt;2004&lt;/year&gt;&lt;/dates&gt;&lt;publisher&gt;MIT Press&lt;/publisher&gt;&lt;isbn&gt;1530-9290&lt;/isbn&gt;&lt;urls&gt;&lt;related-urls&gt;&lt;url&gt;http://dx.doi.org/10.1162/1088198043630432&lt;/url&gt;&lt;/related-urls&gt;&lt;/urls&gt;&lt;electronic-resource-num&gt;10.1162/1088198043630432&lt;/electronic-resource-num&gt;&lt;/record&gt;&lt;/Cite&gt;&lt;/EndNote&gt;</w:instrText>
      </w:r>
      <w:r>
        <w:rPr>
          <w:rFonts w:eastAsia="Calibri"/>
        </w:rPr>
        <w:fldChar w:fldCharType="separate"/>
      </w:r>
      <w:r w:rsidR="00F5035F">
        <w:rPr>
          <w:rFonts w:eastAsia="Calibri"/>
          <w:noProof/>
        </w:rPr>
        <w:t>van der Voet et al. (2004)</w:t>
      </w:r>
      <w:r>
        <w:rPr>
          <w:rFonts w:eastAsia="Calibri"/>
        </w:rPr>
        <w:fldChar w:fldCharType="end"/>
      </w:r>
      <w:r>
        <w:rPr>
          <w:rFonts w:eastAsia="Calibri"/>
        </w:rPr>
        <w:t>, ecodesign measures for HP projects include selection of more efficient materials, although there may be a trade-off if the project lifespan is reduced owing to reduced durability.</w:t>
      </w:r>
      <w:r w:rsidRPr="002E4BCD">
        <w:rPr>
          <w:rFonts w:eastAsia="Calibri"/>
        </w:rPr>
        <w:t xml:space="preserve"> </w:t>
      </w:r>
      <w:r>
        <w:rPr>
          <w:rFonts w:eastAsia="Calibri"/>
        </w:rPr>
        <w:t>However, the materials used in this study can effectively meet the 50-year project lifespan expected of the rest of the HP installation. The measures examined for HP installations in this study relate to: powerhouse structure, concrete selection, roofing materials, excavation work and transportation.</w:t>
      </w:r>
    </w:p>
    <w:p w14:paraId="721D45D0" w14:textId="77777777" w:rsidR="006846D7" w:rsidRDefault="006846D7" w:rsidP="006846D7">
      <w:pPr>
        <w:spacing w:line="480" w:lineRule="auto"/>
        <w:rPr>
          <w:rFonts w:eastAsia="Calibri"/>
        </w:rPr>
      </w:pPr>
    </w:p>
    <w:p w14:paraId="680C3891" w14:textId="77777777" w:rsidR="006846D7" w:rsidRPr="008D44D1" w:rsidRDefault="006846D7" w:rsidP="006846D7">
      <w:pPr>
        <w:pStyle w:val="Heading3"/>
      </w:pPr>
      <w:r w:rsidRPr="008D44D1">
        <w:t>Powerhouse</w:t>
      </w:r>
      <w:r>
        <w:t xml:space="preserve"> structure</w:t>
      </w:r>
    </w:p>
    <w:p w14:paraId="37E30431" w14:textId="412A5C3D" w:rsidR="006846D7" w:rsidRDefault="006846D7" w:rsidP="006846D7">
      <w:pPr>
        <w:spacing w:line="480" w:lineRule="auto"/>
        <w:rPr>
          <w:rFonts w:eastAsia="Calibri"/>
        </w:rPr>
      </w:pPr>
      <w:r>
        <w:rPr>
          <w:rFonts w:eastAsia="Calibri"/>
        </w:rPr>
        <w:t xml:space="preserve">In four of the five case studies from </w:t>
      </w:r>
      <w:r w:rsidR="00A15209">
        <w:rPr>
          <w:rFonts w:eastAsia="Calibri"/>
        </w:rPr>
        <w:t>Gallagher et al.</w:t>
      </w:r>
      <w:r w:rsidR="00F72297">
        <w:rPr>
          <w:rFonts w:eastAsia="Calibri"/>
        </w:rPr>
        <w:t xml:space="preserve"> (</w:t>
      </w:r>
      <w:r w:rsidR="00A15209">
        <w:rPr>
          <w:rFonts w:eastAsia="Calibri"/>
        </w:rPr>
        <w:t>2015b)</w:t>
      </w:r>
      <w:r>
        <w:rPr>
          <w:rFonts w:eastAsia="Calibri"/>
        </w:rPr>
        <w:t>, the powerhouse construction presented a significant opportunity to apply ecodesign, accounting for 4.5 to 7.9% of total project burdens. The replacement of concrete block cavity walls with wooden frame super-structures can reduce the overall environmental impacts of materials used in the powerhouse, reducing the use of concrete blocks by 90%. To provide an adequate replacement of the block wall structure, the wood frame was treated, insulated with acoustic wool, covered in plasterboard and finished to a similar standard as the alternative building.</w:t>
      </w:r>
      <w:r w:rsidRPr="00165585">
        <w:rPr>
          <w:rFonts w:eastAsia="Calibri"/>
        </w:rPr>
        <w:t xml:space="preserve"> </w:t>
      </w:r>
      <w:r>
        <w:rPr>
          <w:rFonts w:eastAsia="Calibri"/>
        </w:rPr>
        <w:t>Th</w:t>
      </w:r>
      <w:r w:rsidRPr="00063183">
        <w:rPr>
          <w:rFonts w:eastAsia="Calibri"/>
        </w:rPr>
        <w:t xml:space="preserve">e wood structure </w:t>
      </w:r>
      <w:r>
        <w:rPr>
          <w:rFonts w:eastAsia="Calibri"/>
        </w:rPr>
        <w:t xml:space="preserve">also </w:t>
      </w:r>
      <w:r w:rsidRPr="00063183">
        <w:rPr>
          <w:rFonts w:eastAsia="Calibri"/>
        </w:rPr>
        <w:t>presented a reduced load</w:t>
      </w:r>
      <w:r>
        <w:rPr>
          <w:rFonts w:eastAsia="Calibri"/>
        </w:rPr>
        <w:t>ing of approximately 50%</w:t>
      </w:r>
      <w:r w:rsidRPr="00063183">
        <w:rPr>
          <w:rFonts w:eastAsia="Calibri"/>
        </w:rPr>
        <w:t xml:space="preserve"> on the foundations</w:t>
      </w:r>
      <w:r>
        <w:rPr>
          <w:rFonts w:eastAsia="Calibri"/>
        </w:rPr>
        <w:t xml:space="preserve"> (based on density of different materials). This allowed</w:t>
      </w:r>
      <w:r w:rsidRPr="00063183">
        <w:rPr>
          <w:rFonts w:eastAsia="Calibri"/>
        </w:rPr>
        <w:t xml:space="preserve"> for a smaller foundation design</w:t>
      </w:r>
      <w:r>
        <w:rPr>
          <w:rFonts w:eastAsia="Calibri"/>
        </w:rPr>
        <w:t xml:space="preserve"> and other knock-on resource savings</w:t>
      </w:r>
      <w:r w:rsidRPr="00063183">
        <w:rPr>
          <w:rFonts w:eastAsia="Calibri"/>
        </w:rPr>
        <w:t>.</w:t>
      </w:r>
    </w:p>
    <w:p w14:paraId="1B24ACC3" w14:textId="77777777" w:rsidR="006846D7" w:rsidRDefault="006846D7" w:rsidP="006846D7">
      <w:pPr>
        <w:spacing w:line="480" w:lineRule="auto"/>
        <w:rPr>
          <w:rFonts w:eastAsia="Calibri"/>
        </w:rPr>
      </w:pPr>
    </w:p>
    <w:p w14:paraId="690469F6" w14:textId="77777777" w:rsidR="006846D7" w:rsidRDefault="006846D7" w:rsidP="006846D7">
      <w:pPr>
        <w:pStyle w:val="Heading3"/>
      </w:pPr>
      <w:r>
        <w:lastRenderedPageBreak/>
        <w:t>Concrete selection</w:t>
      </w:r>
    </w:p>
    <w:p w14:paraId="6961FA40" w14:textId="77777777" w:rsidR="006846D7" w:rsidRDefault="006846D7" w:rsidP="006846D7">
      <w:pPr>
        <w:spacing w:line="480" w:lineRule="auto"/>
        <w:rPr>
          <w:rFonts w:eastAsia="Calibri"/>
        </w:rPr>
      </w:pPr>
      <w:r>
        <w:rPr>
          <w:rFonts w:eastAsia="Calibri"/>
        </w:rPr>
        <w:t xml:space="preserve">The concrete used in the construction of the HP case studies contributed to between 12 and 29% of the total carbon-related burdens </w:t>
      </w:r>
      <w:r w:rsidR="00A15209">
        <w:rPr>
          <w:rFonts w:eastAsia="Calibri"/>
        </w:rPr>
        <w:t>(Gallagher et al., 2015c)</w:t>
      </w:r>
      <w:r>
        <w:rPr>
          <w:rFonts w:eastAsia="Calibri"/>
        </w:rPr>
        <w:t>. Three options are identified to reduce the environmental impacts of each project by (i) improving, (ii) replacing or (iii) reducing the use of concrete in the HP installations. Improvements in the use of concrete can be considered through more efficient designs</w:t>
      </w:r>
      <w:r w:rsidR="00F72297">
        <w:rPr>
          <w:rFonts w:eastAsia="Calibri"/>
        </w:rPr>
        <w:t xml:space="preserve"> and</w:t>
      </w:r>
      <w:r>
        <w:rPr>
          <w:rFonts w:eastAsia="Calibri"/>
        </w:rPr>
        <w:t xml:space="preserve"> using pre-cast sections</w:t>
      </w:r>
      <w:r w:rsidR="00F72297">
        <w:rPr>
          <w:rFonts w:eastAsia="Calibri"/>
        </w:rPr>
        <w:t>,</w:t>
      </w:r>
      <w:r>
        <w:rPr>
          <w:rFonts w:eastAsia="Calibri"/>
        </w:rPr>
        <w:t xml:space="preserve"> which reduces waste material by an estimated 2.5% (both concrete and wood shuttering) during the construction of the HP installations </w:t>
      </w:r>
      <w:r>
        <w:rPr>
          <w:rFonts w:eastAsia="Calibri"/>
        </w:rPr>
        <w:fldChar w:fldCharType="begin"/>
      </w:r>
      <w:r>
        <w:rPr>
          <w:rFonts w:eastAsia="Calibri"/>
        </w:rPr>
        <w:instrText xml:space="preserve"> ADDIN EN.CITE &lt;EndNote&gt;&lt;Cite&gt;&lt;Author&gt;WRAP&lt;/Author&gt;&lt;Year&gt;2012&lt;/Year&gt;&lt;RecNum&gt;379&lt;/RecNum&gt;&lt;DisplayText&gt;(WRAP, 2012)&lt;/DisplayText&gt;&lt;record&gt;&lt;rec-number&gt;379&lt;/rec-number&gt;&lt;foreign-keys&gt;&lt;key app="EN" db-id="e9rav2ttda9t9re5pfyxxdamzwpp5v00xdx5" timestamp="1426071073"&gt;379&lt;/key&gt;&lt;/foreign-keys&gt;&lt;ref-type name="Online Multimedia"&gt;48&lt;/ref-type&gt;&lt;contributors&gt;&lt;authors&gt;&lt;author&gt;WRAP,&lt;/author&gt;&lt;/authors&gt;&lt;/contributors&gt;&lt;titles&gt;&lt;title&gt;Cutting embodied carbon in construction projects&lt;/title&gt;&lt;/titles&gt;&lt;dates&gt;&lt;year&gt;2012&lt;/year&gt;&lt;/dates&gt;&lt;publisher&gt;Waste &amp;amp; Resource Action Programme&lt;/publisher&gt;&lt;work-type&gt;Information sheet for construction clients and designers&lt;/work-type&gt;&lt;urls&gt;&lt;related-urls&gt;&lt;url&gt;http://www.wrap.org.uk/sites/files/wrap/FINAL%20PRO095-009%20Embodied%20Carbon%20Annex.pdf&lt;/url&gt;&lt;/related-urls&gt;&lt;/urls&gt;&lt;/record&gt;&lt;/Cite&gt;&lt;/EndNote&gt;</w:instrText>
      </w:r>
      <w:r>
        <w:rPr>
          <w:rFonts w:eastAsia="Calibri"/>
        </w:rPr>
        <w:fldChar w:fldCharType="separate"/>
      </w:r>
      <w:r>
        <w:rPr>
          <w:rFonts w:eastAsia="Calibri"/>
          <w:noProof/>
        </w:rPr>
        <w:t>(WRAP, 2012)</w:t>
      </w:r>
      <w:r>
        <w:rPr>
          <w:rFonts w:eastAsia="Calibri"/>
        </w:rPr>
        <w:fldChar w:fldCharType="end"/>
      </w:r>
      <w:r>
        <w:rPr>
          <w:rFonts w:eastAsia="Calibri"/>
        </w:rPr>
        <w:t xml:space="preserve">. Using </w:t>
      </w:r>
      <w:r w:rsidR="00F72297">
        <w:rPr>
          <w:rFonts w:eastAsia="Calibri"/>
        </w:rPr>
        <w:t>‘</w:t>
      </w:r>
      <w:r>
        <w:rPr>
          <w:rFonts w:eastAsia="Calibri"/>
        </w:rPr>
        <w:t>green concrete</w:t>
      </w:r>
      <w:r w:rsidR="00F72297">
        <w:rPr>
          <w:rFonts w:eastAsia="Calibri"/>
        </w:rPr>
        <w:t>’</w:t>
      </w:r>
      <w:r>
        <w:rPr>
          <w:rFonts w:eastAsia="Calibri"/>
        </w:rPr>
        <w:t xml:space="preserve"> by replacing a fraction of the aggregate or cement with increased recycled content can also potentially reduce the environmental impacts of concrete used in the projects. The use of green concrete can therefore reduce the burden of the material used by approximately 2.5%. Lastly, if the structural loading of a powerhouse foundation is reduced by changing from a concrete block to wood frame super-structure, this allows for a redesign of the foundation and an estimated 5% reduction in the quantity of concrete required.</w:t>
      </w:r>
      <w:r w:rsidRPr="004E7506">
        <w:rPr>
          <w:rFonts w:eastAsia="Calibri"/>
        </w:rPr>
        <w:t xml:space="preserve"> </w:t>
      </w:r>
      <w:r>
        <w:rPr>
          <w:rFonts w:eastAsia="Calibri"/>
        </w:rPr>
        <w:t>This equated to a</w:t>
      </w:r>
      <w:r w:rsidRPr="004E7506">
        <w:rPr>
          <w:rFonts w:eastAsia="Calibri"/>
        </w:rPr>
        <w:t xml:space="preserve"> </w:t>
      </w:r>
      <w:r>
        <w:rPr>
          <w:rFonts w:eastAsia="Calibri"/>
        </w:rPr>
        <w:t>restrained cumulative 10% saving in the use of concrete for each HP project.</w:t>
      </w:r>
    </w:p>
    <w:p w14:paraId="6ECA5B10" w14:textId="77777777" w:rsidR="006846D7" w:rsidRDefault="006846D7" w:rsidP="006846D7">
      <w:pPr>
        <w:spacing w:line="480" w:lineRule="auto"/>
        <w:rPr>
          <w:rFonts w:eastAsia="Calibri"/>
        </w:rPr>
      </w:pPr>
    </w:p>
    <w:p w14:paraId="641471A4" w14:textId="77777777" w:rsidR="006846D7" w:rsidRDefault="006846D7" w:rsidP="006846D7">
      <w:pPr>
        <w:pStyle w:val="Heading3"/>
      </w:pPr>
      <w:r>
        <w:t>Roof material</w:t>
      </w:r>
    </w:p>
    <w:p w14:paraId="7F589217" w14:textId="67C94D4B" w:rsidR="006846D7" w:rsidRDefault="006846D7" w:rsidP="006846D7">
      <w:pPr>
        <w:spacing w:line="480" w:lineRule="auto"/>
        <w:rPr>
          <w:rFonts w:eastAsia="Calibri"/>
        </w:rPr>
      </w:pPr>
      <w:r>
        <w:rPr>
          <w:rFonts w:eastAsia="Calibri"/>
        </w:rPr>
        <w:t>Promoting the use of local and traditional roofing materials such as slate tiles can replace corrugated iron sheeting for some powerhouses to reduce the environmental impacts associated with the sheet metal production. Despite a small increase in the load of slates as opposed to corrugated iron sheeting, it was assumed in this study that changing the roofing material would not change the structural design and frame of the building.</w:t>
      </w:r>
      <w:r w:rsidR="00CF2DAE">
        <w:rPr>
          <w:rFonts w:eastAsia="Calibri"/>
        </w:rPr>
        <w:t xml:space="preserve"> This can also promote the use of local materials in renewable energy projects which helps the local economy</w:t>
      </w:r>
      <w:r w:rsidR="0087641C">
        <w:rPr>
          <w:rFonts w:eastAsia="Calibri"/>
        </w:rPr>
        <w:t>; as well as bring aesthetic benefits</w:t>
      </w:r>
      <w:r w:rsidR="00CF2DAE">
        <w:rPr>
          <w:rFonts w:eastAsia="Calibri"/>
        </w:rPr>
        <w:t>.</w:t>
      </w:r>
    </w:p>
    <w:p w14:paraId="03E983AE" w14:textId="77777777" w:rsidR="006846D7" w:rsidRDefault="006846D7" w:rsidP="006846D7">
      <w:pPr>
        <w:spacing w:line="480" w:lineRule="auto"/>
        <w:rPr>
          <w:rFonts w:eastAsia="Calibri"/>
        </w:rPr>
      </w:pPr>
    </w:p>
    <w:p w14:paraId="306D5F7C" w14:textId="77777777" w:rsidR="006846D7" w:rsidRDefault="006846D7" w:rsidP="006846D7">
      <w:pPr>
        <w:pStyle w:val="Heading3"/>
      </w:pPr>
      <w:r>
        <w:lastRenderedPageBreak/>
        <w:t>Excavation work and transportation</w:t>
      </w:r>
    </w:p>
    <w:p w14:paraId="6EF4F781" w14:textId="62B256C2" w:rsidR="006846D7" w:rsidRDefault="006846D7" w:rsidP="006846D7">
      <w:pPr>
        <w:spacing w:line="480" w:lineRule="auto"/>
        <w:rPr>
          <w:rFonts w:eastAsia="Calibri"/>
        </w:rPr>
      </w:pPr>
      <w:r>
        <w:rPr>
          <w:rFonts w:eastAsia="Calibri"/>
        </w:rPr>
        <w:t xml:space="preserve">For run-of-river installations, long lengths of pipework, in excess of one </w:t>
      </w:r>
      <w:r w:rsidR="003D2151">
        <w:rPr>
          <w:rFonts w:eastAsia="Calibri"/>
        </w:rPr>
        <w:t>kilometre</w:t>
      </w:r>
      <w:r>
        <w:rPr>
          <w:rFonts w:eastAsia="Calibri"/>
        </w:rPr>
        <w:t>, are required to flow into the turbine from the weir. This pipework typically winds through mountainous regions and pipe burial presents an energy</w:t>
      </w:r>
      <w:r w:rsidR="00F72297">
        <w:rPr>
          <w:rFonts w:eastAsia="Calibri"/>
        </w:rPr>
        <w:t>-</w:t>
      </w:r>
      <w:r>
        <w:rPr>
          <w:rFonts w:eastAsia="Calibri"/>
        </w:rPr>
        <w:t>intensive activity for some of the case studies examined. To reduce the quantity of excavation and rock breaking, pipework can be laid on top of the ground and overlaid with stone to create a footpath or hidden behind a wall</w:t>
      </w:r>
      <w:r w:rsidR="00F72297">
        <w:rPr>
          <w:rFonts w:eastAsia="Calibri"/>
        </w:rPr>
        <w:t>,</w:t>
      </w:r>
      <w:r>
        <w:rPr>
          <w:rFonts w:eastAsia="Calibri"/>
        </w:rPr>
        <w:t xml:space="preserve"> as demonstrated in one case study </w:t>
      </w:r>
      <w:r w:rsidR="00A15209">
        <w:rPr>
          <w:rFonts w:eastAsia="Calibri"/>
        </w:rPr>
        <w:t>(Gallagher et al., 2015c)</w:t>
      </w:r>
      <w:r w:rsidR="00F72297">
        <w:rPr>
          <w:rFonts w:eastAsia="Calibri"/>
        </w:rPr>
        <w:t>;</w:t>
      </w:r>
      <w:r>
        <w:rPr>
          <w:rFonts w:eastAsia="Calibri"/>
        </w:rPr>
        <w:t xml:space="preserve"> with more recent work using net covers over the pipework on which moss is allowed to overgrow. For ecodesign, it was estimated that this measure would reduce rock breaking activities by 50%, reduce the quantity of excavation or fill material by 20% and overall energy transportation requirements by 10%.</w:t>
      </w:r>
    </w:p>
    <w:p w14:paraId="46C7F970" w14:textId="77777777" w:rsidR="006846D7" w:rsidRDefault="006846D7" w:rsidP="006846D7">
      <w:pPr>
        <w:spacing w:line="480" w:lineRule="auto"/>
        <w:rPr>
          <w:rFonts w:eastAsia="Calibri"/>
        </w:rPr>
      </w:pPr>
    </w:p>
    <w:p w14:paraId="00B914FC" w14:textId="77777777" w:rsidR="006846D7" w:rsidRDefault="006846D7" w:rsidP="006846D7">
      <w:pPr>
        <w:spacing w:line="480" w:lineRule="auto"/>
        <w:rPr>
          <w:rFonts w:eastAsia="Calibri"/>
        </w:rPr>
      </w:pPr>
      <w:r>
        <w:rPr>
          <w:rFonts w:eastAsia="Calibri"/>
        </w:rPr>
        <w:t>Lastly, transportation of materials and personnel can contribute to the environmental impacts of a HP project. Thus, considering the use of local materials to reduce the distance that supplies are delivered to site, ensuring personal car-share to work, a reduction of materials required on site and on-site machinery using biofuels all present opportunities for primary fossil energy savings from transport related burdens.</w:t>
      </w:r>
    </w:p>
    <w:p w14:paraId="5766AC1C" w14:textId="77777777" w:rsidR="006846D7" w:rsidRPr="00EF0CD3" w:rsidRDefault="006846D7" w:rsidP="006846D7">
      <w:pPr>
        <w:spacing w:line="480" w:lineRule="auto"/>
        <w:rPr>
          <w:lang w:val="en-IE" w:eastAsia="en-IE"/>
        </w:rPr>
      </w:pPr>
    </w:p>
    <w:p w14:paraId="18E5A097" w14:textId="77777777" w:rsidR="006846D7" w:rsidRPr="005B6C20" w:rsidRDefault="006846D7" w:rsidP="006846D7">
      <w:pPr>
        <w:pStyle w:val="Heading2"/>
        <w:spacing w:line="480" w:lineRule="auto"/>
        <w:rPr>
          <w:rStyle w:val="SubtleEmphasis"/>
          <w:i/>
          <w:iCs w:val="0"/>
          <w:color w:val="auto"/>
        </w:rPr>
      </w:pPr>
      <w:r w:rsidRPr="005B6C20">
        <w:rPr>
          <w:rStyle w:val="SubtleEmphasis"/>
          <w:i/>
          <w:color w:val="auto"/>
        </w:rPr>
        <w:t>Materiality thresholds and ecodesign</w:t>
      </w:r>
    </w:p>
    <w:p w14:paraId="3C4E8DCF" w14:textId="0E5684E9" w:rsidR="006846D7" w:rsidRDefault="006846D7" w:rsidP="006846D7">
      <w:pPr>
        <w:spacing w:line="480" w:lineRule="auto"/>
        <w:rPr>
          <w:rFonts w:eastAsia="Calibri"/>
        </w:rPr>
      </w:pPr>
      <w:r w:rsidRPr="00411219">
        <w:t xml:space="preserve">For </w:t>
      </w:r>
      <w:r>
        <w:t>quantifying the environmental impacts of a HP project</w:t>
      </w:r>
      <w:r w:rsidRPr="00411219">
        <w:t xml:space="preserve">, </w:t>
      </w:r>
      <w:r>
        <w:rPr>
          <w:rFonts w:eastAsia="Calibri"/>
        </w:rPr>
        <w:fldChar w:fldCharType="begin"/>
      </w:r>
      <w:r>
        <w:rPr>
          <w:rFonts w:eastAsia="Calibri"/>
        </w:rPr>
        <w:instrText xml:space="preserve"> ADDIN EN.CITE &lt;EndNote&gt;&lt;Cite AuthorYear="1"&gt;&lt;Author&gt;ISA&lt;/Author&gt;&lt;Year&gt;2014&lt;/Year&gt;&lt;RecNum&gt;364&lt;/RecNum&gt;&lt;DisplayText&gt;ISA (2014)&lt;/DisplayText&gt;&lt;record&gt;&lt;rec-number&gt;364&lt;/rec-number&gt;&lt;foreign-keys&gt;&lt;key app="EN" db-id="e9rav2ttda9t9re5pfyxxdamzwpp5v00xdx5" timestamp="1423149146"&gt;364&lt;/key&gt;&lt;/foreign-keys&gt;&lt;ref-type name="Electronic Article"&gt;43&lt;/ref-type&gt;&lt;contributors&gt;&lt;authors&gt;&lt;author&gt;ISA&lt;/author&gt;&lt;/authors&gt;&lt;/contributors&gt;&lt;titles&gt;&lt;title&gt;PAS 2050 and the Carbon Reduction Label&lt;/title&gt;&lt;secondary-title&gt;ISA Information Sheet 19&lt;/secondary-title&gt;&lt;/titles&gt;&lt;periodical&gt;&lt;full-title&gt;ISA Information Sheet 19&lt;/full-title&gt;&lt;/periodical&gt;&lt;num-vols&gt;ISA Information Sheet 19&lt;/num-vols&gt;&lt;dates&gt;&lt;year&gt;2014&lt;/year&gt;&lt;/dates&gt;&lt;publisher&gt;The University of Sydney&lt;/publisher&gt;&lt;urls&gt;&lt;related-urls&gt;&lt;url&gt;www.isa.org.usyd.edu.au/research/InformationSheets/ISATBLInfo19_new.pdf&lt;/url&gt;&lt;/related-urls&gt;&lt;/urls&gt;&lt;/record&gt;&lt;/Cite&gt;&lt;/EndNote&gt;</w:instrText>
      </w:r>
      <w:r>
        <w:rPr>
          <w:rFonts w:eastAsia="Calibri"/>
        </w:rPr>
        <w:fldChar w:fldCharType="separate"/>
      </w:r>
      <w:r>
        <w:rPr>
          <w:rFonts w:eastAsia="Calibri"/>
          <w:noProof/>
        </w:rPr>
        <w:t>ISA (2014)</w:t>
      </w:r>
      <w:r>
        <w:rPr>
          <w:rFonts w:eastAsia="Calibri"/>
        </w:rPr>
        <w:fldChar w:fldCharType="end"/>
      </w:r>
      <w:r w:rsidRPr="00411219">
        <w:rPr>
          <w:rFonts w:eastAsia="Calibri"/>
        </w:rPr>
        <w:t xml:space="preserve"> noted that a complete dataset </w:t>
      </w:r>
      <w:r>
        <w:rPr>
          <w:rFonts w:eastAsia="Calibri"/>
        </w:rPr>
        <w:t xml:space="preserve">is </w:t>
      </w:r>
      <w:r w:rsidRPr="00411219">
        <w:rPr>
          <w:rFonts w:eastAsia="Calibri"/>
        </w:rPr>
        <w:t xml:space="preserve">required </w:t>
      </w:r>
      <w:r>
        <w:rPr>
          <w:rFonts w:eastAsia="Calibri"/>
        </w:rPr>
        <w:t xml:space="preserve">for </w:t>
      </w:r>
      <w:r w:rsidRPr="00411219">
        <w:rPr>
          <w:rFonts w:eastAsia="Calibri"/>
        </w:rPr>
        <w:t>the calculation of 100%</w:t>
      </w:r>
      <w:r>
        <w:rPr>
          <w:rFonts w:eastAsia="Calibri"/>
        </w:rPr>
        <w:t xml:space="preserve"> of burdens</w:t>
      </w:r>
      <w:r w:rsidRPr="00411219">
        <w:rPr>
          <w:rFonts w:eastAsia="Calibri"/>
        </w:rPr>
        <w:t xml:space="preserve">. </w:t>
      </w:r>
      <w:r>
        <w:rPr>
          <w:rFonts w:eastAsia="Calibri"/>
        </w:rPr>
        <w:t xml:space="preserve">However, </w:t>
      </w:r>
      <w:r w:rsidRPr="00A01B3E">
        <w:rPr>
          <w:rFonts w:eastAsia="Calibri"/>
        </w:rPr>
        <w:t xml:space="preserve">LCA guidelines include materiality thresholds </w:t>
      </w:r>
      <w:r>
        <w:rPr>
          <w:rFonts w:eastAsia="Calibri"/>
        </w:rPr>
        <w:t xml:space="preserve">which allows for minor contributions of less than 1% to be omitted from the study </w:t>
      </w:r>
      <w:r w:rsidRPr="00E878D2">
        <w:rPr>
          <w:rFonts w:eastAsia="Calibri"/>
        </w:rPr>
        <w:fldChar w:fldCharType="begin"/>
      </w:r>
      <w:r w:rsidR="00F5035F">
        <w:rPr>
          <w:rFonts w:eastAsia="Calibri"/>
        </w:rPr>
        <w:instrText xml:space="preserve"> ADDIN EN.CITE &lt;EndNote&gt;&lt;Cite&gt;&lt;Author&gt;BSI&lt;/Author&gt;&lt;Year&gt;2011&lt;/Year&gt;&lt;RecNum&gt;181&lt;/RecNum&gt;&lt;DisplayText&gt;(ISO, 2006; BSI, 2011)&lt;/DisplayText&gt;&lt;record&gt;&lt;rec-number&gt;181&lt;/rec-number&gt;&lt;foreign-keys&gt;&lt;key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8&lt;/isbn&gt;&lt;urls&gt;&lt;/urls&gt;&lt;/record&gt;&lt;/Cite&gt;&lt;Cite&gt;&lt;Author&gt;ISO&lt;/Author&gt;&lt;Year&gt;2006&lt;/Year&gt;&lt;RecNum&gt;162&lt;/RecNum&gt;&lt;record&gt;&lt;rec-number&gt;162&lt;/rec-number&gt;&lt;foreign-keys&gt;&lt;key app="EN" db-id="e9rav2ttda9t9re5pfyxxdamzwpp5v00xdx5" timestamp="1358715816"&gt;162&lt;/key&gt;&lt;/foreign-keys&gt;&lt;ref-type name="Standard"&gt;58&lt;/ref-type&gt;&lt;contributors&gt;&lt;authors&gt;&lt;author&gt;ISO,&lt;/author&gt;&lt;/authors&gt;&lt;/contributors&gt;&lt;titles&gt;&lt;title&gt;ISO 14040: environmental management - life cycle assessment - principles and framework&lt;/title&gt;&lt;/titles&gt;&lt;dates&gt;&lt;year&gt;2006&lt;/year&gt;&lt;/dates&gt;&lt;publisher&gt;ISO, Geneva&lt;/publisher&gt;&lt;urls&gt;&lt;/urls&gt;&lt;/record&gt;&lt;/Cite&gt;&lt;/EndNote&gt;</w:instrText>
      </w:r>
      <w:r w:rsidRPr="00E878D2">
        <w:rPr>
          <w:rFonts w:eastAsia="Calibri"/>
        </w:rPr>
        <w:fldChar w:fldCharType="separate"/>
      </w:r>
      <w:r w:rsidR="00F5035F">
        <w:rPr>
          <w:rFonts w:eastAsia="Calibri"/>
          <w:noProof/>
        </w:rPr>
        <w:t>(ISO, 2006; BSI, 2011)</w:t>
      </w:r>
      <w:r w:rsidRPr="00E878D2">
        <w:rPr>
          <w:rFonts w:eastAsia="Calibri"/>
        </w:rPr>
        <w:fldChar w:fldCharType="end"/>
      </w:r>
      <w:r w:rsidRPr="00E878D2">
        <w:rPr>
          <w:rFonts w:eastAsia="Calibri"/>
        </w:rPr>
        <w:t>.</w:t>
      </w:r>
      <w:r>
        <w:rPr>
          <w:rFonts w:eastAsia="Calibri"/>
        </w:rPr>
        <w:t xml:space="preserve"> A previous investigation by </w:t>
      </w:r>
      <w:r w:rsidR="00A15209">
        <w:rPr>
          <w:rFonts w:eastAsia="Calibri"/>
        </w:rPr>
        <w:t>Gallagher et al. (2015b)</w:t>
      </w:r>
      <w:r>
        <w:rPr>
          <w:rFonts w:eastAsia="Calibri"/>
        </w:rPr>
        <w:t xml:space="preserve"> outlined the issue of adopting this 1% materiality threshold, and adopted</w:t>
      </w:r>
      <w:r w:rsidR="003E0895">
        <w:rPr>
          <w:rFonts w:eastAsia="Calibri"/>
        </w:rPr>
        <w:t xml:space="preserve"> a 0.5% threshold to reduce the</w:t>
      </w:r>
      <w:r>
        <w:rPr>
          <w:rFonts w:eastAsia="Calibri"/>
        </w:rPr>
        <w:t xml:space="preserve"> omission of components and underestimation of total environmental burdens </w:t>
      </w:r>
      <w:r>
        <w:rPr>
          <w:rFonts w:eastAsia="Calibri"/>
        </w:rPr>
        <w:lastRenderedPageBreak/>
        <w:t xml:space="preserve">associated with HP projects. This study compares results when using a 1%, 0.5% or no materiality threshold in terms of identifying ecodesign opportunities.  </w:t>
      </w:r>
    </w:p>
    <w:p w14:paraId="2CA30695" w14:textId="77777777" w:rsidR="006846D7" w:rsidRPr="00E878D2" w:rsidRDefault="006846D7" w:rsidP="006846D7">
      <w:pPr>
        <w:spacing w:line="480" w:lineRule="auto"/>
        <w:rPr>
          <w:rFonts w:eastAsia="Calibri"/>
        </w:rPr>
      </w:pPr>
    </w:p>
    <w:p w14:paraId="05404771" w14:textId="77777777" w:rsidR="006846D7" w:rsidRDefault="006846D7" w:rsidP="006846D7">
      <w:pPr>
        <w:pStyle w:val="Heading1"/>
        <w:spacing w:line="480" w:lineRule="auto"/>
      </w:pPr>
      <w:r w:rsidRPr="00675E52">
        <w:t>R</w:t>
      </w:r>
      <w:r>
        <w:t>esults and</w:t>
      </w:r>
      <w:r w:rsidRPr="00675E52">
        <w:t xml:space="preserve"> </w:t>
      </w:r>
      <w:r>
        <w:t>discussion</w:t>
      </w:r>
    </w:p>
    <w:p w14:paraId="0E016E34" w14:textId="77777777" w:rsidR="006846D7" w:rsidRPr="00061ADE" w:rsidRDefault="006846D7" w:rsidP="006846D7">
      <w:pPr>
        <w:pStyle w:val="Heading2"/>
        <w:spacing w:line="480" w:lineRule="auto"/>
      </w:pPr>
      <w:r>
        <w:t>Ecodesign measures</w:t>
      </w:r>
    </w:p>
    <w:p w14:paraId="67ED848C" w14:textId="6C602CE1" w:rsidR="006846D7" w:rsidRDefault="006846D7" w:rsidP="006846D7">
      <w:pPr>
        <w:spacing w:line="480" w:lineRule="auto"/>
        <w:rPr>
          <w:rFonts w:eastAsia="Calibri"/>
        </w:rPr>
      </w:pPr>
      <w:r>
        <w:rPr>
          <w:rFonts w:eastAsia="Calibri"/>
        </w:rPr>
        <w:t xml:space="preserve">Not all ecodesign measures were applicable to each installation. The ecodesign measures applied included: four of the five projects adopting an alternative wood frame powerhouse super-structure; all projects using concrete savings strategies; some projects changed from current roof materials to local slate; excavation work was reduced; and a reduction strategy for material transport was considered. Based on these, the cumulative ecodesign savings for each HP project were calculated for the five environmental burdens and are presented in </w:t>
      </w:r>
      <w:r>
        <w:rPr>
          <w:rFonts w:eastAsia="Calibri"/>
        </w:rPr>
        <w:fldChar w:fldCharType="begin"/>
      </w:r>
      <w:r>
        <w:rPr>
          <w:rFonts w:eastAsia="Calibri"/>
        </w:rPr>
        <w:instrText xml:space="preserve"> REF _Ref412216845 \h </w:instrText>
      </w:r>
      <w:r>
        <w:rPr>
          <w:rFonts w:eastAsia="Calibri"/>
        </w:rPr>
      </w:r>
      <w:r>
        <w:rPr>
          <w:rFonts w:eastAsia="Calibri"/>
        </w:rPr>
        <w:fldChar w:fldCharType="separate"/>
      </w:r>
      <w:r w:rsidR="00A03096" w:rsidRPr="00580FC3">
        <w:t xml:space="preserve">Table </w:t>
      </w:r>
      <w:r w:rsidR="00A03096">
        <w:rPr>
          <w:noProof/>
        </w:rPr>
        <w:t>3</w:t>
      </w:r>
      <w:r>
        <w:rPr>
          <w:rFonts w:eastAsia="Calibri"/>
        </w:rPr>
        <w:fldChar w:fldCharType="end"/>
      </w:r>
      <w:r>
        <w:rPr>
          <w:rFonts w:eastAsia="Calibri"/>
        </w:rPr>
        <w:t>.</w:t>
      </w:r>
    </w:p>
    <w:p w14:paraId="1E02EFE3" w14:textId="77777777" w:rsidR="006846D7" w:rsidRDefault="006846D7" w:rsidP="006846D7">
      <w:pPr>
        <w:spacing w:line="480" w:lineRule="auto"/>
        <w:rPr>
          <w:rFonts w:eastAsia="Calibri"/>
        </w:rPr>
      </w:pPr>
    </w:p>
    <w:p w14:paraId="71B9A90F" w14:textId="020C452F" w:rsidR="006846D7" w:rsidRPr="00580FC3" w:rsidRDefault="006846D7" w:rsidP="006846D7">
      <w:pPr>
        <w:pStyle w:val="Table"/>
      </w:pPr>
      <w:bookmarkStart w:id="3" w:name="_Ref412216845"/>
      <w:r w:rsidRPr="00580FC3">
        <w:t xml:space="preserve">Table </w:t>
      </w:r>
      <w:r w:rsidR="005A26A7">
        <w:fldChar w:fldCharType="begin"/>
      </w:r>
      <w:r w:rsidR="005A26A7">
        <w:instrText xml:space="preserve"> SEQ Table \* ARABIC </w:instrText>
      </w:r>
      <w:r w:rsidR="005A26A7">
        <w:fldChar w:fldCharType="separate"/>
      </w:r>
      <w:r w:rsidR="00A03096">
        <w:rPr>
          <w:noProof/>
        </w:rPr>
        <w:t>3</w:t>
      </w:r>
      <w:r w:rsidR="005A26A7">
        <w:rPr>
          <w:noProof/>
        </w:rPr>
        <w:fldChar w:fldCharType="end"/>
      </w:r>
      <w:bookmarkEnd w:id="3"/>
      <w:r w:rsidRPr="00580FC3">
        <w:t xml:space="preserve">. Environmental burden savings through ecodesign </w:t>
      </w:r>
      <w:r>
        <w:t>measures</w:t>
      </w:r>
      <w:r w:rsidRPr="00580FC3">
        <w:t xml:space="preserve"> </w:t>
      </w:r>
      <w:r>
        <w:t xml:space="preserve">and activities </w:t>
      </w:r>
      <w:r w:rsidRPr="00580FC3">
        <w:t xml:space="preserve">for run-of-river and water </w:t>
      </w:r>
      <w:r>
        <w:t xml:space="preserve">supply </w:t>
      </w:r>
      <w:r w:rsidRPr="00580FC3">
        <w:t>infrastructure HP projects.</w:t>
      </w:r>
    </w:p>
    <w:tbl>
      <w:tblPr>
        <w:tblStyle w:val="LightShading64"/>
        <w:tblW w:w="0" w:type="auto"/>
        <w:jc w:val="center"/>
        <w:tblLook w:val="04A0" w:firstRow="1" w:lastRow="0" w:firstColumn="1" w:lastColumn="0" w:noHBand="0" w:noVBand="1"/>
      </w:tblPr>
      <w:tblGrid>
        <w:gridCol w:w="907"/>
        <w:gridCol w:w="1247"/>
        <w:gridCol w:w="272"/>
        <w:gridCol w:w="1474"/>
        <w:gridCol w:w="1474"/>
      </w:tblGrid>
      <w:tr w:rsidR="006846D7" w:rsidRPr="00C5211E" w14:paraId="27D40C67" w14:textId="77777777" w:rsidTr="003E0895">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907" w:type="dxa"/>
            <w:vMerge w:val="restart"/>
            <w:shd w:val="clear" w:color="auto" w:fill="auto"/>
            <w:vAlign w:val="center"/>
          </w:tcPr>
          <w:p w14:paraId="7A979D3B" w14:textId="40A6A987" w:rsidR="006846D7" w:rsidRPr="00C5211E" w:rsidRDefault="006846D7" w:rsidP="003E0895">
            <w:pPr>
              <w:jc w:val="center"/>
              <w:rPr>
                <w:sz w:val="20"/>
              </w:rPr>
            </w:pPr>
            <w:r w:rsidRPr="00C5211E">
              <w:rPr>
                <w:sz w:val="20"/>
              </w:rPr>
              <w:t xml:space="preserve">Project </w:t>
            </w:r>
            <w:r w:rsidR="0087641C">
              <w:rPr>
                <w:sz w:val="20"/>
              </w:rPr>
              <w:t>s</w:t>
            </w:r>
            <w:r w:rsidRPr="00C5211E">
              <w:rPr>
                <w:sz w:val="20"/>
              </w:rPr>
              <w:t>ize</w:t>
            </w:r>
          </w:p>
        </w:tc>
        <w:tc>
          <w:tcPr>
            <w:tcW w:w="1247" w:type="dxa"/>
            <w:vMerge w:val="restart"/>
            <w:tcBorders>
              <w:top w:val="single" w:sz="4" w:space="0" w:color="auto"/>
            </w:tcBorders>
            <w:shd w:val="clear" w:color="auto" w:fill="auto"/>
            <w:vAlign w:val="center"/>
          </w:tcPr>
          <w:p w14:paraId="2577D925" w14:textId="77777777" w:rsidR="006846D7" w:rsidRPr="00C5211E" w:rsidRDefault="006846D7" w:rsidP="003E0895">
            <w:pPr>
              <w:jc w:val="center"/>
              <w:cnfStyle w:val="100000000000" w:firstRow="1" w:lastRow="0" w:firstColumn="0" w:lastColumn="0" w:oddVBand="0" w:evenVBand="0" w:oddHBand="0" w:evenHBand="0" w:firstRowFirstColumn="0" w:firstRowLastColumn="0" w:lastRowFirstColumn="0" w:lastRowLastColumn="0"/>
              <w:rPr>
                <w:sz w:val="20"/>
              </w:rPr>
            </w:pPr>
            <w:r w:rsidRPr="003B313B">
              <w:rPr>
                <w:sz w:val="20"/>
              </w:rPr>
              <w:t>No. of project components</w:t>
            </w:r>
          </w:p>
        </w:tc>
        <w:tc>
          <w:tcPr>
            <w:tcW w:w="272" w:type="dxa"/>
            <w:tcBorders>
              <w:top w:val="single" w:sz="4" w:space="0" w:color="auto"/>
              <w:bottom w:val="nil"/>
            </w:tcBorders>
            <w:shd w:val="clear" w:color="auto" w:fill="auto"/>
            <w:vAlign w:val="center"/>
          </w:tcPr>
          <w:p w14:paraId="01D22BE6" w14:textId="77777777" w:rsidR="006846D7" w:rsidRPr="00C5211E" w:rsidRDefault="006846D7" w:rsidP="003E0895">
            <w:pPr>
              <w:jc w:val="center"/>
              <w:cnfStyle w:val="100000000000" w:firstRow="1" w:lastRow="0" w:firstColumn="0" w:lastColumn="0" w:oddVBand="0" w:evenVBand="0" w:oddHBand="0" w:evenHBand="0" w:firstRowFirstColumn="0" w:firstRowLastColumn="0" w:lastRowFirstColumn="0" w:lastRowLastColumn="0"/>
              <w:rPr>
                <w:b w:val="0"/>
                <w:bCs w:val="0"/>
                <w:sz w:val="20"/>
              </w:rPr>
            </w:pPr>
          </w:p>
        </w:tc>
        <w:tc>
          <w:tcPr>
            <w:tcW w:w="2948" w:type="dxa"/>
            <w:gridSpan w:val="2"/>
            <w:tcBorders>
              <w:top w:val="single" w:sz="4" w:space="0" w:color="auto"/>
              <w:bottom w:val="nil"/>
            </w:tcBorders>
            <w:shd w:val="clear" w:color="auto" w:fill="auto"/>
          </w:tcPr>
          <w:p w14:paraId="76EAC6A8" w14:textId="77777777" w:rsidR="006846D7" w:rsidRPr="00D43BA9" w:rsidRDefault="006846D7" w:rsidP="003E0895">
            <w:pPr>
              <w:jc w:val="center"/>
              <w:cnfStyle w:val="100000000000" w:firstRow="1" w:lastRow="0" w:firstColumn="0" w:lastColumn="0" w:oddVBand="0" w:evenVBand="0" w:oddHBand="0" w:evenHBand="0" w:firstRowFirstColumn="0" w:firstRowLastColumn="0" w:lastRowFirstColumn="0" w:lastRowLastColumn="0"/>
              <w:rPr>
                <w:sz w:val="20"/>
              </w:rPr>
            </w:pPr>
            <w:r w:rsidRPr="00D43BA9">
              <w:rPr>
                <w:sz w:val="20"/>
              </w:rPr>
              <w:t>Environmental burden savings through ecodesign measures</w:t>
            </w:r>
          </w:p>
        </w:tc>
      </w:tr>
      <w:tr w:rsidR="006846D7" w:rsidRPr="00C5211E" w14:paraId="7C6C0EDF" w14:textId="77777777" w:rsidTr="003E089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907" w:type="dxa"/>
            <w:vMerge/>
            <w:tcBorders>
              <w:bottom w:val="single" w:sz="4" w:space="0" w:color="auto"/>
            </w:tcBorders>
            <w:shd w:val="clear" w:color="auto" w:fill="auto"/>
            <w:vAlign w:val="center"/>
          </w:tcPr>
          <w:p w14:paraId="0CEC8F15" w14:textId="77777777" w:rsidR="006846D7" w:rsidRPr="00C5211E" w:rsidRDefault="006846D7" w:rsidP="003E0895">
            <w:pPr>
              <w:jc w:val="center"/>
              <w:rPr>
                <w:sz w:val="20"/>
              </w:rPr>
            </w:pPr>
          </w:p>
        </w:tc>
        <w:tc>
          <w:tcPr>
            <w:tcW w:w="1247" w:type="dxa"/>
            <w:vMerge/>
            <w:tcBorders>
              <w:bottom w:val="single" w:sz="4" w:space="0" w:color="auto"/>
            </w:tcBorders>
            <w:shd w:val="clear" w:color="auto" w:fill="auto"/>
            <w:vAlign w:val="center"/>
          </w:tcPr>
          <w:p w14:paraId="6A39CCED" w14:textId="77777777" w:rsidR="006846D7" w:rsidRPr="00580FC3"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p>
        </w:tc>
        <w:tc>
          <w:tcPr>
            <w:tcW w:w="272" w:type="dxa"/>
            <w:tcBorders>
              <w:top w:val="nil"/>
              <w:bottom w:val="single" w:sz="4" w:space="0" w:color="auto"/>
            </w:tcBorders>
            <w:shd w:val="clear" w:color="auto" w:fill="auto"/>
            <w:vAlign w:val="center"/>
          </w:tcPr>
          <w:p w14:paraId="4677980F" w14:textId="77777777" w:rsidR="006846D7" w:rsidRPr="00580FC3"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p>
        </w:tc>
        <w:tc>
          <w:tcPr>
            <w:tcW w:w="1474" w:type="dxa"/>
            <w:tcBorders>
              <w:top w:val="single" w:sz="4" w:space="0" w:color="auto"/>
              <w:bottom w:val="single" w:sz="4" w:space="0" w:color="auto"/>
            </w:tcBorders>
            <w:shd w:val="clear" w:color="auto" w:fill="auto"/>
            <w:vAlign w:val="center"/>
          </w:tcPr>
          <w:p w14:paraId="751149DE" w14:textId="77777777" w:rsidR="006846D7" w:rsidRPr="00580FC3"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r w:rsidRPr="00580FC3">
              <w:rPr>
                <w:b/>
                <w:sz w:val="20"/>
              </w:rPr>
              <w:t>GWP</w:t>
            </w:r>
          </w:p>
        </w:tc>
        <w:tc>
          <w:tcPr>
            <w:tcW w:w="1474" w:type="dxa"/>
            <w:tcBorders>
              <w:top w:val="single" w:sz="4" w:space="0" w:color="auto"/>
              <w:bottom w:val="single" w:sz="4" w:space="0" w:color="auto"/>
            </w:tcBorders>
            <w:shd w:val="clear" w:color="auto" w:fill="auto"/>
            <w:vAlign w:val="center"/>
          </w:tcPr>
          <w:p w14:paraId="334BC25C" w14:textId="77777777" w:rsidR="006846D7" w:rsidRPr="00580FC3" w:rsidRDefault="006846D7" w:rsidP="003E0895">
            <w:pPr>
              <w:jc w:val="center"/>
              <w:cnfStyle w:val="000000100000" w:firstRow="0" w:lastRow="0" w:firstColumn="0" w:lastColumn="0" w:oddVBand="0" w:evenVBand="0" w:oddHBand="1" w:evenHBand="0" w:firstRowFirstColumn="0" w:firstRowLastColumn="0" w:lastRowFirstColumn="0" w:lastRowLastColumn="0"/>
              <w:rPr>
                <w:b/>
                <w:sz w:val="20"/>
              </w:rPr>
            </w:pPr>
            <w:r w:rsidRPr="00580FC3">
              <w:rPr>
                <w:b/>
                <w:sz w:val="20"/>
              </w:rPr>
              <w:t>ARDP</w:t>
            </w:r>
          </w:p>
        </w:tc>
      </w:tr>
      <w:tr w:rsidR="006846D7" w:rsidRPr="00C5211E" w14:paraId="7FA8E4DE" w14:textId="77777777" w:rsidTr="003E0895">
        <w:trPr>
          <w:trHeight w:val="283"/>
          <w:jc w:val="center"/>
        </w:trPr>
        <w:tc>
          <w:tcPr>
            <w:cnfStyle w:val="001000000000" w:firstRow="0" w:lastRow="0" w:firstColumn="1" w:lastColumn="0" w:oddVBand="0" w:evenVBand="0" w:oddHBand="0" w:evenHBand="0" w:firstRowFirstColumn="0" w:firstRowLastColumn="0" w:lastRowFirstColumn="0" w:lastRowLastColumn="0"/>
            <w:tcW w:w="907" w:type="dxa"/>
            <w:tcBorders>
              <w:top w:val="single" w:sz="4" w:space="0" w:color="auto"/>
            </w:tcBorders>
            <w:shd w:val="clear" w:color="auto" w:fill="auto"/>
            <w:vAlign w:val="center"/>
          </w:tcPr>
          <w:p w14:paraId="58837DD7" w14:textId="77777777" w:rsidR="006846D7" w:rsidRPr="00DE5BE5" w:rsidRDefault="006846D7" w:rsidP="003E0895">
            <w:pPr>
              <w:jc w:val="center"/>
              <w:rPr>
                <w:b w:val="0"/>
                <w:sz w:val="20"/>
              </w:rPr>
            </w:pPr>
            <w:r w:rsidRPr="00DE5BE5">
              <w:rPr>
                <w:b w:val="0"/>
                <w:sz w:val="20"/>
              </w:rPr>
              <w:t>50 kW</w:t>
            </w:r>
          </w:p>
        </w:tc>
        <w:tc>
          <w:tcPr>
            <w:tcW w:w="1247" w:type="dxa"/>
            <w:tcBorders>
              <w:top w:val="single" w:sz="4" w:space="0" w:color="auto"/>
            </w:tcBorders>
            <w:shd w:val="clear" w:color="auto" w:fill="auto"/>
            <w:vAlign w:val="center"/>
          </w:tcPr>
          <w:p w14:paraId="477F929F" w14:textId="77777777" w:rsidR="006846D7" w:rsidRPr="00C5211E" w:rsidRDefault="006846D7" w:rsidP="003E0895">
            <w:pPr>
              <w:jc w:val="center"/>
              <w:cnfStyle w:val="000000000000" w:firstRow="0" w:lastRow="0" w:firstColumn="0" w:lastColumn="0" w:oddVBand="0" w:evenVBand="0" w:oddHBand="0" w:evenHBand="0" w:firstRowFirstColumn="0" w:firstRowLastColumn="0" w:lastRowFirstColumn="0" w:lastRowLastColumn="0"/>
              <w:rPr>
                <w:sz w:val="20"/>
              </w:rPr>
            </w:pPr>
            <w:r w:rsidRPr="00C5211E">
              <w:rPr>
                <w:sz w:val="20"/>
              </w:rPr>
              <w:t>27</w:t>
            </w:r>
          </w:p>
        </w:tc>
        <w:tc>
          <w:tcPr>
            <w:tcW w:w="272" w:type="dxa"/>
            <w:tcBorders>
              <w:top w:val="single" w:sz="4" w:space="0" w:color="auto"/>
            </w:tcBorders>
            <w:shd w:val="clear" w:color="auto" w:fill="auto"/>
            <w:vAlign w:val="center"/>
          </w:tcPr>
          <w:p w14:paraId="0428BEB9" w14:textId="77777777" w:rsidR="006846D7" w:rsidRPr="00C5211E" w:rsidRDefault="006846D7" w:rsidP="003E0895">
            <w:pPr>
              <w:jc w:val="center"/>
              <w:cnfStyle w:val="000000000000" w:firstRow="0" w:lastRow="0" w:firstColumn="0" w:lastColumn="0" w:oddVBand="0" w:evenVBand="0" w:oddHBand="0" w:evenHBand="0" w:firstRowFirstColumn="0" w:firstRowLastColumn="0" w:lastRowFirstColumn="0" w:lastRowLastColumn="0"/>
              <w:rPr>
                <w:sz w:val="20"/>
              </w:rPr>
            </w:pPr>
          </w:p>
        </w:tc>
        <w:tc>
          <w:tcPr>
            <w:tcW w:w="1474" w:type="dxa"/>
            <w:tcBorders>
              <w:top w:val="single" w:sz="4" w:space="0" w:color="auto"/>
              <w:left w:val="nil"/>
              <w:bottom w:val="nil"/>
              <w:right w:val="nil"/>
            </w:tcBorders>
            <w:shd w:val="clear" w:color="auto" w:fill="auto"/>
            <w:vAlign w:val="center"/>
          </w:tcPr>
          <w:p w14:paraId="2A297455" w14:textId="77777777" w:rsidR="006846D7" w:rsidRPr="00580FC3"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580FC3">
              <w:rPr>
                <w:bCs/>
                <w:sz w:val="20"/>
              </w:rPr>
              <w:t>3.</w:t>
            </w:r>
            <w:r>
              <w:rPr>
                <w:bCs/>
                <w:sz w:val="20"/>
              </w:rPr>
              <w:t>6</w:t>
            </w:r>
            <w:r w:rsidRPr="00580FC3">
              <w:rPr>
                <w:bCs/>
                <w:sz w:val="20"/>
              </w:rPr>
              <w:t>%</w:t>
            </w:r>
          </w:p>
        </w:tc>
        <w:tc>
          <w:tcPr>
            <w:tcW w:w="1474" w:type="dxa"/>
            <w:tcBorders>
              <w:top w:val="single" w:sz="4" w:space="0" w:color="auto"/>
              <w:left w:val="nil"/>
              <w:bottom w:val="nil"/>
              <w:right w:val="nil"/>
            </w:tcBorders>
            <w:shd w:val="clear" w:color="auto" w:fill="auto"/>
            <w:vAlign w:val="center"/>
          </w:tcPr>
          <w:p w14:paraId="1360B267" w14:textId="77777777" w:rsidR="006846D7" w:rsidRPr="00580FC3"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580FC3">
              <w:rPr>
                <w:bCs/>
                <w:sz w:val="20"/>
              </w:rPr>
              <w:t>0.2%</w:t>
            </w:r>
          </w:p>
        </w:tc>
      </w:tr>
      <w:tr w:rsidR="006846D7" w:rsidRPr="00C5211E" w14:paraId="1FF6DAB9" w14:textId="77777777" w:rsidTr="003E089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907" w:type="dxa"/>
            <w:shd w:val="clear" w:color="auto" w:fill="auto"/>
            <w:vAlign w:val="center"/>
          </w:tcPr>
          <w:p w14:paraId="0D61157B" w14:textId="77777777" w:rsidR="006846D7" w:rsidRPr="00DE5BE5" w:rsidRDefault="006846D7" w:rsidP="003E0895">
            <w:pPr>
              <w:jc w:val="center"/>
              <w:rPr>
                <w:b w:val="0"/>
                <w:sz w:val="20"/>
              </w:rPr>
            </w:pPr>
            <w:r w:rsidRPr="00DE5BE5">
              <w:rPr>
                <w:b w:val="0"/>
                <w:sz w:val="20"/>
              </w:rPr>
              <w:t>100 kW</w:t>
            </w:r>
          </w:p>
        </w:tc>
        <w:tc>
          <w:tcPr>
            <w:tcW w:w="1247" w:type="dxa"/>
            <w:shd w:val="clear" w:color="auto" w:fill="auto"/>
            <w:vAlign w:val="center"/>
          </w:tcPr>
          <w:p w14:paraId="6081DAD6" w14:textId="77777777" w:rsidR="006846D7" w:rsidRPr="00C5211E" w:rsidRDefault="006846D7" w:rsidP="003E0895">
            <w:pPr>
              <w:jc w:val="center"/>
              <w:cnfStyle w:val="000000100000" w:firstRow="0" w:lastRow="0" w:firstColumn="0" w:lastColumn="0" w:oddVBand="0" w:evenVBand="0" w:oddHBand="1" w:evenHBand="0" w:firstRowFirstColumn="0" w:firstRowLastColumn="0" w:lastRowFirstColumn="0" w:lastRowLastColumn="0"/>
              <w:rPr>
                <w:sz w:val="20"/>
              </w:rPr>
            </w:pPr>
            <w:r w:rsidRPr="00C5211E">
              <w:rPr>
                <w:sz w:val="20"/>
              </w:rPr>
              <w:t>33</w:t>
            </w:r>
          </w:p>
        </w:tc>
        <w:tc>
          <w:tcPr>
            <w:tcW w:w="272" w:type="dxa"/>
            <w:shd w:val="clear" w:color="auto" w:fill="auto"/>
            <w:vAlign w:val="center"/>
          </w:tcPr>
          <w:p w14:paraId="70B524B2" w14:textId="77777777" w:rsidR="006846D7" w:rsidRPr="00C5211E" w:rsidRDefault="006846D7" w:rsidP="003E0895">
            <w:pPr>
              <w:jc w:val="center"/>
              <w:cnfStyle w:val="000000100000" w:firstRow="0" w:lastRow="0" w:firstColumn="0" w:lastColumn="0" w:oddVBand="0" w:evenVBand="0" w:oddHBand="1" w:evenHBand="0" w:firstRowFirstColumn="0" w:firstRowLastColumn="0" w:lastRowFirstColumn="0" w:lastRowLastColumn="0"/>
              <w:rPr>
                <w:sz w:val="20"/>
              </w:rPr>
            </w:pPr>
          </w:p>
        </w:tc>
        <w:tc>
          <w:tcPr>
            <w:tcW w:w="1474" w:type="dxa"/>
            <w:tcBorders>
              <w:top w:val="nil"/>
              <w:bottom w:val="nil"/>
            </w:tcBorders>
            <w:shd w:val="clear" w:color="auto" w:fill="auto"/>
            <w:vAlign w:val="center"/>
          </w:tcPr>
          <w:p w14:paraId="704DC283" w14:textId="77777777" w:rsidR="006846D7" w:rsidRPr="00212D42"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Pr>
                <w:sz w:val="20"/>
              </w:rPr>
              <w:t>4</w:t>
            </w:r>
            <w:r w:rsidRPr="00212D42">
              <w:rPr>
                <w:sz w:val="20"/>
              </w:rPr>
              <w:t>.</w:t>
            </w:r>
            <w:r>
              <w:rPr>
                <w:sz w:val="20"/>
              </w:rPr>
              <w:t>9</w:t>
            </w:r>
            <w:r w:rsidRPr="00212D42">
              <w:rPr>
                <w:sz w:val="20"/>
              </w:rPr>
              <w:t>%</w:t>
            </w:r>
          </w:p>
        </w:tc>
        <w:tc>
          <w:tcPr>
            <w:tcW w:w="1474" w:type="dxa"/>
            <w:tcBorders>
              <w:top w:val="nil"/>
              <w:bottom w:val="nil"/>
            </w:tcBorders>
            <w:shd w:val="clear" w:color="auto" w:fill="auto"/>
            <w:vAlign w:val="center"/>
          </w:tcPr>
          <w:p w14:paraId="722C138C" w14:textId="77777777" w:rsidR="006846D7" w:rsidRPr="00212D42"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Pr>
                <w:sz w:val="20"/>
              </w:rPr>
              <w:t>1</w:t>
            </w:r>
            <w:r w:rsidRPr="00212D42">
              <w:rPr>
                <w:sz w:val="20"/>
              </w:rPr>
              <w:t>.</w:t>
            </w:r>
            <w:r>
              <w:rPr>
                <w:sz w:val="20"/>
              </w:rPr>
              <w:t>0</w:t>
            </w:r>
            <w:r w:rsidRPr="00212D42">
              <w:rPr>
                <w:sz w:val="20"/>
              </w:rPr>
              <w:t>%</w:t>
            </w:r>
          </w:p>
        </w:tc>
      </w:tr>
      <w:tr w:rsidR="006846D7" w:rsidRPr="00C5211E" w14:paraId="2DA73978" w14:textId="77777777" w:rsidTr="003E0895">
        <w:trPr>
          <w:trHeight w:val="283"/>
          <w:jc w:val="center"/>
        </w:trPr>
        <w:tc>
          <w:tcPr>
            <w:cnfStyle w:val="001000000000" w:firstRow="0" w:lastRow="0" w:firstColumn="1" w:lastColumn="0" w:oddVBand="0" w:evenVBand="0" w:oddHBand="0" w:evenHBand="0" w:firstRowFirstColumn="0" w:firstRowLastColumn="0" w:lastRowFirstColumn="0" w:lastRowLastColumn="0"/>
            <w:tcW w:w="907" w:type="dxa"/>
            <w:shd w:val="clear" w:color="auto" w:fill="auto"/>
            <w:vAlign w:val="center"/>
          </w:tcPr>
          <w:p w14:paraId="5C319E3B" w14:textId="77777777" w:rsidR="006846D7" w:rsidRPr="00DE5BE5" w:rsidRDefault="006846D7" w:rsidP="003E0895">
            <w:pPr>
              <w:jc w:val="center"/>
              <w:rPr>
                <w:b w:val="0"/>
                <w:sz w:val="20"/>
              </w:rPr>
            </w:pPr>
            <w:r w:rsidRPr="00DE5BE5">
              <w:rPr>
                <w:b w:val="0"/>
                <w:sz w:val="20"/>
              </w:rPr>
              <w:t>650 kW</w:t>
            </w:r>
          </w:p>
        </w:tc>
        <w:tc>
          <w:tcPr>
            <w:tcW w:w="1247" w:type="dxa"/>
            <w:shd w:val="clear" w:color="auto" w:fill="auto"/>
            <w:vAlign w:val="center"/>
          </w:tcPr>
          <w:p w14:paraId="76903205" w14:textId="77777777" w:rsidR="006846D7" w:rsidRPr="00C5211E" w:rsidRDefault="006846D7" w:rsidP="003E0895">
            <w:pPr>
              <w:jc w:val="center"/>
              <w:cnfStyle w:val="000000000000" w:firstRow="0" w:lastRow="0" w:firstColumn="0" w:lastColumn="0" w:oddVBand="0" w:evenVBand="0" w:oddHBand="0" w:evenHBand="0" w:firstRowFirstColumn="0" w:firstRowLastColumn="0" w:lastRowFirstColumn="0" w:lastRowLastColumn="0"/>
              <w:rPr>
                <w:sz w:val="20"/>
              </w:rPr>
            </w:pPr>
            <w:r w:rsidRPr="00C5211E">
              <w:rPr>
                <w:sz w:val="20"/>
              </w:rPr>
              <w:t>38</w:t>
            </w:r>
          </w:p>
        </w:tc>
        <w:tc>
          <w:tcPr>
            <w:tcW w:w="272" w:type="dxa"/>
            <w:shd w:val="clear" w:color="auto" w:fill="auto"/>
            <w:vAlign w:val="center"/>
          </w:tcPr>
          <w:p w14:paraId="14DBDBEF" w14:textId="77777777" w:rsidR="006846D7" w:rsidRPr="00C5211E" w:rsidRDefault="006846D7" w:rsidP="003E0895">
            <w:pPr>
              <w:jc w:val="center"/>
              <w:cnfStyle w:val="000000000000" w:firstRow="0" w:lastRow="0" w:firstColumn="0" w:lastColumn="0" w:oddVBand="0" w:evenVBand="0" w:oddHBand="0" w:evenHBand="0" w:firstRowFirstColumn="0" w:firstRowLastColumn="0" w:lastRowFirstColumn="0" w:lastRowLastColumn="0"/>
              <w:rPr>
                <w:sz w:val="20"/>
              </w:rPr>
            </w:pPr>
          </w:p>
        </w:tc>
        <w:tc>
          <w:tcPr>
            <w:tcW w:w="1474" w:type="dxa"/>
            <w:tcBorders>
              <w:top w:val="nil"/>
              <w:left w:val="nil"/>
              <w:bottom w:val="nil"/>
              <w:right w:val="nil"/>
            </w:tcBorders>
            <w:shd w:val="clear" w:color="auto" w:fill="auto"/>
            <w:vAlign w:val="center"/>
          </w:tcPr>
          <w:p w14:paraId="51912BE0" w14:textId="77777777" w:rsidR="006846D7" w:rsidRPr="00212D42"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Pr>
                <w:sz w:val="20"/>
              </w:rPr>
              <w:t>4</w:t>
            </w:r>
            <w:r w:rsidRPr="00212D42">
              <w:rPr>
                <w:sz w:val="20"/>
              </w:rPr>
              <w:t>.</w:t>
            </w:r>
            <w:r>
              <w:rPr>
                <w:sz w:val="20"/>
              </w:rPr>
              <w:t>0</w:t>
            </w:r>
            <w:r w:rsidRPr="00212D42">
              <w:rPr>
                <w:sz w:val="20"/>
              </w:rPr>
              <w:t>%</w:t>
            </w:r>
          </w:p>
        </w:tc>
        <w:tc>
          <w:tcPr>
            <w:tcW w:w="1474" w:type="dxa"/>
            <w:tcBorders>
              <w:top w:val="nil"/>
              <w:left w:val="nil"/>
              <w:bottom w:val="nil"/>
              <w:right w:val="nil"/>
            </w:tcBorders>
            <w:shd w:val="clear" w:color="auto" w:fill="auto"/>
            <w:vAlign w:val="center"/>
          </w:tcPr>
          <w:p w14:paraId="494D183A" w14:textId="77777777" w:rsidR="006846D7" w:rsidRPr="00212D42"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212D42">
              <w:rPr>
                <w:sz w:val="20"/>
              </w:rPr>
              <w:t>1.</w:t>
            </w:r>
            <w:r>
              <w:rPr>
                <w:sz w:val="20"/>
              </w:rPr>
              <w:t>3</w:t>
            </w:r>
            <w:r w:rsidRPr="00212D42">
              <w:rPr>
                <w:sz w:val="20"/>
              </w:rPr>
              <w:t>%</w:t>
            </w:r>
          </w:p>
        </w:tc>
      </w:tr>
      <w:tr w:rsidR="006846D7" w:rsidRPr="00C5211E" w14:paraId="4228E971" w14:textId="77777777" w:rsidTr="003E089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907" w:type="dxa"/>
            <w:shd w:val="clear" w:color="auto" w:fill="auto"/>
            <w:vAlign w:val="center"/>
          </w:tcPr>
          <w:p w14:paraId="7E9BA39B" w14:textId="77777777" w:rsidR="006846D7" w:rsidRPr="00DE5BE5" w:rsidRDefault="006846D7" w:rsidP="003E0895">
            <w:pPr>
              <w:jc w:val="center"/>
              <w:rPr>
                <w:b w:val="0"/>
                <w:sz w:val="20"/>
              </w:rPr>
            </w:pPr>
            <w:r w:rsidRPr="00DE5BE5">
              <w:rPr>
                <w:b w:val="0"/>
                <w:sz w:val="20"/>
              </w:rPr>
              <w:t>90 kW</w:t>
            </w:r>
          </w:p>
        </w:tc>
        <w:tc>
          <w:tcPr>
            <w:tcW w:w="1247" w:type="dxa"/>
            <w:shd w:val="clear" w:color="auto" w:fill="auto"/>
            <w:vAlign w:val="center"/>
          </w:tcPr>
          <w:p w14:paraId="33E05C75" w14:textId="77777777" w:rsidR="006846D7" w:rsidRPr="00C5211E" w:rsidRDefault="006846D7" w:rsidP="003E0895">
            <w:pPr>
              <w:jc w:val="center"/>
              <w:cnfStyle w:val="000000100000" w:firstRow="0" w:lastRow="0" w:firstColumn="0" w:lastColumn="0" w:oddVBand="0" w:evenVBand="0" w:oddHBand="1" w:evenHBand="0" w:firstRowFirstColumn="0" w:firstRowLastColumn="0" w:lastRowFirstColumn="0" w:lastRowLastColumn="0"/>
              <w:rPr>
                <w:sz w:val="20"/>
              </w:rPr>
            </w:pPr>
            <w:r w:rsidRPr="00C5211E">
              <w:rPr>
                <w:sz w:val="20"/>
              </w:rPr>
              <w:t>2</w:t>
            </w:r>
            <w:r>
              <w:rPr>
                <w:sz w:val="20"/>
              </w:rPr>
              <w:t>1</w:t>
            </w:r>
          </w:p>
        </w:tc>
        <w:tc>
          <w:tcPr>
            <w:tcW w:w="272" w:type="dxa"/>
            <w:shd w:val="clear" w:color="auto" w:fill="auto"/>
            <w:vAlign w:val="center"/>
          </w:tcPr>
          <w:p w14:paraId="4147C4C1" w14:textId="77777777" w:rsidR="006846D7" w:rsidRPr="00C5211E" w:rsidRDefault="006846D7" w:rsidP="003E0895">
            <w:pPr>
              <w:jc w:val="center"/>
              <w:cnfStyle w:val="000000100000" w:firstRow="0" w:lastRow="0" w:firstColumn="0" w:lastColumn="0" w:oddVBand="0" w:evenVBand="0" w:oddHBand="1" w:evenHBand="0" w:firstRowFirstColumn="0" w:firstRowLastColumn="0" w:lastRowFirstColumn="0" w:lastRowLastColumn="0"/>
              <w:rPr>
                <w:sz w:val="20"/>
              </w:rPr>
            </w:pPr>
          </w:p>
        </w:tc>
        <w:tc>
          <w:tcPr>
            <w:tcW w:w="1474" w:type="dxa"/>
            <w:tcBorders>
              <w:top w:val="nil"/>
              <w:bottom w:val="nil"/>
            </w:tcBorders>
            <w:shd w:val="clear" w:color="auto" w:fill="auto"/>
            <w:vAlign w:val="center"/>
          </w:tcPr>
          <w:p w14:paraId="7953E831" w14:textId="77777777" w:rsidR="006846D7" w:rsidRPr="00212D42"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Pr>
                <w:sz w:val="20"/>
              </w:rPr>
              <w:t>10</w:t>
            </w:r>
            <w:r w:rsidRPr="00212D42">
              <w:rPr>
                <w:sz w:val="20"/>
              </w:rPr>
              <w:t>.</w:t>
            </w:r>
            <w:r>
              <w:rPr>
                <w:sz w:val="20"/>
              </w:rPr>
              <w:t>4</w:t>
            </w:r>
            <w:r w:rsidRPr="00212D42">
              <w:rPr>
                <w:sz w:val="20"/>
              </w:rPr>
              <w:t>%</w:t>
            </w:r>
          </w:p>
        </w:tc>
        <w:tc>
          <w:tcPr>
            <w:tcW w:w="1474" w:type="dxa"/>
            <w:tcBorders>
              <w:top w:val="nil"/>
              <w:bottom w:val="nil"/>
            </w:tcBorders>
            <w:shd w:val="clear" w:color="auto" w:fill="auto"/>
            <w:vAlign w:val="center"/>
          </w:tcPr>
          <w:p w14:paraId="22FF95F7" w14:textId="77777777" w:rsidR="006846D7" w:rsidRPr="00212D42" w:rsidRDefault="006846D7" w:rsidP="003E0895">
            <w:pPr>
              <w:jc w:val="right"/>
              <w:cnfStyle w:val="000000100000" w:firstRow="0" w:lastRow="0" w:firstColumn="0" w:lastColumn="0" w:oddVBand="0" w:evenVBand="0" w:oddHBand="1" w:evenHBand="0" w:firstRowFirstColumn="0" w:firstRowLastColumn="0" w:lastRowFirstColumn="0" w:lastRowLastColumn="0"/>
              <w:rPr>
                <w:sz w:val="20"/>
              </w:rPr>
            </w:pPr>
            <w:r>
              <w:rPr>
                <w:sz w:val="20"/>
              </w:rPr>
              <w:t>2</w:t>
            </w:r>
            <w:r w:rsidRPr="00212D42">
              <w:rPr>
                <w:sz w:val="20"/>
              </w:rPr>
              <w:t>.</w:t>
            </w:r>
            <w:r>
              <w:rPr>
                <w:sz w:val="20"/>
              </w:rPr>
              <w:t>6</w:t>
            </w:r>
            <w:r w:rsidRPr="00212D42">
              <w:rPr>
                <w:sz w:val="20"/>
              </w:rPr>
              <w:t>%</w:t>
            </w:r>
          </w:p>
        </w:tc>
      </w:tr>
      <w:tr w:rsidR="006846D7" w:rsidRPr="00C5211E" w14:paraId="75A8D8F2" w14:textId="77777777" w:rsidTr="003E0895">
        <w:trPr>
          <w:trHeight w:val="283"/>
          <w:jc w:val="center"/>
        </w:trPr>
        <w:tc>
          <w:tcPr>
            <w:cnfStyle w:val="001000000000" w:firstRow="0" w:lastRow="0" w:firstColumn="1" w:lastColumn="0" w:oddVBand="0" w:evenVBand="0" w:oddHBand="0" w:evenHBand="0" w:firstRowFirstColumn="0" w:firstRowLastColumn="0" w:lastRowFirstColumn="0" w:lastRowLastColumn="0"/>
            <w:tcW w:w="907" w:type="dxa"/>
            <w:shd w:val="clear" w:color="auto" w:fill="auto"/>
            <w:vAlign w:val="center"/>
          </w:tcPr>
          <w:p w14:paraId="36905D2F" w14:textId="77777777" w:rsidR="006846D7" w:rsidRPr="00DE5BE5" w:rsidRDefault="006846D7" w:rsidP="003E0895">
            <w:pPr>
              <w:jc w:val="center"/>
              <w:rPr>
                <w:b w:val="0"/>
                <w:sz w:val="20"/>
              </w:rPr>
            </w:pPr>
            <w:r w:rsidRPr="00DE5BE5">
              <w:rPr>
                <w:b w:val="0"/>
                <w:sz w:val="20"/>
              </w:rPr>
              <w:t>140 kW</w:t>
            </w:r>
          </w:p>
        </w:tc>
        <w:tc>
          <w:tcPr>
            <w:tcW w:w="1247" w:type="dxa"/>
            <w:shd w:val="clear" w:color="auto" w:fill="auto"/>
            <w:vAlign w:val="center"/>
          </w:tcPr>
          <w:p w14:paraId="5B539257" w14:textId="77777777" w:rsidR="006846D7" w:rsidRPr="00C5211E" w:rsidRDefault="006846D7" w:rsidP="003E0895">
            <w:pPr>
              <w:jc w:val="center"/>
              <w:cnfStyle w:val="000000000000" w:firstRow="0" w:lastRow="0" w:firstColumn="0" w:lastColumn="0" w:oddVBand="0" w:evenVBand="0" w:oddHBand="0" w:evenHBand="0" w:firstRowFirstColumn="0" w:firstRowLastColumn="0" w:lastRowFirstColumn="0" w:lastRowLastColumn="0"/>
              <w:rPr>
                <w:sz w:val="20"/>
              </w:rPr>
            </w:pPr>
            <w:r w:rsidRPr="00C5211E">
              <w:rPr>
                <w:sz w:val="20"/>
              </w:rPr>
              <w:t>19</w:t>
            </w:r>
          </w:p>
        </w:tc>
        <w:tc>
          <w:tcPr>
            <w:tcW w:w="272" w:type="dxa"/>
            <w:shd w:val="clear" w:color="auto" w:fill="auto"/>
            <w:vAlign w:val="center"/>
          </w:tcPr>
          <w:p w14:paraId="3021EB46" w14:textId="77777777" w:rsidR="006846D7" w:rsidRPr="00C5211E" w:rsidRDefault="006846D7" w:rsidP="003E0895">
            <w:pPr>
              <w:jc w:val="center"/>
              <w:cnfStyle w:val="000000000000" w:firstRow="0" w:lastRow="0" w:firstColumn="0" w:lastColumn="0" w:oddVBand="0" w:evenVBand="0" w:oddHBand="0" w:evenHBand="0" w:firstRowFirstColumn="0" w:firstRowLastColumn="0" w:lastRowFirstColumn="0" w:lastRowLastColumn="0"/>
              <w:rPr>
                <w:sz w:val="20"/>
              </w:rPr>
            </w:pPr>
          </w:p>
        </w:tc>
        <w:tc>
          <w:tcPr>
            <w:tcW w:w="1474" w:type="dxa"/>
            <w:tcBorders>
              <w:top w:val="nil"/>
              <w:bottom w:val="single" w:sz="4" w:space="0" w:color="auto"/>
            </w:tcBorders>
            <w:shd w:val="clear" w:color="auto" w:fill="auto"/>
            <w:vAlign w:val="center"/>
          </w:tcPr>
          <w:p w14:paraId="204BA3D7" w14:textId="77777777" w:rsidR="006846D7" w:rsidRPr="00212D42"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212D42">
              <w:rPr>
                <w:sz w:val="20"/>
              </w:rPr>
              <w:t>2.1%</w:t>
            </w:r>
          </w:p>
        </w:tc>
        <w:tc>
          <w:tcPr>
            <w:tcW w:w="1474" w:type="dxa"/>
            <w:tcBorders>
              <w:top w:val="nil"/>
              <w:bottom w:val="single" w:sz="4" w:space="0" w:color="auto"/>
            </w:tcBorders>
            <w:shd w:val="clear" w:color="auto" w:fill="auto"/>
            <w:vAlign w:val="center"/>
          </w:tcPr>
          <w:p w14:paraId="10D9268E" w14:textId="77777777" w:rsidR="006846D7" w:rsidRPr="00212D42" w:rsidRDefault="006846D7" w:rsidP="003E0895">
            <w:pPr>
              <w:jc w:val="right"/>
              <w:cnfStyle w:val="000000000000" w:firstRow="0" w:lastRow="0" w:firstColumn="0" w:lastColumn="0" w:oddVBand="0" w:evenVBand="0" w:oddHBand="0" w:evenHBand="0" w:firstRowFirstColumn="0" w:firstRowLastColumn="0" w:lastRowFirstColumn="0" w:lastRowLastColumn="0"/>
              <w:rPr>
                <w:sz w:val="20"/>
              </w:rPr>
            </w:pPr>
            <w:r w:rsidRPr="00212D42">
              <w:rPr>
                <w:sz w:val="20"/>
              </w:rPr>
              <w:t>0.1%</w:t>
            </w:r>
          </w:p>
        </w:tc>
      </w:tr>
    </w:tbl>
    <w:p w14:paraId="6997A111" w14:textId="77777777" w:rsidR="006846D7" w:rsidRPr="00C7547E" w:rsidRDefault="006846D7" w:rsidP="006846D7">
      <w:pPr>
        <w:spacing w:line="480" w:lineRule="auto"/>
        <w:rPr>
          <w:rFonts w:eastAsia="Calibri"/>
        </w:rPr>
      </w:pPr>
    </w:p>
    <w:p w14:paraId="790AEB67" w14:textId="77777777" w:rsidR="006846D7" w:rsidRDefault="006846D7" w:rsidP="006846D7">
      <w:pPr>
        <w:spacing w:line="480" w:lineRule="auto"/>
        <w:rPr>
          <w:rFonts w:eastAsia="Calibri"/>
        </w:rPr>
      </w:pPr>
      <w:r w:rsidRPr="00C7547E">
        <w:rPr>
          <w:rFonts w:eastAsia="Calibri"/>
        </w:rPr>
        <w:t xml:space="preserve">The ecodesign results </w:t>
      </w:r>
      <w:r>
        <w:rPr>
          <w:rFonts w:eastAsia="Calibri"/>
        </w:rPr>
        <w:t>re</w:t>
      </w:r>
      <w:r w:rsidRPr="00C7547E">
        <w:rPr>
          <w:rFonts w:eastAsia="Calibri"/>
        </w:rPr>
        <w:t xml:space="preserve">presented small </w:t>
      </w:r>
      <w:r>
        <w:rPr>
          <w:rFonts w:eastAsia="Calibri"/>
        </w:rPr>
        <w:t>reductions in</w:t>
      </w:r>
      <w:r w:rsidRPr="00C7547E">
        <w:rPr>
          <w:rFonts w:eastAsia="Calibri"/>
        </w:rPr>
        <w:t xml:space="preserve"> the overall environmental burdens </w:t>
      </w:r>
      <w:r>
        <w:rPr>
          <w:rFonts w:eastAsia="Calibri"/>
        </w:rPr>
        <w:t>across</w:t>
      </w:r>
      <w:r w:rsidRPr="00C7547E">
        <w:rPr>
          <w:rFonts w:eastAsia="Calibri"/>
        </w:rPr>
        <w:t xml:space="preserve"> all HP projects, with the greatest reductions of between 2.1% and 10.</w:t>
      </w:r>
      <w:r>
        <w:rPr>
          <w:rFonts w:eastAsia="Calibri"/>
        </w:rPr>
        <w:t>4</w:t>
      </w:r>
      <w:r w:rsidRPr="00C7547E">
        <w:rPr>
          <w:rFonts w:eastAsia="Calibri"/>
        </w:rPr>
        <w:t xml:space="preserve">% for </w:t>
      </w:r>
      <w:r>
        <w:rPr>
          <w:rFonts w:eastAsia="Calibri"/>
        </w:rPr>
        <w:t xml:space="preserve">the GWP burden (i.e. </w:t>
      </w:r>
      <w:r w:rsidRPr="00C7547E">
        <w:rPr>
          <w:rFonts w:eastAsia="Calibri"/>
        </w:rPr>
        <w:t>GHG emissions</w:t>
      </w:r>
      <w:r>
        <w:rPr>
          <w:rFonts w:eastAsia="Calibri"/>
        </w:rPr>
        <w:t>)</w:t>
      </w:r>
      <w:r w:rsidRPr="00C7547E">
        <w:rPr>
          <w:rFonts w:eastAsia="Calibri"/>
        </w:rPr>
        <w:t xml:space="preserve">. </w:t>
      </w:r>
      <w:r>
        <w:rPr>
          <w:rFonts w:eastAsia="Calibri"/>
        </w:rPr>
        <w:t xml:space="preserve">ARDP presented </w:t>
      </w:r>
      <w:r w:rsidRPr="00C7547E">
        <w:rPr>
          <w:rFonts w:eastAsia="Calibri"/>
        </w:rPr>
        <w:t>smalle</w:t>
      </w:r>
      <w:r>
        <w:rPr>
          <w:rFonts w:eastAsia="Calibri"/>
        </w:rPr>
        <w:t>r</w:t>
      </w:r>
      <w:r w:rsidRPr="00C7547E">
        <w:rPr>
          <w:rFonts w:eastAsia="Calibri"/>
        </w:rPr>
        <w:t xml:space="preserve"> environmental savings</w:t>
      </w:r>
      <w:r>
        <w:rPr>
          <w:rFonts w:eastAsia="Calibri"/>
        </w:rPr>
        <w:t>, with results ranging from 0.1% to 2</w:t>
      </w:r>
      <w:r w:rsidRPr="00C7547E">
        <w:rPr>
          <w:rFonts w:eastAsia="Calibri"/>
        </w:rPr>
        <w:t>.</w:t>
      </w:r>
      <w:r>
        <w:rPr>
          <w:rFonts w:eastAsia="Calibri"/>
        </w:rPr>
        <w:t>6</w:t>
      </w:r>
      <w:r w:rsidRPr="00C7547E">
        <w:rPr>
          <w:rFonts w:eastAsia="Calibri"/>
        </w:rPr>
        <w:t xml:space="preserve">%. </w:t>
      </w:r>
      <w:r>
        <w:rPr>
          <w:rFonts w:eastAsia="Calibri"/>
        </w:rPr>
        <w:t>T</w:t>
      </w:r>
      <w:r w:rsidRPr="00C7547E">
        <w:rPr>
          <w:rFonts w:eastAsia="Calibri"/>
        </w:rPr>
        <w:t>he 140 kW project</w:t>
      </w:r>
      <w:r>
        <w:rPr>
          <w:rFonts w:eastAsia="Calibri"/>
        </w:rPr>
        <w:t xml:space="preserve"> </w:t>
      </w:r>
      <w:r w:rsidRPr="00CF2DAE">
        <w:rPr>
          <w:rFonts w:eastAsia="Calibri"/>
        </w:rPr>
        <w:t>reali</w:t>
      </w:r>
      <w:r w:rsidR="00F72297" w:rsidRPr="00CF2DAE">
        <w:rPr>
          <w:rFonts w:eastAsia="Calibri"/>
        </w:rPr>
        <w:t>s</w:t>
      </w:r>
      <w:r w:rsidRPr="00CF2DAE">
        <w:rPr>
          <w:rFonts w:eastAsia="Calibri"/>
        </w:rPr>
        <w:t>ed</w:t>
      </w:r>
      <w:r>
        <w:rPr>
          <w:rFonts w:eastAsia="Calibri"/>
        </w:rPr>
        <w:t xml:space="preserve"> </w:t>
      </w:r>
      <w:r w:rsidRPr="00C7547E">
        <w:rPr>
          <w:rFonts w:eastAsia="Calibri"/>
        </w:rPr>
        <w:t>the lowest ecodesign savings</w:t>
      </w:r>
      <w:r>
        <w:rPr>
          <w:rFonts w:eastAsia="Calibri"/>
        </w:rPr>
        <w:t>,</w:t>
      </w:r>
      <w:r w:rsidRPr="00C7547E">
        <w:rPr>
          <w:rFonts w:eastAsia="Calibri"/>
        </w:rPr>
        <w:t xml:space="preserve"> as the installation was located in an existing structure, thus no major construction was associated </w:t>
      </w:r>
      <w:r w:rsidRPr="00C7547E">
        <w:rPr>
          <w:rFonts w:eastAsia="Calibri"/>
        </w:rPr>
        <w:lastRenderedPageBreak/>
        <w:t>with this project.</w:t>
      </w:r>
      <w:r>
        <w:rPr>
          <w:rFonts w:eastAsia="Calibri"/>
        </w:rPr>
        <w:t xml:space="preserve"> The 90 kW project presented the most notable potential savings due to a relatively large concrete powerhouse structure. </w:t>
      </w:r>
    </w:p>
    <w:p w14:paraId="32F5D3A4" w14:textId="77777777" w:rsidR="006846D7" w:rsidRDefault="006846D7" w:rsidP="006846D7">
      <w:pPr>
        <w:spacing w:line="480" w:lineRule="auto"/>
        <w:rPr>
          <w:rFonts w:eastAsia="Calibri"/>
        </w:rPr>
      </w:pPr>
    </w:p>
    <w:p w14:paraId="1BC512EC" w14:textId="051AE5A4" w:rsidR="006846D7" w:rsidRDefault="006846D7" w:rsidP="006846D7">
      <w:pPr>
        <w:spacing w:line="480" w:lineRule="auto"/>
        <w:rPr>
          <w:rFonts w:eastAsia="Calibri"/>
        </w:rPr>
      </w:pPr>
      <w:r>
        <w:rPr>
          <w:rFonts w:eastAsia="Calibri"/>
        </w:rPr>
        <w:t xml:space="preserve">The performance of each ecodesign measures differs considerably with respect to carbon- and resource-efficiency. A breakdown of the percentage change in each impact category burden across each of the ecodesign measures is illustrated in </w:t>
      </w:r>
      <w:r>
        <w:rPr>
          <w:rFonts w:eastAsia="Calibri"/>
        </w:rPr>
        <w:fldChar w:fldCharType="begin"/>
      </w:r>
      <w:r>
        <w:rPr>
          <w:rFonts w:eastAsia="Calibri"/>
        </w:rPr>
        <w:instrText xml:space="preserve"> REF _Ref413778953 \h </w:instrText>
      </w:r>
      <w:r>
        <w:rPr>
          <w:rFonts w:eastAsia="Calibri"/>
        </w:rPr>
      </w:r>
      <w:r>
        <w:rPr>
          <w:rFonts w:eastAsia="Calibri"/>
        </w:rPr>
        <w:fldChar w:fldCharType="separate"/>
      </w:r>
      <w:r w:rsidR="00A03096">
        <w:t xml:space="preserve">Figure </w:t>
      </w:r>
      <w:r w:rsidR="00A03096">
        <w:rPr>
          <w:noProof/>
        </w:rPr>
        <w:t>2</w:t>
      </w:r>
      <w:r>
        <w:rPr>
          <w:rFonts w:eastAsia="Calibri"/>
        </w:rPr>
        <w:fldChar w:fldCharType="end"/>
      </w:r>
      <w:r>
        <w:rPr>
          <w:rFonts w:eastAsia="Calibri"/>
        </w:rPr>
        <w:t>.</w:t>
      </w:r>
    </w:p>
    <w:p w14:paraId="7273A120" w14:textId="77777777" w:rsidR="006846D7" w:rsidRDefault="006846D7" w:rsidP="006846D7">
      <w:pPr>
        <w:spacing w:line="480" w:lineRule="auto"/>
        <w:rPr>
          <w:rFonts w:eastAsia="Calibri"/>
        </w:rPr>
      </w:pPr>
    </w:p>
    <w:p w14:paraId="6F34F5B5" w14:textId="6914F8C1" w:rsidR="006846D7" w:rsidRDefault="006534AC" w:rsidP="006846D7">
      <w:pPr>
        <w:pStyle w:val="Figure"/>
      </w:pPr>
      <w:r>
        <w:rPr>
          <w:noProof/>
        </w:rPr>
        <w:drawing>
          <wp:inline distT="0" distB="0" distL="0" distR="0" wp14:anchorId="742D6410" wp14:editId="0159B22C">
            <wp:extent cx="5730875" cy="2891790"/>
            <wp:effectExtent l="0" t="0" r="3175" b="3810"/>
            <wp:docPr id="3" name="Picture 3" descr="C:\Users\afs02e\Desktop\Hydro-BPT\Project Dissimination\Papers\6) Making green technology greener - what is the potential of ecodesign for renewable energy systems\RC&amp;R\2nd Submission\Figures\Figur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s02e\Desktop\Hydro-BPT\Project Dissimination\Papers\6) Making green technology greener - what is the potential of ecodesign for renewable energy systems\RC&amp;R\2nd Submission\Figures\Figure 2.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891790"/>
                    </a:xfrm>
                    <a:prstGeom prst="rect">
                      <a:avLst/>
                    </a:prstGeom>
                    <a:noFill/>
                    <a:ln>
                      <a:noFill/>
                    </a:ln>
                  </pic:spPr>
                </pic:pic>
              </a:graphicData>
            </a:graphic>
          </wp:inline>
        </w:drawing>
      </w:r>
    </w:p>
    <w:p w14:paraId="5DC3138B" w14:textId="73E8865D" w:rsidR="006846D7" w:rsidRDefault="006846D7" w:rsidP="006846D7">
      <w:pPr>
        <w:pStyle w:val="Figure"/>
      </w:pPr>
      <w:bookmarkStart w:id="4" w:name="_Ref413778953"/>
      <w:r>
        <w:t xml:space="preserve">Figure </w:t>
      </w:r>
      <w:r>
        <w:fldChar w:fldCharType="begin"/>
      </w:r>
      <w:r>
        <w:instrText xml:space="preserve"> SEQ Figure \* ARABIC </w:instrText>
      </w:r>
      <w:r>
        <w:fldChar w:fldCharType="separate"/>
      </w:r>
      <w:r w:rsidR="00A03096">
        <w:rPr>
          <w:noProof/>
        </w:rPr>
        <w:t>2</w:t>
      </w:r>
      <w:r>
        <w:fldChar w:fldCharType="end"/>
      </w:r>
      <w:bookmarkEnd w:id="4"/>
      <w:r>
        <w:t>. A comparison between the cumulative savings for the GWP and ARDP environmental burdens due to ecodesign measures in the HP projects.</w:t>
      </w:r>
    </w:p>
    <w:p w14:paraId="1FD19FD4" w14:textId="77777777" w:rsidR="006846D7" w:rsidRDefault="006846D7" w:rsidP="006846D7">
      <w:pPr>
        <w:spacing w:line="480" w:lineRule="auto"/>
        <w:rPr>
          <w:rFonts w:eastAsia="Calibri"/>
        </w:rPr>
      </w:pPr>
    </w:p>
    <w:p w14:paraId="47ED43CF" w14:textId="77777777" w:rsidR="006846D7" w:rsidRDefault="006846D7" w:rsidP="006846D7">
      <w:pPr>
        <w:pStyle w:val="Heading3"/>
      </w:pPr>
      <w:r>
        <w:t>Powerhouse structure</w:t>
      </w:r>
    </w:p>
    <w:p w14:paraId="744F3416" w14:textId="77777777" w:rsidR="006846D7" w:rsidRPr="00063183" w:rsidRDefault="006846D7" w:rsidP="006846D7">
      <w:pPr>
        <w:spacing w:line="480" w:lineRule="auto"/>
        <w:rPr>
          <w:rFonts w:eastAsia="Calibri"/>
        </w:rPr>
      </w:pPr>
      <w:r>
        <w:rPr>
          <w:rFonts w:eastAsia="Calibri"/>
        </w:rPr>
        <w:t>The 140 kW installation differed from the other HP projects as the powerhouse structure was in place prior to the project being commissioned, thus it was omitted for this part of the study. C</w:t>
      </w:r>
      <w:r w:rsidRPr="00063183">
        <w:rPr>
          <w:rFonts w:eastAsia="Calibri"/>
        </w:rPr>
        <w:t>hanging the powerhouse structure led to</w:t>
      </w:r>
      <w:r>
        <w:rPr>
          <w:rFonts w:eastAsia="Calibri"/>
        </w:rPr>
        <w:t xml:space="preserve"> a reduction in</w:t>
      </w:r>
      <w:r w:rsidRPr="00063183">
        <w:rPr>
          <w:rFonts w:eastAsia="Calibri"/>
        </w:rPr>
        <w:t xml:space="preserve"> </w:t>
      </w:r>
      <w:r>
        <w:rPr>
          <w:rFonts w:eastAsia="Calibri"/>
        </w:rPr>
        <w:t>embodied</w:t>
      </w:r>
      <w:r w:rsidRPr="00063183">
        <w:rPr>
          <w:rFonts w:eastAsia="Calibri"/>
        </w:rPr>
        <w:t xml:space="preserve"> </w:t>
      </w:r>
      <w:r>
        <w:rPr>
          <w:rFonts w:eastAsia="Calibri"/>
        </w:rPr>
        <w:t>resource (ARDP) and</w:t>
      </w:r>
      <w:r w:rsidRPr="00063183">
        <w:rPr>
          <w:rFonts w:eastAsia="Calibri"/>
        </w:rPr>
        <w:t xml:space="preserve"> carbon</w:t>
      </w:r>
      <w:r>
        <w:rPr>
          <w:rFonts w:eastAsia="Calibri"/>
        </w:rPr>
        <w:t xml:space="preserve"> (</w:t>
      </w:r>
      <w:r w:rsidRPr="00063183">
        <w:rPr>
          <w:rFonts w:eastAsia="Calibri"/>
        </w:rPr>
        <w:t xml:space="preserve">GWP) </w:t>
      </w:r>
      <w:r>
        <w:rPr>
          <w:rFonts w:eastAsia="Calibri"/>
        </w:rPr>
        <w:t>burdens</w:t>
      </w:r>
      <w:r w:rsidRPr="00C03319">
        <w:t xml:space="preserve"> </w:t>
      </w:r>
      <w:r>
        <w:t>f</w:t>
      </w:r>
      <w:r w:rsidRPr="00C03319">
        <w:rPr>
          <w:rFonts w:eastAsia="Calibri"/>
        </w:rPr>
        <w:t xml:space="preserve">or </w:t>
      </w:r>
      <w:r>
        <w:rPr>
          <w:rFonts w:eastAsia="Calibri"/>
        </w:rPr>
        <w:t>each of the HP installations.</w:t>
      </w:r>
      <w:r w:rsidRPr="00063183">
        <w:rPr>
          <w:rFonts w:eastAsia="Calibri"/>
        </w:rPr>
        <w:t xml:space="preserve"> </w:t>
      </w:r>
      <w:r>
        <w:rPr>
          <w:rFonts w:eastAsia="Calibri"/>
        </w:rPr>
        <w:t>The</w:t>
      </w:r>
      <w:r w:rsidRPr="00063183">
        <w:rPr>
          <w:rFonts w:eastAsia="Calibri"/>
        </w:rPr>
        <w:t xml:space="preserve"> </w:t>
      </w:r>
      <w:r>
        <w:rPr>
          <w:rFonts w:eastAsia="Calibri"/>
        </w:rPr>
        <w:t xml:space="preserve">cumulative changes to the powerhouse presented notable savings for GWP, up to 3.3% savings of the total project burden. However, this did not translate into significant ARDP savings as a maximum reduction to the overall burden of 0.15% was observed. The substitution of concrete with </w:t>
      </w:r>
      <w:r>
        <w:rPr>
          <w:rFonts w:eastAsia="Calibri"/>
        </w:rPr>
        <w:lastRenderedPageBreak/>
        <w:t>wood led to avoided burdens, yet the addition of paint and treatment of the wood reduces the potential impact savings in the powerhouse. The treatment of wood ensures the structure has an extended life, to provide a similar lifespan of the turbine and generator</w:t>
      </w:r>
      <w:r w:rsidRPr="00D9745B">
        <w:rPr>
          <w:rFonts w:eastAsia="Calibri"/>
        </w:rPr>
        <w:t xml:space="preserve"> </w:t>
      </w:r>
      <w:r>
        <w:rPr>
          <w:rFonts w:eastAsia="Calibri"/>
        </w:rPr>
        <w:t>of at least 50 years, despite potentially the four</w:t>
      </w:r>
      <w:r w:rsidRPr="00063183">
        <w:rPr>
          <w:rFonts w:eastAsia="Calibri"/>
        </w:rPr>
        <w:t xml:space="preserve"> HP installations</w:t>
      </w:r>
      <w:r>
        <w:rPr>
          <w:rFonts w:eastAsia="Calibri"/>
        </w:rPr>
        <w:t xml:space="preserve"> with powerhouse structures. Based on the three HP installations that applied all five ecodesign measures, changing the powerhouse structure accounted for between 32-48% of GWP savings and 3-12% of ARDP savings. Therefore, changing the powerhouse structure has a more substantial impact on carbon savings compared to resource savings.</w:t>
      </w:r>
    </w:p>
    <w:p w14:paraId="1D8E32AB" w14:textId="77777777" w:rsidR="006846D7" w:rsidRDefault="006846D7" w:rsidP="006846D7">
      <w:pPr>
        <w:spacing w:line="480" w:lineRule="auto"/>
        <w:rPr>
          <w:rFonts w:eastAsia="Calibri"/>
        </w:rPr>
      </w:pPr>
    </w:p>
    <w:p w14:paraId="733A9B91" w14:textId="77777777" w:rsidR="006846D7" w:rsidRDefault="006846D7" w:rsidP="006846D7">
      <w:pPr>
        <w:pStyle w:val="Heading3"/>
      </w:pPr>
      <w:r>
        <w:t>Concrete selection</w:t>
      </w:r>
    </w:p>
    <w:p w14:paraId="2A6EF486" w14:textId="77777777" w:rsidR="006846D7" w:rsidRDefault="006846D7" w:rsidP="006846D7">
      <w:pPr>
        <w:spacing w:line="480" w:lineRule="auto"/>
        <w:rPr>
          <w:rFonts w:eastAsia="Calibri"/>
        </w:rPr>
      </w:pPr>
      <w:r w:rsidRPr="00BB331B">
        <w:rPr>
          <w:rFonts w:eastAsia="Calibri"/>
        </w:rPr>
        <w:t xml:space="preserve">Ecodesign relating to concrete selection demonstrated savings of up to 2.1% and 0.16% for the GWP and ARDP burdens, respectively. The savings were greater for water supply infrastructure HP installations, averaging 1.9% for GWP and 0.11% for ARDP, compared with average GWP and ARDP burdens savings of 1.21% and 0.09% for run-of-river installations. This was due to a larger quantity of concrete used in water supply infrastructure installations per kW capacity. </w:t>
      </w:r>
      <w:r>
        <w:rPr>
          <w:rFonts w:eastAsia="Calibri"/>
        </w:rPr>
        <w:t xml:space="preserve">Of the three HP projects which adopted all five ecodesign measures, concrete savings demonstrated an average contribution of 27% and 9% for the GWP and ARDP burdens to the total ecodesign savings for the projects. Similar to powerhouse structure changes, the concrete savings weighted towards carbon savings as opposed to resource savings. </w:t>
      </w:r>
      <w:r w:rsidRPr="00BB331B">
        <w:rPr>
          <w:rFonts w:eastAsia="Calibri"/>
        </w:rPr>
        <w:t xml:space="preserve">The use of precast sections in HP installations </w:t>
      </w:r>
      <w:r>
        <w:rPr>
          <w:rFonts w:eastAsia="Calibri"/>
        </w:rPr>
        <w:t xml:space="preserve">was found to </w:t>
      </w:r>
      <w:r w:rsidRPr="00BB331B">
        <w:rPr>
          <w:rFonts w:eastAsia="Calibri"/>
        </w:rPr>
        <w:t>present the greatest potential for material savings, but can also lead to financial and time savings during the installation process.</w:t>
      </w:r>
    </w:p>
    <w:p w14:paraId="7DA7936A" w14:textId="77777777" w:rsidR="006846D7" w:rsidRDefault="006846D7" w:rsidP="006846D7">
      <w:pPr>
        <w:spacing w:line="480" w:lineRule="auto"/>
        <w:rPr>
          <w:rFonts w:eastAsia="Calibri"/>
        </w:rPr>
      </w:pPr>
    </w:p>
    <w:p w14:paraId="20CF4870" w14:textId="77777777" w:rsidR="006846D7" w:rsidRPr="008267F1" w:rsidRDefault="006846D7" w:rsidP="006846D7">
      <w:pPr>
        <w:pStyle w:val="Heading3"/>
      </w:pPr>
      <w:r>
        <w:t>Roof materials</w:t>
      </w:r>
    </w:p>
    <w:p w14:paraId="4B1ABF23" w14:textId="77777777" w:rsidR="006846D7" w:rsidRPr="008267F1" w:rsidRDefault="006846D7" w:rsidP="006846D7">
      <w:pPr>
        <w:spacing w:line="480" w:lineRule="auto"/>
        <w:rPr>
          <w:rFonts w:eastAsia="Calibri"/>
        </w:rPr>
      </w:pPr>
      <w:r w:rsidRPr="00834C3F">
        <w:rPr>
          <w:rFonts w:eastAsia="Calibri"/>
        </w:rPr>
        <w:lastRenderedPageBreak/>
        <w:t xml:space="preserve">In three </w:t>
      </w:r>
      <w:r w:rsidR="005B6C20">
        <w:rPr>
          <w:rFonts w:eastAsia="Calibri"/>
        </w:rPr>
        <w:t xml:space="preserve">of the </w:t>
      </w:r>
      <w:r w:rsidRPr="00834C3F">
        <w:rPr>
          <w:rFonts w:eastAsia="Calibri"/>
        </w:rPr>
        <w:t xml:space="preserve">case studies, changing the roofing material </w:t>
      </w:r>
      <w:r w:rsidR="005B6C20">
        <w:rPr>
          <w:rFonts w:eastAsia="Calibri"/>
        </w:rPr>
        <w:t>was considered as an ecodesign measure to promote</w:t>
      </w:r>
      <w:r w:rsidRPr="00834C3F">
        <w:rPr>
          <w:rFonts w:eastAsia="Calibri"/>
        </w:rPr>
        <w:t xml:space="preserve"> carbon and resource savings. In one case, the 90 kW installation, applying ecodesign to the roofing materials and replacing the sheeting with slate led to 4.6% and 2.3% </w:t>
      </w:r>
      <w:r w:rsidR="002274E8">
        <w:rPr>
          <w:rFonts w:eastAsia="Calibri"/>
        </w:rPr>
        <w:t xml:space="preserve">reductions </w:t>
      </w:r>
      <w:r w:rsidRPr="00834C3F">
        <w:rPr>
          <w:rFonts w:eastAsia="Calibri"/>
        </w:rPr>
        <w:t xml:space="preserve">for the GWP and ARDP burdens, respectively. This proportionately accounted for 44% GWP savings and 89% ARDP savings for the 90 kW project. </w:t>
      </w:r>
      <w:r w:rsidR="009C1D1A">
        <w:rPr>
          <w:rFonts w:eastAsia="Calibri"/>
        </w:rPr>
        <w:t>On the other hand</w:t>
      </w:r>
      <w:r w:rsidRPr="00834C3F">
        <w:rPr>
          <w:rFonts w:eastAsia="Calibri"/>
        </w:rPr>
        <w:t xml:space="preserve">, </w:t>
      </w:r>
      <w:r w:rsidR="009C1D1A">
        <w:rPr>
          <w:rFonts w:eastAsia="Calibri"/>
        </w:rPr>
        <w:t xml:space="preserve">only </w:t>
      </w:r>
      <w:r w:rsidRPr="00834C3F">
        <w:rPr>
          <w:rFonts w:eastAsia="Calibri"/>
        </w:rPr>
        <w:t xml:space="preserve">0.5-0.6% and 0.8-2.3% savings for the GWP and ARDP burdens were noted for the 100 kW and 650 kW projects. The replacement of corrugated iron sheeting with roof slates presented an ecodesign measure where local materials used for roofing reduce both carbon- and resource-burdens. </w:t>
      </w:r>
      <w:r>
        <w:rPr>
          <w:rFonts w:eastAsia="Calibri"/>
        </w:rPr>
        <w:t>In particular, t</w:t>
      </w:r>
      <w:r w:rsidRPr="00834C3F">
        <w:rPr>
          <w:rFonts w:eastAsia="Calibri"/>
        </w:rPr>
        <w:t>he promotion of locally</w:t>
      </w:r>
      <w:r w:rsidR="009C1D1A">
        <w:rPr>
          <w:rFonts w:eastAsia="Calibri"/>
        </w:rPr>
        <w:t>-</w:t>
      </w:r>
      <w:r w:rsidRPr="00834C3F">
        <w:rPr>
          <w:rFonts w:eastAsia="Calibri"/>
        </w:rPr>
        <w:t>sourced materials such as roof slate</w:t>
      </w:r>
      <w:r>
        <w:rPr>
          <w:rFonts w:eastAsia="Calibri"/>
        </w:rPr>
        <w:t>s</w:t>
      </w:r>
      <w:r w:rsidRPr="00834C3F">
        <w:rPr>
          <w:rFonts w:eastAsia="Calibri"/>
        </w:rPr>
        <w:t xml:space="preserve"> is an ecodesign measure can reduce transport demands for a project and it could be applied to other types of renewable energy systems.</w:t>
      </w:r>
    </w:p>
    <w:p w14:paraId="5C23825F" w14:textId="77777777" w:rsidR="006846D7" w:rsidRPr="008267F1" w:rsidRDefault="006846D7" w:rsidP="006846D7">
      <w:pPr>
        <w:spacing w:line="480" w:lineRule="auto"/>
        <w:rPr>
          <w:rFonts w:eastAsia="Calibri"/>
        </w:rPr>
      </w:pPr>
    </w:p>
    <w:p w14:paraId="594D5C7D" w14:textId="77777777" w:rsidR="006846D7" w:rsidRPr="008D44D1" w:rsidRDefault="006846D7" w:rsidP="006846D7">
      <w:pPr>
        <w:pStyle w:val="Heading3"/>
      </w:pPr>
      <w:r>
        <w:t>Excavation work and transportation</w:t>
      </w:r>
    </w:p>
    <w:p w14:paraId="07E2096C" w14:textId="4ADEDCC5" w:rsidR="006846D7" w:rsidRPr="006145F5" w:rsidRDefault="006846D7" w:rsidP="006846D7">
      <w:pPr>
        <w:spacing w:line="480" w:lineRule="auto"/>
        <w:rPr>
          <w:rFonts w:eastAsia="Calibri"/>
        </w:rPr>
      </w:pPr>
      <w:r w:rsidRPr="00607F06">
        <w:rPr>
          <w:rFonts w:eastAsia="Calibri"/>
        </w:rPr>
        <w:t xml:space="preserve">Project excavation and transportation activities demonstrated different levels of impact and potential ecodesign savings for GWP and ARDP burdens. </w:t>
      </w:r>
      <w:r>
        <w:rPr>
          <w:rFonts w:eastAsia="Calibri"/>
        </w:rPr>
        <w:t>Ec</w:t>
      </w:r>
      <w:r w:rsidRPr="00607F06">
        <w:rPr>
          <w:rFonts w:eastAsia="Calibri"/>
        </w:rPr>
        <w:t xml:space="preserve">odesign savings associated with excavation work </w:t>
      </w:r>
      <w:r>
        <w:rPr>
          <w:rFonts w:eastAsia="Calibri"/>
        </w:rPr>
        <w:t xml:space="preserve">ranged from 0.05-0.77% and 0.01-0.19% for GWP and ARDP, respectively. Transportation </w:t>
      </w:r>
      <w:r w:rsidRPr="006145F5">
        <w:rPr>
          <w:rFonts w:eastAsia="Calibri"/>
        </w:rPr>
        <w:t xml:space="preserve">accounted for savings of between 0.12-0.29% for the GWP burden category and 0.02-0.04% for ARDP burden. These savings accounted for the knock-on impacts of changing the building super-structure and the existing and variable conditions presented on each site in relation to excavation work. For ARDP, </w:t>
      </w:r>
      <w:r w:rsidR="005279D6">
        <w:rPr>
          <w:rFonts w:eastAsia="Calibri"/>
        </w:rPr>
        <w:t>applying ecodesign measures to excavation work presented more substantial savings than through transportation activities</w:t>
      </w:r>
      <w:r w:rsidRPr="006145F5">
        <w:rPr>
          <w:rFonts w:eastAsia="Calibri"/>
        </w:rPr>
        <w:t>. Reducing fuel consumption in both of these activities presented savings for both carbon and resource burdens, yet more substantial savings are noted for the ARDP burden.</w:t>
      </w:r>
    </w:p>
    <w:p w14:paraId="059017D4" w14:textId="77777777" w:rsidR="006846D7" w:rsidRPr="006145F5" w:rsidRDefault="006846D7" w:rsidP="006846D7">
      <w:pPr>
        <w:spacing w:line="480" w:lineRule="auto"/>
        <w:rPr>
          <w:rFonts w:eastAsia="Calibri"/>
        </w:rPr>
      </w:pPr>
    </w:p>
    <w:p w14:paraId="03EEDE36" w14:textId="77777777" w:rsidR="006846D7" w:rsidRPr="005279D6" w:rsidRDefault="006846D7" w:rsidP="006846D7">
      <w:pPr>
        <w:pStyle w:val="Heading2"/>
        <w:spacing w:line="480" w:lineRule="auto"/>
        <w:rPr>
          <w:rStyle w:val="SubtleEmphasis"/>
          <w:i/>
          <w:iCs w:val="0"/>
          <w:color w:val="auto"/>
        </w:rPr>
      </w:pPr>
      <w:r w:rsidRPr="005279D6">
        <w:rPr>
          <w:rStyle w:val="SubtleEmphasis"/>
          <w:i/>
          <w:color w:val="auto"/>
        </w:rPr>
        <w:t>Materiality thresholds and ecodesign</w:t>
      </w:r>
    </w:p>
    <w:p w14:paraId="7DCF67F3" w14:textId="56327615" w:rsidR="006846D7" w:rsidRDefault="006846D7" w:rsidP="006846D7">
      <w:pPr>
        <w:spacing w:line="480" w:lineRule="auto"/>
        <w:rPr>
          <w:rFonts w:eastAsia="Calibri"/>
        </w:rPr>
      </w:pPr>
      <w:r>
        <w:rPr>
          <w:rFonts w:eastAsia="Calibri"/>
        </w:rPr>
        <w:lastRenderedPageBreak/>
        <w:t xml:space="preserve">Adopting materiality thresholds can lead to the omission of minor components that cumulatively contribute significantly to the environmental burdens of HP installations </w:t>
      </w:r>
      <w:r w:rsidR="005E1560">
        <w:rPr>
          <w:rFonts w:eastAsia="Calibri"/>
        </w:rPr>
        <w:t>(Gallagher et al., 2015c)</w:t>
      </w:r>
      <w:r>
        <w:rPr>
          <w:rFonts w:eastAsia="Calibri"/>
        </w:rPr>
        <w:t xml:space="preserve">, thus potentially underestimating overall project burdens. Considering GWP and ARDP as two burden categories, </w:t>
      </w:r>
      <w:r>
        <w:rPr>
          <w:rFonts w:eastAsia="Calibri"/>
        </w:rPr>
        <w:fldChar w:fldCharType="begin"/>
      </w:r>
      <w:r>
        <w:rPr>
          <w:rFonts w:eastAsia="Calibri"/>
        </w:rPr>
        <w:instrText xml:space="preserve"> REF _Ref412120691 \h </w:instrText>
      </w:r>
      <w:r>
        <w:rPr>
          <w:rFonts w:eastAsia="Calibri"/>
        </w:rPr>
      </w:r>
      <w:r>
        <w:rPr>
          <w:rFonts w:eastAsia="Calibri"/>
        </w:rPr>
        <w:fldChar w:fldCharType="separate"/>
      </w:r>
      <w:r w:rsidR="00A03096">
        <w:t xml:space="preserve">Figure </w:t>
      </w:r>
      <w:r w:rsidR="00A03096">
        <w:rPr>
          <w:noProof/>
        </w:rPr>
        <w:t>3</w:t>
      </w:r>
      <w:r>
        <w:rPr>
          <w:rFonts w:eastAsia="Calibri"/>
        </w:rPr>
        <w:fldChar w:fldCharType="end"/>
      </w:r>
      <w:r>
        <w:rPr>
          <w:rFonts w:eastAsia="Calibri"/>
        </w:rPr>
        <w:t xml:space="preserve"> shows the component contributions for each of the case studies before and after ecodesign measures. </w:t>
      </w:r>
      <w:r w:rsidR="00251654">
        <w:rPr>
          <w:rFonts w:eastAsia="Calibri"/>
        </w:rPr>
        <w:t xml:space="preserve">A breakdown of the percentage environmental burden contributions of each component for GWP and ARDP are included in Table SI.2 and SI.3 in </w:t>
      </w:r>
      <w:r w:rsidR="001C223E">
        <w:rPr>
          <w:rFonts w:eastAsia="Calibri"/>
        </w:rPr>
        <w:t>S</w:t>
      </w:r>
      <w:r w:rsidR="00251654">
        <w:rPr>
          <w:rFonts w:eastAsia="Calibri"/>
        </w:rPr>
        <w:t xml:space="preserve">upplementary </w:t>
      </w:r>
      <w:r w:rsidR="001C223E">
        <w:rPr>
          <w:rFonts w:eastAsia="Calibri"/>
        </w:rPr>
        <w:t>I</w:t>
      </w:r>
      <w:r w:rsidR="00251654">
        <w:rPr>
          <w:rFonts w:eastAsia="Calibri"/>
        </w:rPr>
        <w:t xml:space="preserve">nformation. </w:t>
      </w:r>
      <w:r>
        <w:rPr>
          <w:rFonts w:eastAsia="Calibri"/>
        </w:rPr>
        <w:t>This also includes the ranking of these components based on whether they fall in or out of the 0.5% or 1% materiality thresholds</w:t>
      </w:r>
      <w:r w:rsidR="009C1D1A">
        <w:rPr>
          <w:rFonts w:eastAsia="Calibri"/>
        </w:rPr>
        <w:t>,</w:t>
      </w:r>
      <w:r>
        <w:rPr>
          <w:rFonts w:eastAsia="Calibri"/>
        </w:rPr>
        <w:t xml:space="preserve"> as advised by </w:t>
      </w:r>
      <w:r>
        <w:rPr>
          <w:rFonts w:eastAsia="Calibri"/>
        </w:rPr>
        <w:fldChar w:fldCharType="begin"/>
      </w:r>
      <w:r>
        <w:rPr>
          <w:rFonts w:eastAsia="Calibri"/>
        </w:rPr>
        <w:instrText xml:space="preserve"> ADDIN EN.CITE &lt;EndNote&gt;&lt;Cite AuthorYear="1"&gt;&lt;Author&gt;ISO&lt;/Author&gt;&lt;Year&gt;2006&lt;/Year&gt;&lt;RecNum&gt;162&lt;/RecNum&gt;&lt;DisplayText&gt;ISO (2006)&lt;/DisplayText&gt;&lt;record&gt;&lt;rec-number&gt;162&lt;/rec-number&gt;&lt;foreign-keys&gt;&lt;key app="EN" db-id="e9rav2ttda9t9re5pfyxxdamzwpp5v00xdx5" timestamp="1358715816"&gt;162&lt;/key&gt;&lt;/foreign-keys&gt;&lt;ref-type name="Standard"&gt;58&lt;/ref-type&gt;&lt;contributors&gt;&lt;authors&gt;&lt;author&gt;ISO,&lt;/author&gt;&lt;/authors&gt;&lt;/contributors&gt;&lt;titles&gt;&lt;title&gt;ISO 14040: environmental management - life cycle assessment - principles and framework&lt;/title&gt;&lt;/titles&gt;&lt;dates&gt;&lt;year&gt;2006&lt;/year&gt;&lt;/dates&gt;&lt;publisher&gt;ISO, Geneva&lt;/publisher&gt;&lt;urls&gt;&lt;/urls&gt;&lt;/record&gt;&lt;/Cite&gt;&lt;/EndNote&gt;</w:instrText>
      </w:r>
      <w:r>
        <w:rPr>
          <w:rFonts w:eastAsia="Calibri"/>
        </w:rPr>
        <w:fldChar w:fldCharType="separate"/>
      </w:r>
      <w:r>
        <w:rPr>
          <w:rFonts w:eastAsia="Calibri"/>
          <w:noProof/>
        </w:rPr>
        <w:t>ISO (2006)</w:t>
      </w:r>
      <w:r>
        <w:rPr>
          <w:rFonts w:eastAsia="Calibri"/>
        </w:rPr>
        <w:fldChar w:fldCharType="end"/>
      </w:r>
      <w:r>
        <w:rPr>
          <w:rFonts w:eastAsia="Calibri"/>
        </w:rPr>
        <w:t xml:space="preserve"> and </w:t>
      </w:r>
      <w:r w:rsidR="003E0895">
        <w:rPr>
          <w:rFonts w:eastAsia="Calibri"/>
        </w:rPr>
        <w:fldChar w:fldCharType="begin"/>
      </w:r>
      <w:r w:rsidR="005E7147">
        <w:rPr>
          <w:rFonts w:eastAsia="Calibri"/>
        </w:rPr>
        <w:instrText xml:space="preserve"> ADDIN EN.CITE &lt;EndNote&gt;&lt;Cite AuthorYear="1"&gt;&lt;Author&gt;Gallagher&lt;/Author&gt;&lt;Year&gt;2015&lt;/Year&gt;&lt;RecNum&gt;371&lt;/RecNum&gt;&lt;DisplayText&gt;Gallagher et al. (2015b)&lt;/DisplayText&gt;&lt;record&gt;&lt;rec-number&gt;371&lt;/rec-number&gt;&lt;foreign-keys&gt;&lt;key app="EN" db-id="e9rav2ttda9t9re5pfyxxdamzwpp5v00xdx5" timestamp="1425904659"&gt;371&lt;/key&gt;&lt;/foreign-keys&gt;&lt;ref-type name="Journal Article"&gt;17&lt;/ref-type&gt;&lt;contributors&gt;&lt;authors&gt;&lt;author&gt;Gallagher, J.&lt;/author&gt;&lt;author&gt;Styles, D.&lt;/author&gt;&lt;author&gt;McNabola, A.&lt;/author&gt;&lt;author&gt;Williams, A.P.&lt;/author&gt;&lt;/authors&gt;&lt;/contributors&gt;&lt;titles&gt;&lt;title&gt;Inventory compilation for renewable energy systems: the pitfalls of materiality thresholds and priority impact categories using hydropower case studies&lt;/title&gt;&lt;secondary-title&gt;International Journal of Life Cycle Assessment&lt;/secondary-title&gt;&lt;/titles&gt;&lt;periodical&gt;&lt;full-title&gt;International Journal of Life Cycle Assessment&lt;/full-title&gt;&lt;/periodical&gt;&lt;dates&gt;&lt;year&gt;2015&lt;/year&gt;&lt;/dates&gt;&lt;urls&gt;&lt;/urls&gt;&lt;electronic-resource-num&gt;10.1007/s11367-015-0976-6&lt;/electronic-resource-num&gt;&lt;/record&gt;&lt;/Cite&gt;&lt;/EndNote&gt;</w:instrText>
      </w:r>
      <w:r w:rsidR="003E0895">
        <w:rPr>
          <w:rFonts w:eastAsia="Calibri"/>
        </w:rPr>
        <w:fldChar w:fldCharType="separate"/>
      </w:r>
      <w:r w:rsidR="00A15209">
        <w:rPr>
          <w:rFonts w:eastAsia="Calibri"/>
          <w:noProof/>
        </w:rPr>
        <w:t>Gallagher et al. (2015b)</w:t>
      </w:r>
      <w:r w:rsidR="003E0895">
        <w:rPr>
          <w:rFonts w:eastAsia="Calibri"/>
        </w:rPr>
        <w:fldChar w:fldCharType="end"/>
      </w:r>
      <w:r>
        <w:rPr>
          <w:rFonts w:eastAsia="Calibri"/>
        </w:rPr>
        <w:t>, respectively.</w:t>
      </w:r>
    </w:p>
    <w:p w14:paraId="7B4ABDB1" w14:textId="77777777" w:rsidR="001732A5" w:rsidRDefault="001732A5" w:rsidP="001732A5">
      <w:pPr>
        <w:spacing w:line="480" w:lineRule="auto"/>
        <w:rPr>
          <w:rFonts w:eastAsia="Calibri"/>
        </w:rPr>
      </w:pPr>
    </w:p>
    <w:p w14:paraId="3135E2CE" w14:textId="77777777" w:rsidR="001732A5" w:rsidRPr="00B869F5" w:rsidRDefault="001732A5" w:rsidP="001732A5">
      <w:pPr>
        <w:spacing w:line="480" w:lineRule="auto"/>
        <w:rPr>
          <w:rFonts w:eastAsia="Calibri"/>
        </w:rPr>
      </w:pPr>
      <w:r w:rsidRPr="00B869F5">
        <w:rPr>
          <w:rFonts w:eastAsia="Calibri"/>
        </w:rPr>
        <w:t xml:space="preserve">Differences in the number of components captured for GWP and ARDP by using different materiality thresholds </w:t>
      </w:r>
      <w:r>
        <w:rPr>
          <w:rFonts w:eastAsia="Calibri"/>
        </w:rPr>
        <w:t>are</w:t>
      </w:r>
      <w:r w:rsidRPr="00B869F5">
        <w:rPr>
          <w:rFonts w:eastAsia="Calibri"/>
        </w:rPr>
        <w:t xml:space="preserve"> evident in </w:t>
      </w:r>
      <w:r w:rsidRPr="00B869F5">
        <w:rPr>
          <w:rFonts w:eastAsia="Calibri"/>
        </w:rPr>
        <w:fldChar w:fldCharType="begin"/>
      </w:r>
      <w:r w:rsidRPr="00B869F5">
        <w:rPr>
          <w:rFonts w:eastAsia="Calibri"/>
        </w:rPr>
        <w:instrText xml:space="preserve"> REF _Ref412120691 \h </w:instrText>
      </w:r>
      <w:r w:rsidRPr="00B869F5">
        <w:rPr>
          <w:rFonts w:eastAsia="Calibri"/>
        </w:rPr>
      </w:r>
      <w:r w:rsidRPr="00B869F5">
        <w:rPr>
          <w:rFonts w:eastAsia="Calibri"/>
        </w:rPr>
        <w:fldChar w:fldCharType="separate"/>
      </w:r>
      <w:r>
        <w:t xml:space="preserve">Figure </w:t>
      </w:r>
      <w:r>
        <w:rPr>
          <w:noProof/>
        </w:rPr>
        <w:t>3</w:t>
      </w:r>
      <w:r w:rsidRPr="00B869F5">
        <w:rPr>
          <w:rFonts w:eastAsia="Calibri"/>
        </w:rPr>
        <w:fldChar w:fldCharType="end"/>
      </w:r>
      <w:r>
        <w:rPr>
          <w:rFonts w:eastAsia="Calibri"/>
        </w:rPr>
        <w:t xml:space="preserve">. </w:t>
      </w:r>
      <w:r w:rsidRPr="00B869F5">
        <w:rPr>
          <w:rFonts w:eastAsia="Calibri"/>
        </w:rPr>
        <w:t xml:space="preserve">No distinct pattern was observed for the </w:t>
      </w:r>
      <w:r>
        <w:rPr>
          <w:rFonts w:eastAsia="Calibri"/>
        </w:rPr>
        <w:t>environmental burdens</w:t>
      </w:r>
      <w:r w:rsidRPr="00B869F5">
        <w:rPr>
          <w:rFonts w:eastAsia="Calibri"/>
        </w:rPr>
        <w:t xml:space="preserve"> of components falling in </w:t>
      </w:r>
      <w:r>
        <w:rPr>
          <w:rFonts w:eastAsia="Calibri"/>
        </w:rPr>
        <w:t xml:space="preserve">and out of </w:t>
      </w:r>
      <w:r w:rsidRPr="00B869F5">
        <w:rPr>
          <w:rFonts w:eastAsia="Calibri"/>
        </w:rPr>
        <w:t xml:space="preserve">the </w:t>
      </w:r>
      <w:r>
        <w:rPr>
          <w:rFonts w:eastAsia="Calibri"/>
        </w:rPr>
        <w:t>0.5% or 1.0%</w:t>
      </w:r>
      <w:r w:rsidRPr="00B869F5">
        <w:rPr>
          <w:rFonts w:eastAsia="Calibri"/>
        </w:rPr>
        <w:t xml:space="preserve"> thresholds for either the size or type of HP installation. However, </w:t>
      </w:r>
      <w:r>
        <w:rPr>
          <w:rFonts w:eastAsia="Calibri"/>
        </w:rPr>
        <w:t xml:space="preserve">it should be noted that </w:t>
      </w:r>
      <w:r w:rsidRPr="00B869F5">
        <w:rPr>
          <w:rFonts w:eastAsia="Calibri"/>
        </w:rPr>
        <w:t xml:space="preserve">some project components e.g. </w:t>
      </w:r>
      <w:r>
        <w:rPr>
          <w:rFonts w:eastAsia="Calibri"/>
        </w:rPr>
        <w:t xml:space="preserve">the </w:t>
      </w:r>
      <w:r w:rsidRPr="00B869F5">
        <w:rPr>
          <w:rFonts w:eastAsia="Calibri"/>
        </w:rPr>
        <w:t>pipework, turbine and generator</w:t>
      </w:r>
      <w:r>
        <w:rPr>
          <w:rFonts w:eastAsia="Calibri"/>
        </w:rPr>
        <w:t xml:space="preserve">, remained as high-ranking </w:t>
      </w:r>
      <w:r w:rsidRPr="00B869F5">
        <w:rPr>
          <w:rFonts w:eastAsia="Calibri"/>
        </w:rPr>
        <w:t xml:space="preserve">contributions to the overall environmental burdens of the projects. The number of project components remained the same for almost all projects, with </w:t>
      </w:r>
      <w:r>
        <w:rPr>
          <w:rFonts w:eastAsia="Calibri"/>
        </w:rPr>
        <w:t>new</w:t>
      </w:r>
      <w:r w:rsidRPr="00B869F5">
        <w:rPr>
          <w:rFonts w:eastAsia="Calibri"/>
        </w:rPr>
        <w:t xml:space="preserve"> component</w:t>
      </w:r>
      <w:r>
        <w:rPr>
          <w:rFonts w:eastAsia="Calibri"/>
        </w:rPr>
        <w:t>s categories evident only for the 90 kW project with the replacement of the powerhouse structure and roofing materials.</w:t>
      </w:r>
      <w:r w:rsidRPr="00B869F5">
        <w:rPr>
          <w:rFonts w:eastAsia="Calibri"/>
        </w:rPr>
        <w:t xml:space="preserve"> </w:t>
      </w:r>
      <w:r>
        <w:rPr>
          <w:rFonts w:eastAsia="Calibri"/>
        </w:rPr>
        <w:t>The contributions of these alternatives materials were added to existing items for the other HP projects.</w:t>
      </w:r>
    </w:p>
    <w:p w14:paraId="61C0D505" w14:textId="77777777" w:rsidR="00CF2DAE" w:rsidRDefault="00CF2DAE" w:rsidP="006846D7">
      <w:pPr>
        <w:spacing w:line="480" w:lineRule="auto"/>
        <w:rPr>
          <w:rFonts w:eastAsia="Calibri"/>
        </w:rPr>
      </w:pPr>
    </w:p>
    <w:p w14:paraId="18D3C72C" w14:textId="77777777" w:rsidR="006846D7" w:rsidRDefault="006846D7" w:rsidP="006846D7">
      <w:pPr>
        <w:pStyle w:val="Figure"/>
      </w:pPr>
      <w:r>
        <w:rPr>
          <w:noProof/>
        </w:rPr>
        <w:lastRenderedPageBreak/>
        <w:drawing>
          <wp:inline distT="0" distB="0" distL="0" distR="0" wp14:anchorId="09CC5156" wp14:editId="7E591626">
            <wp:extent cx="5934075" cy="7077075"/>
            <wp:effectExtent l="0" t="0" r="9525" b="9525"/>
            <wp:docPr id="1" name="Picture 1" descr="C:\Users\afs02e\Desktop\Hydro-BPT\Project Dissimination\Papers\6) Making green technology greener - what is the potential of ecodesign for renewable energy systems\Figures\Figur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s02e\Desktop\Hydro-BPT\Project Dissimination\Papers\6) Making green technology greener - what is the potential of ecodesign for renewable energy systems\Figures\Figure 2.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7077075"/>
                    </a:xfrm>
                    <a:prstGeom prst="rect">
                      <a:avLst/>
                    </a:prstGeom>
                    <a:noFill/>
                    <a:ln>
                      <a:noFill/>
                    </a:ln>
                  </pic:spPr>
                </pic:pic>
              </a:graphicData>
            </a:graphic>
          </wp:inline>
        </w:drawing>
      </w:r>
    </w:p>
    <w:p w14:paraId="0F8C9A0F" w14:textId="12D99D4D" w:rsidR="006846D7" w:rsidRDefault="006846D7" w:rsidP="006846D7">
      <w:pPr>
        <w:pStyle w:val="Figure"/>
      </w:pPr>
      <w:bookmarkStart w:id="5" w:name="_Ref412120691"/>
      <w:r>
        <w:t xml:space="preserve">Figure </w:t>
      </w:r>
      <w:r>
        <w:fldChar w:fldCharType="begin"/>
      </w:r>
      <w:r>
        <w:instrText xml:space="preserve"> SEQ Figure \* ARABIC </w:instrText>
      </w:r>
      <w:r>
        <w:fldChar w:fldCharType="separate"/>
      </w:r>
      <w:r w:rsidR="00A03096">
        <w:rPr>
          <w:noProof/>
        </w:rPr>
        <w:t>3</w:t>
      </w:r>
      <w:r>
        <w:fldChar w:fldCharType="end"/>
      </w:r>
      <w:bookmarkEnd w:id="5"/>
      <w:r>
        <w:t>. Ranking of project components based on their environmental burden contributions for GWP and ARDP in each of the HP projects.</w:t>
      </w:r>
    </w:p>
    <w:p w14:paraId="31FFA12F" w14:textId="77777777" w:rsidR="006846D7" w:rsidRDefault="006846D7" w:rsidP="006846D7">
      <w:pPr>
        <w:spacing w:line="480" w:lineRule="auto"/>
        <w:rPr>
          <w:rFonts w:eastAsia="Calibri"/>
        </w:rPr>
      </w:pPr>
    </w:p>
    <w:p w14:paraId="1454B95D" w14:textId="63F20D44" w:rsidR="00CF2DAE" w:rsidRDefault="00CF2DAE" w:rsidP="006846D7">
      <w:pPr>
        <w:spacing w:line="480" w:lineRule="auto"/>
      </w:pPr>
      <w:r>
        <w:rPr>
          <w:rFonts w:eastAsia="Calibri"/>
        </w:rPr>
        <w:t>The use of a</w:t>
      </w:r>
      <w:r w:rsidRPr="00716393">
        <w:rPr>
          <w:rFonts w:eastAsia="Calibri"/>
        </w:rPr>
        <w:t xml:space="preserve"> materiality threshold</w:t>
      </w:r>
      <w:r>
        <w:rPr>
          <w:rFonts w:eastAsia="Calibri"/>
        </w:rPr>
        <w:t xml:space="preserve"> can lead to omissions of small contribution</w:t>
      </w:r>
      <w:r w:rsidRPr="00716393">
        <w:rPr>
          <w:rFonts w:eastAsia="Calibri"/>
        </w:rPr>
        <w:t>s</w:t>
      </w:r>
      <w:r>
        <w:rPr>
          <w:rFonts w:eastAsia="Calibri"/>
        </w:rPr>
        <w:t xml:space="preserve"> for both burden categories</w:t>
      </w:r>
      <w:r w:rsidRPr="00716393">
        <w:rPr>
          <w:rFonts w:eastAsia="Calibri"/>
        </w:rPr>
        <w:t xml:space="preserve">. </w:t>
      </w:r>
      <w:r w:rsidRPr="00D536E3">
        <w:rPr>
          <w:rFonts w:eastAsia="Calibri"/>
        </w:rPr>
        <w:t xml:space="preserve">For example, </w:t>
      </w:r>
      <w:r>
        <w:rPr>
          <w:rFonts w:eastAsia="Calibri"/>
        </w:rPr>
        <w:t xml:space="preserve">prior to applying ecodesign measures, the </w:t>
      </w:r>
      <w:r w:rsidRPr="00D536E3">
        <w:rPr>
          <w:rFonts w:eastAsia="Calibri"/>
        </w:rPr>
        <w:t xml:space="preserve">concrete blocks </w:t>
      </w:r>
      <w:r>
        <w:rPr>
          <w:rFonts w:eastAsia="Calibri"/>
        </w:rPr>
        <w:t>(Item No. 6) we</w:t>
      </w:r>
      <w:r w:rsidRPr="00D536E3">
        <w:rPr>
          <w:rFonts w:eastAsia="Calibri"/>
        </w:rPr>
        <w:t>re captu</w:t>
      </w:r>
      <w:r>
        <w:rPr>
          <w:rFonts w:eastAsia="Calibri"/>
        </w:rPr>
        <w:t xml:space="preserve">red by the 1% threshold for GWP. However, after ecodesign, this </w:t>
      </w:r>
      <w:r>
        <w:rPr>
          <w:rFonts w:eastAsia="Calibri"/>
        </w:rPr>
        <w:lastRenderedPageBreak/>
        <w:t>component</w:t>
      </w:r>
      <w:r w:rsidRPr="00D536E3">
        <w:rPr>
          <w:rFonts w:eastAsia="Calibri"/>
        </w:rPr>
        <w:t xml:space="preserve"> would </w:t>
      </w:r>
      <w:r>
        <w:rPr>
          <w:rFonts w:eastAsia="Calibri"/>
        </w:rPr>
        <w:t xml:space="preserve">fall outside this threshold and not be captured using current threshold guidelines. </w:t>
      </w:r>
      <w:r w:rsidRPr="00592287">
        <w:rPr>
          <w:rFonts w:eastAsia="Calibri"/>
        </w:rPr>
        <w:t xml:space="preserve">In contrast, </w:t>
      </w:r>
      <w:r>
        <w:rPr>
          <w:rFonts w:eastAsia="Calibri"/>
        </w:rPr>
        <w:t>the majority of wood contributions (Item No. 16) was only captured after ecodesign measures were applied, with a small faction omitted prior to ecodesign due to the materiality threshold</w:t>
      </w:r>
      <w:r w:rsidRPr="00592287">
        <w:rPr>
          <w:rFonts w:eastAsia="Calibri"/>
        </w:rPr>
        <w:t xml:space="preserve">. </w:t>
      </w:r>
      <w:r w:rsidRPr="00B869F5">
        <w:t xml:space="preserve">Overall, the use of a 1% materiality threshold to capture the environmental impacts of a renewable energy system can lead to inaccuracies of results, especially when ecodesign opportunities </w:t>
      </w:r>
      <w:r>
        <w:t>and multiple burden categories a</w:t>
      </w:r>
      <w:r w:rsidRPr="00B869F5">
        <w:t>re to be considered.</w:t>
      </w:r>
    </w:p>
    <w:p w14:paraId="70C00324" w14:textId="77777777" w:rsidR="00CF2DAE" w:rsidRPr="00B869F5" w:rsidRDefault="00CF2DAE" w:rsidP="006846D7">
      <w:pPr>
        <w:spacing w:line="480" w:lineRule="auto"/>
        <w:rPr>
          <w:rFonts w:eastAsia="Calibri"/>
        </w:rPr>
      </w:pPr>
    </w:p>
    <w:p w14:paraId="36D75B65" w14:textId="77777777" w:rsidR="006846D7" w:rsidRPr="00E93DC0" w:rsidRDefault="006846D7" w:rsidP="006846D7">
      <w:pPr>
        <w:pStyle w:val="Heading1"/>
        <w:spacing w:line="480" w:lineRule="auto"/>
        <w:rPr>
          <w:rFonts w:eastAsia="Calibri"/>
        </w:rPr>
      </w:pPr>
      <w:r w:rsidRPr="00E93DC0">
        <w:rPr>
          <w:rFonts w:eastAsia="Calibri"/>
        </w:rPr>
        <w:t>Conclusions</w:t>
      </w:r>
    </w:p>
    <w:p w14:paraId="7EDA0AED" w14:textId="0012857F" w:rsidR="006846D7" w:rsidRDefault="006846D7" w:rsidP="006846D7">
      <w:pPr>
        <w:spacing w:line="480" w:lineRule="auto"/>
      </w:pPr>
      <w:r w:rsidRPr="00A02F35">
        <w:t xml:space="preserve">This paper </w:t>
      </w:r>
      <w:r>
        <w:t>provides evidence for the potential of eco</w:t>
      </w:r>
      <w:r w:rsidRPr="00A02F35">
        <w:t xml:space="preserve">design </w:t>
      </w:r>
      <w:r>
        <w:t>measures</w:t>
      </w:r>
      <w:r w:rsidRPr="00A02F35">
        <w:t xml:space="preserve"> </w:t>
      </w:r>
      <w:r>
        <w:t>to reduce the environmental burdens o</w:t>
      </w:r>
      <w:r w:rsidRPr="00A02F35">
        <w:t xml:space="preserve">f modern hydropower (HP) </w:t>
      </w:r>
      <w:r>
        <w:t xml:space="preserve">installations, and indeed other renewable energy systems. </w:t>
      </w:r>
      <w:r w:rsidRPr="00A02F35">
        <w:t xml:space="preserve">A number of ecodesign </w:t>
      </w:r>
      <w:r>
        <w:t>measures</w:t>
      </w:r>
      <w:r w:rsidRPr="00A02F35">
        <w:t xml:space="preserve"> were </w:t>
      </w:r>
      <w:r>
        <w:t>considered and the results demonstrated both</w:t>
      </w:r>
      <w:r w:rsidRPr="00A02F35">
        <w:t xml:space="preserve"> carbon- and resource-</w:t>
      </w:r>
      <w:r>
        <w:t xml:space="preserve">savings based on an assessment of </w:t>
      </w:r>
      <w:r w:rsidRPr="00A02F35">
        <w:t>global warming potential (GWP) and abiotic resource depletion potential (ARDP)</w:t>
      </w:r>
      <w:r>
        <w:t xml:space="preserve"> burdens</w:t>
      </w:r>
      <w:r w:rsidRPr="00A02F35">
        <w:t xml:space="preserve">. </w:t>
      </w:r>
      <w:r w:rsidR="000235E0">
        <w:t>The ecodesign measures examined included: powerhouse structure,</w:t>
      </w:r>
      <w:r w:rsidR="000235E0" w:rsidRPr="00A02F35">
        <w:t xml:space="preserve"> concrete selection, roofing materials, excavation </w:t>
      </w:r>
      <w:r w:rsidR="000235E0">
        <w:t xml:space="preserve">work </w:t>
      </w:r>
      <w:r w:rsidR="000235E0" w:rsidRPr="00A02F35">
        <w:t>and transportation</w:t>
      </w:r>
      <w:r w:rsidR="000235E0">
        <w:t xml:space="preserve">. </w:t>
      </w:r>
      <w:r>
        <w:t>Overall, e</w:t>
      </w:r>
      <w:r w:rsidRPr="00716393">
        <w:t xml:space="preserve">codesign was found to reduce life cycle GWP burdens by </w:t>
      </w:r>
      <w:r>
        <w:t>between 2.1% and</w:t>
      </w:r>
      <w:r w:rsidRPr="00716393">
        <w:t xml:space="preserve"> 10.</w:t>
      </w:r>
      <w:r>
        <w:t>4</w:t>
      </w:r>
      <w:r w:rsidRPr="00716393">
        <w:t>%, and life cycle ARDP burdens by 0.1% to 2.5%.</w:t>
      </w:r>
    </w:p>
    <w:p w14:paraId="0DE2331E" w14:textId="77777777" w:rsidR="006846D7" w:rsidRDefault="006846D7" w:rsidP="006846D7">
      <w:pPr>
        <w:spacing w:line="480" w:lineRule="auto"/>
      </w:pPr>
    </w:p>
    <w:p w14:paraId="39CFB3AE" w14:textId="45DCB7B9" w:rsidR="006846D7" w:rsidRDefault="006846D7" w:rsidP="006846D7">
      <w:pPr>
        <w:spacing w:line="480" w:lineRule="auto"/>
      </w:pPr>
      <w:r w:rsidRPr="00716393">
        <w:t>Despite overall environmental improvements achieved through ecodesign, small increases in ARDP burdens were observed for two case study example</w:t>
      </w:r>
      <w:r>
        <w:t>s</w:t>
      </w:r>
      <w:r w:rsidRPr="00716393">
        <w:t xml:space="preserve"> where the powerhouse structures were changed from concrete block to wood frame.</w:t>
      </w:r>
      <w:r>
        <w:t xml:space="preserve"> </w:t>
      </w:r>
      <w:r w:rsidRPr="00716393">
        <w:t xml:space="preserve">Applying the commonly-cited 1% materiality threshold to guide life cycle inventory compilation can lead to significant HP ecodesign measures being missed. </w:t>
      </w:r>
      <w:r>
        <w:t>In addition to environmental savings, e</w:t>
      </w:r>
      <w:r w:rsidRPr="00716393">
        <w:t xml:space="preserve">codesign </w:t>
      </w:r>
      <w:r>
        <w:t xml:space="preserve">has the potential to </w:t>
      </w:r>
      <w:r w:rsidR="00CF2DAE">
        <w:t xml:space="preserve">help the regional economy by using locally sourced materials and </w:t>
      </w:r>
      <w:r w:rsidR="00E55E2F">
        <w:t>deliver</w:t>
      </w:r>
      <w:r>
        <w:t xml:space="preserve"> time savings </w:t>
      </w:r>
      <w:r w:rsidR="00E55E2F">
        <w:t xml:space="preserve">in the installation of </w:t>
      </w:r>
      <w:r>
        <w:t xml:space="preserve">HP </w:t>
      </w:r>
      <w:r w:rsidR="00E55E2F">
        <w:t>projects</w:t>
      </w:r>
      <w:r>
        <w:t>,</w:t>
      </w:r>
      <w:r w:rsidRPr="0054266C">
        <w:t xml:space="preserve"> </w:t>
      </w:r>
      <w:r w:rsidRPr="00716393">
        <w:t>and by implication renewable energy systems more widely</w:t>
      </w:r>
      <w:r>
        <w:t>.</w:t>
      </w:r>
    </w:p>
    <w:p w14:paraId="6D2D699D" w14:textId="11D8D575" w:rsidR="008420CF" w:rsidRDefault="008420CF" w:rsidP="006846D7">
      <w:pPr>
        <w:spacing w:line="480" w:lineRule="auto"/>
      </w:pPr>
      <w:r>
        <w:lastRenderedPageBreak/>
        <w:t xml:space="preserve">Future work should consider the effect of using different materials in terms of recyclability, although this will require better data on the lifetime and end-of-life phases of HP installations.   </w:t>
      </w:r>
    </w:p>
    <w:p w14:paraId="702CF35F" w14:textId="77777777" w:rsidR="006846D7" w:rsidRPr="00F9103C" w:rsidRDefault="006846D7" w:rsidP="006846D7">
      <w:pPr>
        <w:spacing w:line="480" w:lineRule="auto"/>
        <w:rPr>
          <w:rFonts w:eastAsia="Calibri"/>
        </w:rPr>
      </w:pPr>
    </w:p>
    <w:p w14:paraId="07818990" w14:textId="77777777" w:rsidR="006846D7" w:rsidRPr="00A72694" w:rsidRDefault="006846D7" w:rsidP="006846D7">
      <w:pPr>
        <w:spacing w:line="480" w:lineRule="auto"/>
        <w:rPr>
          <w:b/>
        </w:rPr>
      </w:pPr>
      <w:r w:rsidRPr="00A72694">
        <w:rPr>
          <w:b/>
        </w:rPr>
        <w:t>Acknowledgements</w:t>
      </w:r>
    </w:p>
    <w:p w14:paraId="0F870B25" w14:textId="77777777" w:rsidR="006846D7" w:rsidRPr="00675E52" w:rsidRDefault="006846D7" w:rsidP="006846D7">
      <w:pPr>
        <w:spacing w:line="480" w:lineRule="auto"/>
        <w:rPr>
          <w:rFonts w:eastAsia="Calibri"/>
        </w:rPr>
      </w:pPr>
      <w:r w:rsidRPr="00675E52">
        <w:rPr>
          <w:rFonts w:eastAsia="Calibri"/>
        </w:rPr>
        <w:t xml:space="preserve">The Hydro-BPT project is part funded by the European Regional Development Fund (ERDF) through the </w:t>
      </w:r>
      <w:r w:rsidRPr="00A871BF">
        <w:rPr>
          <w:rFonts w:eastAsia="Calibri"/>
        </w:rPr>
        <w:t xml:space="preserve">Ireland–Wales Programme (INTERREG 4A). The authors would also like to thank the organisations who supplied data: Dŵr Cymru Welsh Water; Dublin City Council; National Trust Wales; Ellergreen </w:t>
      </w:r>
      <w:r>
        <w:rPr>
          <w:rFonts w:eastAsia="Calibri"/>
        </w:rPr>
        <w:t xml:space="preserve">Hydro </w:t>
      </w:r>
      <w:r w:rsidRPr="00A871BF">
        <w:rPr>
          <w:rFonts w:eastAsia="Calibri"/>
        </w:rPr>
        <w:t>Ltd.</w:t>
      </w:r>
      <w:r>
        <w:rPr>
          <w:rFonts w:eastAsia="Calibri"/>
        </w:rPr>
        <w:t xml:space="preserve"> </w:t>
      </w:r>
    </w:p>
    <w:p w14:paraId="4AC335E6" w14:textId="77777777" w:rsidR="00D37D9D" w:rsidRDefault="00D37D9D"/>
    <w:p w14:paraId="3DF79FE2" w14:textId="77777777" w:rsidR="006846D7" w:rsidRDefault="006846D7">
      <w:pPr>
        <w:rPr>
          <w:b/>
        </w:rPr>
      </w:pPr>
      <w:r w:rsidRPr="006846D7">
        <w:rPr>
          <w:b/>
        </w:rPr>
        <w:t>References</w:t>
      </w:r>
    </w:p>
    <w:p w14:paraId="4099D4E7" w14:textId="77777777" w:rsidR="005E7147" w:rsidRPr="005E7147" w:rsidRDefault="006846D7" w:rsidP="005E7147">
      <w:pPr>
        <w:pStyle w:val="EndNoteBibliography"/>
        <w:ind w:left="720" w:hanging="720"/>
      </w:pPr>
      <w:r>
        <w:fldChar w:fldCharType="begin"/>
      </w:r>
      <w:r>
        <w:instrText xml:space="preserve"> ADDIN EN.REFLIST </w:instrText>
      </w:r>
      <w:r>
        <w:fldChar w:fldCharType="separate"/>
      </w:r>
      <w:r w:rsidR="005E7147" w:rsidRPr="005E7147">
        <w:t xml:space="preserve">Asdrubali, F, Baldinelli, G, D’Alessandro, F &amp; Scrucca, F. (2015). Life cycle assessment of electricity production from renewable energies: Review and results harmonization. </w:t>
      </w:r>
      <w:r w:rsidR="005E7147" w:rsidRPr="005E7147">
        <w:rPr>
          <w:i/>
        </w:rPr>
        <w:t>Renewable and Sustainable Energy Reviews,</w:t>
      </w:r>
      <w:r w:rsidR="005E7147" w:rsidRPr="005E7147">
        <w:t xml:space="preserve"> 42</w:t>
      </w:r>
      <w:r w:rsidR="005E7147" w:rsidRPr="005E7147">
        <w:rPr>
          <w:b/>
        </w:rPr>
        <w:t>,</w:t>
      </w:r>
      <w:r w:rsidR="005E7147" w:rsidRPr="005E7147">
        <w:t xml:space="preserve"> 1113-1122.</w:t>
      </w:r>
    </w:p>
    <w:p w14:paraId="0D919D38" w14:textId="77777777" w:rsidR="005E7147" w:rsidRPr="005E7147" w:rsidRDefault="005E7147" w:rsidP="005E7147">
      <w:pPr>
        <w:pStyle w:val="EndNoteBibliography"/>
        <w:ind w:left="720" w:hanging="720"/>
      </w:pPr>
      <w:r w:rsidRPr="005E7147">
        <w:t xml:space="preserve">Basbagill, J, Flager, F, Lepech, M &amp; Fischer, M. (2013). Application of life-cycle assessment to early stage building design for reduced embodied environmental impacts. </w:t>
      </w:r>
      <w:r w:rsidRPr="005E7147">
        <w:rPr>
          <w:i/>
        </w:rPr>
        <w:t>Building and Environment,</w:t>
      </w:r>
      <w:r w:rsidRPr="005E7147">
        <w:t xml:space="preserve"> 60</w:t>
      </w:r>
      <w:r w:rsidRPr="005E7147">
        <w:rPr>
          <w:b/>
        </w:rPr>
        <w:t>,</w:t>
      </w:r>
      <w:r w:rsidRPr="005E7147">
        <w:t xml:space="preserve"> 81-92.</w:t>
      </w:r>
    </w:p>
    <w:p w14:paraId="16A8A193" w14:textId="77777777" w:rsidR="005E7147" w:rsidRPr="005E7147" w:rsidRDefault="005E7147" w:rsidP="005E7147">
      <w:pPr>
        <w:pStyle w:val="EndNoteBibliography"/>
        <w:ind w:left="720" w:hanging="720"/>
      </w:pPr>
      <w:r w:rsidRPr="005E7147">
        <w:t xml:space="preserve">Bódis, K, Monforti, F &amp; Szabó, S. (2014). Could Europe have more mini hydro sites? A suitability analysis based on continentally harmonized geographical and hydrological data. </w:t>
      </w:r>
      <w:r w:rsidRPr="005E7147">
        <w:rPr>
          <w:i/>
        </w:rPr>
        <w:t>Renewable and Sustainable Energy Reviews,</w:t>
      </w:r>
      <w:r w:rsidRPr="005E7147">
        <w:t xml:space="preserve"> 37</w:t>
      </w:r>
      <w:r w:rsidRPr="005E7147">
        <w:rPr>
          <w:b/>
        </w:rPr>
        <w:t>,</w:t>
      </w:r>
      <w:r w:rsidRPr="005E7147">
        <w:t xml:space="preserve"> 794-808.</w:t>
      </w:r>
    </w:p>
    <w:p w14:paraId="4BE2C98C" w14:textId="77777777" w:rsidR="005E7147" w:rsidRPr="005E7147" w:rsidRDefault="005E7147" w:rsidP="005E7147">
      <w:pPr>
        <w:pStyle w:val="EndNoteBibliography"/>
        <w:ind w:left="720" w:hanging="720"/>
      </w:pPr>
      <w:r w:rsidRPr="005E7147">
        <w:t>BSI. (2011). PAS 2050:2011 Specification for the assessment of the life cycle greenhouse gas emissions of goods and services. British Standards Institution.</w:t>
      </w:r>
    </w:p>
    <w:p w14:paraId="73FD8C73" w14:textId="77777777" w:rsidR="005E7147" w:rsidRPr="005E7147" w:rsidRDefault="005E7147" w:rsidP="005E7147">
      <w:pPr>
        <w:pStyle w:val="EndNoteBibliography"/>
        <w:ind w:left="720" w:hanging="720"/>
      </w:pPr>
      <w:r w:rsidRPr="005E7147">
        <w:t xml:space="preserve">Chomkhamsri, K &amp; Pelletier, N. (2011). Analysis of Existing Environmental Footprint Methodologies for Products and Organizations: Recommendations, Rationale, and Alignment. </w:t>
      </w:r>
      <w:r w:rsidRPr="005E7147">
        <w:rPr>
          <w:i/>
        </w:rPr>
        <w:t>In:</w:t>
      </w:r>
      <w:r w:rsidRPr="005E7147">
        <w:t xml:space="preserve"> Unit, HSA (ed.). Ispra, Italy: Institute of Environment and Sustainability.</w:t>
      </w:r>
    </w:p>
    <w:p w14:paraId="257EEB0A" w14:textId="77777777" w:rsidR="005E7147" w:rsidRPr="005E7147" w:rsidRDefault="005E7147" w:rsidP="005E7147">
      <w:pPr>
        <w:pStyle w:val="EndNoteBibliography"/>
        <w:ind w:left="720" w:hanging="720"/>
      </w:pPr>
      <w:r w:rsidRPr="005E7147">
        <w:t>CML. (2010). Characterisation Factors database available online from Institute of Environmental Sciences (CML). Universiteit Leiden, Leiden, 2010.</w:t>
      </w:r>
    </w:p>
    <w:p w14:paraId="1204D15C" w14:textId="77777777" w:rsidR="005E7147" w:rsidRPr="005E7147" w:rsidRDefault="005E7147" w:rsidP="005E7147">
      <w:pPr>
        <w:pStyle w:val="EndNoteBibliography"/>
        <w:ind w:left="720" w:hanging="720"/>
      </w:pPr>
      <w:r w:rsidRPr="005E7147">
        <w:t xml:space="preserve">Curran, MA. (2013). Life Cycle Assessment: a review of the methodology and its application to sustainability. </w:t>
      </w:r>
      <w:r w:rsidRPr="005E7147">
        <w:rPr>
          <w:i/>
        </w:rPr>
        <w:t>Current Opinion in Chemical Engineering,</w:t>
      </w:r>
      <w:r w:rsidRPr="005E7147">
        <w:t xml:space="preserve"> 2</w:t>
      </w:r>
      <w:r w:rsidRPr="005E7147">
        <w:rPr>
          <w:b/>
        </w:rPr>
        <w:t>,</w:t>
      </w:r>
      <w:r w:rsidRPr="005E7147">
        <w:t xml:space="preserve"> 273-277.</w:t>
      </w:r>
    </w:p>
    <w:p w14:paraId="106A6DD7" w14:textId="77777777" w:rsidR="005E7147" w:rsidRPr="005E7147" w:rsidRDefault="005E7147" w:rsidP="005E7147">
      <w:pPr>
        <w:pStyle w:val="EndNoteBibliography"/>
        <w:ind w:left="720" w:hanging="720"/>
      </w:pPr>
      <w:r w:rsidRPr="005E7147">
        <w:t xml:space="preserve">D‘Souza, N, Gbegbaje-Das, E &amp; Shonfield, P. (2011). Life Cycle Assessment of Electricity Production from a V112 Turbine Wind Plant. </w:t>
      </w:r>
      <w:r w:rsidRPr="005E7147">
        <w:rPr>
          <w:i/>
        </w:rPr>
        <w:t>In:</w:t>
      </w:r>
      <w:r w:rsidRPr="005E7147">
        <w:t xml:space="preserve"> Nwe, P (ed.). Denmark: Vestas Wind Systems A/S.</w:t>
      </w:r>
    </w:p>
    <w:p w14:paraId="6DFA7E53" w14:textId="77777777" w:rsidR="005E7147" w:rsidRPr="005E7147" w:rsidRDefault="005E7147" w:rsidP="005E7147">
      <w:pPr>
        <w:pStyle w:val="EndNoteBibliography"/>
        <w:ind w:left="720" w:hanging="720"/>
      </w:pPr>
      <w:r w:rsidRPr="005E7147">
        <w:t>Defra. (2014). Greenhouse Gas Conversion Factor Repository. DEFRA, UK.</w:t>
      </w:r>
    </w:p>
    <w:p w14:paraId="03384391" w14:textId="77777777" w:rsidR="005E7147" w:rsidRPr="005E7147" w:rsidRDefault="005E7147" w:rsidP="005E7147">
      <w:pPr>
        <w:pStyle w:val="EndNoteBibliography"/>
        <w:ind w:left="720" w:hanging="720"/>
      </w:pPr>
      <w:r w:rsidRPr="005E7147">
        <w:t xml:space="preserve">Dŵr Cymru Welsh Water. 2013. </w:t>
      </w:r>
      <w:r w:rsidRPr="005E7147">
        <w:rPr>
          <w:i/>
        </w:rPr>
        <w:t>RE: Strata Florida Water Treatment Works - Hydro Scheme.</w:t>
      </w:r>
      <w:r w:rsidRPr="005E7147">
        <w:t xml:space="preserve"> Type to Fairman, MPA.</w:t>
      </w:r>
    </w:p>
    <w:p w14:paraId="56287CCC" w14:textId="77777777" w:rsidR="005E7147" w:rsidRPr="005E7147" w:rsidRDefault="005E7147" w:rsidP="005E7147">
      <w:pPr>
        <w:pStyle w:val="EndNoteBibliography"/>
        <w:ind w:left="720" w:hanging="720"/>
      </w:pPr>
      <w:r w:rsidRPr="005E7147">
        <w:t>EC. (2009). Directive 2009/125/EC of 21 October 2009 establishing a framework for the setting of ecodesign requirements for energy-related products.</w:t>
      </w:r>
    </w:p>
    <w:p w14:paraId="7C16F573" w14:textId="77777777" w:rsidR="005E7147" w:rsidRPr="005E7147" w:rsidRDefault="005E7147" w:rsidP="005E7147">
      <w:pPr>
        <w:pStyle w:val="EndNoteBibliography"/>
        <w:ind w:left="720" w:hanging="720"/>
      </w:pPr>
      <w:r w:rsidRPr="005E7147">
        <w:t>EC. (2015). Ecodesign legislation. 6.1.2015 ed.</w:t>
      </w:r>
    </w:p>
    <w:p w14:paraId="1ECB8FDD" w14:textId="77777777" w:rsidR="005E7147" w:rsidRPr="005E7147" w:rsidRDefault="005E7147" w:rsidP="005E7147">
      <w:pPr>
        <w:pStyle w:val="EndNoteBibliography"/>
        <w:ind w:left="720" w:hanging="720"/>
      </w:pPr>
      <w:r w:rsidRPr="005E7147">
        <w:t xml:space="preserve">Ecoinvent. (2014). Ecoinvent database version 3. </w:t>
      </w:r>
      <w:r w:rsidRPr="005E7147">
        <w:rPr>
          <w:i/>
        </w:rPr>
        <w:t>In:</w:t>
      </w:r>
      <w:r w:rsidRPr="005E7147">
        <w:t xml:space="preserve"> Simapro, AV (ed.).</w:t>
      </w:r>
    </w:p>
    <w:p w14:paraId="699996FB" w14:textId="77777777" w:rsidR="005E7147" w:rsidRPr="005E7147" w:rsidRDefault="005E7147" w:rsidP="005E7147">
      <w:pPr>
        <w:pStyle w:val="EndNoteBibliography"/>
        <w:ind w:left="720" w:hanging="720"/>
      </w:pPr>
      <w:r w:rsidRPr="005E7147">
        <w:lastRenderedPageBreak/>
        <w:t xml:space="preserve">Gagnon, L &amp; van de Vate, JF. (1997). Greenhouse gas emissions from hydropower: The state of research in 1996. </w:t>
      </w:r>
      <w:r w:rsidRPr="005E7147">
        <w:rPr>
          <w:i/>
        </w:rPr>
        <w:t>Energy Policy,</w:t>
      </w:r>
      <w:r w:rsidRPr="005E7147">
        <w:t xml:space="preserve"> 25</w:t>
      </w:r>
      <w:r w:rsidRPr="005E7147">
        <w:rPr>
          <w:b/>
        </w:rPr>
        <w:t>,</w:t>
      </w:r>
      <w:r w:rsidRPr="005E7147">
        <w:t xml:space="preserve"> 7-13.</w:t>
      </w:r>
    </w:p>
    <w:p w14:paraId="478173C9" w14:textId="77777777" w:rsidR="005E7147" w:rsidRPr="005E7147" w:rsidRDefault="005E7147" w:rsidP="005E7147">
      <w:pPr>
        <w:pStyle w:val="EndNoteBibliography"/>
        <w:ind w:left="720" w:hanging="720"/>
      </w:pPr>
      <w:r w:rsidRPr="005E7147">
        <w:t xml:space="preserve">Gallagher, J, Styles, D, McNabola, A &amp; Williams, AP. (2015a). Current and future environmental balance of small-scale run-of-river hydropower. </w:t>
      </w:r>
      <w:r w:rsidRPr="005E7147">
        <w:rPr>
          <w:i/>
        </w:rPr>
        <w:t>Environ Sci Technol,</w:t>
      </w:r>
      <w:r w:rsidRPr="005E7147">
        <w:t xml:space="preserve"> 40</w:t>
      </w:r>
      <w:r w:rsidRPr="005E7147">
        <w:rPr>
          <w:b/>
        </w:rPr>
        <w:t>,</w:t>
      </w:r>
      <w:r w:rsidRPr="005E7147">
        <w:t xml:space="preserve"> 6344-6351.</w:t>
      </w:r>
    </w:p>
    <w:p w14:paraId="66469B7D" w14:textId="77777777" w:rsidR="005E7147" w:rsidRPr="005E7147" w:rsidRDefault="005E7147" w:rsidP="005E7147">
      <w:pPr>
        <w:pStyle w:val="EndNoteBibliography"/>
        <w:ind w:left="720" w:hanging="720"/>
      </w:pPr>
      <w:r w:rsidRPr="005E7147">
        <w:t xml:space="preserve">Gallagher, J, Styles, D, McNabola, A &amp; Williams, AP. (2015b). Inventory compilation for renewable energy systems: the pitfalls of materiality thresholds and priority impact categories using hydropower case studies. </w:t>
      </w:r>
      <w:r w:rsidRPr="005E7147">
        <w:rPr>
          <w:i/>
        </w:rPr>
        <w:t>International Journal of Life Cycle Assessment</w:t>
      </w:r>
      <w:r w:rsidRPr="005E7147">
        <w:t>.</w:t>
      </w:r>
    </w:p>
    <w:p w14:paraId="7836388B" w14:textId="77777777" w:rsidR="005E7147" w:rsidRPr="005E7147" w:rsidRDefault="005E7147" w:rsidP="005E7147">
      <w:pPr>
        <w:pStyle w:val="EndNoteBibliography"/>
        <w:ind w:left="720" w:hanging="720"/>
      </w:pPr>
      <w:r w:rsidRPr="005E7147">
        <w:t xml:space="preserve">Gallagher, J, Styles, D, McNabola, A &amp; Williams, AP. (2015c). Life cycle environmental balance and greenhouse gas mitigation potential of micro-hydropower energy recovery in the water industry. </w:t>
      </w:r>
      <w:r w:rsidRPr="005E7147">
        <w:rPr>
          <w:i/>
        </w:rPr>
        <w:t>Journal of Cleaner Production</w:t>
      </w:r>
      <w:r w:rsidRPr="005E7147">
        <w:rPr>
          <w:b/>
        </w:rPr>
        <w:t>,</w:t>
      </w:r>
      <w:r w:rsidRPr="005E7147">
        <w:t xml:space="preserve"> 152-159.</w:t>
      </w:r>
    </w:p>
    <w:p w14:paraId="2D01CA4B" w14:textId="77777777" w:rsidR="005E7147" w:rsidRPr="005E7147" w:rsidRDefault="005E7147" w:rsidP="005E7147">
      <w:pPr>
        <w:pStyle w:val="EndNoteBibliography"/>
        <w:ind w:left="720" w:hanging="720"/>
      </w:pPr>
      <w:r w:rsidRPr="005E7147">
        <w:t xml:space="preserve">Guezuraga, B, Zauner, R &amp; Pölz, W. (2012). Life cycle assessment of two different 2 MW class wind turbines. </w:t>
      </w:r>
      <w:r w:rsidRPr="005E7147">
        <w:rPr>
          <w:i/>
        </w:rPr>
        <w:t>Renewable Energy,</w:t>
      </w:r>
      <w:r w:rsidRPr="005E7147">
        <w:t xml:space="preserve"> 37</w:t>
      </w:r>
      <w:r w:rsidRPr="005E7147">
        <w:rPr>
          <w:b/>
        </w:rPr>
        <w:t>,</w:t>
      </w:r>
      <w:r w:rsidRPr="005E7147">
        <w:t xml:space="preserve"> 37-44.</w:t>
      </w:r>
    </w:p>
    <w:p w14:paraId="6974084D" w14:textId="59DE901B" w:rsidR="005E7147" w:rsidRPr="005E7147" w:rsidRDefault="005E7147" w:rsidP="005E7147">
      <w:pPr>
        <w:pStyle w:val="EndNoteBibliography"/>
        <w:ind w:left="720" w:hanging="720"/>
      </w:pPr>
      <w:r w:rsidRPr="005E7147">
        <w:t xml:space="preserve">Haynes, R. 2010. Embodied energy calculations within life cycle analysis of residential buildings. Available: </w:t>
      </w:r>
      <w:hyperlink r:id="rId12" w:history="1">
        <w:r w:rsidRPr="005E7147">
          <w:rPr>
            <w:rStyle w:val="Hyperlink"/>
          </w:rPr>
          <w:t>http://www.etoolglobal.com/wp-content/uploads/2012/10/Embodied-Energy-Paper-Richard-Haynes.pdf</w:t>
        </w:r>
      </w:hyperlink>
      <w:r w:rsidRPr="005E7147">
        <w:t>.</w:t>
      </w:r>
    </w:p>
    <w:p w14:paraId="038D9044" w14:textId="77777777" w:rsidR="005E7147" w:rsidRPr="005E7147" w:rsidRDefault="005E7147" w:rsidP="005E7147">
      <w:pPr>
        <w:pStyle w:val="EndNoteBibliography"/>
        <w:ind w:left="720" w:hanging="720"/>
      </w:pPr>
      <w:r w:rsidRPr="005E7147">
        <w:t>IEA. (2014). World Energy Outlook 2014 - Executive Summary. Paris: OECD/IEA.</w:t>
      </w:r>
    </w:p>
    <w:p w14:paraId="054FECF9" w14:textId="1C009A07" w:rsidR="005E7147" w:rsidRPr="005E7147" w:rsidRDefault="005E7147" w:rsidP="005E7147">
      <w:pPr>
        <w:pStyle w:val="EndNoteBibliography"/>
        <w:ind w:left="720" w:hanging="720"/>
      </w:pPr>
      <w:r w:rsidRPr="005E7147">
        <w:t xml:space="preserve">ISA. 2014. PAS 2050 and the Carbon Reduction Label. </w:t>
      </w:r>
      <w:r w:rsidRPr="005E7147">
        <w:rPr>
          <w:i/>
        </w:rPr>
        <w:t xml:space="preserve">ISA Information Sheet 19 </w:t>
      </w:r>
      <w:r w:rsidRPr="005E7147">
        <w:t xml:space="preserve">[Online]. Available: </w:t>
      </w:r>
      <w:hyperlink r:id="rId13" w:history="1">
        <w:r w:rsidRPr="005E7147">
          <w:rPr>
            <w:rStyle w:val="Hyperlink"/>
          </w:rPr>
          <w:t>www.isa.org.usyd.edu.au/research/InformationSheets/ISATBLInfo19_new.pdf</w:t>
        </w:r>
      </w:hyperlink>
      <w:r w:rsidRPr="005E7147">
        <w:t>.</w:t>
      </w:r>
    </w:p>
    <w:p w14:paraId="29E9A413" w14:textId="77777777" w:rsidR="005E7147" w:rsidRPr="005E7147" w:rsidRDefault="005E7147" w:rsidP="005E7147">
      <w:pPr>
        <w:pStyle w:val="EndNoteBibliography"/>
        <w:ind w:left="720" w:hanging="720"/>
      </w:pPr>
      <w:r w:rsidRPr="005E7147">
        <w:t>ISO. (2006). ISO 14040: environmental management - life cycle assessment - principles and framework. ISO, Geneva.</w:t>
      </w:r>
    </w:p>
    <w:p w14:paraId="1E556AE2" w14:textId="77777777" w:rsidR="005E7147" w:rsidRPr="005E7147" w:rsidRDefault="005E7147" w:rsidP="005E7147">
      <w:pPr>
        <w:pStyle w:val="EndNoteBibliography"/>
        <w:ind w:left="720" w:hanging="720"/>
      </w:pPr>
      <w:r w:rsidRPr="005E7147">
        <w:t xml:space="preserve">Kenny, R, Law, C &amp; Pearce, JM. (2010). Towards real energy economics: Energy policy driven by life-cycle carbon emission. </w:t>
      </w:r>
      <w:r w:rsidRPr="005E7147">
        <w:rPr>
          <w:i/>
        </w:rPr>
        <w:t>Energy Policy,</w:t>
      </w:r>
      <w:r w:rsidRPr="005E7147">
        <w:t xml:space="preserve"> 38</w:t>
      </w:r>
      <w:r w:rsidRPr="005E7147">
        <w:rPr>
          <w:b/>
        </w:rPr>
        <w:t>,</w:t>
      </w:r>
      <w:r w:rsidRPr="005E7147">
        <w:t xml:space="preserve"> 1969-1978.</w:t>
      </w:r>
    </w:p>
    <w:p w14:paraId="7F79A64E" w14:textId="77777777" w:rsidR="005E7147" w:rsidRPr="005E7147" w:rsidRDefault="005E7147" w:rsidP="005E7147">
      <w:pPr>
        <w:pStyle w:val="EndNoteBibliography"/>
        <w:ind w:left="720" w:hanging="720"/>
      </w:pPr>
      <w:r w:rsidRPr="005E7147">
        <w:t xml:space="preserve">Klinglmair, M, Sala, S &amp; Brandão, M. (2014). Assessing resource depletion in LCA: a review of methods and methodological issues. </w:t>
      </w:r>
      <w:r w:rsidRPr="005E7147">
        <w:rPr>
          <w:i/>
        </w:rPr>
        <w:t>The International Journal of Life Cycle Assessment,</w:t>
      </w:r>
      <w:r w:rsidRPr="005E7147">
        <w:t xml:space="preserve"> 19</w:t>
      </w:r>
      <w:r w:rsidRPr="005E7147">
        <w:rPr>
          <w:b/>
        </w:rPr>
        <w:t>,</w:t>
      </w:r>
      <w:r w:rsidRPr="005E7147">
        <w:t xml:space="preserve"> 580-592.</w:t>
      </w:r>
    </w:p>
    <w:p w14:paraId="7116FA9C" w14:textId="77777777" w:rsidR="005E7147" w:rsidRPr="005E7147" w:rsidRDefault="005E7147" w:rsidP="005E7147">
      <w:pPr>
        <w:pStyle w:val="EndNoteBibliography"/>
        <w:ind w:left="720" w:hanging="720"/>
      </w:pPr>
      <w:r w:rsidRPr="005E7147">
        <w:t xml:space="preserve">Kumar, A, Schei, T, Ahenkorah, A, Caceres Rodriguez, R, Devernay, JM, Freitas, M, Hall, D, Killingtveit, Å &amp; Liu, Z (2011). Hydropower. </w:t>
      </w:r>
      <w:r w:rsidRPr="005E7147">
        <w:rPr>
          <w:i/>
        </w:rPr>
        <w:t>In:</w:t>
      </w:r>
      <w:r w:rsidRPr="005E7147">
        <w:t xml:space="preserve"> Edenhofer, O, Pichs-Madruga, R, Sokona, Y, Seyboth, K, Matschoss, P, Kadner, S, Zwickel, T, Eickemeier, P, Hansen, G, Schlömer, S &amp; Stechow, CV (eds.) </w:t>
      </w:r>
      <w:r w:rsidRPr="005E7147">
        <w:rPr>
          <w:i/>
        </w:rPr>
        <w:t>In IPCC Special Report on Renewable Energy Sources and Climate Change Mitigation.</w:t>
      </w:r>
      <w:r w:rsidRPr="005E7147">
        <w:t xml:space="preserve"> Cambridge,</w:t>
      </w:r>
    </w:p>
    <w:p w14:paraId="218FD7BF" w14:textId="77777777" w:rsidR="005E7147" w:rsidRPr="005E7147" w:rsidRDefault="005E7147" w:rsidP="005E7147">
      <w:pPr>
        <w:pStyle w:val="EndNoteBibliography"/>
        <w:ind w:left="720" w:hanging="720"/>
      </w:pPr>
      <w:r w:rsidRPr="005E7147">
        <w:t>United Kingdom and New York, NY, USA: Cambridge University Press.</w:t>
      </w:r>
    </w:p>
    <w:p w14:paraId="77C2CF93" w14:textId="77777777" w:rsidR="005E7147" w:rsidRPr="005E7147" w:rsidRDefault="005E7147" w:rsidP="005E7147">
      <w:pPr>
        <w:pStyle w:val="EndNoteBibliography"/>
        <w:ind w:left="720" w:hanging="720"/>
      </w:pPr>
      <w:r w:rsidRPr="005E7147">
        <w:t xml:space="preserve">Lee, C-K, Lee, J-Y, Choi, Y-H &amp; Lee, K-M. (2015). Application of the integrated ecodesign method using the GHG emission as a single indicator and its GHG recyclability. </w:t>
      </w:r>
      <w:r w:rsidRPr="005E7147">
        <w:rPr>
          <w:i/>
        </w:rPr>
        <w:t>Journal of Cleaner Production</w:t>
      </w:r>
      <w:r w:rsidRPr="005E7147">
        <w:t>.</w:t>
      </w:r>
    </w:p>
    <w:p w14:paraId="093B9E43" w14:textId="77777777" w:rsidR="005E7147" w:rsidRPr="005E7147" w:rsidRDefault="005E7147" w:rsidP="005E7147">
      <w:pPr>
        <w:pStyle w:val="EndNoteBibliography"/>
        <w:ind w:left="720" w:hanging="720"/>
      </w:pPr>
      <w:r w:rsidRPr="005E7147">
        <w:t>Muilerman, H &amp; Blonk, H. (2001). Towards a sustainable use of natural resources. Brussels: European Commission.</w:t>
      </w:r>
    </w:p>
    <w:p w14:paraId="7A533F2D" w14:textId="77777777" w:rsidR="005E7147" w:rsidRPr="005E7147" w:rsidRDefault="005E7147" w:rsidP="005E7147">
      <w:pPr>
        <w:pStyle w:val="EndNoteBibliography"/>
        <w:ind w:left="720" w:hanging="720"/>
      </w:pPr>
      <w:r w:rsidRPr="005E7147">
        <w:t>National Trust Wales. (2014). 650 kW Hafod y Llan Hydro.</w:t>
      </w:r>
    </w:p>
    <w:p w14:paraId="5452DD6C" w14:textId="77777777" w:rsidR="005E7147" w:rsidRPr="005E7147" w:rsidRDefault="005E7147" w:rsidP="005E7147">
      <w:pPr>
        <w:pStyle w:val="EndNoteBibliography"/>
        <w:ind w:left="720" w:hanging="720"/>
      </w:pPr>
      <w:r w:rsidRPr="005E7147">
        <w:t xml:space="preserve">Pascale, A, Urmee, T &amp; Moore, A. (2011). Life cycle assessment of a community hydroelectric power system in rural Thailand. </w:t>
      </w:r>
      <w:r w:rsidRPr="005E7147">
        <w:rPr>
          <w:i/>
        </w:rPr>
        <w:t>Renewable Energy,</w:t>
      </w:r>
      <w:r w:rsidRPr="005E7147">
        <w:t xml:space="preserve"> 36</w:t>
      </w:r>
      <w:r w:rsidRPr="005E7147">
        <w:rPr>
          <w:b/>
        </w:rPr>
        <w:t>,</w:t>
      </w:r>
      <w:r w:rsidRPr="005E7147">
        <w:t xml:space="preserve"> 2799-2808.</w:t>
      </w:r>
    </w:p>
    <w:p w14:paraId="0CFBC89B" w14:textId="77777777" w:rsidR="005E7147" w:rsidRPr="005E7147" w:rsidRDefault="005E7147" w:rsidP="005E7147">
      <w:pPr>
        <w:pStyle w:val="EndNoteBibliography"/>
        <w:ind w:left="720" w:hanging="720"/>
      </w:pPr>
      <w:r w:rsidRPr="005E7147">
        <w:t xml:space="preserve">Raadal, HL, Gagnon, L, Modahl, IS &amp; Hanssen, OJ. (2011). Life cycle greenhouse gas (GHG) emissions from the generation of wind and hydro power. </w:t>
      </w:r>
      <w:r w:rsidRPr="005E7147">
        <w:rPr>
          <w:i/>
        </w:rPr>
        <w:t>Renewable and Sustainable Energy Reviews,</w:t>
      </w:r>
      <w:r w:rsidRPr="005E7147">
        <w:t xml:space="preserve"> 15</w:t>
      </w:r>
      <w:r w:rsidRPr="005E7147">
        <w:rPr>
          <w:b/>
        </w:rPr>
        <w:t>,</w:t>
      </w:r>
      <w:r w:rsidRPr="005E7147">
        <w:t xml:space="preserve"> 3417-3422.</w:t>
      </w:r>
    </w:p>
    <w:p w14:paraId="542FFEAB" w14:textId="77777777" w:rsidR="005E7147" w:rsidRPr="005E7147" w:rsidRDefault="005E7147" w:rsidP="005E7147">
      <w:pPr>
        <w:pStyle w:val="EndNoteBibliography"/>
        <w:ind w:left="720" w:hanging="720"/>
      </w:pPr>
      <w:r w:rsidRPr="005E7147">
        <w:t>REN21. (2014). Renewables 2014 Global Status Report. ISBN 978-3-9815934-2-6 ed. Paris.</w:t>
      </w:r>
    </w:p>
    <w:p w14:paraId="16056FD3" w14:textId="77777777" w:rsidR="005E7147" w:rsidRPr="005E7147" w:rsidRDefault="005E7147" w:rsidP="005E7147">
      <w:pPr>
        <w:pStyle w:val="EndNoteBibliography"/>
        <w:ind w:left="720" w:hanging="720"/>
      </w:pPr>
      <w:r w:rsidRPr="005E7147">
        <w:t xml:space="preserve">Rule, BM, Worth, ZJ &amp; Boyle, CA. (2009). Comparison of life cycle carbon dioxide emissions and embodied energy in four renewable electricity generation technologies in New Zealand. </w:t>
      </w:r>
      <w:r w:rsidRPr="005E7147">
        <w:rPr>
          <w:i/>
        </w:rPr>
        <w:t>Environ Sci Technol,</w:t>
      </w:r>
      <w:r w:rsidRPr="005E7147">
        <w:t xml:space="preserve"> 43</w:t>
      </w:r>
      <w:r w:rsidRPr="005E7147">
        <w:rPr>
          <w:b/>
        </w:rPr>
        <w:t>,</w:t>
      </w:r>
      <w:r w:rsidRPr="005E7147">
        <w:t xml:space="preserve"> 6406-13.</w:t>
      </w:r>
    </w:p>
    <w:p w14:paraId="663433B7" w14:textId="77777777" w:rsidR="005E7147" w:rsidRPr="005E7147" w:rsidRDefault="005E7147" w:rsidP="005E7147">
      <w:pPr>
        <w:pStyle w:val="EndNoteBibliography"/>
        <w:ind w:left="720" w:hanging="720"/>
      </w:pPr>
      <w:r w:rsidRPr="005E7147">
        <w:lastRenderedPageBreak/>
        <w:t xml:space="preserve">Sala, S, Pant, R, Hauschild, M &amp; Pennington, D. (2012). Research needs and challenges from science to decision support. Lesson learnt from the development of the international reference life cycle data system (ILCD) recommendations for life cycle impact assessment. </w:t>
      </w:r>
      <w:r w:rsidRPr="005E7147">
        <w:rPr>
          <w:i/>
        </w:rPr>
        <w:t>Sustainability,</w:t>
      </w:r>
      <w:r w:rsidRPr="005E7147">
        <w:t xml:space="preserve"> 4</w:t>
      </w:r>
      <w:r w:rsidRPr="005E7147">
        <w:rPr>
          <w:b/>
        </w:rPr>
        <w:t>,</w:t>
      </w:r>
      <w:r w:rsidRPr="005E7147">
        <w:t xml:space="preserve"> 1412-1425.</w:t>
      </w:r>
    </w:p>
    <w:p w14:paraId="4CE644BD" w14:textId="77777777" w:rsidR="005E7147" w:rsidRPr="005E7147" w:rsidRDefault="005E7147" w:rsidP="005E7147">
      <w:pPr>
        <w:pStyle w:val="EndNoteBibliography"/>
        <w:ind w:left="720" w:hanging="720"/>
      </w:pPr>
      <w:r w:rsidRPr="005E7147">
        <w:t xml:space="preserve">Suwanit, W &amp; Gheewala, S. (2011). Life cycle assessment of mini-hydropower plants in Thailand. </w:t>
      </w:r>
      <w:r w:rsidRPr="005E7147">
        <w:rPr>
          <w:i/>
        </w:rPr>
        <w:t>The International Journal of Life Cycle Assessment,</w:t>
      </w:r>
      <w:r w:rsidRPr="005E7147">
        <w:t xml:space="preserve"> 16</w:t>
      </w:r>
      <w:r w:rsidRPr="005E7147">
        <w:rPr>
          <w:b/>
        </w:rPr>
        <w:t>,</w:t>
      </w:r>
      <w:r w:rsidRPr="005E7147">
        <w:t xml:space="preserve"> 849-858.</w:t>
      </w:r>
    </w:p>
    <w:p w14:paraId="3DA4C5B2" w14:textId="77777777" w:rsidR="005E7147" w:rsidRPr="005E7147" w:rsidRDefault="005E7147" w:rsidP="005E7147">
      <w:pPr>
        <w:pStyle w:val="EndNoteBibliography"/>
        <w:ind w:left="720" w:hanging="720"/>
      </w:pPr>
      <w:r w:rsidRPr="005E7147">
        <w:t xml:space="preserve">Turconi, R, Boldrin, A &amp; Astrup, T. (2013). Life cycle assessment (LCA) of electricity generation technologies: Overview, comparability and limitations. </w:t>
      </w:r>
      <w:r w:rsidRPr="005E7147">
        <w:rPr>
          <w:i/>
        </w:rPr>
        <w:t>Renewable and Sustainable Energy Reviews,</w:t>
      </w:r>
      <w:r w:rsidRPr="005E7147">
        <w:t xml:space="preserve"> 28</w:t>
      </w:r>
      <w:r w:rsidRPr="005E7147">
        <w:rPr>
          <w:b/>
        </w:rPr>
        <w:t>,</w:t>
      </w:r>
      <w:r w:rsidRPr="005E7147">
        <w:t xml:space="preserve"> 555-565.</w:t>
      </w:r>
    </w:p>
    <w:p w14:paraId="53CBD6BD" w14:textId="77777777" w:rsidR="005E7147" w:rsidRPr="005E7147" w:rsidRDefault="005E7147" w:rsidP="005E7147">
      <w:pPr>
        <w:pStyle w:val="EndNoteBibliography"/>
        <w:ind w:left="720" w:hanging="720"/>
      </w:pPr>
      <w:r w:rsidRPr="005E7147">
        <w:t xml:space="preserve">van der Voet, E, van Oers, L &amp; Nikolic, I. (2004). Dematerialization: Not Just a Matter of Weight. </w:t>
      </w:r>
      <w:r w:rsidRPr="005E7147">
        <w:rPr>
          <w:i/>
        </w:rPr>
        <w:t>Journal of Industrial Ecology,</w:t>
      </w:r>
      <w:r w:rsidRPr="005E7147">
        <w:t xml:space="preserve"> 8</w:t>
      </w:r>
      <w:r w:rsidRPr="005E7147">
        <w:rPr>
          <w:b/>
        </w:rPr>
        <w:t>,</w:t>
      </w:r>
      <w:r w:rsidRPr="005E7147">
        <w:t xml:space="preserve"> 121-137.</w:t>
      </w:r>
    </w:p>
    <w:p w14:paraId="088917F5" w14:textId="77777777" w:rsidR="005E7147" w:rsidRPr="005E7147" w:rsidRDefault="005E7147" w:rsidP="005E7147">
      <w:pPr>
        <w:pStyle w:val="EndNoteBibliography"/>
        <w:ind w:left="720" w:hanging="720"/>
      </w:pPr>
      <w:r w:rsidRPr="005E7147">
        <w:t xml:space="preserve">Varun, I, Bhat, K &amp; Prakash, R. (2008). Life Cycle Analysis of Run-of River Small Hydro Power Plants in India. </w:t>
      </w:r>
      <w:r w:rsidRPr="005E7147">
        <w:rPr>
          <w:i/>
        </w:rPr>
        <w:t>The Open Renewable Energy Journal,</w:t>
      </w:r>
      <w:r w:rsidRPr="005E7147">
        <w:t xml:space="preserve"> 1</w:t>
      </w:r>
      <w:r w:rsidRPr="005E7147">
        <w:rPr>
          <w:b/>
        </w:rPr>
        <w:t>,</w:t>
      </w:r>
      <w:r w:rsidRPr="005E7147">
        <w:t xml:space="preserve"> 11-16.</w:t>
      </w:r>
    </w:p>
    <w:p w14:paraId="7258B759" w14:textId="77777777" w:rsidR="005E7147" w:rsidRPr="005E7147" w:rsidRDefault="005E7147" w:rsidP="005E7147">
      <w:pPr>
        <w:pStyle w:val="EndNoteBibliography"/>
        <w:ind w:left="720" w:hanging="720"/>
      </w:pPr>
      <w:r w:rsidRPr="005E7147">
        <w:t>WRAP. (2012). Cutting embodied carbon in construction projects. Waste &amp; Resource Action Programme.</w:t>
      </w:r>
    </w:p>
    <w:p w14:paraId="27AA3B06" w14:textId="77777777" w:rsidR="005E7147" w:rsidRPr="005E7147" w:rsidRDefault="005E7147" w:rsidP="005E7147">
      <w:pPr>
        <w:pStyle w:val="EndNoteBibliography"/>
        <w:ind w:left="720" w:hanging="720"/>
      </w:pPr>
      <w:r w:rsidRPr="005E7147">
        <w:t xml:space="preserve">Yellishetty, M, Mudd, GM &amp; Ranjith, PG. (2011). The steel industry, abiotic resource depletion and life cycle assessment: a real or perceived issue? </w:t>
      </w:r>
      <w:r w:rsidRPr="005E7147">
        <w:rPr>
          <w:i/>
        </w:rPr>
        <w:t>Journal of Cleaner Production,</w:t>
      </w:r>
      <w:r w:rsidRPr="005E7147">
        <w:t xml:space="preserve"> 19</w:t>
      </w:r>
      <w:r w:rsidRPr="005E7147">
        <w:rPr>
          <w:b/>
        </w:rPr>
        <w:t>,</w:t>
      </w:r>
      <w:r w:rsidRPr="005E7147">
        <w:t xml:space="preserve"> 78-90.</w:t>
      </w:r>
    </w:p>
    <w:p w14:paraId="2C023EF0" w14:textId="77777777" w:rsidR="005E7147" w:rsidRPr="005E7147" w:rsidRDefault="005E7147" w:rsidP="005E7147">
      <w:pPr>
        <w:pStyle w:val="EndNoteBibliography"/>
        <w:ind w:left="720" w:hanging="720"/>
      </w:pPr>
      <w:r w:rsidRPr="005E7147">
        <w:t xml:space="preserve">Zbicinski, I, Stavenuiter, J, Kozlowska, B &amp; van de Coevering, H (2006). </w:t>
      </w:r>
      <w:r w:rsidRPr="005E7147">
        <w:rPr>
          <w:i/>
        </w:rPr>
        <w:t xml:space="preserve">Product Design and Life Cycle Assessment, </w:t>
      </w:r>
      <w:r w:rsidRPr="005E7147">
        <w:t>Baltic University Press, Baltic University.</w:t>
      </w:r>
    </w:p>
    <w:p w14:paraId="3CB92605" w14:textId="77777777" w:rsidR="005E7147" w:rsidRPr="005E7147" w:rsidRDefault="005E7147" w:rsidP="005E7147">
      <w:pPr>
        <w:pStyle w:val="EndNoteBibliography"/>
        <w:ind w:left="720" w:hanging="720"/>
      </w:pPr>
      <w:r w:rsidRPr="005E7147">
        <w:t xml:space="preserve">Zhang, J &amp; Xu, L. (2015). Embodied carbon budget accounting system for calculating carbon footprint of large hydropower project. </w:t>
      </w:r>
      <w:r w:rsidRPr="005E7147">
        <w:rPr>
          <w:i/>
        </w:rPr>
        <w:t>Journal of Cleaner Production,</w:t>
      </w:r>
      <w:r w:rsidRPr="005E7147">
        <w:t xml:space="preserve"> 96</w:t>
      </w:r>
      <w:r w:rsidRPr="005E7147">
        <w:rPr>
          <w:b/>
        </w:rPr>
        <w:t>,</w:t>
      </w:r>
      <w:r w:rsidRPr="005E7147">
        <w:t xml:space="preserve"> 444-451.</w:t>
      </w:r>
    </w:p>
    <w:p w14:paraId="1250EB03" w14:textId="77777777" w:rsidR="005E7147" w:rsidRPr="005E7147" w:rsidRDefault="005E7147" w:rsidP="005E7147">
      <w:pPr>
        <w:pStyle w:val="EndNoteBibliography"/>
        <w:ind w:left="720" w:hanging="720"/>
      </w:pPr>
      <w:r w:rsidRPr="005E7147">
        <w:t xml:space="preserve">Zhang, S, Pang, B &amp; Zhang, Z. (2015). Carbon footprint analysis of two different types of hydropower schemes: comparing earth-rockfill dams and concrete gravity dams using hybrid life cycle assessment. </w:t>
      </w:r>
      <w:r w:rsidRPr="005E7147">
        <w:rPr>
          <w:i/>
        </w:rPr>
        <w:t>Journal of Cleaner Production,</w:t>
      </w:r>
      <w:r w:rsidRPr="005E7147">
        <w:t xml:space="preserve"> 103</w:t>
      </w:r>
      <w:r w:rsidRPr="005E7147">
        <w:rPr>
          <w:b/>
        </w:rPr>
        <w:t>,</w:t>
      </w:r>
      <w:r w:rsidRPr="005E7147">
        <w:t xml:space="preserve"> 854-862.</w:t>
      </w:r>
    </w:p>
    <w:p w14:paraId="15E4AB42" w14:textId="72FB4B1E" w:rsidR="006846D7" w:rsidRPr="006846D7" w:rsidRDefault="006846D7" w:rsidP="006846D7">
      <w:pPr>
        <w:spacing w:line="360" w:lineRule="auto"/>
      </w:pPr>
      <w:r>
        <w:fldChar w:fldCharType="end"/>
      </w:r>
    </w:p>
    <w:sectPr w:rsidR="006846D7" w:rsidRPr="006846D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1A526D" w14:textId="77777777" w:rsidR="00084B71" w:rsidRDefault="00084B71" w:rsidP="003E46DB">
      <w:pPr>
        <w:spacing w:line="240" w:lineRule="auto"/>
      </w:pPr>
      <w:r>
        <w:separator/>
      </w:r>
    </w:p>
  </w:endnote>
  <w:endnote w:type="continuationSeparator" w:id="0">
    <w:p w14:paraId="61AF1ACB" w14:textId="77777777" w:rsidR="00084B71" w:rsidRDefault="00084B71" w:rsidP="003E46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no Pro">
    <w:panose1 w:val="00000000000000000000"/>
    <w:charset w:val="00"/>
    <w:family w:val="roman"/>
    <w:notTrueType/>
    <w:pitch w:val="variable"/>
    <w:sig w:usb0="60000287" w:usb1="00000001" w:usb2="00000000" w:usb3="00000000" w:csb0="0000019F" w:csb1="00000000"/>
  </w:font>
  <w:font w:name="New York">
    <w:panose1 w:val="02040503060506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E042EE" w14:textId="22F74318" w:rsidR="003E46DB" w:rsidRDefault="003E46DB">
    <w:pPr>
      <w:pStyle w:val="Footer"/>
    </w:pPr>
    <w:r>
      <w:tab/>
    </w:r>
    <w:r>
      <w:tab/>
    </w:r>
    <w:r>
      <w:fldChar w:fldCharType="begin"/>
    </w:r>
    <w:r>
      <w:instrText xml:space="preserve"> PAGE   \* MERGEFORMAT </w:instrText>
    </w:r>
    <w:r>
      <w:fldChar w:fldCharType="separate"/>
    </w:r>
    <w:r w:rsidR="005767E5">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0A783" w14:textId="77777777" w:rsidR="00084B71" w:rsidRDefault="00084B71" w:rsidP="003E46DB">
      <w:pPr>
        <w:spacing w:line="240" w:lineRule="auto"/>
      </w:pPr>
      <w:r>
        <w:separator/>
      </w:r>
    </w:p>
  </w:footnote>
  <w:footnote w:type="continuationSeparator" w:id="0">
    <w:p w14:paraId="7131FCCC" w14:textId="77777777" w:rsidR="00084B71" w:rsidRDefault="00084B71" w:rsidP="003E46D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33FAD"/>
    <w:multiLevelType w:val="hybridMultilevel"/>
    <w:tmpl w:val="FD0C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90CFE"/>
    <w:multiLevelType w:val="multilevel"/>
    <w:tmpl w:val="4C802F1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b/>
        <w:bCs w:val="0"/>
        <w:i/>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D133498"/>
    <w:multiLevelType w:val="hybridMultilevel"/>
    <w:tmpl w:val="44F25666"/>
    <w:lvl w:ilvl="0" w:tplc="542E034E">
      <w:start w:val="2"/>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94307"/>
    <w:multiLevelType w:val="hybridMultilevel"/>
    <w:tmpl w:val="4810156E"/>
    <w:lvl w:ilvl="0" w:tplc="453C61B2">
      <w:start w:val="40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0C7E53"/>
    <w:multiLevelType w:val="hybridMultilevel"/>
    <w:tmpl w:val="41861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D65B2"/>
    <w:multiLevelType w:val="hybridMultilevel"/>
    <w:tmpl w:val="5C6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C7DE3"/>
    <w:multiLevelType w:val="multilevel"/>
    <w:tmpl w:val="A3D4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2F0E3B"/>
    <w:multiLevelType w:val="hybridMultilevel"/>
    <w:tmpl w:val="4F1EC1B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E2213"/>
    <w:multiLevelType w:val="hybridMultilevel"/>
    <w:tmpl w:val="C5CC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690A1A"/>
    <w:multiLevelType w:val="hybridMultilevel"/>
    <w:tmpl w:val="71343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F0ED1"/>
    <w:multiLevelType w:val="hybridMultilevel"/>
    <w:tmpl w:val="2950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DF51AC"/>
    <w:multiLevelType w:val="multilevel"/>
    <w:tmpl w:val="09C2DC96"/>
    <w:lvl w:ilvl="0">
      <w:start w:val="1"/>
      <w:numFmt w:val="decimal"/>
      <w:lvlText w:val="%1."/>
      <w:lvlJc w:val="left"/>
      <w:pPr>
        <w:ind w:left="562" w:hanging="360"/>
      </w:pPr>
      <w:rPr>
        <w:rFonts w:hint="default"/>
      </w:rPr>
    </w:lvl>
    <w:lvl w:ilvl="1">
      <w:start w:val="1"/>
      <w:numFmt w:val="decimal"/>
      <w:isLgl/>
      <w:lvlText w:val="%1.%2"/>
      <w:lvlJc w:val="left"/>
      <w:pPr>
        <w:ind w:left="727" w:hanging="525"/>
      </w:pPr>
      <w:rPr>
        <w:rFonts w:hint="default"/>
      </w:rPr>
    </w:lvl>
    <w:lvl w:ilvl="2">
      <w:start w:val="1"/>
      <w:numFmt w:val="decimal"/>
      <w:isLgl/>
      <w:lvlText w:val="%1.%2.%3"/>
      <w:lvlJc w:val="left"/>
      <w:pPr>
        <w:ind w:left="922" w:hanging="720"/>
      </w:pPr>
      <w:rPr>
        <w:rFonts w:hint="default"/>
      </w:rPr>
    </w:lvl>
    <w:lvl w:ilvl="3">
      <w:start w:val="1"/>
      <w:numFmt w:val="decimal"/>
      <w:isLgl/>
      <w:lvlText w:val="%1.%2.%3.%4"/>
      <w:lvlJc w:val="left"/>
      <w:pPr>
        <w:ind w:left="922" w:hanging="720"/>
      </w:pPr>
      <w:rPr>
        <w:rFonts w:hint="default"/>
      </w:rPr>
    </w:lvl>
    <w:lvl w:ilvl="4">
      <w:start w:val="1"/>
      <w:numFmt w:val="decimal"/>
      <w:isLgl/>
      <w:lvlText w:val="%1.%2.%3.%4.%5"/>
      <w:lvlJc w:val="left"/>
      <w:pPr>
        <w:ind w:left="922" w:hanging="720"/>
      </w:pPr>
      <w:rPr>
        <w:rFonts w:hint="default"/>
      </w:rPr>
    </w:lvl>
    <w:lvl w:ilvl="5">
      <w:start w:val="1"/>
      <w:numFmt w:val="decimal"/>
      <w:isLgl/>
      <w:lvlText w:val="%1.%2.%3.%4.%5.%6"/>
      <w:lvlJc w:val="left"/>
      <w:pPr>
        <w:ind w:left="1282" w:hanging="1080"/>
      </w:pPr>
      <w:rPr>
        <w:rFonts w:hint="default"/>
      </w:rPr>
    </w:lvl>
    <w:lvl w:ilvl="6">
      <w:start w:val="1"/>
      <w:numFmt w:val="decimal"/>
      <w:isLgl/>
      <w:lvlText w:val="%1.%2.%3.%4.%5.%6.%7"/>
      <w:lvlJc w:val="left"/>
      <w:pPr>
        <w:ind w:left="1282" w:hanging="1080"/>
      </w:pPr>
      <w:rPr>
        <w:rFonts w:hint="default"/>
      </w:rPr>
    </w:lvl>
    <w:lvl w:ilvl="7">
      <w:start w:val="1"/>
      <w:numFmt w:val="decimal"/>
      <w:isLgl/>
      <w:lvlText w:val="%1.%2.%3.%4.%5.%6.%7.%8"/>
      <w:lvlJc w:val="left"/>
      <w:pPr>
        <w:ind w:left="1642" w:hanging="1440"/>
      </w:pPr>
      <w:rPr>
        <w:rFonts w:hint="default"/>
      </w:rPr>
    </w:lvl>
    <w:lvl w:ilvl="8">
      <w:start w:val="1"/>
      <w:numFmt w:val="decimal"/>
      <w:isLgl/>
      <w:lvlText w:val="%1.%2.%3.%4.%5.%6.%7.%8.%9"/>
      <w:lvlJc w:val="left"/>
      <w:pPr>
        <w:ind w:left="1642" w:hanging="1440"/>
      </w:pPr>
      <w:rPr>
        <w:rFonts w:hint="default"/>
      </w:rPr>
    </w:lvl>
  </w:abstractNum>
  <w:abstractNum w:abstractNumId="12" w15:restartNumberingAfterBreak="0">
    <w:nsid w:val="515D2B9F"/>
    <w:multiLevelType w:val="hybridMultilevel"/>
    <w:tmpl w:val="6F5C86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3E0746"/>
    <w:multiLevelType w:val="hybridMultilevel"/>
    <w:tmpl w:val="6DFE0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061FFD"/>
    <w:multiLevelType w:val="hybridMultilevel"/>
    <w:tmpl w:val="C29C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556267"/>
    <w:multiLevelType w:val="hybridMultilevel"/>
    <w:tmpl w:val="22C2C2C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B83DC3"/>
    <w:multiLevelType w:val="hybridMultilevel"/>
    <w:tmpl w:val="45ECE2D8"/>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num w:numId="1">
    <w:abstractNumId w:val="1"/>
  </w:num>
  <w:num w:numId="2">
    <w:abstractNumId w:val="0"/>
  </w:num>
  <w:num w:numId="3">
    <w:abstractNumId w:val="11"/>
  </w:num>
  <w:num w:numId="4">
    <w:abstractNumId w:val="16"/>
  </w:num>
  <w:num w:numId="5">
    <w:abstractNumId w:val="7"/>
  </w:num>
  <w:num w:numId="6">
    <w:abstractNumId w:val="14"/>
  </w:num>
  <w:num w:numId="7">
    <w:abstractNumId w:val="8"/>
  </w:num>
  <w:num w:numId="8">
    <w:abstractNumId w:val="15"/>
  </w:num>
  <w:num w:numId="9">
    <w:abstractNumId w:val="13"/>
  </w:num>
  <w:num w:numId="10">
    <w:abstractNumId w:val="5"/>
  </w:num>
  <w:num w:numId="11">
    <w:abstractNumId w:val="6"/>
  </w:num>
  <w:num w:numId="12">
    <w:abstractNumId w:val="3"/>
  </w:num>
  <w:num w:numId="13">
    <w:abstractNumId w:val="10"/>
  </w:num>
  <w:num w:numId="14">
    <w:abstractNumId w:val="12"/>
  </w:num>
  <w:num w:numId="15">
    <w:abstractNumId w:val="2"/>
  </w:num>
  <w:num w:numId="16">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9rav2ttda9t9re5pfyxxdamzwpp5v00xdx5&quot;&gt;Hydro-BPT Library&lt;record-ids&gt;&lt;item&gt;89&lt;/item&gt;&lt;item&gt;90&lt;/item&gt;&lt;item&gt;91&lt;/item&gt;&lt;item&gt;104&lt;/item&gt;&lt;item&gt;105&lt;/item&gt;&lt;item&gt;162&lt;/item&gt;&lt;item&gt;178&lt;/item&gt;&lt;item&gt;181&lt;/item&gt;&lt;item&gt;238&lt;/item&gt;&lt;item&gt;242&lt;/item&gt;&lt;item&gt;260&lt;/item&gt;&lt;item&gt;262&lt;/item&gt;&lt;item&gt;265&lt;/item&gt;&lt;item&gt;266&lt;/item&gt;&lt;item&gt;271&lt;/item&gt;&lt;item&gt;277&lt;/item&gt;&lt;item&gt;280&lt;/item&gt;&lt;item&gt;344&lt;/item&gt;&lt;item&gt;345&lt;/item&gt;&lt;item&gt;348&lt;/item&gt;&lt;item&gt;349&lt;/item&gt;&lt;item&gt;350&lt;/item&gt;&lt;item&gt;353&lt;/item&gt;&lt;item&gt;354&lt;/item&gt;&lt;item&gt;359&lt;/item&gt;&lt;item&gt;360&lt;/item&gt;&lt;item&gt;362&lt;/item&gt;&lt;item&gt;364&lt;/item&gt;&lt;item&gt;371&lt;/item&gt;&lt;item&gt;372&lt;/item&gt;&lt;item&gt;373&lt;/item&gt;&lt;item&gt;375&lt;/item&gt;&lt;item&gt;376&lt;/item&gt;&lt;item&gt;377&lt;/item&gt;&lt;item&gt;378&lt;/item&gt;&lt;item&gt;379&lt;/item&gt;&lt;item&gt;404&lt;/item&gt;&lt;item&gt;405&lt;/item&gt;&lt;item&gt;469&lt;/item&gt;&lt;item&gt;470&lt;/item&gt;&lt;item&gt;471&lt;/item&gt;&lt;item&gt;472&lt;/item&gt;&lt;/record-ids&gt;&lt;/item&gt;&lt;/Libraries&gt;"/>
  </w:docVars>
  <w:rsids>
    <w:rsidRoot w:val="006846D7"/>
    <w:rsid w:val="00001B97"/>
    <w:rsid w:val="000235E0"/>
    <w:rsid w:val="00084B71"/>
    <w:rsid w:val="000A013E"/>
    <w:rsid w:val="000A567A"/>
    <w:rsid w:val="000E7F08"/>
    <w:rsid w:val="000F3B38"/>
    <w:rsid w:val="00116ED5"/>
    <w:rsid w:val="00137FCB"/>
    <w:rsid w:val="00145969"/>
    <w:rsid w:val="00151DE4"/>
    <w:rsid w:val="001732A5"/>
    <w:rsid w:val="00190E62"/>
    <w:rsid w:val="001C223E"/>
    <w:rsid w:val="001C27E3"/>
    <w:rsid w:val="001C7214"/>
    <w:rsid w:val="002274E8"/>
    <w:rsid w:val="00233950"/>
    <w:rsid w:val="002345E4"/>
    <w:rsid w:val="00251202"/>
    <w:rsid w:val="00251654"/>
    <w:rsid w:val="002627C0"/>
    <w:rsid w:val="00285965"/>
    <w:rsid w:val="00295749"/>
    <w:rsid w:val="00301E2A"/>
    <w:rsid w:val="003619A1"/>
    <w:rsid w:val="003761CC"/>
    <w:rsid w:val="00386B68"/>
    <w:rsid w:val="00386ED0"/>
    <w:rsid w:val="00387808"/>
    <w:rsid w:val="00393275"/>
    <w:rsid w:val="003A7FC0"/>
    <w:rsid w:val="003D2151"/>
    <w:rsid w:val="003E0895"/>
    <w:rsid w:val="003E46DB"/>
    <w:rsid w:val="0040712D"/>
    <w:rsid w:val="00435146"/>
    <w:rsid w:val="004E009C"/>
    <w:rsid w:val="00524293"/>
    <w:rsid w:val="00525CE1"/>
    <w:rsid w:val="0052625A"/>
    <w:rsid w:val="005279D6"/>
    <w:rsid w:val="005358E9"/>
    <w:rsid w:val="00566710"/>
    <w:rsid w:val="005767E5"/>
    <w:rsid w:val="00587F79"/>
    <w:rsid w:val="005A26A7"/>
    <w:rsid w:val="005B6C20"/>
    <w:rsid w:val="005E0619"/>
    <w:rsid w:val="005E1560"/>
    <w:rsid w:val="005E3466"/>
    <w:rsid w:val="005E7147"/>
    <w:rsid w:val="005F3ED2"/>
    <w:rsid w:val="006041D4"/>
    <w:rsid w:val="0064254E"/>
    <w:rsid w:val="006534AC"/>
    <w:rsid w:val="00657474"/>
    <w:rsid w:val="006846D7"/>
    <w:rsid w:val="006B6072"/>
    <w:rsid w:val="008420CF"/>
    <w:rsid w:val="0087641C"/>
    <w:rsid w:val="008B1E71"/>
    <w:rsid w:val="008C5DB6"/>
    <w:rsid w:val="00921490"/>
    <w:rsid w:val="0092565A"/>
    <w:rsid w:val="009850BD"/>
    <w:rsid w:val="009C1D1A"/>
    <w:rsid w:val="00A03096"/>
    <w:rsid w:val="00A15209"/>
    <w:rsid w:val="00A333FF"/>
    <w:rsid w:val="00AA682E"/>
    <w:rsid w:val="00B61615"/>
    <w:rsid w:val="00C02DC8"/>
    <w:rsid w:val="00C351F8"/>
    <w:rsid w:val="00C659F3"/>
    <w:rsid w:val="00C93371"/>
    <w:rsid w:val="00CF2DAE"/>
    <w:rsid w:val="00D20C4D"/>
    <w:rsid w:val="00D33E4E"/>
    <w:rsid w:val="00D37D9D"/>
    <w:rsid w:val="00E55E2F"/>
    <w:rsid w:val="00E60A38"/>
    <w:rsid w:val="00EA2E59"/>
    <w:rsid w:val="00ED50C4"/>
    <w:rsid w:val="00F5035F"/>
    <w:rsid w:val="00F72297"/>
    <w:rsid w:val="00F85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2C2E3"/>
  <w15:docId w15:val="{65A78D96-F82E-43C5-BDBA-7CB7F9CF9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6D7"/>
    <w:pPr>
      <w:spacing w:after="0" w:line="276" w:lineRule="auto"/>
      <w:jc w:val="both"/>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6846D7"/>
    <w:pPr>
      <w:numPr>
        <w:numId w:val="1"/>
      </w:numPr>
      <w:autoSpaceDE w:val="0"/>
      <w:autoSpaceDN w:val="0"/>
      <w:adjustRightInd w:val="0"/>
      <w:spacing w:line="23" w:lineRule="atLeast"/>
      <w:outlineLvl w:val="0"/>
    </w:pPr>
    <w:rPr>
      <w:b/>
      <w:color w:val="000000"/>
      <w:szCs w:val="24"/>
      <w:lang w:val="en-IE" w:eastAsia="en-IE"/>
    </w:rPr>
  </w:style>
  <w:style w:type="paragraph" w:styleId="Heading2">
    <w:name w:val="heading 2"/>
    <w:basedOn w:val="Normal"/>
    <w:next w:val="Normal"/>
    <w:link w:val="Heading2Char"/>
    <w:qFormat/>
    <w:rsid w:val="006846D7"/>
    <w:pPr>
      <w:numPr>
        <w:ilvl w:val="1"/>
        <w:numId w:val="1"/>
      </w:numPr>
      <w:autoSpaceDE w:val="0"/>
      <w:autoSpaceDN w:val="0"/>
      <w:adjustRightInd w:val="0"/>
      <w:outlineLvl w:val="1"/>
    </w:pPr>
    <w:rPr>
      <w:b/>
      <w:i/>
      <w:color w:val="000000"/>
      <w:szCs w:val="24"/>
      <w:lang w:val="en-IE" w:eastAsia="en-IE"/>
    </w:rPr>
  </w:style>
  <w:style w:type="paragraph" w:styleId="Heading3">
    <w:name w:val="heading 3"/>
    <w:basedOn w:val="7StandardText"/>
    <w:next w:val="Normal"/>
    <w:link w:val="Heading3Char"/>
    <w:unhideWhenUsed/>
    <w:qFormat/>
    <w:rsid w:val="006846D7"/>
    <w:pPr>
      <w:spacing w:line="480" w:lineRule="auto"/>
      <w:outlineLvl w:val="2"/>
    </w:pPr>
    <w:rPr>
      <w:i/>
    </w:rPr>
  </w:style>
  <w:style w:type="paragraph" w:styleId="Heading4">
    <w:name w:val="heading 4"/>
    <w:basedOn w:val="Normal"/>
    <w:next w:val="Normal"/>
    <w:link w:val="Heading4Char"/>
    <w:rsid w:val="006846D7"/>
    <w:pPr>
      <w:numPr>
        <w:ilvl w:val="3"/>
        <w:numId w:val="1"/>
      </w:numPr>
      <w:autoSpaceDE w:val="0"/>
      <w:autoSpaceDN w:val="0"/>
      <w:adjustRightInd w:val="0"/>
      <w:outlineLvl w:val="3"/>
    </w:pPr>
    <w:rPr>
      <w:i/>
      <w:color w:val="000000"/>
      <w:szCs w:val="24"/>
      <w:lang w:val="en-IE" w:eastAsia="en-IE"/>
    </w:rPr>
  </w:style>
  <w:style w:type="paragraph" w:styleId="Heading5">
    <w:name w:val="heading 5"/>
    <w:basedOn w:val="Normal"/>
    <w:next w:val="Normal"/>
    <w:link w:val="Heading5Char"/>
    <w:semiHidden/>
    <w:unhideWhenUsed/>
    <w:qFormat/>
    <w:rsid w:val="006846D7"/>
    <w:pPr>
      <w:keepNext/>
      <w:keepLines/>
      <w:numPr>
        <w:ilvl w:val="4"/>
        <w:numId w:val="1"/>
      </w:numPr>
      <w:autoSpaceDE w:val="0"/>
      <w:autoSpaceDN w:val="0"/>
      <w:adjustRightInd w:val="0"/>
      <w:spacing w:before="200"/>
      <w:outlineLvl w:val="4"/>
    </w:pPr>
    <w:rPr>
      <w:rFonts w:asciiTheme="majorHAnsi" w:eastAsiaTheme="majorEastAsia" w:hAnsiTheme="majorHAnsi" w:cstheme="majorBidi"/>
      <w:color w:val="1F4D78" w:themeColor="accent1" w:themeShade="7F"/>
      <w:szCs w:val="24"/>
      <w:lang w:val="en-IE" w:eastAsia="en-IE"/>
    </w:rPr>
  </w:style>
  <w:style w:type="paragraph" w:styleId="Heading6">
    <w:name w:val="heading 6"/>
    <w:basedOn w:val="Normal"/>
    <w:next w:val="Normal"/>
    <w:link w:val="Heading6Char"/>
    <w:semiHidden/>
    <w:unhideWhenUsed/>
    <w:qFormat/>
    <w:rsid w:val="006846D7"/>
    <w:pPr>
      <w:keepNext/>
      <w:keepLines/>
      <w:numPr>
        <w:ilvl w:val="5"/>
        <w:numId w:val="1"/>
      </w:numPr>
      <w:autoSpaceDE w:val="0"/>
      <w:autoSpaceDN w:val="0"/>
      <w:adjustRightInd w:val="0"/>
      <w:spacing w:before="200"/>
      <w:outlineLvl w:val="5"/>
    </w:pPr>
    <w:rPr>
      <w:rFonts w:asciiTheme="majorHAnsi" w:eastAsiaTheme="majorEastAsia" w:hAnsiTheme="majorHAnsi" w:cstheme="majorBidi"/>
      <w:i/>
      <w:iCs/>
      <w:color w:val="1F4D78" w:themeColor="accent1" w:themeShade="7F"/>
      <w:szCs w:val="24"/>
      <w:lang w:val="en-IE" w:eastAsia="en-IE"/>
    </w:rPr>
  </w:style>
  <w:style w:type="paragraph" w:styleId="Heading7">
    <w:name w:val="heading 7"/>
    <w:basedOn w:val="Normal"/>
    <w:next w:val="Normal"/>
    <w:link w:val="Heading7Char"/>
    <w:semiHidden/>
    <w:unhideWhenUsed/>
    <w:qFormat/>
    <w:rsid w:val="006846D7"/>
    <w:pPr>
      <w:keepNext/>
      <w:keepLines/>
      <w:numPr>
        <w:ilvl w:val="6"/>
        <w:numId w:val="1"/>
      </w:numPr>
      <w:autoSpaceDE w:val="0"/>
      <w:autoSpaceDN w:val="0"/>
      <w:adjustRightInd w:val="0"/>
      <w:spacing w:before="200"/>
      <w:outlineLvl w:val="6"/>
    </w:pPr>
    <w:rPr>
      <w:rFonts w:asciiTheme="majorHAnsi" w:eastAsiaTheme="majorEastAsia" w:hAnsiTheme="majorHAnsi" w:cstheme="majorBidi"/>
      <w:i/>
      <w:iCs/>
      <w:color w:val="404040" w:themeColor="text1" w:themeTint="BF"/>
      <w:szCs w:val="24"/>
      <w:lang w:val="en-IE" w:eastAsia="en-IE"/>
    </w:rPr>
  </w:style>
  <w:style w:type="paragraph" w:styleId="Heading8">
    <w:name w:val="heading 8"/>
    <w:basedOn w:val="Normal"/>
    <w:next w:val="Normal"/>
    <w:link w:val="Heading8Char"/>
    <w:semiHidden/>
    <w:unhideWhenUsed/>
    <w:qFormat/>
    <w:rsid w:val="006846D7"/>
    <w:pPr>
      <w:keepNext/>
      <w:keepLines/>
      <w:numPr>
        <w:ilvl w:val="7"/>
        <w:numId w:val="1"/>
      </w:numPr>
      <w:autoSpaceDE w:val="0"/>
      <w:autoSpaceDN w:val="0"/>
      <w:adjustRightInd w:val="0"/>
      <w:spacing w:before="200"/>
      <w:outlineLvl w:val="7"/>
    </w:pPr>
    <w:rPr>
      <w:rFonts w:asciiTheme="majorHAnsi" w:eastAsiaTheme="majorEastAsia" w:hAnsiTheme="majorHAnsi" w:cstheme="majorBidi"/>
      <w:color w:val="404040" w:themeColor="text1" w:themeTint="BF"/>
      <w:sz w:val="20"/>
      <w:lang w:val="en-IE" w:eastAsia="en-IE"/>
    </w:rPr>
  </w:style>
  <w:style w:type="paragraph" w:styleId="Heading9">
    <w:name w:val="heading 9"/>
    <w:basedOn w:val="Normal"/>
    <w:next w:val="Normal"/>
    <w:link w:val="Heading9Char"/>
    <w:semiHidden/>
    <w:unhideWhenUsed/>
    <w:qFormat/>
    <w:rsid w:val="006846D7"/>
    <w:pPr>
      <w:keepNext/>
      <w:keepLines/>
      <w:numPr>
        <w:ilvl w:val="8"/>
        <w:numId w:val="1"/>
      </w:numPr>
      <w:autoSpaceDE w:val="0"/>
      <w:autoSpaceDN w:val="0"/>
      <w:adjustRightInd w:val="0"/>
      <w:spacing w:before="200"/>
      <w:outlineLvl w:val="8"/>
    </w:pPr>
    <w:rPr>
      <w:rFonts w:asciiTheme="majorHAnsi" w:eastAsiaTheme="majorEastAsia" w:hAnsiTheme="majorHAnsi" w:cstheme="majorBidi"/>
      <w:i/>
      <w:iCs/>
      <w:color w:val="404040" w:themeColor="text1" w:themeTint="BF"/>
      <w:sz w:val="20"/>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6D7"/>
    <w:rPr>
      <w:rFonts w:ascii="Times New Roman" w:eastAsia="Times New Roman" w:hAnsi="Times New Roman" w:cs="Times New Roman"/>
      <w:b/>
      <w:color w:val="000000"/>
      <w:sz w:val="24"/>
      <w:szCs w:val="24"/>
      <w:lang w:val="en-IE" w:eastAsia="en-IE"/>
    </w:rPr>
  </w:style>
  <w:style w:type="character" w:customStyle="1" w:styleId="Heading2Char">
    <w:name w:val="Heading 2 Char"/>
    <w:basedOn w:val="DefaultParagraphFont"/>
    <w:link w:val="Heading2"/>
    <w:rsid w:val="006846D7"/>
    <w:rPr>
      <w:rFonts w:ascii="Times New Roman" w:eastAsia="Times New Roman" w:hAnsi="Times New Roman" w:cs="Times New Roman"/>
      <w:b/>
      <w:i/>
      <w:color w:val="000000"/>
      <w:sz w:val="24"/>
      <w:szCs w:val="24"/>
      <w:lang w:val="en-IE" w:eastAsia="en-IE"/>
    </w:rPr>
  </w:style>
  <w:style w:type="character" w:customStyle="1" w:styleId="Heading3Char">
    <w:name w:val="Heading 3 Char"/>
    <w:basedOn w:val="DefaultParagraphFont"/>
    <w:link w:val="Heading3"/>
    <w:rsid w:val="006846D7"/>
    <w:rPr>
      <w:rFonts w:ascii="Times New Roman" w:eastAsia="Calibri" w:hAnsi="Times New Roman" w:cs="Times New Roman"/>
      <w:i/>
      <w:color w:val="000000"/>
      <w:sz w:val="24"/>
      <w:szCs w:val="24"/>
      <w:lang w:val="en-IE" w:eastAsia="en-IE"/>
    </w:rPr>
  </w:style>
  <w:style w:type="character" w:customStyle="1" w:styleId="Heading4Char">
    <w:name w:val="Heading 4 Char"/>
    <w:basedOn w:val="DefaultParagraphFont"/>
    <w:link w:val="Heading4"/>
    <w:rsid w:val="006846D7"/>
    <w:rPr>
      <w:rFonts w:ascii="Times New Roman" w:eastAsia="Times New Roman" w:hAnsi="Times New Roman" w:cs="Times New Roman"/>
      <w:i/>
      <w:color w:val="000000"/>
      <w:sz w:val="24"/>
      <w:szCs w:val="24"/>
      <w:lang w:val="en-IE" w:eastAsia="en-IE"/>
    </w:rPr>
  </w:style>
  <w:style w:type="character" w:customStyle="1" w:styleId="Heading5Char">
    <w:name w:val="Heading 5 Char"/>
    <w:basedOn w:val="DefaultParagraphFont"/>
    <w:link w:val="Heading5"/>
    <w:semiHidden/>
    <w:rsid w:val="006846D7"/>
    <w:rPr>
      <w:rFonts w:asciiTheme="majorHAnsi" w:eastAsiaTheme="majorEastAsia" w:hAnsiTheme="majorHAnsi" w:cstheme="majorBidi"/>
      <w:color w:val="1F4D78" w:themeColor="accent1" w:themeShade="7F"/>
      <w:sz w:val="24"/>
      <w:szCs w:val="24"/>
      <w:lang w:val="en-IE" w:eastAsia="en-IE"/>
    </w:rPr>
  </w:style>
  <w:style w:type="character" w:customStyle="1" w:styleId="Heading6Char">
    <w:name w:val="Heading 6 Char"/>
    <w:basedOn w:val="DefaultParagraphFont"/>
    <w:link w:val="Heading6"/>
    <w:semiHidden/>
    <w:rsid w:val="006846D7"/>
    <w:rPr>
      <w:rFonts w:asciiTheme="majorHAnsi" w:eastAsiaTheme="majorEastAsia" w:hAnsiTheme="majorHAnsi" w:cstheme="majorBidi"/>
      <w:i/>
      <w:iCs/>
      <w:color w:val="1F4D78" w:themeColor="accent1" w:themeShade="7F"/>
      <w:sz w:val="24"/>
      <w:szCs w:val="24"/>
      <w:lang w:val="en-IE" w:eastAsia="en-IE"/>
    </w:rPr>
  </w:style>
  <w:style w:type="character" w:customStyle="1" w:styleId="Heading7Char">
    <w:name w:val="Heading 7 Char"/>
    <w:basedOn w:val="DefaultParagraphFont"/>
    <w:link w:val="Heading7"/>
    <w:semiHidden/>
    <w:rsid w:val="006846D7"/>
    <w:rPr>
      <w:rFonts w:asciiTheme="majorHAnsi" w:eastAsiaTheme="majorEastAsia" w:hAnsiTheme="majorHAnsi" w:cstheme="majorBidi"/>
      <w:i/>
      <w:iCs/>
      <w:color w:val="404040" w:themeColor="text1" w:themeTint="BF"/>
      <w:sz w:val="24"/>
      <w:szCs w:val="24"/>
      <w:lang w:val="en-IE" w:eastAsia="en-IE"/>
    </w:rPr>
  </w:style>
  <w:style w:type="character" w:customStyle="1" w:styleId="Heading8Char">
    <w:name w:val="Heading 8 Char"/>
    <w:basedOn w:val="DefaultParagraphFont"/>
    <w:link w:val="Heading8"/>
    <w:semiHidden/>
    <w:rsid w:val="006846D7"/>
    <w:rPr>
      <w:rFonts w:asciiTheme="majorHAnsi" w:eastAsiaTheme="majorEastAsia" w:hAnsiTheme="majorHAnsi" w:cstheme="majorBidi"/>
      <w:color w:val="404040" w:themeColor="text1" w:themeTint="BF"/>
      <w:sz w:val="20"/>
      <w:szCs w:val="20"/>
      <w:lang w:val="en-IE" w:eastAsia="en-IE"/>
    </w:rPr>
  </w:style>
  <w:style w:type="character" w:customStyle="1" w:styleId="Heading9Char">
    <w:name w:val="Heading 9 Char"/>
    <w:basedOn w:val="DefaultParagraphFont"/>
    <w:link w:val="Heading9"/>
    <w:semiHidden/>
    <w:rsid w:val="006846D7"/>
    <w:rPr>
      <w:rFonts w:asciiTheme="majorHAnsi" w:eastAsiaTheme="majorEastAsia" w:hAnsiTheme="majorHAnsi" w:cstheme="majorBidi"/>
      <w:i/>
      <w:iCs/>
      <w:color w:val="404040" w:themeColor="text1" w:themeTint="BF"/>
      <w:sz w:val="20"/>
      <w:szCs w:val="20"/>
      <w:lang w:val="en-IE" w:eastAsia="en-IE"/>
    </w:rPr>
  </w:style>
  <w:style w:type="character" w:styleId="FollowedHyperlink">
    <w:name w:val="FollowedHyperlink"/>
    <w:rsid w:val="006846D7"/>
    <w:rPr>
      <w:color w:val="800080"/>
      <w:u w:val="single"/>
    </w:rPr>
  </w:style>
  <w:style w:type="paragraph" w:styleId="BodyText">
    <w:name w:val="Body Text"/>
    <w:basedOn w:val="Normal"/>
    <w:link w:val="BodyTextChar"/>
    <w:rsid w:val="006846D7"/>
    <w:pPr>
      <w:jc w:val="center"/>
    </w:pPr>
    <w:rPr>
      <w:b/>
      <w:sz w:val="40"/>
    </w:rPr>
  </w:style>
  <w:style w:type="character" w:customStyle="1" w:styleId="BodyTextChar">
    <w:name w:val="Body Text Char"/>
    <w:basedOn w:val="DefaultParagraphFont"/>
    <w:link w:val="BodyText"/>
    <w:rsid w:val="006846D7"/>
    <w:rPr>
      <w:rFonts w:ascii="Times New Roman" w:eastAsia="Times New Roman" w:hAnsi="Times New Roman" w:cs="Times New Roman"/>
      <w:b/>
      <w:sz w:val="40"/>
      <w:szCs w:val="20"/>
      <w:lang w:val="en-US"/>
    </w:rPr>
  </w:style>
  <w:style w:type="paragraph" w:styleId="FootnoteText">
    <w:name w:val="footnote text"/>
    <w:basedOn w:val="Normal"/>
    <w:next w:val="TFReferencesSection"/>
    <w:link w:val="FootnoteTextChar"/>
    <w:semiHidden/>
    <w:rsid w:val="006846D7"/>
  </w:style>
  <w:style w:type="character" w:customStyle="1" w:styleId="FootnoteTextChar">
    <w:name w:val="Footnote Text Char"/>
    <w:basedOn w:val="DefaultParagraphFont"/>
    <w:link w:val="FootnoteText"/>
    <w:semiHidden/>
    <w:rsid w:val="006846D7"/>
    <w:rPr>
      <w:rFonts w:ascii="Times New Roman" w:eastAsia="Times New Roman" w:hAnsi="Times New Roman" w:cs="Times New Roman"/>
      <w:sz w:val="24"/>
      <w:szCs w:val="20"/>
      <w:lang w:val="en-US"/>
    </w:rPr>
  </w:style>
  <w:style w:type="paragraph" w:customStyle="1" w:styleId="TFReferencesSection">
    <w:name w:val="TF_References_Section"/>
    <w:basedOn w:val="Normal"/>
    <w:rsid w:val="006846D7"/>
    <w:pPr>
      <w:spacing w:line="480" w:lineRule="auto"/>
      <w:ind w:firstLine="187"/>
    </w:pPr>
  </w:style>
  <w:style w:type="paragraph" w:customStyle="1" w:styleId="TAMainText">
    <w:name w:val="TA_Main_Text"/>
    <w:basedOn w:val="Normal"/>
    <w:rsid w:val="006846D7"/>
    <w:pPr>
      <w:spacing w:line="480" w:lineRule="auto"/>
      <w:ind w:firstLine="202"/>
    </w:pPr>
  </w:style>
  <w:style w:type="paragraph" w:customStyle="1" w:styleId="BATitle">
    <w:name w:val="BA_Title"/>
    <w:basedOn w:val="Normal"/>
    <w:next w:val="BBAuthorName"/>
    <w:rsid w:val="006846D7"/>
    <w:pPr>
      <w:spacing w:before="720" w:after="360" w:line="480" w:lineRule="auto"/>
      <w:jc w:val="center"/>
    </w:pPr>
    <w:rPr>
      <w:sz w:val="44"/>
    </w:rPr>
  </w:style>
  <w:style w:type="paragraph" w:customStyle="1" w:styleId="BBAuthorName">
    <w:name w:val="BB_Author_Name"/>
    <w:basedOn w:val="Normal"/>
    <w:next w:val="BCAuthorAddress"/>
    <w:rsid w:val="006846D7"/>
    <w:pPr>
      <w:spacing w:after="240" w:line="480" w:lineRule="auto"/>
      <w:jc w:val="center"/>
    </w:pPr>
    <w:rPr>
      <w:i/>
    </w:rPr>
  </w:style>
  <w:style w:type="paragraph" w:customStyle="1" w:styleId="BCAuthorAddress">
    <w:name w:val="BC_Author_Address"/>
    <w:basedOn w:val="Normal"/>
    <w:next w:val="BIEmailAddress"/>
    <w:rsid w:val="006846D7"/>
    <w:pPr>
      <w:spacing w:after="240" w:line="480" w:lineRule="auto"/>
      <w:jc w:val="center"/>
    </w:pPr>
  </w:style>
  <w:style w:type="paragraph" w:customStyle="1" w:styleId="BIEmailAddress">
    <w:name w:val="BI_Email_Address"/>
    <w:basedOn w:val="Normal"/>
    <w:next w:val="AIReceivedDate"/>
    <w:rsid w:val="006846D7"/>
    <w:pPr>
      <w:spacing w:line="480" w:lineRule="auto"/>
    </w:pPr>
  </w:style>
  <w:style w:type="paragraph" w:customStyle="1" w:styleId="AIReceivedDate">
    <w:name w:val="AI_Received_Date"/>
    <w:basedOn w:val="Normal"/>
    <w:next w:val="BDAbstract"/>
    <w:rsid w:val="006846D7"/>
    <w:pPr>
      <w:spacing w:after="240" w:line="480" w:lineRule="auto"/>
    </w:pPr>
    <w:rPr>
      <w:b/>
    </w:rPr>
  </w:style>
  <w:style w:type="paragraph" w:customStyle="1" w:styleId="BDAbstract">
    <w:name w:val="BD_Abstract"/>
    <w:basedOn w:val="Normal"/>
    <w:next w:val="TAMainText"/>
    <w:rsid w:val="006846D7"/>
    <w:pPr>
      <w:spacing w:before="360" w:after="360" w:line="480" w:lineRule="auto"/>
    </w:pPr>
  </w:style>
  <w:style w:type="paragraph" w:customStyle="1" w:styleId="TDAcknowledgments">
    <w:name w:val="TD_Acknowledgments"/>
    <w:basedOn w:val="Normal"/>
    <w:next w:val="Normal"/>
    <w:rsid w:val="006846D7"/>
    <w:pPr>
      <w:spacing w:before="200" w:line="480" w:lineRule="auto"/>
      <w:ind w:firstLine="202"/>
    </w:pPr>
  </w:style>
  <w:style w:type="paragraph" w:customStyle="1" w:styleId="TESupportingInformation">
    <w:name w:val="TE_Supporting_Information"/>
    <w:basedOn w:val="Normal"/>
    <w:next w:val="Normal"/>
    <w:rsid w:val="006846D7"/>
    <w:pPr>
      <w:spacing w:line="480" w:lineRule="auto"/>
      <w:ind w:firstLine="187"/>
    </w:pPr>
  </w:style>
  <w:style w:type="paragraph" w:customStyle="1" w:styleId="VCSchemeTitle">
    <w:name w:val="VC_Scheme_Title"/>
    <w:basedOn w:val="Normal"/>
    <w:next w:val="Normal"/>
    <w:rsid w:val="006846D7"/>
    <w:pPr>
      <w:spacing w:line="480" w:lineRule="auto"/>
    </w:pPr>
  </w:style>
  <w:style w:type="paragraph" w:customStyle="1" w:styleId="VDTableTitle">
    <w:name w:val="VD_Table_Title"/>
    <w:basedOn w:val="Normal"/>
    <w:next w:val="Normal"/>
    <w:rsid w:val="006846D7"/>
    <w:pPr>
      <w:spacing w:line="480" w:lineRule="auto"/>
    </w:pPr>
  </w:style>
  <w:style w:type="paragraph" w:customStyle="1" w:styleId="VAFigureCaption">
    <w:name w:val="VA_Figure_Caption"/>
    <w:basedOn w:val="Normal"/>
    <w:next w:val="Normal"/>
    <w:rsid w:val="006846D7"/>
    <w:pPr>
      <w:spacing w:line="480" w:lineRule="auto"/>
    </w:pPr>
  </w:style>
  <w:style w:type="paragraph" w:customStyle="1" w:styleId="VBChartTitle">
    <w:name w:val="VB_Chart_Title"/>
    <w:basedOn w:val="Normal"/>
    <w:next w:val="Normal"/>
    <w:rsid w:val="006846D7"/>
    <w:pPr>
      <w:spacing w:line="480" w:lineRule="auto"/>
    </w:pPr>
  </w:style>
  <w:style w:type="paragraph" w:customStyle="1" w:styleId="FETableFootnote">
    <w:name w:val="FE_Table_Footnote"/>
    <w:basedOn w:val="Normal"/>
    <w:next w:val="Normal"/>
    <w:rsid w:val="006846D7"/>
    <w:pPr>
      <w:ind w:firstLine="187"/>
    </w:pPr>
  </w:style>
  <w:style w:type="paragraph" w:customStyle="1" w:styleId="FCChartFootnote">
    <w:name w:val="FC_Chart_Footnote"/>
    <w:basedOn w:val="Normal"/>
    <w:next w:val="Normal"/>
    <w:rsid w:val="006846D7"/>
    <w:pPr>
      <w:ind w:firstLine="187"/>
    </w:pPr>
  </w:style>
  <w:style w:type="paragraph" w:customStyle="1" w:styleId="FDSchemeFootnote">
    <w:name w:val="FD_Scheme_Footnote"/>
    <w:basedOn w:val="Normal"/>
    <w:next w:val="Normal"/>
    <w:rsid w:val="006846D7"/>
    <w:pPr>
      <w:ind w:firstLine="187"/>
    </w:pPr>
  </w:style>
  <w:style w:type="paragraph" w:customStyle="1" w:styleId="TCTableBody">
    <w:name w:val="TC_Table_Body"/>
    <w:basedOn w:val="Normal"/>
    <w:rsid w:val="006846D7"/>
  </w:style>
  <w:style w:type="paragraph" w:customStyle="1" w:styleId="AFTitleRunningHead">
    <w:name w:val="AF_Title_Running_Head"/>
    <w:basedOn w:val="Normal"/>
    <w:next w:val="TAMainText"/>
    <w:rsid w:val="006846D7"/>
    <w:pPr>
      <w:spacing w:line="480" w:lineRule="auto"/>
    </w:pPr>
  </w:style>
  <w:style w:type="paragraph" w:customStyle="1" w:styleId="BEAuthorBiography">
    <w:name w:val="BE_Author_Biography"/>
    <w:basedOn w:val="Normal"/>
    <w:rsid w:val="006846D7"/>
    <w:pPr>
      <w:spacing w:line="480" w:lineRule="auto"/>
    </w:pPr>
  </w:style>
  <w:style w:type="paragraph" w:customStyle="1" w:styleId="FACorrespondingAuthorFootnote">
    <w:name w:val="FA_Corresponding_Author_Footnote"/>
    <w:basedOn w:val="Normal"/>
    <w:next w:val="TAMainText"/>
    <w:rsid w:val="006846D7"/>
    <w:pPr>
      <w:spacing w:line="480" w:lineRule="auto"/>
    </w:pPr>
  </w:style>
  <w:style w:type="paragraph" w:customStyle="1" w:styleId="SNSynopsisTOC">
    <w:name w:val="SN_Synopsis_TOC"/>
    <w:basedOn w:val="Normal"/>
    <w:rsid w:val="006846D7"/>
    <w:pPr>
      <w:spacing w:line="480" w:lineRule="auto"/>
    </w:pPr>
  </w:style>
  <w:style w:type="character" w:styleId="Hyperlink">
    <w:name w:val="Hyperlink"/>
    <w:rsid w:val="006846D7"/>
    <w:rPr>
      <w:color w:val="0000FF"/>
      <w:u w:val="single"/>
    </w:rPr>
  </w:style>
  <w:style w:type="paragraph" w:styleId="Footer">
    <w:name w:val="footer"/>
    <w:basedOn w:val="Normal"/>
    <w:link w:val="FooterChar"/>
    <w:uiPriority w:val="99"/>
    <w:rsid w:val="006846D7"/>
    <w:pPr>
      <w:tabs>
        <w:tab w:val="center" w:pos="4320"/>
        <w:tab w:val="right" w:pos="8640"/>
      </w:tabs>
    </w:pPr>
  </w:style>
  <w:style w:type="character" w:customStyle="1" w:styleId="FooterChar">
    <w:name w:val="Footer Char"/>
    <w:basedOn w:val="DefaultParagraphFont"/>
    <w:link w:val="Footer"/>
    <w:uiPriority w:val="99"/>
    <w:rsid w:val="006846D7"/>
    <w:rPr>
      <w:rFonts w:ascii="Times New Roman" w:eastAsia="Times New Roman" w:hAnsi="Times New Roman" w:cs="Times New Roman"/>
      <w:sz w:val="24"/>
      <w:szCs w:val="20"/>
      <w:lang w:val="en-US"/>
    </w:rPr>
  </w:style>
  <w:style w:type="paragraph" w:customStyle="1" w:styleId="BGKeywords">
    <w:name w:val="BG_Keywords"/>
    <w:basedOn w:val="Normal"/>
    <w:rsid w:val="006846D7"/>
    <w:pPr>
      <w:spacing w:line="480" w:lineRule="auto"/>
    </w:pPr>
  </w:style>
  <w:style w:type="paragraph" w:customStyle="1" w:styleId="BHBriefs">
    <w:name w:val="BH_Briefs"/>
    <w:basedOn w:val="Normal"/>
    <w:rsid w:val="006846D7"/>
    <w:pPr>
      <w:spacing w:line="480" w:lineRule="auto"/>
    </w:pPr>
  </w:style>
  <w:style w:type="character" w:styleId="PageNumber">
    <w:name w:val="page number"/>
    <w:basedOn w:val="DefaultParagraphFont"/>
    <w:rsid w:val="006846D7"/>
  </w:style>
  <w:style w:type="paragraph" w:styleId="BalloonText">
    <w:name w:val="Balloon Text"/>
    <w:basedOn w:val="Normal"/>
    <w:link w:val="BalloonTextChar"/>
    <w:semiHidden/>
    <w:rsid w:val="006846D7"/>
    <w:rPr>
      <w:rFonts w:ascii="Tahoma" w:hAnsi="Tahoma" w:cs="Tahoma"/>
      <w:sz w:val="16"/>
      <w:szCs w:val="16"/>
    </w:rPr>
  </w:style>
  <w:style w:type="character" w:customStyle="1" w:styleId="BalloonTextChar">
    <w:name w:val="Balloon Text Char"/>
    <w:basedOn w:val="DefaultParagraphFont"/>
    <w:link w:val="BalloonText"/>
    <w:semiHidden/>
    <w:rsid w:val="006846D7"/>
    <w:rPr>
      <w:rFonts w:ascii="Tahoma" w:eastAsia="Times New Roman" w:hAnsi="Tahoma" w:cs="Tahoma"/>
      <w:sz w:val="16"/>
      <w:szCs w:val="16"/>
      <w:lang w:val="en-US"/>
    </w:rPr>
  </w:style>
  <w:style w:type="paragraph" w:customStyle="1" w:styleId="StyleFACorrespondingAuthorFootnote7pt">
    <w:name w:val="Style FA_Corresponding_Author_Footnote + 7 pt"/>
    <w:basedOn w:val="Normal"/>
    <w:next w:val="BGKeywords"/>
    <w:link w:val="StyleFACorrespondingAuthorFootnote7ptChar"/>
    <w:autoRedefine/>
    <w:rsid w:val="006846D7"/>
    <w:pPr>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6846D7"/>
    <w:rPr>
      <w:rFonts w:ascii="Arno Pro" w:eastAsia="Times New Roman" w:hAnsi="Arno Pro" w:cs="Times New Roman"/>
      <w:kern w:val="20"/>
      <w:sz w:val="18"/>
      <w:szCs w:val="20"/>
      <w:lang w:val="en-US"/>
    </w:rPr>
  </w:style>
  <w:style w:type="paragraph" w:customStyle="1" w:styleId="FAAuthorInfoSubtitle">
    <w:name w:val="FA_Author_Info_Subtitle"/>
    <w:basedOn w:val="Normal"/>
    <w:link w:val="FAAuthorInfoSubtitleChar"/>
    <w:autoRedefine/>
    <w:rsid w:val="006846D7"/>
    <w:pPr>
      <w:spacing w:before="120" w:after="60" w:line="480" w:lineRule="auto"/>
      <w:jc w:val="left"/>
    </w:pPr>
    <w:rPr>
      <w:b/>
    </w:rPr>
  </w:style>
  <w:style w:type="character" w:customStyle="1" w:styleId="FAAuthorInfoSubtitleChar">
    <w:name w:val="FA_Author_Info_Subtitle Char"/>
    <w:link w:val="FAAuthorInfoSubtitle"/>
    <w:rsid w:val="006846D7"/>
    <w:rPr>
      <w:rFonts w:ascii="Times New Roman" w:eastAsia="Times New Roman" w:hAnsi="Times New Roman" w:cs="Times New Roman"/>
      <w:b/>
      <w:sz w:val="24"/>
      <w:szCs w:val="20"/>
      <w:lang w:val="en-US"/>
    </w:rPr>
  </w:style>
  <w:style w:type="numbering" w:customStyle="1" w:styleId="NoList1">
    <w:name w:val="No List1"/>
    <w:next w:val="NoList"/>
    <w:uiPriority w:val="99"/>
    <w:semiHidden/>
    <w:unhideWhenUsed/>
    <w:rsid w:val="006846D7"/>
  </w:style>
  <w:style w:type="paragraph" w:styleId="BodyText2">
    <w:name w:val="Body Text 2"/>
    <w:basedOn w:val="Normal"/>
    <w:link w:val="BodyText2Char"/>
    <w:rsid w:val="006846D7"/>
    <w:pPr>
      <w:autoSpaceDE w:val="0"/>
      <w:autoSpaceDN w:val="0"/>
      <w:adjustRightInd w:val="0"/>
      <w:spacing w:after="120" w:line="480" w:lineRule="auto"/>
    </w:pPr>
    <w:rPr>
      <w:color w:val="000000"/>
      <w:szCs w:val="24"/>
      <w:lang w:val="en-IE" w:eastAsia="en-IE"/>
    </w:rPr>
  </w:style>
  <w:style w:type="character" w:customStyle="1" w:styleId="BodyText2Char">
    <w:name w:val="Body Text 2 Char"/>
    <w:basedOn w:val="DefaultParagraphFont"/>
    <w:link w:val="BodyText2"/>
    <w:rsid w:val="006846D7"/>
    <w:rPr>
      <w:rFonts w:ascii="Times New Roman" w:eastAsia="Times New Roman" w:hAnsi="Times New Roman" w:cs="Times New Roman"/>
      <w:color w:val="000000"/>
      <w:sz w:val="24"/>
      <w:szCs w:val="24"/>
      <w:lang w:val="en-IE" w:eastAsia="en-IE"/>
    </w:rPr>
  </w:style>
  <w:style w:type="paragraph" w:styleId="Header">
    <w:name w:val="header"/>
    <w:basedOn w:val="Normal"/>
    <w:link w:val="HeaderChar"/>
    <w:rsid w:val="006846D7"/>
    <w:pPr>
      <w:tabs>
        <w:tab w:val="center" w:pos="4320"/>
        <w:tab w:val="right" w:pos="8640"/>
      </w:tabs>
      <w:autoSpaceDE w:val="0"/>
      <w:autoSpaceDN w:val="0"/>
      <w:adjustRightInd w:val="0"/>
    </w:pPr>
    <w:rPr>
      <w:color w:val="000000"/>
      <w:szCs w:val="24"/>
      <w:lang w:eastAsia="en-IE"/>
    </w:rPr>
  </w:style>
  <w:style w:type="character" w:customStyle="1" w:styleId="HeaderChar">
    <w:name w:val="Header Char"/>
    <w:basedOn w:val="DefaultParagraphFont"/>
    <w:link w:val="Header"/>
    <w:rsid w:val="006846D7"/>
    <w:rPr>
      <w:rFonts w:ascii="Times New Roman" w:eastAsia="Times New Roman" w:hAnsi="Times New Roman" w:cs="Times New Roman"/>
      <w:color w:val="000000"/>
      <w:sz w:val="24"/>
      <w:szCs w:val="24"/>
      <w:lang w:val="en-US" w:eastAsia="en-IE"/>
    </w:rPr>
  </w:style>
  <w:style w:type="paragraph" w:styleId="Title">
    <w:name w:val="Title"/>
    <w:basedOn w:val="Normal"/>
    <w:link w:val="TitleChar"/>
    <w:qFormat/>
    <w:rsid w:val="006846D7"/>
    <w:pPr>
      <w:autoSpaceDE w:val="0"/>
      <w:autoSpaceDN w:val="0"/>
      <w:adjustRightInd w:val="0"/>
      <w:jc w:val="center"/>
    </w:pPr>
    <w:rPr>
      <w:b/>
      <w:bCs/>
      <w:color w:val="000000"/>
      <w:szCs w:val="24"/>
      <w:u w:val="single"/>
      <w:lang w:eastAsia="en-IE"/>
    </w:rPr>
  </w:style>
  <w:style w:type="character" w:customStyle="1" w:styleId="TitleChar">
    <w:name w:val="Title Char"/>
    <w:basedOn w:val="DefaultParagraphFont"/>
    <w:link w:val="Title"/>
    <w:rsid w:val="006846D7"/>
    <w:rPr>
      <w:rFonts w:ascii="Times New Roman" w:eastAsia="Times New Roman" w:hAnsi="Times New Roman" w:cs="Times New Roman"/>
      <w:b/>
      <w:bCs/>
      <w:color w:val="000000"/>
      <w:sz w:val="24"/>
      <w:szCs w:val="24"/>
      <w:u w:val="single"/>
      <w:lang w:eastAsia="en-IE"/>
    </w:rPr>
  </w:style>
  <w:style w:type="paragraph" w:styleId="NormalWeb">
    <w:name w:val="Normal (Web)"/>
    <w:basedOn w:val="Normal"/>
    <w:rsid w:val="006846D7"/>
    <w:pPr>
      <w:autoSpaceDE w:val="0"/>
      <w:autoSpaceDN w:val="0"/>
      <w:adjustRightInd w:val="0"/>
      <w:spacing w:before="100" w:beforeAutospacing="1" w:after="100" w:afterAutospacing="1"/>
    </w:pPr>
    <w:rPr>
      <w:color w:val="000000"/>
      <w:szCs w:val="24"/>
      <w:lang w:eastAsia="en-IE"/>
    </w:rPr>
  </w:style>
  <w:style w:type="paragraph" w:styleId="Subtitle">
    <w:name w:val="Subtitle"/>
    <w:basedOn w:val="Normal"/>
    <w:link w:val="SubtitleChar"/>
    <w:rsid w:val="006846D7"/>
    <w:pPr>
      <w:autoSpaceDE w:val="0"/>
      <w:autoSpaceDN w:val="0"/>
      <w:adjustRightInd w:val="0"/>
      <w:jc w:val="center"/>
    </w:pPr>
    <w:rPr>
      <w:b/>
      <w:bCs/>
      <w:i/>
      <w:iCs/>
      <w:color w:val="0000FF"/>
      <w:szCs w:val="24"/>
      <w:lang w:eastAsia="en-IE"/>
    </w:rPr>
  </w:style>
  <w:style w:type="character" w:customStyle="1" w:styleId="SubtitleChar">
    <w:name w:val="Subtitle Char"/>
    <w:basedOn w:val="DefaultParagraphFont"/>
    <w:link w:val="Subtitle"/>
    <w:rsid w:val="006846D7"/>
    <w:rPr>
      <w:rFonts w:ascii="Times New Roman" w:eastAsia="Times New Roman" w:hAnsi="Times New Roman" w:cs="Times New Roman"/>
      <w:b/>
      <w:bCs/>
      <w:i/>
      <w:iCs/>
      <w:color w:val="0000FF"/>
      <w:sz w:val="24"/>
      <w:szCs w:val="24"/>
      <w:lang w:eastAsia="en-IE"/>
    </w:rPr>
  </w:style>
  <w:style w:type="table" w:styleId="TableGrid">
    <w:name w:val="Table Grid"/>
    <w:basedOn w:val="TableNormal"/>
    <w:rsid w:val="006846D7"/>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hievement">
    <w:name w:val="Achievement"/>
    <w:basedOn w:val="BodyText"/>
    <w:autoRedefine/>
    <w:rsid w:val="006846D7"/>
    <w:pPr>
      <w:autoSpaceDE w:val="0"/>
      <w:autoSpaceDN w:val="0"/>
      <w:adjustRightInd w:val="0"/>
      <w:spacing w:after="60" w:line="220" w:lineRule="atLeast"/>
      <w:ind w:left="360" w:right="48" w:hanging="360"/>
      <w:jc w:val="left"/>
    </w:pPr>
    <w:rPr>
      <w:b w:val="0"/>
      <w:color w:val="000000"/>
      <w:sz w:val="24"/>
      <w:szCs w:val="24"/>
      <w:lang w:eastAsia="en-IE"/>
    </w:rPr>
  </w:style>
  <w:style w:type="character" w:styleId="CommentReference">
    <w:name w:val="annotation reference"/>
    <w:rsid w:val="006846D7"/>
    <w:rPr>
      <w:sz w:val="16"/>
      <w:szCs w:val="16"/>
    </w:rPr>
  </w:style>
  <w:style w:type="paragraph" w:styleId="CommentText">
    <w:name w:val="annotation text"/>
    <w:basedOn w:val="Normal"/>
    <w:link w:val="CommentTextChar"/>
    <w:rsid w:val="006846D7"/>
    <w:pPr>
      <w:autoSpaceDE w:val="0"/>
      <w:autoSpaceDN w:val="0"/>
      <w:adjustRightInd w:val="0"/>
    </w:pPr>
    <w:rPr>
      <w:color w:val="000000"/>
      <w:szCs w:val="24"/>
      <w:lang w:val="en-IE" w:eastAsia="en-IE"/>
    </w:rPr>
  </w:style>
  <w:style w:type="character" w:customStyle="1" w:styleId="CommentTextChar">
    <w:name w:val="Comment Text Char"/>
    <w:basedOn w:val="DefaultParagraphFont"/>
    <w:link w:val="CommentText"/>
    <w:rsid w:val="006846D7"/>
    <w:rPr>
      <w:rFonts w:ascii="Times New Roman" w:eastAsia="Times New Roman" w:hAnsi="Times New Roman" w:cs="Times New Roman"/>
      <w:color w:val="000000"/>
      <w:sz w:val="24"/>
      <w:szCs w:val="24"/>
      <w:lang w:val="en-IE" w:eastAsia="en-IE"/>
    </w:rPr>
  </w:style>
  <w:style w:type="paragraph" w:styleId="CommentSubject">
    <w:name w:val="annotation subject"/>
    <w:basedOn w:val="CommentText"/>
    <w:next w:val="CommentText"/>
    <w:link w:val="CommentSubjectChar"/>
    <w:rsid w:val="006846D7"/>
    <w:rPr>
      <w:b/>
      <w:bCs/>
    </w:rPr>
  </w:style>
  <w:style w:type="character" w:customStyle="1" w:styleId="CommentSubjectChar">
    <w:name w:val="Comment Subject Char"/>
    <w:basedOn w:val="CommentTextChar"/>
    <w:link w:val="CommentSubject"/>
    <w:rsid w:val="006846D7"/>
    <w:rPr>
      <w:rFonts w:ascii="Times New Roman" w:eastAsia="Times New Roman" w:hAnsi="Times New Roman" w:cs="Times New Roman"/>
      <w:b/>
      <w:bCs/>
      <w:color w:val="000000"/>
      <w:sz w:val="24"/>
      <w:szCs w:val="24"/>
      <w:lang w:val="en-IE" w:eastAsia="en-IE"/>
    </w:rPr>
  </w:style>
  <w:style w:type="paragraph" w:styleId="ListParagraph">
    <w:name w:val="List Paragraph"/>
    <w:basedOn w:val="Normal"/>
    <w:uiPriority w:val="34"/>
    <w:rsid w:val="006846D7"/>
    <w:pPr>
      <w:autoSpaceDE w:val="0"/>
      <w:autoSpaceDN w:val="0"/>
      <w:adjustRightInd w:val="0"/>
      <w:ind w:left="720"/>
    </w:pPr>
    <w:rPr>
      <w:color w:val="000000"/>
      <w:szCs w:val="24"/>
      <w:lang w:val="en-IE" w:eastAsia="en-IE"/>
    </w:rPr>
  </w:style>
  <w:style w:type="paragraph" w:styleId="Revision">
    <w:name w:val="Revision"/>
    <w:hidden/>
    <w:uiPriority w:val="99"/>
    <w:semiHidden/>
    <w:rsid w:val="006846D7"/>
    <w:pPr>
      <w:spacing w:after="0" w:line="240" w:lineRule="auto"/>
    </w:pPr>
    <w:rPr>
      <w:rFonts w:ascii="Times New Roman" w:eastAsia="Times New Roman" w:hAnsi="Times New Roman" w:cs="Times New Roman"/>
      <w:sz w:val="20"/>
      <w:szCs w:val="20"/>
      <w:lang w:val="en-IE"/>
    </w:rPr>
  </w:style>
  <w:style w:type="character" w:styleId="Emphasis">
    <w:name w:val="Emphasis"/>
    <w:basedOn w:val="DefaultParagraphFont"/>
    <w:qFormat/>
    <w:rsid w:val="006846D7"/>
    <w:rPr>
      <w:i/>
      <w:iCs/>
    </w:rPr>
  </w:style>
  <w:style w:type="table" w:styleId="LightShading">
    <w:name w:val="Light Shading"/>
    <w:basedOn w:val="TableNormal"/>
    <w:uiPriority w:val="60"/>
    <w:rsid w:val="006846D7"/>
    <w:pPr>
      <w:spacing w:after="0" w:line="240" w:lineRule="auto"/>
    </w:pPr>
    <w:rPr>
      <w:rFonts w:ascii="Times New Roman" w:eastAsia="Times New Roman" w:hAnsi="Times New Roman" w:cs="Times New Roman"/>
      <w:color w:val="000000" w:themeColor="text1" w:themeShade="BF"/>
      <w:sz w:val="20"/>
      <w:szCs w:val="20"/>
      <w:lang w:val="en-IE" w:eastAsia="en-I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1">
    <w:name w:val="Light Shading1"/>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
    <w:name w:val="Light Shading2"/>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
    <w:name w:val="Light Shading3"/>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
    <w:name w:val="Table Grid1"/>
    <w:basedOn w:val="TableNormal"/>
    <w:next w:val="TableGrid"/>
    <w:uiPriority w:val="59"/>
    <w:rsid w:val="006846D7"/>
    <w:pPr>
      <w:spacing w:after="0" w:line="240" w:lineRule="auto"/>
    </w:pPr>
    <w:rPr>
      <w:rFonts w:ascii="Times New Roman" w:eastAsia="Calibri" w:hAnsi="Times New Roman" w:cs="Times New Roman"/>
      <w:sz w:val="20"/>
      <w:szCs w:val="20"/>
      <w:lang w:val="en-IE" w:eastAsia="en-I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6846D7"/>
    <w:pPr>
      <w:spacing w:after="0" w:line="240" w:lineRule="auto"/>
    </w:pPr>
    <w:rPr>
      <w:rFonts w:ascii="Times New Roman" w:eastAsia="Calibri" w:hAnsi="Times New Roman" w:cs="Times New Roman"/>
      <w:sz w:val="20"/>
      <w:szCs w:val="20"/>
      <w:lang w:val="en-IE" w:eastAsia="en-I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4">
    <w:name w:val="Light Shading4"/>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able">
    <w:name w:val="Table"/>
    <w:basedOn w:val="Normal"/>
    <w:link w:val="TableChar"/>
    <w:qFormat/>
    <w:rsid w:val="006846D7"/>
    <w:pPr>
      <w:tabs>
        <w:tab w:val="left" w:pos="284"/>
      </w:tabs>
      <w:jc w:val="left"/>
    </w:pPr>
    <w:rPr>
      <w:rFonts w:eastAsia="Calibri"/>
      <w:i/>
      <w:sz w:val="22"/>
      <w:szCs w:val="22"/>
    </w:rPr>
  </w:style>
  <w:style w:type="character" w:customStyle="1" w:styleId="TableChar">
    <w:name w:val="Table Char"/>
    <w:link w:val="Table"/>
    <w:rsid w:val="006846D7"/>
    <w:rPr>
      <w:rFonts w:ascii="Times New Roman" w:eastAsia="Calibri" w:hAnsi="Times New Roman" w:cs="Times New Roman"/>
      <w:i/>
    </w:rPr>
  </w:style>
  <w:style w:type="table" w:customStyle="1" w:styleId="LightShading5">
    <w:name w:val="Light Shading5"/>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7StandardText">
    <w:name w:val="7 Standard Text"/>
    <w:basedOn w:val="Normal"/>
    <w:link w:val="7StandardTextChar"/>
    <w:qFormat/>
    <w:rsid w:val="006846D7"/>
    <w:pPr>
      <w:autoSpaceDE w:val="0"/>
      <w:autoSpaceDN w:val="0"/>
      <w:adjustRightInd w:val="0"/>
    </w:pPr>
    <w:rPr>
      <w:rFonts w:eastAsia="Calibri"/>
      <w:color w:val="000000"/>
      <w:szCs w:val="24"/>
      <w:lang w:val="en-IE" w:eastAsia="en-IE"/>
    </w:rPr>
  </w:style>
  <w:style w:type="character" w:customStyle="1" w:styleId="7StandardTextChar">
    <w:name w:val="7 Standard Text Char"/>
    <w:link w:val="7StandardText"/>
    <w:rsid w:val="006846D7"/>
    <w:rPr>
      <w:rFonts w:ascii="Times New Roman" w:eastAsia="Calibri" w:hAnsi="Times New Roman" w:cs="Times New Roman"/>
      <w:color w:val="000000"/>
      <w:sz w:val="24"/>
      <w:szCs w:val="24"/>
      <w:lang w:val="en-IE" w:eastAsia="en-IE"/>
    </w:rPr>
  </w:style>
  <w:style w:type="table" w:customStyle="1" w:styleId="LightShading6">
    <w:name w:val="Light Shading6"/>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7">
    <w:name w:val="Light Shading7"/>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
    <w:name w:val="Light Shading21"/>
    <w:basedOn w:val="TableNormal"/>
    <w:next w:val="LightShading"/>
    <w:uiPriority w:val="60"/>
    <w:rsid w:val="006846D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8">
    <w:name w:val="Light Shading8"/>
    <w:basedOn w:val="TableNormal"/>
    <w:next w:val="LightShading"/>
    <w:uiPriority w:val="60"/>
    <w:rsid w:val="006846D7"/>
    <w:pPr>
      <w:spacing w:after="0" w:line="240" w:lineRule="auto"/>
    </w:pPr>
    <w:rPr>
      <w:rFonts w:ascii="Calibri" w:eastAsia="Calibri" w:hAnsi="Calibri" w:cs="Times New Roman"/>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igure">
    <w:name w:val="Figure"/>
    <w:basedOn w:val="Normal"/>
    <w:link w:val="FigureChar"/>
    <w:qFormat/>
    <w:rsid w:val="006846D7"/>
    <w:pPr>
      <w:autoSpaceDE w:val="0"/>
      <w:autoSpaceDN w:val="0"/>
      <w:adjustRightInd w:val="0"/>
      <w:spacing w:line="240" w:lineRule="auto"/>
      <w:jc w:val="center"/>
    </w:pPr>
    <w:rPr>
      <w:rFonts w:eastAsia="Calibri"/>
      <w:i/>
      <w:color w:val="000000"/>
      <w:sz w:val="22"/>
      <w:szCs w:val="22"/>
      <w:lang w:val="en-IE" w:eastAsia="en-IE"/>
    </w:rPr>
  </w:style>
  <w:style w:type="character" w:customStyle="1" w:styleId="FigureChar">
    <w:name w:val="Figure Char"/>
    <w:basedOn w:val="DefaultParagraphFont"/>
    <w:link w:val="Figure"/>
    <w:rsid w:val="006846D7"/>
    <w:rPr>
      <w:rFonts w:ascii="Times New Roman" w:eastAsia="Calibri" w:hAnsi="Times New Roman" w:cs="Times New Roman"/>
      <w:i/>
      <w:color w:val="000000"/>
      <w:lang w:val="en-IE" w:eastAsia="en-IE"/>
    </w:rPr>
  </w:style>
  <w:style w:type="paragraph" w:styleId="Caption">
    <w:name w:val="caption"/>
    <w:basedOn w:val="Normal"/>
    <w:next w:val="Normal"/>
    <w:unhideWhenUsed/>
    <w:rsid w:val="006846D7"/>
    <w:pPr>
      <w:autoSpaceDE w:val="0"/>
      <w:autoSpaceDN w:val="0"/>
      <w:adjustRightInd w:val="0"/>
    </w:pPr>
    <w:rPr>
      <w:b/>
      <w:bCs/>
      <w:color w:val="5B9BD5" w:themeColor="accent1"/>
      <w:sz w:val="18"/>
      <w:szCs w:val="18"/>
      <w:lang w:val="en-IE" w:eastAsia="en-IE"/>
    </w:rPr>
  </w:style>
  <w:style w:type="character" w:customStyle="1" w:styleId="normaltext">
    <w:name w:val="normaltext"/>
    <w:basedOn w:val="DefaultParagraphFont"/>
    <w:rsid w:val="006846D7"/>
  </w:style>
  <w:style w:type="paragraph" w:customStyle="1" w:styleId="EndNoteBibliographyTitle">
    <w:name w:val="EndNote Bibliography Title"/>
    <w:basedOn w:val="Normal"/>
    <w:link w:val="EndNoteBibliographyTitleChar"/>
    <w:rsid w:val="006846D7"/>
    <w:pPr>
      <w:autoSpaceDE w:val="0"/>
      <w:autoSpaceDN w:val="0"/>
      <w:adjustRightInd w:val="0"/>
      <w:jc w:val="center"/>
    </w:pPr>
    <w:rPr>
      <w:rFonts w:eastAsia="Calibri"/>
      <w:noProof/>
      <w:color w:val="000000"/>
      <w:szCs w:val="24"/>
      <w:lang w:val="en-IE" w:eastAsia="en-IE"/>
    </w:rPr>
  </w:style>
  <w:style w:type="character" w:customStyle="1" w:styleId="EndNoteBibliographyTitleChar">
    <w:name w:val="EndNote Bibliography Title Char"/>
    <w:basedOn w:val="7StandardTextChar"/>
    <w:link w:val="EndNoteBibliographyTitle"/>
    <w:rsid w:val="006846D7"/>
    <w:rPr>
      <w:rFonts w:ascii="Times New Roman" w:eastAsia="Calibri" w:hAnsi="Times New Roman" w:cs="Times New Roman"/>
      <w:noProof/>
      <w:color w:val="000000"/>
      <w:sz w:val="24"/>
      <w:szCs w:val="24"/>
      <w:lang w:val="en-IE" w:eastAsia="en-IE"/>
    </w:rPr>
  </w:style>
  <w:style w:type="paragraph" w:customStyle="1" w:styleId="EndNoteBibliography">
    <w:name w:val="EndNote Bibliography"/>
    <w:basedOn w:val="Normal"/>
    <w:link w:val="EndNoteBibliographyChar"/>
    <w:rsid w:val="006846D7"/>
    <w:pPr>
      <w:autoSpaceDE w:val="0"/>
      <w:autoSpaceDN w:val="0"/>
      <w:adjustRightInd w:val="0"/>
      <w:spacing w:line="240" w:lineRule="auto"/>
    </w:pPr>
    <w:rPr>
      <w:rFonts w:eastAsia="Calibri"/>
      <w:noProof/>
      <w:color w:val="000000"/>
      <w:szCs w:val="24"/>
      <w:lang w:val="en-IE" w:eastAsia="en-IE"/>
    </w:rPr>
  </w:style>
  <w:style w:type="character" w:customStyle="1" w:styleId="EndNoteBibliographyChar">
    <w:name w:val="EndNote Bibliography Char"/>
    <w:basedOn w:val="7StandardTextChar"/>
    <w:link w:val="EndNoteBibliography"/>
    <w:rsid w:val="006846D7"/>
    <w:rPr>
      <w:rFonts w:ascii="Times New Roman" w:eastAsia="Calibri" w:hAnsi="Times New Roman" w:cs="Times New Roman"/>
      <w:noProof/>
      <w:color w:val="000000"/>
      <w:sz w:val="24"/>
      <w:szCs w:val="24"/>
      <w:lang w:val="en-IE" w:eastAsia="en-IE"/>
    </w:rPr>
  </w:style>
  <w:style w:type="character" w:styleId="PlaceholderText">
    <w:name w:val="Placeholder Text"/>
    <w:basedOn w:val="DefaultParagraphFont"/>
    <w:uiPriority w:val="99"/>
    <w:semiHidden/>
    <w:rsid w:val="006846D7"/>
    <w:rPr>
      <w:color w:val="808080"/>
    </w:rPr>
  </w:style>
  <w:style w:type="character" w:styleId="LineNumber">
    <w:name w:val="line number"/>
    <w:basedOn w:val="DefaultParagraphFont"/>
    <w:rsid w:val="006846D7"/>
  </w:style>
  <w:style w:type="table" w:customStyle="1" w:styleId="LightShading61">
    <w:name w:val="Light Shading61"/>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
    <w:name w:val="Table Grid3"/>
    <w:basedOn w:val="TableNormal"/>
    <w:next w:val="TableGrid"/>
    <w:rsid w:val="006846D7"/>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2">
    <w:name w:val="Light Shading62"/>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3">
    <w:name w:val="Light Shading63"/>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4">
    <w:name w:val="Light Shading64"/>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5">
    <w:name w:val="Light Shading65"/>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9">
    <w:name w:val="Light Shading9"/>
    <w:basedOn w:val="TableNormal"/>
    <w:next w:val="LightShading"/>
    <w:uiPriority w:val="60"/>
    <w:rsid w:val="006846D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PlainTable11">
    <w:name w:val="Plain Table 11"/>
    <w:basedOn w:val="TableNormal"/>
    <w:uiPriority w:val="41"/>
    <w:rsid w:val="006846D7"/>
    <w:pPr>
      <w:spacing w:after="0" w:line="240" w:lineRule="auto"/>
    </w:pPr>
    <w:rPr>
      <w:rFonts w:ascii="New York" w:eastAsia="Times New Roman" w:hAnsi="New York"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ubtleEmphasis">
    <w:name w:val="Subtle Emphasis"/>
    <w:basedOn w:val="DefaultParagraphFont"/>
    <w:uiPriority w:val="19"/>
    <w:rsid w:val="006846D7"/>
    <w:rPr>
      <w:i/>
      <w:iCs/>
      <w:color w:val="404040" w:themeColor="text1" w:themeTint="BF"/>
    </w:rPr>
  </w:style>
  <w:style w:type="table" w:customStyle="1" w:styleId="LightShading12">
    <w:name w:val="Light Shading12"/>
    <w:basedOn w:val="TableNormal"/>
    <w:next w:val="LightShading"/>
    <w:uiPriority w:val="60"/>
    <w:rsid w:val="006846D7"/>
    <w:pPr>
      <w:spacing w:after="0" w:line="240" w:lineRule="auto"/>
    </w:pPr>
    <w:rPr>
      <w:rFonts w:ascii="Times New Roman" w:eastAsia="Calibri" w:hAnsi="Times New Roman" w:cs="Times New Roman"/>
      <w:color w:val="000000"/>
      <w:sz w:val="20"/>
      <w:szCs w:val="2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ndNoteCategoryHeading">
    <w:name w:val="EndNote Category Heading"/>
    <w:basedOn w:val="Normal"/>
    <w:link w:val="EndNoteCategoryHeadingChar"/>
    <w:rsid w:val="006846D7"/>
    <w:pPr>
      <w:spacing w:before="120" w:after="120"/>
      <w:jc w:val="left"/>
    </w:pPr>
    <w:rPr>
      <w:b/>
      <w:noProof/>
    </w:rPr>
  </w:style>
  <w:style w:type="character" w:customStyle="1" w:styleId="EndNoteCategoryHeadingChar">
    <w:name w:val="EndNote Category Heading Char"/>
    <w:basedOn w:val="DefaultParagraphFont"/>
    <w:link w:val="EndNoteCategoryHeading"/>
    <w:rsid w:val="006846D7"/>
    <w:rPr>
      <w:rFonts w:ascii="Times New Roman" w:eastAsia="Times New Roman" w:hAnsi="Times New Roman" w:cs="Times New Roman"/>
      <w:b/>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44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gallagher@bangor.ac.uk" TargetMode="External"/><Relationship Id="rId13" Type="http://schemas.openxmlformats.org/officeDocument/2006/relationships/hyperlink" Target="http://www.isa.org.usyd.edu.au/research/InformationSheets/ISATBLInfo19_new.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toolglobal.com/wp-content/uploads/2012/10/Embodied-Energy-Paper-Richard-Hayne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86EF0-7E62-4C46-921B-83A57222D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21</Pages>
  <Words>13848</Words>
  <Characters>78935</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92598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Gallagher</dc:creator>
  <cp:lastModifiedBy>John Gallagher</cp:lastModifiedBy>
  <cp:revision>14</cp:revision>
  <dcterms:created xsi:type="dcterms:W3CDTF">2015-10-08T05:56:00Z</dcterms:created>
  <dcterms:modified xsi:type="dcterms:W3CDTF">2017-04-04T16:39:00Z</dcterms:modified>
</cp:coreProperties>
</file>