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2F81D7" w14:textId="77777777" w:rsidR="00CF57D8" w:rsidRDefault="00CF57D8" w:rsidP="00864C8D">
      <w:pPr>
        <w:pStyle w:val="Title"/>
        <w:spacing w:after="0"/>
        <w:jc w:val="both"/>
        <w:rPr>
          <w:rFonts w:ascii="Times New Roman" w:hAnsi="Times New Roman" w:cs="Times New Roman"/>
          <w:sz w:val="32"/>
          <w:szCs w:val="32"/>
          <w:lang w:val="en-US"/>
        </w:rPr>
      </w:pPr>
      <w:r w:rsidRPr="008817C4">
        <w:rPr>
          <w:rFonts w:ascii="Times New Roman" w:hAnsi="Times New Roman" w:cs="Times New Roman"/>
          <w:b/>
          <w:bCs/>
          <w:sz w:val="32"/>
          <w:szCs w:val="32"/>
          <w:lang w:val="en-US"/>
        </w:rPr>
        <w:t xml:space="preserve">Generative AI Platforms as Institutional Catalysts of Digital Entrepreneurship: </w:t>
      </w:r>
      <w:r w:rsidRPr="008817C4">
        <w:rPr>
          <w:rFonts w:ascii="Times New Roman" w:hAnsi="Times New Roman" w:cs="Times New Roman"/>
          <w:sz w:val="32"/>
          <w:szCs w:val="32"/>
          <w:lang w:val="en-US"/>
        </w:rPr>
        <w:t>Enablement, Dependence and Power Dynamics</w:t>
      </w:r>
    </w:p>
    <w:p w14:paraId="22D66A6F" w14:textId="77777777" w:rsidR="00DB1FFE" w:rsidRDefault="00DB1FFE" w:rsidP="00DB1FFE">
      <w:pPr>
        <w:rPr>
          <w:lang w:val="en-US"/>
        </w:rPr>
      </w:pPr>
    </w:p>
    <w:p w14:paraId="15E6D7F4" w14:textId="77777777" w:rsidR="00ED24E6" w:rsidRDefault="00ED24E6" w:rsidP="00ED24E6">
      <w:pPr>
        <w:spacing w:after="0" w:line="360" w:lineRule="auto"/>
        <w:jc w:val="center"/>
        <w:rPr>
          <w:rFonts w:ascii="Times New Roman" w:hAnsi="Times New Roman" w:cs="Times New Roman"/>
          <w:b/>
          <w:bCs/>
        </w:rPr>
      </w:pPr>
      <w:r w:rsidRPr="00ED24E6">
        <w:rPr>
          <w:rFonts w:ascii="Times New Roman" w:hAnsi="Times New Roman" w:cs="Times New Roman"/>
          <w:b/>
          <w:bCs/>
        </w:rPr>
        <w:t>Abstract</w:t>
      </w:r>
    </w:p>
    <w:p w14:paraId="5B95302F" w14:textId="1C6EEAAF" w:rsidR="00ED24E6" w:rsidRDefault="00ED24E6" w:rsidP="00227EBD">
      <w:pPr>
        <w:spacing w:line="480" w:lineRule="auto"/>
        <w:jc w:val="both"/>
        <w:rPr>
          <w:rFonts w:ascii="Times New Roman" w:hAnsi="Times New Roman" w:cs="Times New Roman"/>
        </w:rPr>
      </w:pPr>
      <w:r w:rsidRPr="00ED24E6">
        <w:rPr>
          <w:rFonts w:ascii="Times New Roman" w:hAnsi="Times New Roman" w:cs="Times New Roman"/>
        </w:rPr>
        <w:t>This study theorizes how</w:t>
      </w:r>
      <w:r w:rsidR="00371282">
        <w:rPr>
          <w:rFonts w:ascii="Times New Roman" w:hAnsi="Times New Roman" w:cs="Times New Roman"/>
        </w:rPr>
        <w:t xml:space="preserve"> recent</w:t>
      </w:r>
      <w:r w:rsidRPr="00ED24E6">
        <w:rPr>
          <w:rFonts w:ascii="Times New Roman" w:hAnsi="Times New Roman" w:cs="Times New Roman"/>
        </w:rPr>
        <w:t xml:space="preserve"> generative AI (Gen AI) platforms operate as institutional catalysts of platform-dependent entrepreneurship (PDE). </w:t>
      </w:r>
      <w:r w:rsidR="00D4503D" w:rsidRPr="00D4503D">
        <w:rPr>
          <w:rFonts w:ascii="Times New Roman" w:hAnsi="Times New Roman" w:cs="Times New Roman"/>
        </w:rPr>
        <w:t xml:space="preserve">Integrating institutional theory, the external enablement </w:t>
      </w:r>
      <w:r w:rsidR="0015422F">
        <w:rPr>
          <w:rFonts w:ascii="Times New Roman" w:hAnsi="Times New Roman" w:cs="Times New Roman"/>
        </w:rPr>
        <w:t>framework</w:t>
      </w:r>
      <w:r w:rsidR="00D4503D" w:rsidRPr="00D4503D">
        <w:rPr>
          <w:rFonts w:ascii="Times New Roman" w:hAnsi="Times New Roman" w:cs="Times New Roman"/>
        </w:rPr>
        <w:t xml:space="preserve">, and innovation platform theory, we propose an integrative framework for </w:t>
      </w:r>
      <w:r w:rsidR="0015422F">
        <w:rPr>
          <w:rFonts w:ascii="Times New Roman" w:hAnsi="Times New Roman" w:cs="Times New Roman"/>
        </w:rPr>
        <w:t xml:space="preserve">explaining </w:t>
      </w:r>
      <w:r w:rsidR="00D4503D" w:rsidRPr="00D4503D">
        <w:rPr>
          <w:rFonts w:ascii="Times New Roman" w:hAnsi="Times New Roman" w:cs="Times New Roman"/>
        </w:rPr>
        <w:t>the emergence of PDE under reliance on non-substitutable, platform-governed capabilities.</w:t>
      </w:r>
      <w:r w:rsidR="0015422F">
        <w:rPr>
          <w:rFonts w:ascii="Times New Roman" w:hAnsi="Times New Roman" w:cs="Times New Roman"/>
        </w:rPr>
        <w:t xml:space="preserve"> </w:t>
      </w:r>
      <w:r w:rsidRPr="00ED24E6">
        <w:rPr>
          <w:rFonts w:ascii="Times New Roman" w:hAnsi="Times New Roman" w:cs="Times New Roman"/>
        </w:rPr>
        <w:t xml:space="preserve">Using an abductive mixed-method case study of OpenAI’s ecosystem (2020–2025), we trace how governance, boundary resources, and institutional signals shape entrepreneurial feasibility, scaling, and vulnerability. Our analysis identifies four catalytic </w:t>
      </w:r>
      <w:r w:rsidR="00C64FC6">
        <w:rPr>
          <w:rFonts w:ascii="Times New Roman" w:hAnsi="Times New Roman" w:cs="Times New Roman"/>
        </w:rPr>
        <w:t xml:space="preserve">institutional </w:t>
      </w:r>
      <w:r w:rsidRPr="00ED24E6">
        <w:rPr>
          <w:rFonts w:ascii="Times New Roman" w:hAnsi="Times New Roman" w:cs="Times New Roman"/>
        </w:rPr>
        <w:t xml:space="preserve">mechanisms—Infrastructure Provision, Capability Scaffolding, Market Legitimization, and Ecosystem Orchestration—that enable venture creation while simultaneously generating dependence. Temporal analysis reveals </w:t>
      </w:r>
      <w:r w:rsidR="000F56CB">
        <w:rPr>
          <w:rFonts w:ascii="Times New Roman" w:hAnsi="Times New Roman" w:cs="Times New Roman"/>
        </w:rPr>
        <w:t>an</w:t>
      </w:r>
      <w:r w:rsidRPr="00ED24E6">
        <w:rPr>
          <w:rFonts w:ascii="Times New Roman" w:hAnsi="Times New Roman" w:cs="Times New Roman"/>
        </w:rPr>
        <w:t xml:space="preserve"> </w:t>
      </w:r>
      <w:r w:rsidRPr="00BA3181">
        <w:rPr>
          <w:rFonts w:ascii="Times New Roman" w:hAnsi="Times New Roman" w:cs="Times New Roman"/>
        </w:rPr>
        <w:t>enablement–dependence paradox</w:t>
      </w:r>
      <w:r w:rsidRPr="00ED24E6">
        <w:rPr>
          <w:rFonts w:ascii="Times New Roman" w:hAnsi="Times New Roman" w:cs="Times New Roman"/>
        </w:rPr>
        <w:t xml:space="preserve">: platforms accelerate entry by democratizing frontier </w:t>
      </w:r>
      <w:proofErr w:type="gramStart"/>
      <w:r w:rsidRPr="00ED24E6">
        <w:rPr>
          <w:rFonts w:ascii="Times New Roman" w:hAnsi="Times New Roman" w:cs="Times New Roman"/>
        </w:rPr>
        <w:t>capabilities, yet</w:t>
      </w:r>
      <w:proofErr w:type="gramEnd"/>
      <w:r w:rsidRPr="00ED24E6">
        <w:rPr>
          <w:rFonts w:ascii="Times New Roman" w:hAnsi="Times New Roman" w:cs="Times New Roman"/>
        </w:rPr>
        <w:t xml:space="preserve"> accumulate dependencies that expose ventures to governance shocks. Empirically, we show how enthusiasm gave way to crisis during OpenAI’s GPT-5 release, illustrating governance overreach, trust erosion cascades, and choice removal as control. We conclude with theoretical, strategic, and policy implications.</w:t>
      </w:r>
    </w:p>
    <w:p w14:paraId="1EE8CD96" w14:textId="32F36B9F" w:rsidR="00BA3181" w:rsidRPr="00227EBD" w:rsidRDefault="00BA3181" w:rsidP="00227EBD">
      <w:pPr>
        <w:pStyle w:val="ListParagraph"/>
        <w:numPr>
          <w:ilvl w:val="0"/>
          <w:numId w:val="3"/>
        </w:numPr>
        <w:spacing w:line="360" w:lineRule="auto"/>
        <w:jc w:val="both"/>
        <w:rPr>
          <w:lang w:val="en-US"/>
        </w:rPr>
      </w:pPr>
      <w:r w:rsidRPr="00227EBD">
        <w:rPr>
          <w:rFonts w:ascii="Times New Roman" w:hAnsi="Times New Roman" w:cs="Times New Roman"/>
          <w:b/>
          <w:bCs/>
        </w:rPr>
        <w:t>Keywords:</w:t>
      </w:r>
      <w:r w:rsidRPr="00227EBD">
        <w:rPr>
          <w:rFonts w:ascii="Times New Roman" w:hAnsi="Times New Roman" w:cs="Times New Roman"/>
        </w:rPr>
        <w:t xml:space="preserve"> Institutional Catalysts</w:t>
      </w:r>
      <w:r w:rsidR="00227EBD" w:rsidRPr="00227EBD">
        <w:rPr>
          <w:rFonts w:ascii="Times New Roman" w:hAnsi="Times New Roman" w:cs="Times New Roman"/>
        </w:rPr>
        <w:t xml:space="preserve">, External Enablement, Innovation Platform, Governance, Dependence </w:t>
      </w:r>
    </w:p>
    <w:p w14:paraId="798D194A" w14:textId="77777777" w:rsidR="00227EBD" w:rsidRDefault="00227EBD" w:rsidP="00227EBD">
      <w:pPr>
        <w:spacing w:line="360" w:lineRule="auto"/>
        <w:jc w:val="both"/>
        <w:rPr>
          <w:lang w:val="en-US"/>
        </w:rPr>
      </w:pPr>
    </w:p>
    <w:p w14:paraId="787DCCB0" w14:textId="77777777" w:rsidR="00227EBD" w:rsidRDefault="00227EBD" w:rsidP="00227EBD">
      <w:pPr>
        <w:spacing w:line="360" w:lineRule="auto"/>
        <w:jc w:val="both"/>
        <w:rPr>
          <w:lang w:val="en-US"/>
        </w:rPr>
      </w:pPr>
    </w:p>
    <w:p w14:paraId="7FD3194E" w14:textId="77777777" w:rsidR="00227EBD" w:rsidRDefault="00227EBD" w:rsidP="00227EBD">
      <w:pPr>
        <w:spacing w:line="360" w:lineRule="auto"/>
        <w:jc w:val="both"/>
        <w:rPr>
          <w:lang w:val="en-US"/>
        </w:rPr>
      </w:pPr>
    </w:p>
    <w:p w14:paraId="7B44A740" w14:textId="77777777" w:rsidR="00227EBD" w:rsidRDefault="00227EBD" w:rsidP="00227EBD">
      <w:pPr>
        <w:spacing w:line="360" w:lineRule="auto"/>
        <w:jc w:val="both"/>
        <w:rPr>
          <w:lang w:val="en-US"/>
        </w:rPr>
      </w:pPr>
    </w:p>
    <w:p w14:paraId="5FA13A6F" w14:textId="77777777" w:rsidR="00227EBD" w:rsidRDefault="00227EBD" w:rsidP="00227EBD">
      <w:pPr>
        <w:spacing w:line="360" w:lineRule="auto"/>
        <w:jc w:val="both"/>
        <w:rPr>
          <w:lang w:val="en-US"/>
        </w:rPr>
      </w:pPr>
    </w:p>
    <w:p w14:paraId="395A4A44" w14:textId="77777777" w:rsidR="00227EBD" w:rsidRPr="00227EBD" w:rsidRDefault="00227EBD" w:rsidP="00227EBD">
      <w:pPr>
        <w:spacing w:line="360" w:lineRule="auto"/>
        <w:jc w:val="both"/>
        <w:rPr>
          <w:lang w:val="en-US"/>
        </w:rPr>
      </w:pPr>
    </w:p>
    <w:p w14:paraId="74D479D3" w14:textId="77777777" w:rsidR="00CF57D8" w:rsidRPr="00864C8D" w:rsidRDefault="00CF57D8" w:rsidP="002A70B6">
      <w:pPr>
        <w:pStyle w:val="Heading3"/>
      </w:pPr>
      <w:r w:rsidRPr="002A70B6">
        <w:t>Introduction</w:t>
      </w:r>
      <w:r w:rsidRPr="00864C8D">
        <w:rPr>
          <w:lang w:val="en-US"/>
        </w:rPr>
        <w:t xml:space="preserve"> </w:t>
      </w:r>
    </w:p>
    <w:p w14:paraId="520915A3" w14:textId="468C90FD" w:rsidR="00AC3041" w:rsidRPr="00864C8D" w:rsidRDefault="00CF57D8" w:rsidP="00227EBD">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The rapid diffusion of generative AI (Gen AI) platforms, exemplified by OpenAI’s ChatGPT and Google’s Gemini, marks a consequential juncture for digital entrepreneurship (Nambisan, 2017). Remarkably, ChatGPT achieved 100 million active users within just two months of its launch in 2022, a record-setting adoption rate for a consumer application (Hu, 2023). Its rapid uptake and the broadened capability surface of large language models (LLMs) have not only added new tools; they have widened the feasible set of entrepreneurial offerings across sectors (Hu, 2023; </w:t>
      </w:r>
      <w:proofErr w:type="spellStart"/>
      <w:r w:rsidRPr="00864C8D">
        <w:rPr>
          <w:rFonts w:ascii="Times New Roman" w:hAnsi="Times New Roman" w:cs="Times New Roman"/>
        </w:rPr>
        <w:t>Maslej</w:t>
      </w:r>
      <w:proofErr w:type="spellEnd"/>
      <w:r w:rsidRPr="00864C8D">
        <w:rPr>
          <w:rFonts w:ascii="Times New Roman" w:hAnsi="Times New Roman" w:cs="Times New Roman"/>
        </w:rPr>
        <w:t xml:space="preserve"> et al., 2024). </w:t>
      </w:r>
      <w:r w:rsidR="00235EED">
        <w:rPr>
          <w:rFonts w:ascii="Times New Roman" w:hAnsi="Times New Roman" w:cs="Times New Roman"/>
        </w:rPr>
        <w:t>Hence, s</w:t>
      </w:r>
      <w:r w:rsidRPr="00864C8D">
        <w:rPr>
          <w:rFonts w:ascii="Times New Roman" w:hAnsi="Times New Roman" w:cs="Times New Roman"/>
        </w:rPr>
        <w:t>cholars and practitioners increasingly frame Gen AI as a general</w:t>
      </w:r>
      <w:r w:rsidR="00235EED">
        <w:rPr>
          <w:rFonts w:ascii="Times New Roman" w:hAnsi="Times New Roman" w:cs="Times New Roman"/>
        </w:rPr>
        <w:t>-</w:t>
      </w:r>
      <w:r w:rsidRPr="00864C8D">
        <w:rPr>
          <w:rFonts w:ascii="Times New Roman" w:hAnsi="Times New Roman" w:cs="Times New Roman"/>
        </w:rPr>
        <w:t>purpose technology with potential to reshape industries and reconfigure institutional norms (Mollick, 2024). Yet precisely because Gen AI platforms now mediate access to foundational capabilities, the conditions under which entrepreneurship is enabled or constrained, and the terms on which it persists, are changing in ways that extant theories only partially explain.</w:t>
      </w:r>
    </w:p>
    <w:p w14:paraId="589AAE71" w14:textId="304CE6E0" w:rsidR="00FD68D9" w:rsidRPr="00864C8D" w:rsidRDefault="00CF57D8" w:rsidP="00227EBD">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We focus on platform-dependent entrepreneurship (PDE), a nascent category of digital entrepreneurship. In PDE, a venture’s core value creation and capture are non-viable off-platform because essential capabilities are owner-governed and switching costs, whether technical, contractual, or demand-side, render multihoming infeasible in the relevant window (Cutolo &amp; Kenney, 2021; </w:t>
      </w:r>
      <w:proofErr w:type="spellStart"/>
      <w:r w:rsidRPr="00864C8D">
        <w:rPr>
          <w:rFonts w:ascii="Times New Roman" w:hAnsi="Times New Roman" w:cs="Times New Roman"/>
        </w:rPr>
        <w:t>Jacobides</w:t>
      </w:r>
      <w:proofErr w:type="spellEnd"/>
      <w:r w:rsidRPr="00864C8D">
        <w:rPr>
          <w:rFonts w:ascii="Times New Roman" w:hAnsi="Times New Roman" w:cs="Times New Roman"/>
        </w:rPr>
        <w:t xml:space="preserve"> et al., 2018, 2024; Nzembayie et al., 2024). </w:t>
      </w:r>
      <w:r w:rsidR="00096386">
        <w:rPr>
          <w:rFonts w:ascii="Times New Roman" w:hAnsi="Times New Roman" w:cs="Times New Roman"/>
        </w:rPr>
        <w:t>This makes PDE</w:t>
      </w:r>
      <w:r w:rsidR="004E13E9">
        <w:rPr>
          <w:rFonts w:ascii="Times New Roman" w:hAnsi="Times New Roman" w:cs="Times New Roman"/>
        </w:rPr>
        <w:t xml:space="preserve"> a distinct subcategory of digital entrepreneurship where governance and power asymmetries shape the nature of entrepreneurial uncertainty. </w:t>
      </w:r>
      <w:r w:rsidRPr="00864C8D">
        <w:rPr>
          <w:rFonts w:ascii="Times New Roman" w:hAnsi="Times New Roman" w:cs="Times New Roman"/>
        </w:rPr>
        <w:t>Unlike</w:t>
      </w:r>
      <w:r w:rsidR="00372613">
        <w:rPr>
          <w:rFonts w:ascii="Times New Roman" w:hAnsi="Times New Roman" w:cs="Times New Roman"/>
        </w:rPr>
        <w:t xml:space="preserve"> transaction platforms such as</w:t>
      </w:r>
      <w:r w:rsidRPr="00864C8D">
        <w:rPr>
          <w:rFonts w:ascii="Times New Roman" w:hAnsi="Times New Roman" w:cs="Times New Roman"/>
        </w:rPr>
        <w:t xml:space="preserve"> app stores</w:t>
      </w:r>
      <w:r w:rsidR="00372613">
        <w:rPr>
          <w:rFonts w:ascii="Times New Roman" w:hAnsi="Times New Roman" w:cs="Times New Roman"/>
        </w:rPr>
        <w:t xml:space="preserve"> (iOS </w:t>
      </w:r>
      <w:r w:rsidR="00C33252">
        <w:rPr>
          <w:rFonts w:ascii="Times New Roman" w:hAnsi="Times New Roman" w:cs="Times New Roman"/>
        </w:rPr>
        <w:t>and</w:t>
      </w:r>
      <w:r w:rsidR="00372613">
        <w:rPr>
          <w:rFonts w:ascii="Times New Roman" w:hAnsi="Times New Roman" w:cs="Times New Roman"/>
        </w:rPr>
        <w:t xml:space="preserve"> Android) and e</w:t>
      </w:r>
      <w:r w:rsidR="00C33252">
        <w:rPr>
          <w:rFonts w:ascii="Times New Roman" w:hAnsi="Times New Roman" w:cs="Times New Roman"/>
        </w:rPr>
        <w:t>-</w:t>
      </w:r>
      <w:r w:rsidR="00372613">
        <w:rPr>
          <w:rFonts w:ascii="Times New Roman" w:hAnsi="Times New Roman" w:cs="Times New Roman"/>
        </w:rPr>
        <w:t xml:space="preserve">commerce marketplaces (e.g., Amazon) </w:t>
      </w:r>
      <w:r w:rsidRPr="00864C8D">
        <w:rPr>
          <w:rFonts w:ascii="Times New Roman" w:hAnsi="Times New Roman" w:cs="Times New Roman"/>
        </w:rPr>
        <w:t>where</w:t>
      </w:r>
      <w:r w:rsidR="00372613">
        <w:rPr>
          <w:rFonts w:ascii="Times New Roman" w:hAnsi="Times New Roman" w:cs="Times New Roman"/>
        </w:rPr>
        <w:t xml:space="preserve"> platform</w:t>
      </w:r>
      <w:r w:rsidRPr="00864C8D">
        <w:rPr>
          <w:rFonts w:ascii="Times New Roman" w:hAnsi="Times New Roman" w:cs="Times New Roman"/>
        </w:rPr>
        <w:t xml:space="preserve"> dependence </w:t>
      </w:r>
      <w:proofErr w:type="spellStart"/>
      <w:r w:rsidRPr="00864C8D">
        <w:rPr>
          <w:rFonts w:ascii="Times New Roman" w:hAnsi="Times New Roman" w:cs="Times New Roman"/>
        </w:rPr>
        <w:t>centers</w:t>
      </w:r>
      <w:proofErr w:type="spellEnd"/>
      <w:r w:rsidRPr="00864C8D">
        <w:rPr>
          <w:rFonts w:ascii="Times New Roman" w:hAnsi="Times New Roman" w:cs="Times New Roman"/>
        </w:rPr>
        <w:t xml:space="preserve"> on distribution, Gen</w:t>
      </w:r>
      <w:r w:rsidR="00CC42AF">
        <w:rPr>
          <w:rFonts w:ascii="Times New Roman" w:hAnsi="Times New Roman" w:cs="Times New Roman"/>
        </w:rPr>
        <w:t xml:space="preserve"> </w:t>
      </w:r>
      <w:r w:rsidRPr="00864C8D">
        <w:rPr>
          <w:rFonts w:ascii="Times New Roman" w:hAnsi="Times New Roman" w:cs="Times New Roman"/>
        </w:rPr>
        <w:t>AI</w:t>
      </w:r>
      <w:r w:rsidR="002A1D65">
        <w:rPr>
          <w:rFonts w:ascii="Times New Roman" w:hAnsi="Times New Roman" w:cs="Times New Roman"/>
        </w:rPr>
        <w:t>-powered</w:t>
      </w:r>
      <w:r w:rsidRPr="00864C8D">
        <w:rPr>
          <w:rFonts w:ascii="Times New Roman" w:hAnsi="Times New Roman" w:cs="Times New Roman"/>
        </w:rPr>
        <w:t xml:space="preserve"> PDE is </w:t>
      </w:r>
      <w:r w:rsidRPr="00864C8D">
        <w:rPr>
          <w:rFonts w:ascii="Times New Roman" w:hAnsi="Times New Roman" w:cs="Times New Roman"/>
          <w:i/>
          <w:iCs/>
        </w:rPr>
        <w:t>capability-dependent</w:t>
      </w:r>
      <w:r w:rsidRPr="00864C8D">
        <w:rPr>
          <w:rFonts w:ascii="Times New Roman" w:hAnsi="Times New Roman" w:cs="Times New Roman"/>
        </w:rPr>
        <w:t xml:space="preserve">: acceptable-use and safety policies determine what can be built, pricing and rate limits shape unit economics, and model iteration can improve or degrade product performance irrespective of market </w:t>
      </w:r>
      <w:r w:rsidRPr="00864C8D">
        <w:rPr>
          <w:rFonts w:ascii="Times New Roman" w:hAnsi="Times New Roman" w:cs="Times New Roman"/>
        </w:rPr>
        <w:lastRenderedPageBreak/>
        <w:t>traction. This frames emerging Gen AI platforms in the software innovation platform category, foregrounding a core tension (</w:t>
      </w:r>
      <w:proofErr w:type="spellStart"/>
      <w:r w:rsidRPr="00864C8D">
        <w:rPr>
          <w:rFonts w:ascii="Times New Roman" w:hAnsi="Times New Roman" w:cs="Times New Roman"/>
        </w:rPr>
        <w:t>Gawer</w:t>
      </w:r>
      <w:proofErr w:type="spellEnd"/>
      <w:r w:rsidRPr="00864C8D">
        <w:rPr>
          <w:rFonts w:ascii="Times New Roman" w:hAnsi="Times New Roman" w:cs="Times New Roman"/>
        </w:rPr>
        <w:t>, 2014; Tiwana et al., 2010</w:t>
      </w:r>
      <w:r w:rsidR="001C7F38">
        <w:rPr>
          <w:rFonts w:ascii="Times New Roman" w:hAnsi="Times New Roman" w:cs="Times New Roman"/>
        </w:rPr>
        <w:t xml:space="preserve">; </w:t>
      </w:r>
      <w:r w:rsidR="001C7F38" w:rsidRPr="00411E84">
        <w:rPr>
          <w:rFonts w:ascii="Times New Roman" w:hAnsi="Times New Roman" w:cs="Times New Roman"/>
          <w:lang w:val="en-US"/>
        </w:rPr>
        <w:t>Fernandes</w:t>
      </w:r>
      <w:r w:rsidR="001C7F38">
        <w:rPr>
          <w:rFonts w:ascii="Times New Roman" w:hAnsi="Times New Roman" w:cs="Times New Roman"/>
          <w:lang w:val="en-US"/>
        </w:rPr>
        <w:t xml:space="preserve"> et al., 2022</w:t>
      </w:r>
      <w:r w:rsidR="003669E8">
        <w:rPr>
          <w:rFonts w:ascii="Times New Roman" w:hAnsi="Times New Roman" w:cs="Times New Roman"/>
          <w:lang w:val="en-US"/>
        </w:rPr>
        <w:t>; Hurni et al., 2022</w:t>
      </w:r>
      <w:r w:rsidRPr="00864C8D">
        <w:rPr>
          <w:rFonts w:ascii="Times New Roman" w:hAnsi="Times New Roman" w:cs="Times New Roman"/>
        </w:rPr>
        <w:t>). On one side, platforms democratize advanced capabilities and compress experimentation cycles</w:t>
      </w:r>
      <w:r w:rsidR="003F1B59">
        <w:rPr>
          <w:rFonts w:ascii="Times New Roman" w:hAnsi="Times New Roman" w:cs="Times New Roman"/>
        </w:rPr>
        <w:t xml:space="preserve"> (von Hippel, 2009)</w:t>
      </w:r>
      <w:r w:rsidRPr="00864C8D">
        <w:rPr>
          <w:rFonts w:ascii="Times New Roman" w:hAnsi="Times New Roman" w:cs="Times New Roman"/>
        </w:rPr>
        <w:t xml:space="preserve">; on the other, the same platforms define the rules of access and control, creating exposure to unilateral </w:t>
      </w:r>
      <w:r w:rsidR="00A91AF5">
        <w:rPr>
          <w:rFonts w:ascii="Times New Roman" w:hAnsi="Times New Roman" w:cs="Times New Roman"/>
        </w:rPr>
        <w:t>governance</w:t>
      </w:r>
      <w:r w:rsidRPr="00864C8D">
        <w:rPr>
          <w:rFonts w:ascii="Times New Roman" w:hAnsi="Times New Roman" w:cs="Times New Roman"/>
        </w:rPr>
        <w:t xml:space="preserve"> </w:t>
      </w:r>
      <w:r w:rsidR="00073133">
        <w:rPr>
          <w:rFonts w:ascii="Times New Roman" w:hAnsi="Times New Roman" w:cs="Times New Roman"/>
        </w:rPr>
        <w:t>shifts</w:t>
      </w:r>
      <w:r w:rsidRPr="00864C8D">
        <w:rPr>
          <w:rFonts w:ascii="Times New Roman" w:hAnsi="Times New Roman" w:cs="Times New Roman"/>
        </w:rPr>
        <w:t xml:space="preserve"> (Chen et al., 2022; O’Mahony &amp; Karp, 2022). The </w:t>
      </w:r>
      <w:r w:rsidR="00C00368">
        <w:rPr>
          <w:rFonts w:ascii="Times New Roman" w:hAnsi="Times New Roman" w:cs="Times New Roman"/>
        </w:rPr>
        <w:t>established</w:t>
      </w:r>
      <w:r w:rsidRPr="00864C8D">
        <w:rPr>
          <w:rFonts w:ascii="Times New Roman" w:hAnsi="Times New Roman" w:cs="Times New Roman"/>
        </w:rPr>
        <w:t xml:space="preserve"> literature illuminates parts of this puzzle such as digital affordances and generativity (Majchrzak &amp; Markus, 2012; Yoo et al., 2012; </w:t>
      </w:r>
      <w:proofErr w:type="spellStart"/>
      <w:r w:rsidRPr="00864C8D">
        <w:rPr>
          <w:rFonts w:ascii="Times New Roman" w:hAnsi="Times New Roman" w:cs="Times New Roman"/>
        </w:rPr>
        <w:t>Zittrain</w:t>
      </w:r>
      <w:proofErr w:type="spellEnd"/>
      <w:r w:rsidRPr="00864C8D">
        <w:rPr>
          <w:rFonts w:ascii="Times New Roman" w:hAnsi="Times New Roman" w:cs="Times New Roman"/>
        </w:rPr>
        <w:t xml:space="preserve">, 2006), external enablers of new venture creation (Davidsson et al., 2020; </w:t>
      </w:r>
      <w:proofErr w:type="spellStart"/>
      <w:r w:rsidRPr="00864C8D">
        <w:rPr>
          <w:rFonts w:ascii="Times New Roman" w:hAnsi="Times New Roman" w:cs="Times New Roman"/>
        </w:rPr>
        <w:t>Kimjeon</w:t>
      </w:r>
      <w:proofErr w:type="spellEnd"/>
      <w:r w:rsidRPr="00864C8D">
        <w:rPr>
          <w:rFonts w:ascii="Times New Roman" w:hAnsi="Times New Roman" w:cs="Times New Roman"/>
        </w:rPr>
        <w:t xml:space="preserve"> &amp; Davidsson, 2022), and platform architectures and governance (</w:t>
      </w:r>
      <w:proofErr w:type="spellStart"/>
      <w:r w:rsidRPr="00864C8D">
        <w:rPr>
          <w:rFonts w:ascii="Times New Roman" w:hAnsi="Times New Roman" w:cs="Times New Roman"/>
        </w:rPr>
        <w:t>Gawer</w:t>
      </w:r>
      <w:proofErr w:type="spellEnd"/>
      <w:r w:rsidRPr="00864C8D">
        <w:rPr>
          <w:rFonts w:ascii="Times New Roman" w:hAnsi="Times New Roman" w:cs="Times New Roman"/>
        </w:rPr>
        <w:t xml:space="preserve">, 2014; </w:t>
      </w:r>
      <w:proofErr w:type="spellStart"/>
      <w:r w:rsidRPr="00864C8D">
        <w:rPr>
          <w:rFonts w:ascii="Times New Roman" w:hAnsi="Times New Roman" w:cs="Times New Roman"/>
        </w:rPr>
        <w:t>Ghazawneh</w:t>
      </w:r>
      <w:proofErr w:type="spellEnd"/>
      <w:r w:rsidRPr="00864C8D">
        <w:rPr>
          <w:rFonts w:ascii="Times New Roman" w:hAnsi="Times New Roman" w:cs="Times New Roman"/>
        </w:rPr>
        <w:t xml:space="preserve"> &amp; Henfridsson, 2013); but it rarely integrates them to show how capability access, governance, and institutional legitimation co-produce PDE ecosystems</w:t>
      </w:r>
      <w:r w:rsidR="00DD71F6">
        <w:rPr>
          <w:rFonts w:ascii="Times New Roman" w:hAnsi="Times New Roman" w:cs="Times New Roman"/>
        </w:rPr>
        <w:t xml:space="preserve"> dynamics</w:t>
      </w:r>
      <w:r w:rsidRPr="00864C8D">
        <w:rPr>
          <w:rFonts w:ascii="Times New Roman" w:hAnsi="Times New Roman" w:cs="Times New Roman"/>
        </w:rPr>
        <w:t xml:space="preserve"> over time.</w:t>
      </w:r>
    </w:p>
    <w:p w14:paraId="19051ABF" w14:textId="77777777" w:rsidR="005763A9" w:rsidRDefault="00671E81" w:rsidP="004E1E0E">
      <w:pPr>
        <w:spacing w:after="0" w:line="480" w:lineRule="auto"/>
        <w:ind w:firstLine="720"/>
        <w:jc w:val="both"/>
        <w:rPr>
          <w:rFonts w:ascii="Times New Roman" w:hAnsi="Times New Roman" w:cs="Times New Roman"/>
        </w:rPr>
      </w:pPr>
      <w:r>
        <w:rPr>
          <w:rFonts w:ascii="Times New Roman" w:hAnsi="Times New Roman" w:cs="Times New Roman"/>
        </w:rPr>
        <w:t xml:space="preserve">Following </w:t>
      </w:r>
      <w:r w:rsidR="009452B1">
        <w:rPr>
          <w:rFonts w:ascii="Times New Roman" w:hAnsi="Times New Roman" w:cs="Times New Roman"/>
        </w:rPr>
        <w:t xml:space="preserve">recent </w:t>
      </w:r>
      <w:r>
        <w:rPr>
          <w:rFonts w:ascii="Times New Roman" w:hAnsi="Times New Roman" w:cs="Times New Roman"/>
        </w:rPr>
        <w:t xml:space="preserve">calls for integrative </w:t>
      </w:r>
      <w:r w:rsidR="00F4399D">
        <w:rPr>
          <w:rFonts w:ascii="Times New Roman" w:hAnsi="Times New Roman" w:cs="Times New Roman"/>
        </w:rPr>
        <w:t>r</w:t>
      </w:r>
      <w:r>
        <w:rPr>
          <w:rFonts w:ascii="Times New Roman" w:hAnsi="Times New Roman" w:cs="Times New Roman"/>
        </w:rPr>
        <w:t>esearch</w:t>
      </w:r>
      <w:r w:rsidR="00F4399D">
        <w:rPr>
          <w:rFonts w:ascii="Times New Roman" w:hAnsi="Times New Roman" w:cs="Times New Roman"/>
        </w:rPr>
        <w:t xml:space="preserve"> between entrepreneurship and </w:t>
      </w:r>
      <w:r w:rsidR="009452B1">
        <w:rPr>
          <w:rFonts w:ascii="Times New Roman" w:hAnsi="Times New Roman" w:cs="Times New Roman"/>
        </w:rPr>
        <w:t>emerging technologies</w:t>
      </w:r>
      <w:r>
        <w:rPr>
          <w:rFonts w:ascii="Times New Roman" w:hAnsi="Times New Roman" w:cs="Times New Roman"/>
        </w:rPr>
        <w:t xml:space="preserve"> (Liguo</w:t>
      </w:r>
      <w:r w:rsidR="00F91277">
        <w:rPr>
          <w:rFonts w:ascii="Times New Roman" w:hAnsi="Times New Roman" w:cs="Times New Roman"/>
        </w:rPr>
        <w:t>ri et al., 2024</w:t>
      </w:r>
      <w:r w:rsidR="00881928">
        <w:rPr>
          <w:rFonts w:ascii="Times New Roman" w:hAnsi="Times New Roman" w:cs="Times New Roman"/>
        </w:rPr>
        <w:t xml:space="preserve">; </w:t>
      </w:r>
      <w:r w:rsidR="00881928" w:rsidRPr="00411E84">
        <w:rPr>
          <w:rFonts w:ascii="Times New Roman" w:hAnsi="Times New Roman" w:cs="Times New Roman"/>
          <w:lang w:val="en-US"/>
        </w:rPr>
        <w:t>Vigoda-Gadot</w:t>
      </w:r>
      <w:r w:rsidR="009452B1">
        <w:rPr>
          <w:rFonts w:ascii="Times New Roman" w:hAnsi="Times New Roman" w:cs="Times New Roman"/>
          <w:lang w:val="en-US"/>
        </w:rPr>
        <w:t xml:space="preserve"> </w:t>
      </w:r>
      <w:r w:rsidR="00881928" w:rsidRPr="00411E84">
        <w:rPr>
          <w:rFonts w:ascii="Times New Roman" w:hAnsi="Times New Roman" w:cs="Times New Roman"/>
          <w:lang w:val="en-US"/>
        </w:rPr>
        <w:t>&amp; Mizrahi, 2024</w:t>
      </w:r>
      <w:r w:rsidR="00F91277">
        <w:rPr>
          <w:rFonts w:ascii="Times New Roman" w:hAnsi="Times New Roman" w:cs="Times New Roman"/>
        </w:rPr>
        <w:t>), w</w:t>
      </w:r>
      <w:r w:rsidR="00CF57D8" w:rsidRPr="00864C8D">
        <w:rPr>
          <w:rFonts w:ascii="Times New Roman" w:hAnsi="Times New Roman" w:cs="Times New Roman"/>
        </w:rPr>
        <w:t xml:space="preserve">e aim to develop a theoretically </w:t>
      </w:r>
      <w:r w:rsidR="00F91277">
        <w:rPr>
          <w:rFonts w:ascii="Times New Roman" w:hAnsi="Times New Roman" w:cs="Times New Roman"/>
        </w:rPr>
        <w:t>cohesive</w:t>
      </w:r>
      <w:r w:rsidR="00CF57D8" w:rsidRPr="00864C8D">
        <w:rPr>
          <w:rFonts w:ascii="Times New Roman" w:hAnsi="Times New Roman" w:cs="Times New Roman"/>
        </w:rPr>
        <w:t xml:space="preserve"> account </w:t>
      </w:r>
      <w:r w:rsidR="003B6CD8">
        <w:rPr>
          <w:rFonts w:ascii="Times New Roman" w:hAnsi="Times New Roman" w:cs="Times New Roman"/>
        </w:rPr>
        <w:t xml:space="preserve">which theorizes how </w:t>
      </w:r>
      <w:r w:rsidR="00CF57D8" w:rsidRPr="00864C8D">
        <w:rPr>
          <w:rFonts w:ascii="Times New Roman" w:hAnsi="Times New Roman" w:cs="Times New Roman"/>
        </w:rPr>
        <w:t>Gen AI platforms simultaneously</w:t>
      </w:r>
      <w:r w:rsidR="003B6CD8">
        <w:rPr>
          <w:rFonts w:ascii="Times New Roman" w:hAnsi="Times New Roman" w:cs="Times New Roman"/>
        </w:rPr>
        <w:t xml:space="preserve"> act</w:t>
      </w:r>
      <w:r w:rsidR="00CF57D8" w:rsidRPr="00864C8D">
        <w:rPr>
          <w:rFonts w:ascii="Times New Roman" w:hAnsi="Times New Roman" w:cs="Times New Roman"/>
        </w:rPr>
        <w:t xml:space="preserve"> as </w:t>
      </w:r>
      <w:r w:rsidR="00CF57D8" w:rsidRPr="00864C8D">
        <w:rPr>
          <w:rFonts w:ascii="Times New Roman" w:hAnsi="Times New Roman" w:cs="Times New Roman"/>
          <w:i/>
          <w:iCs/>
        </w:rPr>
        <w:t>institutional catalysts</w:t>
      </w:r>
      <w:r w:rsidR="00CF57D8" w:rsidRPr="00864C8D">
        <w:rPr>
          <w:rFonts w:ascii="Times New Roman" w:hAnsi="Times New Roman" w:cs="Times New Roman"/>
        </w:rPr>
        <w:t xml:space="preserve"> and </w:t>
      </w:r>
      <w:r w:rsidR="00CF57D8" w:rsidRPr="00CB123E">
        <w:rPr>
          <w:rFonts w:ascii="Times New Roman" w:hAnsi="Times New Roman" w:cs="Times New Roman"/>
        </w:rPr>
        <w:t>gatekeepers.</w:t>
      </w:r>
      <w:r w:rsidR="001709E4">
        <w:rPr>
          <w:rFonts w:ascii="Times New Roman" w:hAnsi="Times New Roman" w:cs="Times New Roman"/>
        </w:rPr>
        <w:t xml:space="preserve"> We define institutional catalysts as </w:t>
      </w:r>
      <w:r w:rsidR="001709E4" w:rsidRPr="001709E4">
        <w:rPr>
          <w:rFonts w:ascii="Times New Roman" w:hAnsi="Times New Roman" w:cs="Times New Roman"/>
        </w:rPr>
        <w:t xml:space="preserve">actions/processes that reconfigure field-level resource flows (e.g., lowering access/skill/cost barriers), thereby expanding the opportunity set for </w:t>
      </w:r>
      <w:r w:rsidR="00E9212E">
        <w:rPr>
          <w:rFonts w:ascii="Times New Roman" w:hAnsi="Times New Roman" w:cs="Times New Roman"/>
        </w:rPr>
        <w:t xml:space="preserve">entrepreneurs. </w:t>
      </w:r>
      <w:r w:rsidR="00CF57D8" w:rsidRPr="00864C8D">
        <w:rPr>
          <w:rFonts w:ascii="Times New Roman" w:hAnsi="Times New Roman" w:cs="Times New Roman"/>
        </w:rPr>
        <w:t>Institutions, formal rules and informal norms, shape what is legitimate and auditable, while external enablers such as step-change AI models</w:t>
      </w:r>
      <w:r w:rsidR="00924DC7">
        <w:rPr>
          <w:rFonts w:ascii="Times New Roman" w:hAnsi="Times New Roman" w:cs="Times New Roman"/>
        </w:rPr>
        <w:t xml:space="preserve"> and the </w:t>
      </w:r>
      <w:r w:rsidR="00CF57D8" w:rsidRPr="00864C8D">
        <w:rPr>
          <w:rFonts w:ascii="Times New Roman" w:hAnsi="Times New Roman" w:cs="Times New Roman"/>
        </w:rPr>
        <w:t>new venture creation tools</w:t>
      </w:r>
      <w:r w:rsidR="00924DC7">
        <w:rPr>
          <w:rFonts w:ascii="Times New Roman" w:hAnsi="Times New Roman" w:cs="Times New Roman"/>
        </w:rPr>
        <w:t xml:space="preserve"> they provide</w:t>
      </w:r>
      <w:r w:rsidR="00CF57D8" w:rsidRPr="00864C8D">
        <w:rPr>
          <w:rFonts w:ascii="Times New Roman" w:hAnsi="Times New Roman" w:cs="Times New Roman"/>
        </w:rPr>
        <w:t>, expand the technical possibility frontier (North, 1990; Baumol, 1993; Baumol &amp; Strom, 2007;</w:t>
      </w:r>
      <w:r w:rsidR="00FF38E3">
        <w:rPr>
          <w:rFonts w:ascii="Times New Roman" w:hAnsi="Times New Roman" w:cs="Times New Roman"/>
        </w:rPr>
        <w:t xml:space="preserve"> Urbano et al., 2019;</w:t>
      </w:r>
      <w:r w:rsidR="00CF57D8" w:rsidRPr="00864C8D">
        <w:rPr>
          <w:rFonts w:ascii="Times New Roman" w:hAnsi="Times New Roman" w:cs="Times New Roman"/>
        </w:rPr>
        <w:t xml:space="preserve"> Davidsson et al., 2020). Innovation platform design converts that potential into organized entrepreneurial activity through modular architectures and boundary </w:t>
      </w:r>
      <w:r w:rsidR="00E64CA0" w:rsidRPr="00864C8D">
        <w:rPr>
          <w:rFonts w:ascii="Times New Roman" w:hAnsi="Times New Roman" w:cs="Times New Roman"/>
        </w:rPr>
        <w:t>resources and</w:t>
      </w:r>
      <w:r w:rsidR="00F04006">
        <w:rPr>
          <w:rFonts w:ascii="Times New Roman" w:hAnsi="Times New Roman" w:cs="Times New Roman"/>
        </w:rPr>
        <w:t xml:space="preserve"> provide</w:t>
      </w:r>
      <w:r w:rsidR="00CF57D8" w:rsidRPr="00864C8D">
        <w:rPr>
          <w:rFonts w:ascii="Times New Roman" w:hAnsi="Times New Roman" w:cs="Times New Roman"/>
        </w:rPr>
        <w:t xml:space="preserve"> governance </w:t>
      </w:r>
      <w:r w:rsidR="00F04006">
        <w:rPr>
          <w:rFonts w:ascii="Times New Roman" w:hAnsi="Times New Roman" w:cs="Times New Roman"/>
        </w:rPr>
        <w:t xml:space="preserve">structures that </w:t>
      </w:r>
      <w:r w:rsidR="00E64CA0">
        <w:rPr>
          <w:rFonts w:ascii="Times New Roman" w:hAnsi="Times New Roman" w:cs="Times New Roman"/>
        </w:rPr>
        <w:t>s</w:t>
      </w:r>
      <w:r w:rsidR="00F04006">
        <w:rPr>
          <w:rFonts w:ascii="Times New Roman" w:hAnsi="Times New Roman" w:cs="Times New Roman"/>
        </w:rPr>
        <w:t xml:space="preserve">hape </w:t>
      </w:r>
      <w:r w:rsidR="00E64CA0">
        <w:rPr>
          <w:rFonts w:ascii="Times New Roman" w:hAnsi="Times New Roman" w:cs="Times New Roman"/>
        </w:rPr>
        <w:t xml:space="preserve">the emergence and destinies of dependent ventures </w:t>
      </w:r>
      <w:r w:rsidR="00CF57D8" w:rsidRPr="00864C8D">
        <w:rPr>
          <w:rFonts w:ascii="Times New Roman" w:hAnsi="Times New Roman" w:cs="Times New Roman"/>
        </w:rPr>
        <w:t>(</w:t>
      </w:r>
      <w:proofErr w:type="spellStart"/>
      <w:r w:rsidR="00822C06" w:rsidRPr="00822C06">
        <w:rPr>
          <w:rFonts w:ascii="Times New Roman" w:hAnsi="Times New Roman" w:cs="Times New Roman"/>
        </w:rPr>
        <w:t>Gawer</w:t>
      </w:r>
      <w:proofErr w:type="spellEnd"/>
      <w:r w:rsidR="00822C06" w:rsidRPr="00822C06">
        <w:rPr>
          <w:rFonts w:ascii="Times New Roman" w:hAnsi="Times New Roman" w:cs="Times New Roman"/>
        </w:rPr>
        <w:t xml:space="preserve"> &amp; Phillips, 2013</w:t>
      </w:r>
      <w:r w:rsidR="00822C06">
        <w:rPr>
          <w:rFonts w:ascii="Times New Roman" w:hAnsi="Times New Roman" w:cs="Times New Roman"/>
        </w:rPr>
        <w:t xml:space="preserve">; </w:t>
      </w:r>
      <w:proofErr w:type="spellStart"/>
      <w:r w:rsidR="00822C06" w:rsidRPr="00822C06">
        <w:rPr>
          <w:rFonts w:ascii="Times New Roman" w:hAnsi="Times New Roman" w:cs="Times New Roman"/>
        </w:rPr>
        <w:t>Ghazawneh</w:t>
      </w:r>
      <w:proofErr w:type="spellEnd"/>
      <w:r w:rsidR="00822C06" w:rsidRPr="00822C06">
        <w:rPr>
          <w:rFonts w:ascii="Times New Roman" w:hAnsi="Times New Roman" w:cs="Times New Roman"/>
        </w:rPr>
        <w:t xml:space="preserve"> &amp; Henfridsson, 2013</w:t>
      </w:r>
      <w:r w:rsidR="00CF57D8" w:rsidRPr="00864C8D">
        <w:rPr>
          <w:rFonts w:ascii="Times New Roman" w:hAnsi="Times New Roman" w:cs="Times New Roman"/>
        </w:rPr>
        <w:t xml:space="preserve">). In Gen AI ecosystems, this conversion mechanism is unusually consequential because the locus of dependence is </w:t>
      </w:r>
      <w:proofErr w:type="gramStart"/>
      <w:r w:rsidR="006207A4" w:rsidRPr="00864C8D">
        <w:rPr>
          <w:rFonts w:ascii="Times New Roman" w:hAnsi="Times New Roman" w:cs="Times New Roman"/>
        </w:rPr>
        <w:t>capability</w:t>
      </w:r>
      <w:r w:rsidR="006207A4">
        <w:rPr>
          <w:rFonts w:ascii="Times New Roman" w:hAnsi="Times New Roman" w:cs="Times New Roman"/>
        </w:rPr>
        <w:t>-dependent</w:t>
      </w:r>
      <w:proofErr w:type="gramEnd"/>
      <w:r w:rsidR="00CF57D8" w:rsidRPr="00864C8D">
        <w:rPr>
          <w:rFonts w:ascii="Times New Roman" w:hAnsi="Times New Roman" w:cs="Times New Roman"/>
        </w:rPr>
        <w:t>.</w:t>
      </w:r>
      <w:r w:rsidR="006207A4">
        <w:rPr>
          <w:rFonts w:ascii="Times New Roman" w:hAnsi="Times New Roman" w:cs="Times New Roman"/>
        </w:rPr>
        <w:t xml:space="preserve"> </w:t>
      </w:r>
    </w:p>
    <w:p w14:paraId="5CC23CE7" w14:textId="6F10AD9A" w:rsidR="00995CD3" w:rsidRDefault="005763A9" w:rsidP="00227EBD">
      <w:pPr>
        <w:spacing w:after="0" w:line="480" w:lineRule="auto"/>
        <w:ind w:firstLine="720"/>
        <w:jc w:val="both"/>
        <w:rPr>
          <w:rFonts w:ascii="Times New Roman" w:hAnsi="Times New Roman" w:cs="Times New Roman"/>
        </w:rPr>
      </w:pPr>
      <w:r>
        <w:rPr>
          <w:rFonts w:ascii="Times New Roman" w:hAnsi="Times New Roman" w:cs="Times New Roman"/>
        </w:rPr>
        <w:lastRenderedPageBreak/>
        <w:t>Accordingly</w:t>
      </w:r>
      <w:r w:rsidR="006207A4">
        <w:rPr>
          <w:rFonts w:ascii="Times New Roman" w:hAnsi="Times New Roman" w:cs="Times New Roman"/>
        </w:rPr>
        <w:t>, we ask:</w:t>
      </w:r>
      <w:r w:rsidR="004E1E0E">
        <w:rPr>
          <w:rFonts w:ascii="Times New Roman" w:hAnsi="Times New Roman" w:cs="Times New Roman"/>
        </w:rPr>
        <w:t xml:space="preserve"> </w:t>
      </w:r>
      <w:r w:rsidR="00CF57D8" w:rsidRPr="00D60307">
        <w:rPr>
          <w:rFonts w:ascii="Times New Roman" w:hAnsi="Times New Roman" w:cs="Times New Roman"/>
          <w:i/>
          <w:iCs/>
        </w:rPr>
        <w:t>How do generative</w:t>
      </w:r>
      <w:r w:rsidR="00711317" w:rsidRPr="00D60307">
        <w:rPr>
          <w:rFonts w:ascii="Times New Roman" w:hAnsi="Times New Roman" w:cs="Times New Roman"/>
          <w:i/>
          <w:iCs/>
        </w:rPr>
        <w:t xml:space="preserve"> </w:t>
      </w:r>
      <w:r w:rsidR="00CF57D8" w:rsidRPr="00D60307">
        <w:rPr>
          <w:rFonts w:ascii="Times New Roman" w:hAnsi="Times New Roman" w:cs="Times New Roman"/>
          <w:i/>
          <w:iCs/>
        </w:rPr>
        <w:t>AI platforms act as institutional catalysts of platform-dependent entrepreneurship</w:t>
      </w:r>
      <w:r w:rsidR="00711317" w:rsidRPr="00D60307">
        <w:rPr>
          <w:rFonts w:ascii="Times New Roman" w:hAnsi="Times New Roman" w:cs="Times New Roman"/>
          <w:i/>
          <w:iCs/>
        </w:rPr>
        <w:t xml:space="preserve"> (PDE)</w:t>
      </w:r>
      <w:r w:rsidR="00CF57D8" w:rsidRPr="00D60307">
        <w:rPr>
          <w:rFonts w:ascii="Times New Roman" w:hAnsi="Times New Roman" w:cs="Times New Roman"/>
          <w:i/>
          <w:iCs/>
        </w:rPr>
        <w:t xml:space="preserve">, and through what enabling mechanisms do they foster and sustain AI-powered ecosystems? </w:t>
      </w:r>
      <w:r w:rsidR="00CF57D8" w:rsidRPr="00864C8D">
        <w:rPr>
          <w:rFonts w:ascii="Times New Roman" w:hAnsi="Times New Roman" w:cs="Times New Roman"/>
        </w:rPr>
        <w:t>We address this question</w:t>
      </w:r>
      <w:r w:rsidR="0002638A">
        <w:rPr>
          <w:rFonts w:ascii="Times New Roman" w:hAnsi="Times New Roman" w:cs="Times New Roman"/>
        </w:rPr>
        <w:t xml:space="preserve">, we begin by synthesizing </w:t>
      </w:r>
      <w:r w:rsidR="00CF57D8" w:rsidRPr="00864C8D">
        <w:rPr>
          <w:rFonts w:ascii="Times New Roman" w:hAnsi="Times New Roman" w:cs="Times New Roman"/>
        </w:rPr>
        <w:t>institutional theory, external enablement</w:t>
      </w:r>
      <w:r w:rsidR="00342EF9">
        <w:rPr>
          <w:rFonts w:ascii="Times New Roman" w:hAnsi="Times New Roman" w:cs="Times New Roman"/>
        </w:rPr>
        <w:t xml:space="preserve"> framework</w:t>
      </w:r>
      <w:r w:rsidR="00CF57D8" w:rsidRPr="00864C8D">
        <w:rPr>
          <w:rFonts w:ascii="Times New Roman" w:hAnsi="Times New Roman" w:cs="Times New Roman"/>
        </w:rPr>
        <w:t xml:space="preserve">, and innovation platform theory into </w:t>
      </w:r>
      <w:r w:rsidR="00906ED8">
        <w:rPr>
          <w:rFonts w:ascii="Times New Roman" w:hAnsi="Times New Roman" w:cs="Times New Roman"/>
        </w:rPr>
        <w:t>an integrative</w:t>
      </w:r>
      <w:r w:rsidR="00CF57D8" w:rsidRPr="00864C8D">
        <w:rPr>
          <w:rFonts w:ascii="Times New Roman" w:hAnsi="Times New Roman" w:cs="Times New Roman"/>
        </w:rPr>
        <w:t xml:space="preserve"> </w:t>
      </w:r>
      <w:r w:rsidR="00342EF9">
        <w:rPr>
          <w:rFonts w:ascii="Times New Roman" w:hAnsi="Times New Roman" w:cs="Times New Roman"/>
        </w:rPr>
        <w:t xml:space="preserve">conceptual </w:t>
      </w:r>
      <w:r w:rsidR="00CF57D8" w:rsidRPr="00864C8D">
        <w:rPr>
          <w:rFonts w:ascii="Times New Roman" w:hAnsi="Times New Roman" w:cs="Times New Roman"/>
        </w:rPr>
        <w:t xml:space="preserve">framework that specifies how external enablers, boundary resources, and governance interact to expand, filter, and stabilize entrepreneurial action. Second, we conduct an abductive and process-driven </w:t>
      </w:r>
      <w:r w:rsidR="006F3E25">
        <w:rPr>
          <w:rFonts w:ascii="Times New Roman" w:hAnsi="Times New Roman" w:cs="Times New Roman"/>
        </w:rPr>
        <w:t>mixed-method</w:t>
      </w:r>
      <w:r w:rsidR="00CF57D8" w:rsidRPr="00864C8D">
        <w:rPr>
          <w:rFonts w:ascii="Times New Roman" w:hAnsi="Times New Roman" w:cs="Times New Roman"/>
        </w:rPr>
        <w:t xml:space="preserve"> case study of the emerging OpenAI ecosystem using archival materials, process mapping, and </w:t>
      </w:r>
      <w:r w:rsidR="006F3E25">
        <w:rPr>
          <w:rFonts w:ascii="Times New Roman" w:hAnsi="Times New Roman" w:cs="Times New Roman"/>
        </w:rPr>
        <w:t>sentiment analysis</w:t>
      </w:r>
      <w:r w:rsidR="00CF57D8" w:rsidRPr="00864C8D">
        <w:rPr>
          <w:rFonts w:ascii="Times New Roman" w:hAnsi="Times New Roman" w:cs="Times New Roman"/>
        </w:rPr>
        <w:t xml:space="preserve"> to examine how capability access, policy shifts, and institutional signals shape PDE formation, scaling, and </w:t>
      </w:r>
      <w:r w:rsidR="00764EFA">
        <w:rPr>
          <w:rFonts w:ascii="Times New Roman" w:hAnsi="Times New Roman" w:cs="Times New Roman"/>
        </w:rPr>
        <w:t>outcomes</w:t>
      </w:r>
      <w:r w:rsidR="00CF57D8" w:rsidRPr="00864C8D">
        <w:rPr>
          <w:rFonts w:ascii="Times New Roman" w:hAnsi="Times New Roman" w:cs="Times New Roman"/>
        </w:rPr>
        <w:t xml:space="preserve"> (Cutolo &amp; Kenney, 2021; </w:t>
      </w:r>
      <w:r w:rsidR="00746285">
        <w:rPr>
          <w:rFonts w:ascii="Times New Roman" w:hAnsi="Times New Roman" w:cs="Times New Roman"/>
        </w:rPr>
        <w:t xml:space="preserve">Wen, 2023; </w:t>
      </w:r>
      <w:r w:rsidR="00B82EC6">
        <w:rPr>
          <w:rFonts w:ascii="Times New Roman" w:hAnsi="Times New Roman" w:cs="Times New Roman"/>
        </w:rPr>
        <w:t xml:space="preserve">Rahman et al., 2024; </w:t>
      </w:r>
      <w:r w:rsidR="00CF57D8" w:rsidRPr="00864C8D">
        <w:rPr>
          <w:rFonts w:ascii="Times New Roman" w:hAnsi="Times New Roman" w:cs="Times New Roman"/>
        </w:rPr>
        <w:t>Nzembayie et al., 2024).</w:t>
      </w:r>
      <w:r w:rsidR="00746285">
        <w:rPr>
          <w:rFonts w:ascii="Times New Roman" w:hAnsi="Times New Roman" w:cs="Times New Roman"/>
        </w:rPr>
        <w:t xml:space="preserve"> </w:t>
      </w:r>
      <w:r w:rsidR="005B1E1A">
        <w:rPr>
          <w:rFonts w:ascii="Times New Roman" w:hAnsi="Times New Roman" w:cs="Times New Roman"/>
        </w:rPr>
        <w:t xml:space="preserve">Consequently, we </w:t>
      </w:r>
      <w:r w:rsidR="00A8646A">
        <w:rPr>
          <w:rFonts w:ascii="Times New Roman" w:hAnsi="Times New Roman" w:cs="Times New Roman"/>
        </w:rPr>
        <w:t>identify and unpack</w:t>
      </w:r>
      <w:r w:rsidR="005B1E1A">
        <w:rPr>
          <w:rFonts w:ascii="Times New Roman" w:hAnsi="Times New Roman" w:cs="Times New Roman"/>
        </w:rPr>
        <w:t xml:space="preserve"> four </w:t>
      </w:r>
      <w:r w:rsidR="00A8646A">
        <w:rPr>
          <w:rFonts w:ascii="Times New Roman" w:hAnsi="Times New Roman" w:cs="Times New Roman"/>
        </w:rPr>
        <w:t>core</w:t>
      </w:r>
      <w:r w:rsidR="005B1E1A">
        <w:rPr>
          <w:rFonts w:ascii="Times New Roman" w:hAnsi="Times New Roman" w:cs="Times New Roman"/>
        </w:rPr>
        <w:t xml:space="preserve"> mechanisms</w:t>
      </w:r>
      <w:r w:rsidR="00A8646A">
        <w:rPr>
          <w:rFonts w:ascii="Times New Roman" w:hAnsi="Times New Roman" w:cs="Times New Roman"/>
        </w:rPr>
        <w:t xml:space="preserve"> (</w:t>
      </w:r>
      <w:r w:rsidR="00A8646A" w:rsidRPr="00A8646A">
        <w:rPr>
          <w:rFonts w:ascii="Times New Roman" w:hAnsi="Times New Roman" w:cs="Times New Roman"/>
        </w:rPr>
        <w:t>Infrastructure Provision, Capability Scaffolding, Market Legitimization, and Ecosystem Orchestration</w:t>
      </w:r>
      <w:r w:rsidR="00A8646A">
        <w:rPr>
          <w:rFonts w:ascii="Times New Roman" w:hAnsi="Times New Roman" w:cs="Times New Roman"/>
        </w:rPr>
        <w:t xml:space="preserve">) through which Gen AI platforms act as institutional catalysts of AI-powered </w:t>
      </w:r>
      <w:r w:rsidR="00995CD3">
        <w:rPr>
          <w:rFonts w:ascii="Times New Roman" w:hAnsi="Times New Roman" w:cs="Times New Roman"/>
        </w:rPr>
        <w:t>PDE and</w:t>
      </w:r>
      <w:r w:rsidR="00AF64C3">
        <w:rPr>
          <w:rFonts w:ascii="Times New Roman" w:hAnsi="Times New Roman" w:cs="Times New Roman"/>
        </w:rPr>
        <w:t xml:space="preserve"> define the boundary conditions under which they apply. </w:t>
      </w:r>
    </w:p>
    <w:p w14:paraId="42358601" w14:textId="6AC2C528" w:rsidR="00FD68D9" w:rsidRPr="00864C8D" w:rsidRDefault="00995CD3" w:rsidP="00227EBD">
      <w:pPr>
        <w:spacing w:after="0" w:line="480" w:lineRule="auto"/>
        <w:ind w:firstLine="720"/>
        <w:jc w:val="both"/>
        <w:rPr>
          <w:rFonts w:ascii="Times New Roman" w:hAnsi="Times New Roman" w:cs="Times New Roman"/>
        </w:rPr>
      </w:pPr>
      <w:r>
        <w:rPr>
          <w:rFonts w:ascii="Times New Roman" w:hAnsi="Times New Roman" w:cs="Times New Roman"/>
        </w:rPr>
        <w:t>Our study advances</w:t>
      </w:r>
      <w:r w:rsidR="00CF57D8" w:rsidRPr="00864C8D">
        <w:rPr>
          <w:rFonts w:ascii="Times New Roman" w:hAnsi="Times New Roman" w:cs="Times New Roman"/>
        </w:rPr>
        <w:t xml:space="preserve"> digital entrepreneurship theory on three fronts. </w:t>
      </w:r>
      <w:r w:rsidR="00E150F0">
        <w:rPr>
          <w:rFonts w:ascii="Times New Roman" w:hAnsi="Times New Roman" w:cs="Times New Roman"/>
        </w:rPr>
        <w:t xml:space="preserve">First, it </w:t>
      </w:r>
      <w:r w:rsidR="00CF57D8" w:rsidRPr="00864C8D">
        <w:rPr>
          <w:rFonts w:ascii="Times New Roman" w:hAnsi="Times New Roman" w:cs="Times New Roman"/>
        </w:rPr>
        <w:t xml:space="preserve">specifies Gen AI-powered PDE as an analytically distinct phenomenon and explains why capability-gated dependence requires different assumptions than distribution-gated dependence. </w:t>
      </w:r>
      <w:r w:rsidR="00E150F0">
        <w:rPr>
          <w:rFonts w:ascii="Times New Roman" w:hAnsi="Times New Roman" w:cs="Times New Roman"/>
        </w:rPr>
        <w:t>Second</w:t>
      </w:r>
      <w:r w:rsidR="00CF57D8" w:rsidRPr="00864C8D">
        <w:rPr>
          <w:rFonts w:ascii="Times New Roman" w:hAnsi="Times New Roman" w:cs="Times New Roman"/>
        </w:rPr>
        <w:t xml:space="preserve">, it weaves </w:t>
      </w:r>
      <w:r w:rsidR="00CF57D8" w:rsidRPr="008424D5">
        <w:rPr>
          <w:rFonts w:ascii="Times New Roman" w:hAnsi="Times New Roman" w:cs="Times New Roman"/>
        </w:rPr>
        <w:t xml:space="preserve">institutional </w:t>
      </w:r>
      <w:r w:rsidR="008424D5" w:rsidRPr="008424D5">
        <w:rPr>
          <w:rFonts w:ascii="Times New Roman" w:hAnsi="Times New Roman" w:cs="Times New Roman"/>
        </w:rPr>
        <w:t>theory</w:t>
      </w:r>
      <w:r w:rsidR="00CF57D8" w:rsidRPr="00864C8D">
        <w:rPr>
          <w:rFonts w:ascii="Times New Roman" w:hAnsi="Times New Roman" w:cs="Times New Roman"/>
        </w:rPr>
        <w:t xml:space="preserve"> and</w:t>
      </w:r>
      <w:r w:rsidR="0057775A">
        <w:rPr>
          <w:rFonts w:ascii="Times New Roman" w:hAnsi="Times New Roman" w:cs="Times New Roman"/>
        </w:rPr>
        <w:t xml:space="preserve"> the</w:t>
      </w:r>
      <w:r w:rsidR="00CF57D8" w:rsidRPr="00864C8D">
        <w:rPr>
          <w:rFonts w:ascii="Times New Roman" w:hAnsi="Times New Roman" w:cs="Times New Roman"/>
        </w:rPr>
        <w:t xml:space="preserve"> external enable</w:t>
      </w:r>
      <w:r w:rsidR="008424D5">
        <w:rPr>
          <w:rFonts w:ascii="Times New Roman" w:hAnsi="Times New Roman" w:cs="Times New Roman"/>
        </w:rPr>
        <w:t>ment</w:t>
      </w:r>
      <w:r w:rsidR="00CF57D8" w:rsidRPr="00864C8D">
        <w:rPr>
          <w:rFonts w:ascii="Times New Roman" w:hAnsi="Times New Roman" w:cs="Times New Roman"/>
        </w:rPr>
        <w:t xml:space="preserve"> </w:t>
      </w:r>
      <w:r w:rsidR="0057775A">
        <w:rPr>
          <w:rFonts w:ascii="Times New Roman" w:hAnsi="Times New Roman" w:cs="Times New Roman"/>
        </w:rPr>
        <w:t>framework</w:t>
      </w:r>
      <w:r w:rsidR="00CF57D8" w:rsidRPr="00864C8D">
        <w:rPr>
          <w:rFonts w:ascii="Times New Roman" w:hAnsi="Times New Roman" w:cs="Times New Roman"/>
        </w:rPr>
        <w:t xml:space="preserve"> with </w:t>
      </w:r>
      <w:r w:rsidR="008424D5">
        <w:rPr>
          <w:rFonts w:ascii="Times New Roman" w:hAnsi="Times New Roman" w:cs="Times New Roman"/>
        </w:rPr>
        <w:t xml:space="preserve">innovation </w:t>
      </w:r>
      <w:r w:rsidR="00CF57D8" w:rsidRPr="00864C8D">
        <w:rPr>
          <w:rFonts w:ascii="Times New Roman" w:hAnsi="Times New Roman" w:cs="Times New Roman"/>
        </w:rPr>
        <w:t xml:space="preserve">platform </w:t>
      </w:r>
      <w:r w:rsidR="008424D5">
        <w:rPr>
          <w:rFonts w:ascii="Times New Roman" w:hAnsi="Times New Roman" w:cs="Times New Roman"/>
        </w:rPr>
        <w:t>theory</w:t>
      </w:r>
      <w:r w:rsidR="00CF57D8" w:rsidRPr="00864C8D">
        <w:rPr>
          <w:rFonts w:ascii="Times New Roman" w:hAnsi="Times New Roman" w:cs="Times New Roman"/>
        </w:rPr>
        <w:t xml:space="preserve"> to explain not only </w:t>
      </w:r>
      <w:r w:rsidR="00CF57D8" w:rsidRPr="00864C8D">
        <w:rPr>
          <w:rFonts w:ascii="Times New Roman" w:hAnsi="Times New Roman" w:cs="Times New Roman"/>
          <w:i/>
          <w:iCs/>
        </w:rPr>
        <w:t>that</w:t>
      </w:r>
      <w:r w:rsidR="00CF57D8" w:rsidRPr="00864C8D">
        <w:rPr>
          <w:rFonts w:ascii="Times New Roman" w:hAnsi="Times New Roman" w:cs="Times New Roman"/>
        </w:rPr>
        <w:t xml:space="preserve"> platforms enable entrepreneurship but </w:t>
      </w:r>
      <w:r w:rsidR="00CF57D8" w:rsidRPr="00864C8D">
        <w:rPr>
          <w:rFonts w:ascii="Times New Roman" w:hAnsi="Times New Roman" w:cs="Times New Roman"/>
          <w:i/>
          <w:iCs/>
        </w:rPr>
        <w:t>how</w:t>
      </w:r>
      <w:r w:rsidR="00CF57D8" w:rsidRPr="00864C8D">
        <w:rPr>
          <w:rFonts w:ascii="Times New Roman" w:hAnsi="Times New Roman" w:cs="Times New Roman"/>
        </w:rPr>
        <w:t xml:space="preserve"> that enablement is converted into durable ventures under</w:t>
      </w:r>
      <w:r w:rsidR="00FA12C8">
        <w:rPr>
          <w:rFonts w:ascii="Times New Roman" w:hAnsi="Times New Roman" w:cs="Times New Roman"/>
        </w:rPr>
        <w:t xml:space="preserve"> asymmetric power dynamics and the</w:t>
      </w:r>
      <w:r w:rsidR="00324E6E">
        <w:rPr>
          <w:rFonts w:ascii="Times New Roman" w:hAnsi="Times New Roman" w:cs="Times New Roman"/>
        </w:rPr>
        <w:t xml:space="preserve"> uncertainty of their</w:t>
      </w:r>
      <w:r w:rsidR="00FA12C8">
        <w:rPr>
          <w:rFonts w:ascii="Times New Roman" w:hAnsi="Times New Roman" w:cs="Times New Roman"/>
        </w:rPr>
        <w:t xml:space="preserve"> changing</w:t>
      </w:r>
      <w:r w:rsidR="00CF57D8" w:rsidRPr="00864C8D">
        <w:rPr>
          <w:rFonts w:ascii="Times New Roman" w:hAnsi="Times New Roman" w:cs="Times New Roman"/>
        </w:rPr>
        <w:t xml:space="preserve"> governance</w:t>
      </w:r>
      <w:r w:rsidR="00FA12C8">
        <w:rPr>
          <w:rFonts w:ascii="Times New Roman" w:hAnsi="Times New Roman" w:cs="Times New Roman"/>
        </w:rPr>
        <w:t xml:space="preserve"> regimes</w:t>
      </w:r>
      <w:r w:rsidR="00E97A35">
        <w:rPr>
          <w:rFonts w:ascii="Times New Roman" w:hAnsi="Times New Roman" w:cs="Times New Roman"/>
        </w:rPr>
        <w:t xml:space="preserve"> (Hurni et al., 2022)</w:t>
      </w:r>
      <w:r w:rsidR="00CF57D8" w:rsidRPr="00864C8D">
        <w:rPr>
          <w:rFonts w:ascii="Times New Roman" w:hAnsi="Times New Roman" w:cs="Times New Roman"/>
        </w:rPr>
        <w:t xml:space="preserve">. Empirically, it </w:t>
      </w:r>
      <w:r w:rsidR="00765F73">
        <w:rPr>
          <w:rFonts w:ascii="Times New Roman" w:hAnsi="Times New Roman" w:cs="Times New Roman"/>
        </w:rPr>
        <w:t xml:space="preserve">explores </w:t>
      </w:r>
      <w:r w:rsidR="00CF57D8" w:rsidRPr="00864C8D">
        <w:rPr>
          <w:rFonts w:ascii="Times New Roman" w:hAnsi="Times New Roman" w:cs="Times New Roman"/>
        </w:rPr>
        <w:t>a focal ecosystem (OpenAI’s ChatGPT) in which enabling releases, boundary resource adoption, and governance updates occur at a cadence that makes their effects observable in real time.</w:t>
      </w:r>
    </w:p>
    <w:p w14:paraId="06659E91" w14:textId="258D8BB6" w:rsidR="00CF57D8" w:rsidRPr="00864C8D" w:rsidRDefault="00CF57D8" w:rsidP="00227EBD">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The remainder of the paper proceeds as follows. Section 2 develops the theoretical background and the integrated framework. Section 3 details the methodology and case context. </w:t>
      </w:r>
      <w:r w:rsidRPr="00864C8D">
        <w:rPr>
          <w:rFonts w:ascii="Times New Roman" w:hAnsi="Times New Roman" w:cs="Times New Roman"/>
        </w:rPr>
        <w:lastRenderedPageBreak/>
        <w:t>Section 4 presents the findings. Section 5 discusses theoretical and practical implications. Section 6 concludes with limitations and directions for future research.</w:t>
      </w:r>
    </w:p>
    <w:p w14:paraId="2B625376" w14:textId="78BEE1F9" w:rsidR="001A73AA" w:rsidRPr="00864C8D" w:rsidRDefault="001A73AA" w:rsidP="00882EC0">
      <w:pPr>
        <w:pStyle w:val="Heading1"/>
        <w:spacing w:before="0" w:after="0"/>
        <w:rPr>
          <w:rFonts w:cs="Times New Roman"/>
        </w:rPr>
      </w:pPr>
      <w:r w:rsidRPr="00864C8D">
        <w:rPr>
          <w:rFonts w:cs="Times New Roman"/>
        </w:rPr>
        <w:t>Theoretical Background</w:t>
      </w:r>
    </w:p>
    <w:p w14:paraId="762897A7" w14:textId="4D603DEB" w:rsidR="001A73AA" w:rsidRPr="00864C8D" w:rsidRDefault="001A73AA" w:rsidP="00BC16E3">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This section develops an integrated account of how Gen AI platforms both </w:t>
      </w:r>
      <w:proofErr w:type="spellStart"/>
      <w:r w:rsidRPr="00864C8D">
        <w:rPr>
          <w:rFonts w:ascii="Times New Roman" w:hAnsi="Times New Roman" w:cs="Times New Roman"/>
        </w:rPr>
        <w:t>catalyze</w:t>
      </w:r>
      <w:proofErr w:type="spellEnd"/>
      <w:r w:rsidRPr="00864C8D">
        <w:rPr>
          <w:rFonts w:ascii="Times New Roman" w:hAnsi="Times New Roman" w:cs="Times New Roman"/>
        </w:rPr>
        <w:t xml:space="preserve"> and discipline entrepreneurial ecosystems. Large language models (LLMs) exposed as cloud endpoints expand what entrepreneurial teams can build, while platform rules, pricing, and interfaces delimit what can be sustained. We foreground </w:t>
      </w:r>
      <w:r w:rsidRPr="00864C8D">
        <w:rPr>
          <w:rFonts w:ascii="Times New Roman" w:hAnsi="Times New Roman" w:cs="Times New Roman"/>
          <w:i/>
          <w:iCs/>
        </w:rPr>
        <w:t>platform-dependent entrepreneurship</w:t>
      </w:r>
      <w:r w:rsidRPr="00864C8D">
        <w:rPr>
          <w:rFonts w:ascii="Times New Roman" w:hAnsi="Times New Roman" w:cs="Times New Roman"/>
          <w:b/>
          <w:bCs/>
        </w:rPr>
        <w:t xml:space="preserve"> </w:t>
      </w:r>
      <w:r w:rsidRPr="00864C8D">
        <w:rPr>
          <w:rFonts w:ascii="Times New Roman" w:hAnsi="Times New Roman" w:cs="Times New Roman"/>
        </w:rPr>
        <w:t xml:space="preserve">(PDE), defined as venture activity whose core value creation and capture are non-viable off-platform because access to foundational capabilities is governed by a platform owner and switching costs—technical, contractual, and demand-side—render multihoming infeasible within the relevant strategic window (Cutolo &amp; Kenney, 2021; Nzembayie et al., 2024). Unlike </w:t>
      </w:r>
      <w:r w:rsidR="00882EC0" w:rsidRPr="00864C8D">
        <w:rPr>
          <w:rFonts w:ascii="Times New Roman" w:hAnsi="Times New Roman" w:cs="Times New Roman"/>
        </w:rPr>
        <w:t xml:space="preserve">platform </w:t>
      </w:r>
      <w:r w:rsidRPr="00864C8D">
        <w:rPr>
          <w:rFonts w:ascii="Times New Roman" w:hAnsi="Times New Roman" w:cs="Times New Roman"/>
        </w:rPr>
        <w:t xml:space="preserve">settings where dependence </w:t>
      </w:r>
      <w:proofErr w:type="spellStart"/>
      <w:r w:rsidRPr="00864C8D">
        <w:rPr>
          <w:rFonts w:ascii="Times New Roman" w:hAnsi="Times New Roman" w:cs="Times New Roman"/>
        </w:rPr>
        <w:t>centers</w:t>
      </w:r>
      <w:proofErr w:type="spellEnd"/>
      <w:r w:rsidRPr="00864C8D">
        <w:rPr>
          <w:rFonts w:ascii="Times New Roman" w:hAnsi="Times New Roman" w:cs="Times New Roman"/>
        </w:rPr>
        <w:t xml:space="preserve"> on distribution</w:t>
      </w:r>
      <w:r w:rsidR="00277791" w:rsidRPr="00864C8D">
        <w:rPr>
          <w:rFonts w:ascii="Times New Roman" w:hAnsi="Times New Roman" w:cs="Times New Roman"/>
        </w:rPr>
        <w:t xml:space="preserve"> (transaction platforms)</w:t>
      </w:r>
      <w:r w:rsidRPr="00864C8D">
        <w:rPr>
          <w:rFonts w:ascii="Times New Roman" w:hAnsi="Times New Roman" w:cs="Times New Roman"/>
        </w:rPr>
        <w:t xml:space="preserve">, Gen AI-powered PDE </w:t>
      </w:r>
      <w:r w:rsidR="00277791" w:rsidRPr="00864C8D">
        <w:rPr>
          <w:rFonts w:ascii="Times New Roman" w:hAnsi="Times New Roman" w:cs="Times New Roman"/>
        </w:rPr>
        <w:t>in the context of this research (e.g., OpenAI’s GPT</w:t>
      </w:r>
      <w:r w:rsidR="00F66493" w:rsidRPr="00864C8D">
        <w:rPr>
          <w:rFonts w:ascii="Times New Roman" w:hAnsi="Times New Roman" w:cs="Times New Roman"/>
        </w:rPr>
        <w:t xml:space="preserve"> models) </w:t>
      </w:r>
      <w:r w:rsidRPr="00864C8D">
        <w:rPr>
          <w:rFonts w:ascii="Times New Roman" w:hAnsi="Times New Roman" w:cs="Times New Roman"/>
        </w:rPr>
        <w:t xml:space="preserve">is capability-dependent: platform decisions alter the product’s capability surface, reshape unit economics through inference pricing and rate limits, and set legal permissibility via acceptable-use and safety policies. </w:t>
      </w:r>
      <w:r w:rsidR="00F44A05">
        <w:rPr>
          <w:rFonts w:ascii="Times New Roman" w:hAnsi="Times New Roman" w:cs="Times New Roman"/>
        </w:rPr>
        <w:t>To unravel this domain, w</w:t>
      </w:r>
      <w:r w:rsidRPr="00864C8D">
        <w:rPr>
          <w:rFonts w:ascii="Times New Roman" w:hAnsi="Times New Roman" w:cs="Times New Roman"/>
        </w:rPr>
        <w:t>e integrate institutional and external</w:t>
      </w:r>
      <w:r w:rsidR="00F66493" w:rsidRPr="00864C8D">
        <w:rPr>
          <w:rFonts w:ascii="Times New Roman" w:hAnsi="Times New Roman" w:cs="Times New Roman"/>
        </w:rPr>
        <w:t xml:space="preserve"> </w:t>
      </w:r>
      <w:r w:rsidRPr="00864C8D">
        <w:rPr>
          <w:rFonts w:ascii="Times New Roman" w:hAnsi="Times New Roman" w:cs="Times New Roman"/>
        </w:rPr>
        <w:t>enablement lenses with platform theory to explain how enablement and dependence are co-produced and why Gen AI-powered PDE warrants distinct treatment.</w:t>
      </w:r>
    </w:p>
    <w:p w14:paraId="543A8DC9" w14:textId="6847D5DD" w:rsidR="007F5A13" w:rsidRPr="00864C8D" w:rsidRDefault="00463850" w:rsidP="00BC16E3">
      <w:pPr>
        <w:pStyle w:val="Heading2"/>
        <w:spacing w:before="0" w:after="0" w:line="480" w:lineRule="auto"/>
        <w:rPr>
          <w:rFonts w:cs="Times New Roman"/>
        </w:rPr>
      </w:pPr>
      <w:r>
        <w:rPr>
          <w:rFonts w:cs="Times New Roman"/>
        </w:rPr>
        <w:t>The Evolution of</w:t>
      </w:r>
      <w:r w:rsidR="00DB25E2">
        <w:rPr>
          <w:rFonts w:cs="Times New Roman"/>
        </w:rPr>
        <w:t xml:space="preserve"> Gen AI </w:t>
      </w:r>
      <w:r>
        <w:rPr>
          <w:rFonts w:cs="Times New Roman"/>
        </w:rPr>
        <w:t xml:space="preserve">Platform Technologies </w:t>
      </w:r>
    </w:p>
    <w:p w14:paraId="2B1DA6EA" w14:textId="19A31780" w:rsidR="00AC731C" w:rsidRPr="00AC731C" w:rsidRDefault="00AC731C" w:rsidP="00AC731C">
      <w:pPr>
        <w:spacing w:after="0" w:line="480" w:lineRule="auto"/>
        <w:ind w:firstLine="720"/>
        <w:jc w:val="both"/>
        <w:rPr>
          <w:rFonts w:ascii="Times New Roman" w:hAnsi="Times New Roman" w:cs="Times New Roman"/>
          <w:lang w:val="en-US"/>
        </w:rPr>
      </w:pPr>
      <w:r>
        <w:rPr>
          <w:rFonts w:ascii="Times New Roman" w:hAnsi="Times New Roman" w:cs="Times New Roman"/>
          <w:lang w:val="en-US"/>
        </w:rPr>
        <w:t>Gen AI</w:t>
      </w:r>
      <w:r w:rsidRPr="00AC731C">
        <w:rPr>
          <w:rFonts w:ascii="Times New Roman" w:hAnsi="Times New Roman" w:cs="Times New Roman"/>
          <w:lang w:val="en-US"/>
        </w:rPr>
        <w:t xml:space="preserve"> has emerged from recent advances in machine learning and artificial intelligence, particularly the development of deep learning architectures. Unlike predictive or analytical AI, which primarily identifies and reports statistical patterns, GenAI generates novel digital content—text, images, and audio—based on user prompts (Mollick, 2024).</w:t>
      </w:r>
    </w:p>
    <w:p w14:paraId="2B99351A" w14:textId="56C06D39" w:rsidR="00AC731C" w:rsidRPr="00AC731C" w:rsidRDefault="00AC731C" w:rsidP="00D030D3">
      <w:pPr>
        <w:spacing w:after="0" w:line="480" w:lineRule="auto"/>
        <w:jc w:val="both"/>
        <w:rPr>
          <w:rFonts w:ascii="Times New Roman" w:hAnsi="Times New Roman" w:cs="Times New Roman"/>
          <w:lang w:val="en-US"/>
        </w:rPr>
      </w:pPr>
      <w:r w:rsidRPr="00AC731C">
        <w:rPr>
          <w:rFonts w:ascii="Times New Roman" w:hAnsi="Times New Roman" w:cs="Times New Roman"/>
          <w:lang w:val="en-US"/>
        </w:rPr>
        <w:t xml:space="preserve">These advances are grounded in </w:t>
      </w:r>
      <w:r w:rsidRPr="00AC731C">
        <w:rPr>
          <w:rFonts w:ascii="Times New Roman" w:hAnsi="Times New Roman" w:cs="Times New Roman"/>
          <w:b/>
          <w:bCs/>
          <w:i/>
          <w:iCs/>
          <w:lang w:val="en-US"/>
        </w:rPr>
        <w:t>deep neural networks (DNNs)</w:t>
      </w:r>
      <w:r w:rsidRPr="00AC731C">
        <w:rPr>
          <w:rFonts w:ascii="Times New Roman" w:hAnsi="Times New Roman" w:cs="Times New Roman"/>
          <w:i/>
          <w:iCs/>
          <w:lang w:val="en-US"/>
        </w:rPr>
        <w:t>,</w:t>
      </w:r>
      <w:r w:rsidRPr="00AC731C">
        <w:rPr>
          <w:rFonts w:ascii="Times New Roman" w:hAnsi="Times New Roman" w:cs="Times New Roman"/>
          <w:lang w:val="en-US"/>
        </w:rPr>
        <w:t xml:space="preserve"> multilayered computational systems inspired by biological neural processes that detect patterns and make inferences from large datasets (Mi</w:t>
      </w:r>
      <w:r w:rsidR="00D21E9B">
        <w:rPr>
          <w:rFonts w:ascii="Times New Roman" w:hAnsi="Times New Roman" w:cs="Times New Roman"/>
          <w:lang w:val="en-US"/>
        </w:rPr>
        <w:t>t</w:t>
      </w:r>
      <w:r w:rsidRPr="00AC731C">
        <w:rPr>
          <w:rFonts w:ascii="Times New Roman" w:hAnsi="Times New Roman" w:cs="Times New Roman"/>
          <w:lang w:val="en-US"/>
        </w:rPr>
        <w:t xml:space="preserve">chell, 2019, 2021). A critical inflection point occurred in 2012, when </w:t>
      </w:r>
      <w:r w:rsidRPr="00AC731C">
        <w:rPr>
          <w:rFonts w:ascii="Times New Roman" w:hAnsi="Times New Roman" w:cs="Times New Roman"/>
          <w:lang w:val="en-US"/>
        </w:rPr>
        <w:lastRenderedPageBreak/>
        <w:t xml:space="preserve">researchers demonstrated that </w:t>
      </w:r>
      <w:r w:rsidRPr="00391525">
        <w:rPr>
          <w:rFonts w:ascii="Times New Roman" w:hAnsi="Times New Roman" w:cs="Times New Roman"/>
          <w:lang w:val="en-US"/>
        </w:rPr>
        <w:t>graphics processing units</w:t>
      </w:r>
      <w:r w:rsidRPr="00AC731C">
        <w:rPr>
          <w:rFonts w:ascii="Times New Roman" w:hAnsi="Times New Roman" w:cs="Times New Roman"/>
          <w:b/>
          <w:bCs/>
          <w:i/>
          <w:iCs/>
          <w:lang w:val="en-US"/>
        </w:rPr>
        <w:t xml:space="preserve"> </w:t>
      </w:r>
      <w:r w:rsidRPr="00391525">
        <w:rPr>
          <w:rFonts w:ascii="Times New Roman" w:hAnsi="Times New Roman" w:cs="Times New Roman"/>
          <w:lang w:val="en-US"/>
        </w:rPr>
        <w:t>(GPUs)</w:t>
      </w:r>
      <w:r w:rsidRPr="00AC731C">
        <w:rPr>
          <w:rFonts w:ascii="Times New Roman" w:hAnsi="Times New Roman" w:cs="Times New Roman"/>
          <w:lang w:val="en-US"/>
        </w:rPr>
        <w:t xml:space="preserve"> could efficiently scale the training of </w:t>
      </w:r>
      <w:r w:rsidR="00EB5FF5">
        <w:rPr>
          <w:rFonts w:ascii="Times New Roman" w:hAnsi="Times New Roman" w:cs="Times New Roman"/>
          <w:lang w:val="en-US"/>
        </w:rPr>
        <w:t xml:space="preserve">DNNs </w:t>
      </w:r>
      <w:r w:rsidRPr="00AC731C">
        <w:rPr>
          <w:rFonts w:ascii="Times New Roman" w:hAnsi="Times New Roman" w:cs="Times New Roman"/>
          <w:lang w:val="en-US"/>
        </w:rPr>
        <w:t>(Nzembayie &amp; Buckley, 2022).</w:t>
      </w:r>
    </w:p>
    <w:p w14:paraId="4D40B5B8" w14:textId="1D16CF4A" w:rsidR="00AC731C" w:rsidRPr="00AC731C" w:rsidRDefault="00AC731C" w:rsidP="00AC731C">
      <w:pPr>
        <w:spacing w:after="0" w:line="480" w:lineRule="auto"/>
        <w:ind w:firstLine="720"/>
        <w:jc w:val="both"/>
        <w:rPr>
          <w:rFonts w:ascii="Times New Roman" w:hAnsi="Times New Roman" w:cs="Times New Roman"/>
          <w:lang w:val="en-US"/>
        </w:rPr>
      </w:pPr>
      <w:r w:rsidRPr="00AC731C">
        <w:rPr>
          <w:rFonts w:ascii="Times New Roman" w:hAnsi="Times New Roman" w:cs="Times New Roman"/>
          <w:lang w:val="en-US"/>
        </w:rPr>
        <w:t xml:space="preserve">Building on these advances, the introduction of the </w:t>
      </w:r>
      <w:r w:rsidRPr="00AC731C">
        <w:rPr>
          <w:rFonts w:ascii="Times New Roman" w:hAnsi="Times New Roman" w:cs="Times New Roman"/>
          <w:b/>
          <w:bCs/>
          <w:i/>
          <w:iCs/>
          <w:lang w:val="en-US"/>
        </w:rPr>
        <w:t>Transformer architecture</w:t>
      </w:r>
      <w:r w:rsidRPr="00AC731C">
        <w:rPr>
          <w:rFonts w:ascii="Times New Roman" w:hAnsi="Times New Roman" w:cs="Times New Roman"/>
          <w:lang w:val="en-US"/>
        </w:rPr>
        <w:t xml:space="preserve"> by Vaswani et al. (2017) </w:t>
      </w:r>
      <w:r w:rsidR="0072438F">
        <w:rPr>
          <w:rFonts w:ascii="Times New Roman" w:hAnsi="Times New Roman" w:cs="Times New Roman"/>
          <w:lang w:val="en-US"/>
        </w:rPr>
        <w:t xml:space="preserve">from Google, </w:t>
      </w:r>
      <w:r w:rsidRPr="00AC731C">
        <w:rPr>
          <w:rFonts w:ascii="Times New Roman" w:hAnsi="Times New Roman" w:cs="Times New Roman"/>
          <w:lang w:val="en-US"/>
        </w:rPr>
        <w:t xml:space="preserve">marked another paradigm shift. By replacing sequential processing with parallel computation and implementing a </w:t>
      </w:r>
      <w:r w:rsidRPr="00AC731C">
        <w:rPr>
          <w:rFonts w:ascii="Times New Roman" w:hAnsi="Times New Roman" w:cs="Times New Roman"/>
          <w:b/>
          <w:bCs/>
          <w:i/>
          <w:iCs/>
          <w:lang w:val="en-US"/>
        </w:rPr>
        <w:t>self-attention mechanism</w:t>
      </w:r>
      <w:r w:rsidR="00594840">
        <w:rPr>
          <w:rStyle w:val="FootnoteReference"/>
          <w:rFonts w:ascii="Times New Roman" w:hAnsi="Times New Roman" w:cs="Times New Roman"/>
          <w:b/>
          <w:bCs/>
          <w:i/>
          <w:iCs/>
          <w:lang w:val="en-US"/>
        </w:rPr>
        <w:footnoteReference w:id="1"/>
      </w:r>
      <w:r w:rsidRPr="00AC731C">
        <w:rPr>
          <w:rFonts w:ascii="Times New Roman" w:hAnsi="Times New Roman" w:cs="Times New Roman"/>
          <w:lang w:val="en-US"/>
        </w:rPr>
        <w:t xml:space="preserve">, Transformers enabled more efficient handling of long-range dependencies in data. This innovation underpins today’s </w:t>
      </w:r>
      <w:r w:rsidR="00594840">
        <w:rPr>
          <w:rFonts w:ascii="Times New Roman" w:hAnsi="Times New Roman" w:cs="Times New Roman"/>
          <w:b/>
          <w:bCs/>
          <w:i/>
          <w:iCs/>
          <w:lang w:val="en-US"/>
        </w:rPr>
        <w:t>L</w:t>
      </w:r>
      <w:r w:rsidRPr="00AC731C">
        <w:rPr>
          <w:rFonts w:ascii="Times New Roman" w:hAnsi="Times New Roman" w:cs="Times New Roman"/>
          <w:b/>
          <w:bCs/>
          <w:i/>
          <w:iCs/>
          <w:lang w:val="en-US"/>
        </w:rPr>
        <w:t xml:space="preserve">arge </w:t>
      </w:r>
      <w:r w:rsidR="00594840">
        <w:rPr>
          <w:rFonts w:ascii="Times New Roman" w:hAnsi="Times New Roman" w:cs="Times New Roman"/>
          <w:b/>
          <w:bCs/>
          <w:i/>
          <w:iCs/>
          <w:lang w:val="en-US"/>
        </w:rPr>
        <w:t>L</w:t>
      </w:r>
      <w:r w:rsidRPr="00AC731C">
        <w:rPr>
          <w:rFonts w:ascii="Times New Roman" w:hAnsi="Times New Roman" w:cs="Times New Roman"/>
          <w:b/>
          <w:bCs/>
          <w:i/>
          <w:iCs/>
          <w:lang w:val="en-US"/>
        </w:rPr>
        <w:t xml:space="preserve">anguage </w:t>
      </w:r>
      <w:r w:rsidR="00594840">
        <w:rPr>
          <w:rFonts w:ascii="Times New Roman" w:hAnsi="Times New Roman" w:cs="Times New Roman"/>
          <w:b/>
          <w:bCs/>
          <w:i/>
          <w:iCs/>
          <w:lang w:val="en-US"/>
        </w:rPr>
        <w:t>M</w:t>
      </w:r>
      <w:r w:rsidRPr="00AC731C">
        <w:rPr>
          <w:rFonts w:ascii="Times New Roman" w:hAnsi="Times New Roman" w:cs="Times New Roman"/>
          <w:b/>
          <w:bCs/>
          <w:i/>
          <w:iCs/>
          <w:lang w:val="en-US"/>
        </w:rPr>
        <w:t>odels (LLMs)</w:t>
      </w:r>
      <w:r w:rsidRPr="00AC731C">
        <w:rPr>
          <w:rFonts w:ascii="Times New Roman" w:hAnsi="Times New Roman" w:cs="Times New Roman"/>
          <w:lang w:val="en-US"/>
        </w:rPr>
        <w:t xml:space="preserve"> such as </w:t>
      </w:r>
      <w:r w:rsidR="006A5638">
        <w:rPr>
          <w:rFonts w:ascii="Times New Roman" w:hAnsi="Times New Roman" w:cs="Times New Roman"/>
          <w:lang w:val="en-US"/>
        </w:rPr>
        <w:t xml:space="preserve">OpenAI’s </w:t>
      </w:r>
      <w:r w:rsidRPr="006A5638">
        <w:rPr>
          <w:rFonts w:ascii="Times New Roman" w:hAnsi="Times New Roman" w:cs="Times New Roman"/>
          <w:i/>
          <w:iCs/>
          <w:lang w:val="en-US"/>
        </w:rPr>
        <w:t>GPT</w:t>
      </w:r>
      <w:r w:rsidR="00D40577">
        <w:rPr>
          <w:rFonts w:ascii="Times New Roman" w:hAnsi="Times New Roman" w:cs="Times New Roman"/>
          <w:lang w:val="en-US"/>
        </w:rPr>
        <w:t xml:space="preserve"> models</w:t>
      </w:r>
      <w:r w:rsidRPr="00AC731C">
        <w:rPr>
          <w:rFonts w:ascii="Times New Roman" w:hAnsi="Times New Roman" w:cs="Times New Roman"/>
          <w:lang w:val="en-US"/>
        </w:rPr>
        <w:t xml:space="preserve">, </w:t>
      </w:r>
      <w:proofErr w:type="spellStart"/>
      <w:r w:rsidR="006A5638">
        <w:rPr>
          <w:rFonts w:ascii="Times New Roman" w:hAnsi="Times New Roman" w:cs="Times New Roman"/>
          <w:lang w:val="en-US"/>
        </w:rPr>
        <w:t>Anthropic’s</w:t>
      </w:r>
      <w:proofErr w:type="spellEnd"/>
      <w:r w:rsidR="006A5638">
        <w:rPr>
          <w:rFonts w:ascii="Times New Roman" w:hAnsi="Times New Roman" w:cs="Times New Roman"/>
          <w:lang w:val="en-US"/>
        </w:rPr>
        <w:t xml:space="preserve"> </w:t>
      </w:r>
      <w:r w:rsidRPr="006A5638">
        <w:rPr>
          <w:rFonts w:ascii="Times New Roman" w:hAnsi="Times New Roman" w:cs="Times New Roman"/>
          <w:i/>
          <w:iCs/>
          <w:lang w:val="en-US"/>
        </w:rPr>
        <w:t>Claude</w:t>
      </w:r>
      <w:r w:rsidRPr="00AC731C">
        <w:rPr>
          <w:rFonts w:ascii="Times New Roman" w:hAnsi="Times New Roman" w:cs="Times New Roman"/>
          <w:lang w:val="en-US"/>
        </w:rPr>
        <w:t xml:space="preserve">, </w:t>
      </w:r>
      <w:r w:rsidR="006A5638">
        <w:rPr>
          <w:rFonts w:ascii="Times New Roman" w:hAnsi="Times New Roman" w:cs="Times New Roman"/>
          <w:lang w:val="en-US"/>
        </w:rPr>
        <w:t xml:space="preserve">Google’s </w:t>
      </w:r>
      <w:r w:rsidRPr="006A5638">
        <w:rPr>
          <w:rFonts w:ascii="Times New Roman" w:hAnsi="Times New Roman" w:cs="Times New Roman"/>
          <w:i/>
          <w:iCs/>
          <w:lang w:val="en-US"/>
        </w:rPr>
        <w:t>Gemini</w:t>
      </w:r>
      <w:r w:rsidRPr="00AC731C">
        <w:rPr>
          <w:rFonts w:ascii="Times New Roman" w:hAnsi="Times New Roman" w:cs="Times New Roman"/>
          <w:lang w:val="en-US"/>
        </w:rPr>
        <w:t xml:space="preserve">, and </w:t>
      </w:r>
      <w:r w:rsidR="006A5638">
        <w:rPr>
          <w:rFonts w:ascii="Times New Roman" w:hAnsi="Times New Roman" w:cs="Times New Roman"/>
          <w:lang w:val="en-US"/>
        </w:rPr>
        <w:t xml:space="preserve">Meta’s </w:t>
      </w:r>
      <w:r w:rsidR="00D23693" w:rsidRPr="006A5638">
        <w:rPr>
          <w:rFonts w:ascii="Times New Roman" w:hAnsi="Times New Roman" w:cs="Times New Roman"/>
          <w:i/>
          <w:iCs/>
          <w:lang w:val="en-US"/>
        </w:rPr>
        <w:t>Llama</w:t>
      </w:r>
      <w:r w:rsidRPr="00AC731C">
        <w:rPr>
          <w:rFonts w:ascii="Times New Roman" w:hAnsi="Times New Roman" w:cs="Times New Roman"/>
          <w:lang w:val="en-US"/>
        </w:rPr>
        <w:t>, which support fluent text generation, summarization, and increasingly multimodal outputs.</w:t>
      </w:r>
      <w:r w:rsidR="00744C60">
        <w:rPr>
          <w:rFonts w:ascii="Times New Roman" w:hAnsi="Times New Roman" w:cs="Times New Roman"/>
          <w:lang w:val="en-US"/>
        </w:rPr>
        <w:t xml:space="preserve">  </w:t>
      </w:r>
      <w:r w:rsidRPr="00AC731C">
        <w:rPr>
          <w:rFonts w:ascii="Times New Roman" w:hAnsi="Times New Roman" w:cs="Times New Roman"/>
          <w:lang w:val="en-US"/>
        </w:rPr>
        <w:t xml:space="preserve">Although computationally expensive to develop, LLMs have been scaled through platform-based </w:t>
      </w:r>
      <w:r w:rsidR="00C7309E">
        <w:rPr>
          <w:rFonts w:ascii="Times New Roman" w:hAnsi="Times New Roman" w:cs="Times New Roman"/>
          <w:lang w:val="en-US"/>
        </w:rPr>
        <w:t>business models</w:t>
      </w:r>
      <w:r w:rsidRPr="00AC731C">
        <w:rPr>
          <w:rFonts w:ascii="Times New Roman" w:hAnsi="Times New Roman" w:cs="Times New Roman"/>
          <w:lang w:val="en-US"/>
        </w:rPr>
        <w:t xml:space="preserve"> that invite user co-creation</w:t>
      </w:r>
      <w:r w:rsidR="00B6104C">
        <w:rPr>
          <w:rFonts w:ascii="Times New Roman" w:hAnsi="Times New Roman" w:cs="Times New Roman"/>
          <w:lang w:val="en-US"/>
        </w:rPr>
        <w:t xml:space="preserve">, forming the genesis of </w:t>
      </w:r>
      <w:r w:rsidR="00C7309E">
        <w:rPr>
          <w:rFonts w:ascii="Times New Roman" w:hAnsi="Times New Roman" w:cs="Times New Roman"/>
          <w:lang w:val="en-US"/>
        </w:rPr>
        <w:t xml:space="preserve">Gen AI-powered </w:t>
      </w:r>
      <w:r w:rsidR="00B6104C">
        <w:rPr>
          <w:rFonts w:ascii="Times New Roman" w:hAnsi="Times New Roman" w:cs="Times New Roman"/>
          <w:lang w:val="en-US"/>
        </w:rPr>
        <w:t>PDE</w:t>
      </w:r>
      <w:r w:rsidRPr="00AC731C">
        <w:rPr>
          <w:rFonts w:ascii="Times New Roman" w:hAnsi="Times New Roman" w:cs="Times New Roman"/>
          <w:lang w:val="en-US"/>
        </w:rPr>
        <w:t>. The combination of cloud infrastructure and open-source frameworks has further democratized access</w:t>
      </w:r>
      <w:r w:rsidR="00B6104C">
        <w:rPr>
          <w:rFonts w:ascii="Times New Roman" w:hAnsi="Times New Roman" w:cs="Times New Roman"/>
          <w:lang w:val="en-US"/>
        </w:rPr>
        <w:t xml:space="preserve"> (e.</w:t>
      </w:r>
      <w:r w:rsidR="00744C60">
        <w:rPr>
          <w:rFonts w:ascii="Times New Roman" w:hAnsi="Times New Roman" w:cs="Times New Roman"/>
          <w:lang w:val="en-US"/>
        </w:rPr>
        <w:t>g., Llama from Meta)</w:t>
      </w:r>
      <w:r w:rsidRPr="00AC731C">
        <w:rPr>
          <w:rFonts w:ascii="Times New Roman" w:hAnsi="Times New Roman" w:cs="Times New Roman"/>
          <w:lang w:val="en-US"/>
        </w:rPr>
        <w:t xml:space="preserve">, reducing barriers for resource-constrained innovators and enabling new pathways of capability-dependent entrepreneurial activity (von Hippel, 2009; Townsend &amp; Hunt, 2019; Troise et al., 2021; </w:t>
      </w:r>
      <w:proofErr w:type="spellStart"/>
      <w:r w:rsidRPr="00AC731C">
        <w:rPr>
          <w:rFonts w:ascii="Times New Roman" w:hAnsi="Times New Roman" w:cs="Times New Roman"/>
          <w:lang w:val="en-US"/>
        </w:rPr>
        <w:t>Giuggioli</w:t>
      </w:r>
      <w:proofErr w:type="spellEnd"/>
      <w:r w:rsidRPr="00AC731C">
        <w:rPr>
          <w:rFonts w:ascii="Times New Roman" w:hAnsi="Times New Roman" w:cs="Times New Roman"/>
          <w:lang w:val="en-US"/>
        </w:rPr>
        <w:t xml:space="preserve"> &amp; Pellegrini, 2023).</w:t>
      </w:r>
    </w:p>
    <w:p w14:paraId="468835B3" w14:textId="3C21CC21" w:rsidR="00AC731C" w:rsidRDefault="00AC731C" w:rsidP="00AC731C">
      <w:pPr>
        <w:spacing w:after="0" w:line="480" w:lineRule="auto"/>
        <w:ind w:firstLine="720"/>
        <w:jc w:val="both"/>
        <w:rPr>
          <w:rFonts w:ascii="Times New Roman" w:hAnsi="Times New Roman" w:cs="Times New Roman"/>
          <w:lang w:val="en-US"/>
        </w:rPr>
      </w:pPr>
      <w:r w:rsidRPr="00AC731C">
        <w:rPr>
          <w:rFonts w:ascii="Times New Roman" w:hAnsi="Times New Roman" w:cs="Times New Roman"/>
          <w:lang w:val="en-US"/>
        </w:rPr>
        <w:t xml:space="preserve">It is important to note, however, that Transformer-based LLMs represent only one type of foundation model. </w:t>
      </w:r>
      <w:r w:rsidRPr="00AC731C">
        <w:rPr>
          <w:rFonts w:ascii="Times New Roman" w:hAnsi="Times New Roman" w:cs="Times New Roman"/>
          <w:b/>
          <w:bCs/>
          <w:i/>
          <w:iCs/>
          <w:lang w:val="en-US"/>
        </w:rPr>
        <w:t>Diffusion models</w:t>
      </w:r>
      <w:r w:rsidRPr="00AC731C">
        <w:rPr>
          <w:rFonts w:ascii="Times New Roman" w:hAnsi="Times New Roman" w:cs="Times New Roman"/>
          <w:lang w:val="en-US"/>
        </w:rPr>
        <w:t>, such as Stable Diffusion, constitute another important class, providing the basis for text-to-image systems like DALL·E 3 and Midjourney. Recent research has emphasized the integration of LLMs with diffusion models, enabling increasingly multimodal systems capable of generating coherent combinations of text, image, and audio (</w:t>
      </w:r>
      <w:r w:rsidR="005C2BF6" w:rsidRPr="005C2BF6">
        <w:rPr>
          <w:rFonts w:ascii="Times New Roman" w:hAnsi="Times New Roman" w:cs="Times New Roman"/>
          <w:lang w:val="en-US"/>
        </w:rPr>
        <w:t xml:space="preserve">Hu, 2023; </w:t>
      </w:r>
      <w:proofErr w:type="spellStart"/>
      <w:r w:rsidR="005C2BF6" w:rsidRPr="005C2BF6">
        <w:rPr>
          <w:rFonts w:ascii="Times New Roman" w:hAnsi="Times New Roman" w:cs="Times New Roman"/>
          <w:lang w:val="en-US"/>
        </w:rPr>
        <w:t>Maslej</w:t>
      </w:r>
      <w:proofErr w:type="spellEnd"/>
      <w:r w:rsidR="005C2BF6" w:rsidRPr="005C2BF6">
        <w:rPr>
          <w:rFonts w:ascii="Times New Roman" w:hAnsi="Times New Roman" w:cs="Times New Roman"/>
          <w:lang w:val="en-US"/>
        </w:rPr>
        <w:t xml:space="preserve"> et al., 2024</w:t>
      </w:r>
      <w:r w:rsidRPr="00AC731C">
        <w:rPr>
          <w:rFonts w:ascii="Times New Roman" w:hAnsi="Times New Roman" w:cs="Times New Roman"/>
          <w:lang w:val="en-US"/>
        </w:rPr>
        <w:t>).</w:t>
      </w:r>
      <w:r w:rsidR="00E76B04">
        <w:rPr>
          <w:rFonts w:ascii="Times New Roman" w:hAnsi="Times New Roman" w:cs="Times New Roman"/>
          <w:lang w:val="en-US"/>
        </w:rPr>
        <w:t xml:space="preserve"> We subsequently unravel these technological changes in the context of institutional theory and the external enablement framework. </w:t>
      </w:r>
    </w:p>
    <w:p w14:paraId="449AFB22" w14:textId="77777777" w:rsidR="00B457FC" w:rsidRPr="00AC731C" w:rsidRDefault="00B457FC" w:rsidP="00AC731C">
      <w:pPr>
        <w:spacing w:after="0" w:line="480" w:lineRule="auto"/>
        <w:ind w:firstLine="720"/>
        <w:jc w:val="both"/>
        <w:rPr>
          <w:rFonts w:ascii="Times New Roman" w:hAnsi="Times New Roman" w:cs="Times New Roman"/>
          <w:lang w:val="en-US"/>
        </w:rPr>
      </w:pPr>
    </w:p>
    <w:p w14:paraId="5044FAAE" w14:textId="343E7838" w:rsidR="00DB25E2" w:rsidRPr="00864C8D" w:rsidRDefault="00F7115D" w:rsidP="00DB25E2">
      <w:pPr>
        <w:pStyle w:val="Heading2"/>
        <w:spacing w:before="0" w:after="0" w:line="480" w:lineRule="auto"/>
        <w:rPr>
          <w:rFonts w:cs="Times New Roman"/>
        </w:rPr>
      </w:pPr>
      <w:r w:rsidRPr="00864C8D">
        <w:rPr>
          <w:rFonts w:cs="Times New Roman"/>
        </w:rPr>
        <w:lastRenderedPageBreak/>
        <w:t>Institutional Theory</w:t>
      </w:r>
      <w:r w:rsidR="00B457FC">
        <w:rPr>
          <w:rFonts w:cs="Times New Roman"/>
        </w:rPr>
        <w:t xml:space="preserve"> &amp; External Enablement of PDE </w:t>
      </w:r>
    </w:p>
    <w:p w14:paraId="7B69D22E" w14:textId="77777777" w:rsidR="00B457FC" w:rsidRPr="00864C8D" w:rsidRDefault="00B457FC" w:rsidP="00B457FC">
      <w:pPr>
        <w:spacing w:after="0" w:line="480" w:lineRule="auto"/>
        <w:ind w:firstLine="720"/>
        <w:jc w:val="both"/>
        <w:rPr>
          <w:rFonts w:ascii="Times New Roman" w:hAnsi="Times New Roman" w:cs="Times New Roman"/>
        </w:rPr>
      </w:pPr>
      <w:r w:rsidRPr="00864C8D">
        <w:rPr>
          <w:rFonts w:ascii="Times New Roman" w:hAnsi="Times New Roman" w:cs="Times New Roman"/>
          <w:b/>
          <w:bCs/>
          <w:i/>
          <w:iCs/>
        </w:rPr>
        <w:t>Institutional theory</w:t>
      </w:r>
      <w:r w:rsidRPr="00864C8D">
        <w:rPr>
          <w:rFonts w:ascii="Times New Roman" w:hAnsi="Times New Roman" w:cs="Times New Roman"/>
        </w:rPr>
        <w:t xml:space="preserve"> holds that formal regulations and informal norms channel entrepreneurial </w:t>
      </w:r>
      <w:proofErr w:type="spellStart"/>
      <w:r w:rsidRPr="00864C8D">
        <w:rPr>
          <w:rFonts w:ascii="Times New Roman" w:hAnsi="Times New Roman" w:cs="Times New Roman"/>
        </w:rPr>
        <w:t>behavior</w:t>
      </w:r>
      <w:proofErr w:type="spellEnd"/>
      <w:r w:rsidRPr="00864C8D">
        <w:rPr>
          <w:rFonts w:ascii="Times New Roman" w:hAnsi="Times New Roman" w:cs="Times New Roman"/>
        </w:rPr>
        <w:t xml:space="preserve"> by defining what is legitimate, auditable, and fundable (North, 1990; Baumol, 1993; Baumol &amp; Strom, 2007). Entrepreneurs can also act as institutional entrepreneurs, mobilizing resources and alliances to reshape field rules when templates are incomplete or contested (DiMaggio, 1988; Garud et al., 2007; Elert &amp; Henrekson, 2017; Urbano et al., 2019). </w:t>
      </w:r>
      <w:r w:rsidRPr="0054352C">
        <w:rPr>
          <w:rFonts w:ascii="Times New Roman" w:hAnsi="Times New Roman" w:cs="Times New Roman"/>
        </w:rPr>
        <w:t>In Gen</w:t>
      </w:r>
      <w:r w:rsidRPr="00864C8D">
        <w:rPr>
          <w:rFonts w:ascii="Times New Roman" w:hAnsi="Times New Roman" w:cs="Times New Roman"/>
        </w:rPr>
        <w:t xml:space="preserve"> </w:t>
      </w:r>
      <w:r w:rsidRPr="0054352C">
        <w:rPr>
          <w:rFonts w:ascii="Times New Roman" w:hAnsi="Times New Roman" w:cs="Times New Roman"/>
        </w:rPr>
        <w:t>AI ecosystems</w:t>
      </w:r>
      <w:r>
        <w:rPr>
          <w:rFonts w:ascii="Times New Roman" w:hAnsi="Times New Roman" w:cs="Times New Roman"/>
        </w:rPr>
        <w:t>,</w:t>
      </w:r>
      <w:r w:rsidRPr="0054352C">
        <w:rPr>
          <w:rFonts w:ascii="Times New Roman" w:hAnsi="Times New Roman" w:cs="Times New Roman"/>
        </w:rPr>
        <w:t xml:space="preserve"> </w:t>
      </w:r>
      <w:r w:rsidRPr="00864C8D">
        <w:rPr>
          <w:rFonts w:ascii="Times New Roman" w:hAnsi="Times New Roman" w:cs="Times New Roman"/>
        </w:rPr>
        <w:t>institutional</w:t>
      </w:r>
      <w:r w:rsidRPr="0054352C">
        <w:rPr>
          <w:rFonts w:ascii="Times New Roman" w:hAnsi="Times New Roman" w:cs="Times New Roman"/>
        </w:rPr>
        <w:t xml:space="preserve"> channels are increasingly </w:t>
      </w:r>
      <w:proofErr w:type="gramStart"/>
      <w:r w:rsidRPr="0054352C">
        <w:rPr>
          <w:rFonts w:ascii="Times New Roman" w:hAnsi="Times New Roman" w:cs="Times New Roman"/>
        </w:rPr>
        <w:t>private-order</w:t>
      </w:r>
      <w:proofErr w:type="gramEnd"/>
      <w:r w:rsidRPr="0054352C">
        <w:rPr>
          <w:rFonts w:ascii="Times New Roman" w:hAnsi="Times New Roman" w:cs="Times New Roman"/>
        </w:rPr>
        <w:t xml:space="preserve"> as well as public. </w:t>
      </w:r>
      <w:r w:rsidRPr="00676CD5">
        <w:rPr>
          <w:rFonts w:ascii="Times New Roman" w:hAnsi="Times New Roman" w:cs="Times New Roman"/>
          <w:i/>
          <w:iCs/>
        </w:rPr>
        <w:t>Platform governance</w:t>
      </w:r>
      <w:r w:rsidRPr="0054352C">
        <w:rPr>
          <w:rFonts w:ascii="Times New Roman" w:hAnsi="Times New Roman" w:cs="Times New Roman"/>
        </w:rPr>
        <w:t xml:space="preserve"> operates as an institutional regime implemented through boundary resources—APIs</w:t>
      </w:r>
      <w:r>
        <w:rPr>
          <w:rStyle w:val="FootnoteReference"/>
          <w:rFonts w:ascii="Times New Roman" w:hAnsi="Times New Roman" w:cs="Times New Roman"/>
        </w:rPr>
        <w:footnoteReference w:id="2"/>
      </w:r>
      <w:r w:rsidRPr="0054352C">
        <w:rPr>
          <w:rFonts w:ascii="Times New Roman" w:hAnsi="Times New Roman" w:cs="Times New Roman"/>
        </w:rPr>
        <w:t>, SDKs</w:t>
      </w:r>
      <w:r>
        <w:rPr>
          <w:rStyle w:val="FootnoteReference"/>
          <w:rFonts w:ascii="Times New Roman" w:hAnsi="Times New Roman" w:cs="Times New Roman"/>
        </w:rPr>
        <w:footnoteReference w:id="3"/>
      </w:r>
      <w:r w:rsidRPr="0054352C">
        <w:rPr>
          <w:rFonts w:ascii="Times New Roman" w:hAnsi="Times New Roman" w:cs="Times New Roman"/>
        </w:rPr>
        <w:t>, documentation, policy portals, and telemetry dashboards—that both resource third-party innovation and secure platform integrity (</w:t>
      </w:r>
      <w:proofErr w:type="spellStart"/>
      <w:r w:rsidRPr="0054352C">
        <w:rPr>
          <w:rFonts w:ascii="Times New Roman" w:hAnsi="Times New Roman" w:cs="Times New Roman"/>
        </w:rPr>
        <w:t>Ghazawneh</w:t>
      </w:r>
      <w:proofErr w:type="spellEnd"/>
      <w:r w:rsidRPr="0054352C">
        <w:rPr>
          <w:rFonts w:ascii="Times New Roman" w:hAnsi="Times New Roman" w:cs="Times New Roman"/>
        </w:rPr>
        <w:t xml:space="preserve"> &amp; Henfridsson, 2013; </w:t>
      </w:r>
      <w:proofErr w:type="spellStart"/>
      <w:r w:rsidRPr="0054352C">
        <w:rPr>
          <w:rFonts w:ascii="Times New Roman" w:hAnsi="Times New Roman" w:cs="Times New Roman"/>
        </w:rPr>
        <w:t>Gawer</w:t>
      </w:r>
      <w:proofErr w:type="spellEnd"/>
      <w:r w:rsidRPr="0054352C">
        <w:rPr>
          <w:rFonts w:ascii="Times New Roman" w:hAnsi="Times New Roman" w:cs="Times New Roman"/>
        </w:rPr>
        <w:t xml:space="preserve"> &amp; Phillips, 2013</w:t>
      </w:r>
      <w:r>
        <w:rPr>
          <w:rFonts w:ascii="Times New Roman" w:hAnsi="Times New Roman" w:cs="Times New Roman"/>
        </w:rPr>
        <w:t>; Chen et al., 2022</w:t>
      </w:r>
      <w:r w:rsidRPr="0054352C">
        <w:rPr>
          <w:rFonts w:ascii="Times New Roman" w:hAnsi="Times New Roman" w:cs="Times New Roman"/>
        </w:rPr>
        <w:t xml:space="preserve">). </w:t>
      </w:r>
    </w:p>
    <w:p w14:paraId="25B13BA7" w14:textId="77777777" w:rsidR="00B457FC" w:rsidRPr="00864C8D" w:rsidRDefault="00B457FC" w:rsidP="00B457FC">
      <w:pPr>
        <w:spacing w:after="0" w:line="480" w:lineRule="auto"/>
        <w:ind w:firstLine="720"/>
        <w:jc w:val="both"/>
        <w:rPr>
          <w:rFonts w:ascii="Times New Roman" w:hAnsi="Times New Roman" w:cs="Times New Roman"/>
        </w:rPr>
      </w:pPr>
      <w:r w:rsidRPr="0054352C">
        <w:rPr>
          <w:rFonts w:ascii="Times New Roman" w:hAnsi="Times New Roman" w:cs="Times New Roman"/>
        </w:rPr>
        <w:t xml:space="preserve">These boundary resources act as </w:t>
      </w:r>
      <w:r w:rsidRPr="00DC2D61">
        <w:rPr>
          <w:rFonts w:ascii="Times New Roman" w:hAnsi="Times New Roman" w:cs="Times New Roman"/>
          <w:i/>
          <w:iCs/>
        </w:rPr>
        <w:t>institutional scaffolding</w:t>
      </w:r>
      <w:r w:rsidRPr="0054352C">
        <w:rPr>
          <w:rFonts w:ascii="Times New Roman" w:hAnsi="Times New Roman" w:cs="Times New Roman"/>
        </w:rPr>
        <w:t>: they standardize interaction and lower entry costs while embedding ventures in rule-enforcing toolchains aligned with the platform’s risk posture (</w:t>
      </w:r>
      <w:proofErr w:type="spellStart"/>
      <w:r w:rsidRPr="0054352C">
        <w:rPr>
          <w:rFonts w:ascii="Times New Roman" w:hAnsi="Times New Roman" w:cs="Times New Roman"/>
        </w:rPr>
        <w:t>Ghazawneh</w:t>
      </w:r>
      <w:proofErr w:type="spellEnd"/>
      <w:r w:rsidRPr="0054352C">
        <w:rPr>
          <w:rFonts w:ascii="Times New Roman" w:hAnsi="Times New Roman" w:cs="Times New Roman"/>
        </w:rPr>
        <w:t xml:space="preserve"> &amp; Henfridsson, 2013</w:t>
      </w:r>
      <w:r w:rsidRPr="00864C8D">
        <w:rPr>
          <w:rFonts w:ascii="Times New Roman" w:hAnsi="Times New Roman" w:cs="Times New Roman"/>
        </w:rPr>
        <w:t>; O’Mahony &amp; Karp, 2022</w:t>
      </w:r>
      <w:r w:rsidRPr="0054352C">
        <w:rPr>
          <w:rFonts w:ascii="Times New Roman" w:hAnsi="Times New Roman" w:cs="Times New Roman"/>
        </w:rPr>
        <w:t xml:space="preserve">). </w:t>
      </w:r>
      <w:r>
        <w:rPr>
          <w:rFonts w:ascii="Times New Roman" w:hAnsi="Times New Roman" w:cs="Times New Roman"/>
        </w:rPr>
        <w:t>Governance structures, whether open or close, and governance mechanisms such as degree of access and control (</w:t>
      </w:r>
      <w:proofErr w:type="spellStart"/>
      <w:r>
        <w:rPr>
          <w:rFonts w:ascii="Times New Roman" w:hAnsi="Times New Roman" w:cs="Times New Roman"/>
        </w:rPr>
        <w:t>Jacobides</w:t>
      </w:r>
      <w:proofErr w:type="spellEnd"/>
      <w:r>
        <w:rPr>
          <w:rFonts w:ascii="Times New Roman" w:hAnsi="Times New Roman" w:cs="Times New Roman"/>
        </w:rPr>
        <w:t xml:space="preserve"> et al., 2018; O’Mahony &amp; Karp, 2022) help to</w:t>
      </w:r>
      <w:r w:rsidRPr="0054352C">
        <w:rPr>
          <w:rFonts w:ascii="Times New Roman" w:hAnsi="Times New Roman" w:cs="Times New Roman"/>
        </w:rPr>
        <w:t xml:space="preserve"> translate external enablement into credible offerings; at the same time they codify obligations—rate limits,</w:t>
      </w:r>
      <w:r>
        <w:rPr>
          <w:rFonts w:ascii="Times New Roman" w:hAnsi="Times New Roman" w:cs="Times New Roman"/>
        </w:rPr>
        <w:t xml:space="preserve"> decide on</w:t>
      </w:r>
      <w:r w:rsidRPr="0054352C">
        <w:rPr>
          <w:rFonts w:ascii="Times New Roman" w:hAnsi="Times New Roman" w:cs="Times New Roman"/>
        </w:rPr>
        <w:t xml:space="preserve"> </w:t>
      </w:r>
      <w:r w:rsidRPr="00864C8D">
        <w:rPr>
          <w:rFonts w:ascii="Times New Roman" w:hAnsi="Times New Roman" w:cs="Times New Roman"/>
        </w:rPr>
        <w:t xml:space="preserve">software </w:t>
      </w:r>
      <w:proofErr w:type="spellStart"/>
      <w:r w:rsidRPr="0054352C">
        <w:rPr>
          <w:rFonts w:ascii="Times New Roman" w:hAnsi="Times New Roman" w:cs="Times New Roman"/>
        </w:rPr>
        <w:t>deprecation</w:t>
      </w:r>
      <w:proofErr w:type="spellEnd"/>
      <w:r>
        <w:rPr>
          <w:rStyle w:val="FootnoteReference"/>
          <w:rFonts w:ascii="Times New Roman" w:hAnsi="Times New Roman" w:cs="Times New Roman"/>
        </w:rPr>
        <w:footnoteReference w:id="4"/>
      </w:r>
      <w:r w:rsidRPr="0054352C">
        <w:rPr>
          <w:rFonts w:ascii="Times New Roman" w:hAnsi="Times New Roman" w:cs="Times New Roman"/>
        </w:rPr>
        <w:t xml:space="preserve"> schedules, and safety constraints—that shape product scope and economics (Zimmerman &amp; Zeitz, 2002; Davidsson et al., 2020; Truong et al., 2023).</w:t>
      </w:r>
    </w:p>
    <w:p w14:paraId="1B4A42C6" w14:textId="43A73979" w:rsidR="00B457FC" w:rsidRPr="00864C8D" w:rsidRDefault="00B457FC" w:rsidP="00B457FC">
      <w:pPr>
        <w:spacing w:after="0" w:line="480" w:lineRule="auto"/>
        <w:ind w:firstLine="720"/>
        <w:jc w:val="both"/>
        <w:rPr>
          <w:rFonts w:ascii="Times New Roman" w:hAnsi="Times New Roman" w:cs="Times New Roman"/>
        </w:rPr>
      </w:pPr>
      <w:r w:rsidRPr="0054352C">
        <w:rPr>
          <w:rFonts w:ascii="Times New Roman" w:hAnsi="Times New Roman" w:cs="Times New Roman"/>
        </w:rPr>
        <w:t xml:space="preserve">Entrepreneurs and platform owners are </w:t>
      </w:r>
      <w:r w:rsidRPr="00053A08">
        <w:rPr>
          <w:rFonts w:ascii="Times New Roman" w:hAnsi="Times New Roman" w:cs="Times New Roman"/>
          <w:i/>
          <w:iCs/>
        </w:rPr>
        <w:t>institutional actors</w:t>
      </w:r>
      <w:r w:rsidRPr="0054352C">
        <w:rPr>
          <w:rFonts w:ascii="Times New Roman" w:hAnsi="Times New Roman" w:cs="Times New Roman"/>
        </w:rPr>
        <w:t xml:space="preserve"> within this regime</w:t>
      </w:r>
      <w:r>
        <w:rPr>
          <w:rFonts w:ascii="Times New Roman" w:hAnsi="Times New Roman" w:cs="Times New Roman"/>
        </w:rPr>
        <w:t xml:space="preserve"> (Urbano et al., 2019)</w:t>
      </w:r>
      <w:r w:rsidRPr="0054352C">
        <w:rPr>
          <w:rFonts w:ascii="Times New Roman" w:hAnsi="Times New Roman" w:cs="Times New Roman"/>
        </w:rPr>
        <w:t xml:space="preserve">. </w:t>
      </w:r>
      <w:r>
        <w:rPr>
          <w:rFonts w:ascii="Times New Roman" w:hAnsi="Times New Roman" w:cs="Times New Roman"/>
        </w:rPr>
        <w:t xml:space="preserve">They jointly </w:t>
      </w:r>
      <w:r w:rsidRPr="0054352C">
        <w:rPr>
          <w:rFonts w:ascii="Times New Roman" w:hAnsi="Times New Roman" w:cs="Times New Roman"/>
        </w:rPr>
        <w:t xml:space="preserve">engage in </w:t>
      </w:r>
      <w:r w:rsidRPr="003571EC">
        <w:rPr>
          <w:rFonts w:ascii="Times New Roman" w:hAnsi="Times New Roman" w:cs="Times New Roman"/>
        </w:rPr>
        <w:t>institutional entrepreneurship</w:t>
      </w:r>
      <w:r>
        <w:rPr>
          <w:rFonts w:ascii="Times New Roman" w:hAnsi="Times New Roman" w:cs="Times New Roman"/>
        </w:rPr>
        <w:t xml:space="preserve"> (</w:t>
      </w:r>
      <w:r w:rsidRPr="00411E84">
        <w:rPr>
          <w:rFonts w:ascii="Times New Roman" w:hAnsi="Times New Roman" w:cs="Times New Roman"/>
          <w:lang w:val="en-US"/>
        </w:rPr>
        <w:t>Bruton</w:t>
      </w:r>
      <w:r>
        <w:rPr>
          <w:rFonts w:ascii="Times New Roman" w:hAnsi="Times New Roman" w:cs="Times New Roman"/>
          <w:lang w:val="en-US"/>
        </w:rPr>
        <w:t xml:space="preserve"> et al., 2010)</w:t>
      </w:r>
      <w:r w:rsidRPr="0054352C">
        <w:rPr>
          <w:rFonts w:ascii="Times New Roman" w:hAnsi="Times New Roman" w:cs="Times New Roman"/>
        </w:rPr>
        <w:t xml:space="preserve">—forming alliances, crafting assurance narratives, and sometimes lobbying—to align nascent </w:t>
      </w:r>
      <w:r w:rsidRPr="0054352C">
        <w:rPr>
          <w:rFonts w:ascii="Times New Roman" w:hAnsi="Times New Roman" w:cs="Times New Roman"/>
        </w:rPr>
        <w:lastRenderedPageBreak/>
        <w:t>rules with feasible business models (DiMaggio, 1988; Garud et al., 2007; Elert &amp; Henrekson, 2017). Platform owners likewise work the field through standard-setting and public discourse</w:t>
      </w:r>
      <w:r>
        <w:rPr>
          <w:rFonts w:ascii="Times New Roman" w:hAnsi="Times New Roman" w:cs="Times New Roman"/>
        </w:rPr>
        <w:t xml:space="preserve"> shaping</w:t>
      </w:r>
      <w:r w:rsidRPr="0054352C">
        <w:rPr>
          <w:rFonts w:ascii="Times New Roman" w:hAnsi="Times New Roman" w:cs="Times New Roman"/>
        </w:rPr>
        <w:t>, co-evolving private governance with emergent public regulation (e.g., the EU AI Act)</w:t>
      </w:r>
      <w:r>
        <w:rPr>
          <w:rFonts w:ascii="Times New Roman" w:hAnsi="Times New Roman" w:cs="Times New Roman"/>
        </w:rPr>
        <w:t xml:space="preserve">. Thus, they shape </w:t>
      </w:r>
      <w:r w:rsidRPr="0054352C">
        <w:rPr>
          <w:rFonts w:ascii="Times New Roman" w:hAnsi="Times New Roman" w:cs="Times New Roman"/>
        </w:rPr>
        <w:t xml:space="preserve">the very pathways through which external enablers are converted into </w:t>
      </w:r>
      <w:r>
        <w:rPr>
          <w:rFonts w:ascii="Times New Roman" w:hAnsi="Times New Roman" w:cs="Times New Roman"/>
        </w:rPr>
        <w:t xml:space="preserve">new </w:t>
      </w:r>
      <w:r w:rsidRPr="0054352C">
        <w:rPr>
          <w:rFonts w:ascii="Times New Roman" w:hAnsi="Times New Roman" w:cs="Times New Roman"/>
        </w:rPr>
        <w:t xml:space="preserve">ventures (Mair &amp; Martí, 2009; Diao et al., 2021; </w:t>
      </w:r>
      <w:proofErr w:type="spellStart"/>
      <w:r w:rsidRPr="0054352C">
        <w:rPr>
          <w:rFonts w:ascii="Times New Roman" w:hAnsi="Times New Roman" w:cs="Times New Roman"/>
        </w:rPr>
        <w:t>Gawer</w:t>
      </w:r>
      <w:proofErr w:type="spellEnd"/>
      <w:r w:rsidRPr="0054352C">
        <w:rPr>
          <w:rFonts w:ascii="Times New Roman" w:hAnsi="Times New Roman" w:cs="Times New Roman"/>
        </w:rPr>
        <w:t>, 2022). Thus,</w:t>
      </w:r>
      <w:r>
        <w:rPr>
          <w:rFonts w:ascii="Times New Roman" w:hAnsi="Times New Roman" w:cs="Times New Roman"/>
        </w:rPr>
        <w:t xml:space="preserve"> we identify</w:t>
      </w:r>
      <w:r w:rsidRPr="0054352C">
        <w:rPr>
          <w:rFonts w:ascii="Times New Roman" w:hAnsi="Times New Roman" w:cs="Times New Roman"/>
        </w:rPr>
        <w:t xml:space="preserve"> </w:t>
      </w:r>
      <w:r w:rsidRPr="00350A25">
        <w:rPr>
          <w:rFonts w:ascii="Times New Roman" w:hAnsi="Times New Roman" w:cs="Times New Roman"/>
          <w:b/>
          <w:bCs/>
          <w:i/>
          <w:iCs/>
        </w:rPr>
        <w:t>governance-mediated enablement</w:t>
      </w:r>
      <w:r w:rsidRPr="0054352C">
        <w:rPr>
          <w:rFonts w:ascii="Times New Roman" w:hAnsi="Times New Roman" w:cs="Times New Roman"/>
        </w:rPr>
        <w:t xml:space="preserve"> </w:t>
      </w:r>
      <w:r>
        <w:rPr>
          <w:rFonts w:ascii="Times New Roman" w:hAnsi="Times New Roman" w:cs="Times New Roman"/>
        </w:rPr>
        <w:t xml:space="preserve">as a </w:t>
      </w:r>
      <w:r w:rsidRPr="0054352C">
        <w:rPr>
          <w:rFonts w:ascii="Times New Roman" w:hAnsi="Times New Roman" w:cs="Times New Roman"/>
        </w:rPr>
        <w:t>central</w:t>
      </w:r>
      <w:r>
        <w:rPr>
          <w:rFonts w:ascii="Times New Roman" w:hAnsi="Times New Roman" w:cs="Times New Roman"/>
        </w:rPr>
        <w:t xml:space="preserve"> construct emerging at the nexus between institutions</w:t>
      </w:r>
      <w:r w:rsidR="00C01C8E">
        <w:rPr>
          <w:rFonts w:ascii="Times New Roman" w:hAnsi="Times New Roman" w:cs="Times New Roman"/>
        </w:rPr>
        <w:t xml:space="preserve"> and technological change</w:t>
      </w:r>
      <w:r>
        <w:rPr>
          <w:rFonts w:ascii="Times New Roman" w:hAnsi="Times New Roman" w:cs="Times New Roman"/>
        </w:rPr>
        <w:t xml:space="preserve">. That is, </w:t>
      </w:r>
      <w:r w:rsidRPr="0054352C">
        <w:rPr>
          <w:rFonts w:ascii="Times New Roman" w:hAnsi="Times New Roman" w:cs="Times New Roman"/>
        </w:rPr>
        <w:t xml:space="preserve">pricing stability, versioning and deprecation practices, and the scope of permitted use determine whether the same technological shock (a new model, a cost drop) yields durable opportunities or transient experiments (Davidsson et al., 2020; </w:t>
      </w:r>
      <w:proofErr w:type="spellStart"/>
      <w:r w:rsidRPr="0054352C">
        <w:rPr>
          <w:rFonts w:ascii="Times New Roman" w:hAnsi="Times New Roman" w:cs="Times New Roman"/>
        </w:rPr>
        <w:t>Kimjeon</w:t>
      </w:r>
      <w:proofErr w:type="spellEnd"/>
      <w:r w:rsidRPr="0054352C">
        <w:rPr>
          <w:rFonts w:ascii="Times New Roman" w:hAnsi="Times New Roman" w:cs="Times New Roman"/>
        </w:rPr>
        <w:t xml:space="preserve"> &amp; Davidsson, 2022).</w:t>
      </w:r>
    </w:p>
    <w:p w14:paraId="02093B0E" w14:textId="76677283" w:rsidR="00D24BA3" w:rsidRDefault="007F5A13" w:rsidP="00BC16E3">
      <w:pPr>
        <w:spacing w:after="0" w:line="480" w:lineRule="auto"/>
        <w:ind w:firstLine="720"/>
        <w:jc w:val="both"/>
        <w:rPr>
          <w:rFonts w:ascii="Times New Roman" w:hAnsi="Times New Roman" w:cs="Times New Roman"/>
        </w:rPr>
      </w:pPr>
      <w:r w:rsidRPr="00AD5C71">
        <w:rPr>
          <w:rFonts w:ascii="Times New Roman" w:hAnsi="Times New Roman" w:cs="Times New Roman"/>
          <w:b/>
          <w:bCs/>
          <w:i/>
          <w:iCs/>
          <w:color w:val="FF0000"/>
        </w:rPr>
        <w:t>External enablement</w:t>
      </w:r>
      <w:r w:rsidRPr="00AD5C71">
        <w:rPr>
          <w:rFonts w:ascii="Times New Roman" w:hAnsi="Times New Roman" w:cs="Times New Roman"/>
          <w:color w:val="FF0000"/>
        </w:rPr>
        <w:t xml:space="preserve"> </w:t>
      </w:r>
      <w:r w:rsidR="00EA5F77" w:rsidRPr="00AD5C71">
        <w:rPr>
          <w:rFonts w:ascii="Times New Roman" w:hAnsi="Times New Roman" w:cs="Times New Roman"/>
          <w:color w:val="FF0000"/>
        </w:rPr>
        <w:t xml:space="preserve">(EE) </w:t>
      </w:r>
      <w:r w:rsidR="00C44AEC" w:rsidRPr="00AD5C71">
        <w:rPr>
          <w:rFonts w:ascii="Times New Roman" w:hAnsi="Times New Roman" w:cs="Times New Roman"/>
          <w:color w:val="FF0000"/>
        </w:rPr>
        <w:t>framework</w:t>
      </w:r>
      <w:r w:rsidR="00261567" w:rsidRPr="00AD5C71">
        <w:rPr>
          <w:rFonts w:ascii="Times New Roman" w:hAnsi="Times New Roman" w:cs="Times New Roman"/>
          <w:color w:val="FF0000"/>
        </w:rPr>
        <w:t xml:space="preserve"> complements institutions theory by</w:t>
      </w:r>
      <w:r w:rsidRPr="00AD5C71">
        <w:rPr>
          <w:rFonts w:ascii="Times New Roman" w:hAnsi="Times New Roman" w:cs="Times New Roman"/>
          <w:color w:val="FF0000"/>
        </w:rPr>
        <w:t xml:space="preserve"> </w:t>
      </w:r>
      <w:proofErr w:type="gramStart"/>
      <w:r w:rsidR="00C36893" w:rsidRPr="00AD5C71">
        <w:rPr>
          <w:rFonts w:ascii="Times New Roman" w:hAnsi="Times New Roman" w:cs="Times New Roman"/>
          <w:color w:val="FF0000"/>
        </w:rPr>
        <w:t>present</w:t>
      </w:r>
      <w:r w:rsidR="00261567" w:rsidRPr="00AD5C71">
        <w:rPr>
          <w:rFonts w:ascii="Times New Roman" w:hAnsi="Times New Roman" w:cs="Times New Roman"/>
          <w:color w:val="FF0000"/>
        </w:rPr>
        <w:t xml:space="preserve">ing </w:t>
      </w:r>
      <w:r w:rsidR="00C36893" w:rsidRPr="00AD5C71">
        <w:rPr>
          <w:rFonts w:ascii="Times New Roman" w:hAnsi="Times New Roman" w:cs="Times New Roman"/>
          <w:color w:val="FF0000"/>
        </w:rPr>
        <w:t xml:space="preserve"> a</w:t>
      </w:r>
      <w:proofErr w:type="gramEnd"/>
      <w:r w:rsidR="00C36893" w:rsidRPr="00AD5C71">
        <w:rPr>
          <w:rFonts w:ascii="Times New Roman" w:hAnsi="Times New Roman" w:cs="Times New Roman"/>
          <w:color w:val="FF0000"/>
        </w:rPr>
        <w:t xml:space="preserve"> useful </w:t>
      </w:r>
      <w:r w:rsidR="00BD580F" w:rsidRPr="00AD5C71">
        <w:rPr>
          <w:rFonts w:ascii="Times New Roman" w:hAnsi="Times New Roman" w:cs="Times New Roman"/>
          <w:color w:val="FF0000"/>
        </w:rPr>
        <w:t xml:space="preserve">theoretical </w:t>
      </w:r>
      <w:r w:rsidR="00AD5C71" w:rsidRPr="00AD5C71">
        <w:rPr>
          <w:rFonts w:ascii="Times New Roman" w:hAnsi="Times New Roman" w:cs="Times New Roman"/>
          <w:color w:val="FF0000"/>
        </w:rPr>
        <w:t>lens</w:t>
      </w:r>
      <w:r w:rsidR="00C36893" w:rsidRPr="00AD5C71">
        <w:rPr>
          <w:rFonts w:ascii="Times New Roman" w:hAnsi="Times New Roman" w:cs="Times New Roman"/>
          <w:color w:val="FF0000"/>
        </w:rPr>
        <w:t xml:space="preserve"> for understanding</w:t>
      </w:r>
      <w:r w:rsidR="00BD580F" w:rsidRPr="00AD5C71">
        <w:rPr>
          <w:rFonts w:ascii="Times New Roman" w:hAnsi="Times New Roman" w:cs="Times New Roman"/>
          <w:color w:val="FF0000"/>
        </w:rPr>
        <w:t xml:space="preserve"> </w:t>
      </w:r>
      <w:r w:rsidR="00463850" w:rsidRPr="00AD5C71">
        <w:rPr>
          <w:rFonts w:ascii="Times New Roman" w:hAnsi="Times New Roman" w:cs="Times New Roman"/>
          <w:color w:val="FF0000"/>
        </w:rPr>
        <w:t xml:space="preserve">how </w:t>
      </w:r>
      <w:r w:rsidR="00BD580F" w:rsidRPr="00AD5C71">
        <w:rPr>
          <w:rFonts w:ascii="Times New Roman" w:hAnsi="Times New Roman" w:cs="Times New Roman"/>
          <w:color w:val="FF0000"/>
        </w:rPr>
        <w:t xml:space="preserve">emerging </w:t>
      </w:r>
      <w:r w:rsidR="00463850" w:rsidRPr="00AD5C71">
        <w:rPr>
          <w:rFonts w:ascii="Times New Roman" w:hAnsi="Times New Roman" w:cs="Times New Roman"/>
          <w:color w:val="FF0000"/>
        </w:rPr>
        <w:t xml:space="preserve">AI technologies </w:t>
      </w:r>
      <w:r w:rsidR="009C4000" w:rsidRPr="00AD5C71">
        <w:rPr>
          <w:rFonts w:ascii="Times New Roman" w:hAnsi="Times New Roman" w:cs="Times New Roman"/>
          <w:color w:val="FF0000"/>
        </w:rPr>
        <w:t>drive</w:t>
      </w:r>
      <w:r w:rsidR="00C36893" w:rsidRPr="00AD5C71">
        <w:rPr>
          <w:rFonts w:ascii="Times New Roman" w:hAnsi="Times New Roman" w:cs="Times New Roman"/>
          <w:color w:val="FF0000"/>
        </w:rPr>
        <w:t xml:space="preserve"> AI-powered </w:t>
      </w:r>
      <w:r w:rsidR="006A5638" w:rsidRPr="00AD5C71">
        <w:rPr>
          <w:rFonts w:ascii="Times New Roman" w:hAnsi="Times New Roman" w:cs="Times New Roman"/>
          <w:color w:val="FF0000"/>
        </w:rPr>
        <w:t>PDE</w:t>
      </w:r>
      <w:r w:rsidR="006950F4" w:rsidRPr="00AD5C71">
        <w:rPr>
          <w:rFonts w:ascii="Times New Roman" w:hAnsi="Times New Roman" w:cs="Times New Roman"/>
          <w:color w:val="FF0000"/>
        </w:rPr>
        <w:t xml:space="preserve"> (</w:t>
      </w:r>
      <w:r w:rsidR="006950F4" w:rsidRPr="00AD5C71">
        <w:rPr>
          <w:rFonts w:ascii="Times New Roman" w:hAnsi="Times New Roman" w:cs="Times New Roman"/>
          <w:color w:val="FF0000"/>
          <w:lang w:val="en-US"/>
        </w:rPr>
        <w:t>Truong et al., 2023)</w:t>
      </w:r>
      <w:r w:rsidR="00C36893" w:rsidRPr="00AD5C71">
        <w:rPr>
          <w:rFonts w:ascii="Times New Roman" w:hAnsi="Times New Roman" w:cs="Times New Roman"/>
          <w:color w:val="FF0000"/>
        </w:rPr>
        <w:t xml:space="preserve">. </w:t>
      </w:r>
      <w:r w:rsidR="00EA5F77">
        <w:rPr>
          <w:rFonts w:ascii="Times New Roman" w:hAnsi="Times New Roman" w:cs="Times New Roman"/>
        </w:rPr>
        <w:t xml:space="preserve">EE </w:t>
      </w:r>
      <w:r w:rsidR="003501E8">
        <w:rPr>
          <w:rFonts w:ascii="Times New Roman" w:hAnsi="Times New Roman" w:cs="Times New Roman"/>
        </w:rPr>
        <w:t>refers to</w:t>
      </w:r>
      <w:r w:rsidR="005F7958">
        <w:rPr>
          <w:rFonts w:ascii="Times New Roman" w:hAnsi="Times New Roman" w:cs="Times New Roman"/>
        </w:rPr>
        <w:t xml:space="preserve"> the mechanisms through which</w:t>
      </w:r>
      <w:r w:rsidRPr="00EA5F77">
        <w:rPr>
          <w:rFonts w:ascii="Times New Roman" w:hAnsi="Times New Roman" w:cs="Times New Roman"/>
          <w:i/>
          <w:iCs/>
        </w:rPr>
        <w:t xml:space="preserve"> nontrivial </w:t>
      </w:r>
      <w:r w:rsidRPr="00864C8D">
        <w:rPr>
          <w:rFonts w:ascii="Times New Roman" w:hAnsi="Times New Roman" w:cs="Times New Roman"/>
        </w:rPr>
        <w:t>environment</w:t>
      </w:r>
      <w:r w:rsidR="005F7958">
        <w:rPr>
          <w:rFonts w:ascii="Times New Roman" w:hAnsi="Times New Roman" w:cs="Times New Roman"/>
        </w:rPr>
        <w:t>al</w:t>
      </w:r>
      <w:r w:rsidRPr="00864C8D">
        <w:rPr>
          <w:rFonts w:ascii="Times New Roman" w:hAnsi="Times New Roman" w:cs="Times New Roman"/>
        </w:rPr>
        <w:t xml:space="preserve"> shifts</w:t>
      </w:r>
      <w:r w:rsidR="008E1312">
        <w:rPr>
          <w:rFonts w:ascii="Times New Roman" w:hAnsi="Times New Roman" w:cs="Times New Roman"/>
        </w:rPr>
        <w:t xml:space="preserve"> </w:t>
      </w:r>
      <w:r w:rsidR="005C01F4">
        <w:rPr>
          <w:rFonts w:ascii="Times New Roman" w:hAnsi="Times New Roman" w:cs="Times New Roman"/>
        </w:rPr>
        <w:t>objectively enlarge entrepreneurial opportunities</w:t>
      </w:r>
      <w:r w:rsidR="00B32C08">
        <w:rPr>
          <w:rFonts w:ascii="Times New Roman" w:hAnsi="Times New Roman" w:cs="Times New Roman"/>
        </w:rPr>
        <w:t xml:space="preserve"> through </w:t>
      </w:r>
      <w:r w:rsidRPr="00864C8D">
        <w:rPr>
          <w:rFonts w:ascii="Times New Roman" w:hAnsi="Times New Roman" w:cs="Times New Roman"/>
        </w:rPr>
        <w:t>supply- (e.g., resource access) and demand-side (demand expansion) mechanisms (Davidsson et al., 2020). From this perspective</w:t>
      </w:r>
      <w:r w:rsidRPr="0054352C">
        <w:rPr>
          <w:rFonts w:ascii="Times New Roman" w:hAnsi="Times New Roman" w:cs="Times New Roman"/>
        </w:rPr>
        <w:t xml:space="preserve">, </w:t>
      </w:r>
      <w:r w:rsidR="00AC3C7B">
        <w:rPr>
          <w:rFonts w:ascii="Times New Roman" w:hAnsi="Times New Roman" w:cs="Times New Roman"/>
        </w:rPr>
        <w:t xml:space="preserve">recently emerging </w:t>
      </w:r>
      <w:r w:rsidRPr="0054352C">
        <w:rPr>
          <w:rFonts w:ascii="Times New Roman" w:hAnsi="Times New Roman" w:cs="Times New Roman"/>
        </w:rPr>
        <w:t>Gen</w:t>
      </w:r>
      <w:r w:rsidRPr="00864C8D">
        <w:rPr>
          <w:rFonts w:ascii="Times New Roman" w:hAnsi="Times New Roman" w:cs="Times New Roman"/>
        </w:rPr>
        <w:t xml:space="preserve"> </w:t>
      </w:r>
      <w:r w:rsidRPr="0054352C">
        <w:rPr>
          <w:rFonts w:ascii="Times New Roman" w:hAnsi="Times New Roman" w:cs="Times New Roman"/>
        </w:rPr>
        <w:t>AI</w:t>
      </w:r>
      <w:r w:rsidR="00AC3C7B">
        <w:rPr>
          <w:rFonts w:ascii="Times New Roman" w:hAnsi="Times New Roman" w:cs="Times New Roman"/>
        </w:rPr>
        <w:t xml:space="preserve"> </w:t>
      </w:r>
      <w:r w:rsidR="00D44DAF">
        <w:rPr>
          <w:rFonts w:ascii="Times New Roman" w:hAnsi="Times New Roman" w:cs="Times New Roman"/>
        </w:rPr>
        <w:t xml:space="preserve">platforms </w:t>
      </w:r>
      <w:r w:rsidR="009D2833">
        <w:rPr>
          <w:rFonts w:ascii="Times New Roman" w:hAnsi="Times New Roman" w:cs="Times New Roman"/>
        </w:rPr>
        <w:t xml:space="preserve">and the </w:t>
      </w:r>
      <w:r w:rsidR="00BD6C75">
        <w:rPr>
          <w:rFonts w:ascii="Times New Roman" w:hAnsi="Times New Roman" w:cs="Times New Roman"/>
        </w:rPr>
        <w:t xml:space="preserve">proprietary </w:t>
      </w:r>
      <w:r w:rsidR="003A5C1B">
        <w:rPr>
          <w:rFonts w:ascii="Times New Roman" w:hAnsi="Times New Roman" w:cs="Times New Roman"/>
        </w:rPr>
        <w:t>models</w:t>
      </w:r>
      <w:r w:rsidR="009D2833">
        <w:rPr>
          <w:rFonts w:ascii="Times New Roman" w:hAnsi="Times New Roman" w:cs="Times New Roman"/>
        </w:rPr>
        <w:t xml:space="preserve"> they create, </w:t>
      </w:r>
      <w:r w:rsidR="006325C5">
        <w:rPr>
          <w:rFonts w:ascii="Times New Roman" w:hAnsi="Times New Roman" w:cs="Times New Roman"/>
        </w:rPr>
        <w:t xml:space="preserve">represent </w:t>
      </w:r>
      <w:r w:rsidRPr="0054352C">
        <w:rPr>
          <w:rFonts w:ascii="Times New Roman" w:hAnsi="Times New Roman" w:cs="Times New Roman"/>
        </w:rPr>
        <w:t>nontrivial shift</w:t>
      </w:r>
      <w:r w:rsidR="009D2833">
        <w:rPr>
          <w:rFonts w:ascii="Times New Roman" w:hAnsi="Times New Roman" w:cs="Times New Roman"/>
        </w:rPr>
        <w:t>s</w:t>
      </w:r>
      <w:r w:rsidRPr="0054352C">
        <w:rPr>
          <w:rFonts w:ascii="Times New Roman" w:hAnsi="Times New Roman" w:cs="Times New Roman"/>
        </w:rPr>
        <w:t xml:space="preserve"> </w:t>
      </w:r>
      <w:r w:rsidR="006325C5">
        <w:rPr>
          <w:rFonts w:ascii="Times New Roman" w:hAnsi="Times New Roman" w:cs="Times New Roman"/>
        </w:rPr>
        <w:t xml:space="preserve">in technology </w:t>
      </w:r>
      <w:r w:rsidRPr="0054352C">
        <w:rPr>
          <w:rFonts w:ascii="Times New Roman" w:hAnsi="Times New Roman" w:cs="Times New Roman"/>
        </w:rPr>
        <w:t>that open new possibilit</w:t>
      </w:r>
      <w:r w:rsidR="009D2833">
        <w:rPr>
          <w:rFonts w:ascii="Times New Roman" w:hAnsi="Times New Roman" w:cs="Times New Roman"/>
        </w:rPr>
        <w:t>ies for new venture creation</w:t>
      </w:r>
      <w:r w:rsidR="00322D7D">
        <w:rPr>
          <w:rFonts w:ascii="Times New Roman" w:hAnsi="Times New Roman" w:cs="Times New Roman"/>
        </w:rPr>
        <w:t>. F</w:t>
      </w:r>
      <w:r w:rsidRPr="0054352C">
        <w:rPr>
          <w:rFonts w:ascii="Times New Roman" w:hAnsi="Times New Roman" w:cs="Times New Roman"/>
        </w:rPr>
        <w:t>oundation models</w:t>
      </w:r>
      <w:r w:rsidR="00713061">
        <w:rPr>
          <w:rFonts w:ascii="Times New Roman" w:hAnsi="Times New Roman" w:cs="Times New Roman"/>
        </w:rPr>
        <w:t xml:space="preserve"> such as LLMs</w:t>
      </w:r>
      <w:r w:rsidRPr="0054352C">
        <w:rPr>
          <w:rFonts w:ascii="Times New Roman" w:hAnsi="Times New Roman" w:cs="Times New Roman"/>
        </w:rPr>
        <w:t xml:space="preserve"> delivered via cloud endpoints democratize sophisticated capabilities, extending </w:t>
      </w:r>
      <w:r w:rsidRPr="0054352C">
        <w:rPr>
          <w:rFonts w:ascii="Times New Roman" w:hAnsi="Times New Roman" w:cs="Times New Roman"/>
          <w:i/>
          <w:iCs/>
        </w:rPr>
        <w:t>digital affordances</w:t>
      </w:r>
      <w:r w:rsidRPr="0054352C">
        <w:rPr>
          <w:rFonts w:ascii="Times New Roman" w:hAnsi="Times New Roman" w:cs="Times New Roman"/>
        </w:rPr>
        <w:t xml:space="preserve">—what purposeful actors can do with technology—while compressing the time and cost from idea to artifact (Majchrzak &amp; Markus, 2012; Nambisan, 2017; Chalmers et al., 2021; </w:t>
      </w:r>
      <w:proofErr w:type="spellStart"/>
      <w:r w:rsidRPr="0054352C">
        <w:rPr>
          <w:rFonts w:ascii="Times New Roman" w:hAnsi="Times New Roman" w:cs="Times New Roman"/>
        </w:rPr>
        <w:t>Obschonka</w:t>
      </w:r>
      <w:proofErr w:type="spellEnd"/>
      <w:r w:rsidRPr="0054352C">
        <w:rPr>
          <w:rFonts w:ascii="Times New Roman" w:hAnsi="Times New Roman" w:cs="Times New Roman"/>
        </w:rPr>
        <w:t xml:space="preserve"> &amp; </w:t>
      </w:r>
      <w:proofErr w:type="spellStart"/>
      <w:r w:rsidRPr="0054352C">
        <w:rPr>
          <w:rFonts w:ascii="Times New Roman" w:hAnsi="Times New Roman" w:cs="Times New Roman"/>
        </w:rPr>
        <w:t>Audretsch</w:t>
      </w:r>
      <w:proofErr w:type="spellEnd"/>
      <w:r w:rsidRPr="0054352C">
        <w:rPr>
          <w:rFonts w:ascii="Times New Roman" w:hAnsi="Times New Roman" w:cs="Times New Roman"/>
        </w:rPr>
        <w:t xml:space="preserve">, 2020; Shepherd &amp; Majchrzak, 2022; Davidsson et al., 2020; </w:t>
      </w:r>
      <w:proofErr w:type="spellStart"/>
      <w:r w:rsidRPr="0054352C">
        <w:rPr>
          <w:rFonts w:ascii="Times New Roman" w:hAnsi="Times New Roman" w:cs="Times New Roman"/>
        </w:rPr>
        <w:t>Kimjeon</w:t>
      </w:r>
      <w:proofErr w:type="spellEnd"/>
      <w:r w:rsidRPr="0054352C">
        <w:rPr>
          <w:rFonts w:ascii="Times New Roman" w:hAnsi="Times New Roman" w:cs="Times New Roman"/>
        </w:rPr>
        <w:t xml:space="preserve"> &amp; Davidsson, 2022</w:t>
      </w:r>
      <w:r w:rsidR="001C2348">
        <w:rPr>
          <w:rFonts w:ascii="Times New Roman" w:hAnsi="Times New Roman" w:cs="Times New Roman"/>
        </w:rPr>
        <w:t xml:space="preserve">; </w:t>
      </w:r>
      <w:proofErr w:type="spellStart"/>
      <w:r w:rsidR="001C2348">
        <w:rPr>
          <w:rFonts w:ascii="Times New Roman" w:hAnsi="Times New Roman" w:cs="Times New Roman"/>
        </w:rPr>
        <w:t>Obschonka</w:t>
      </w:r>
      <w:proofErr w:type="spellEnd"/>
      <w:r w:rsidR="001C2348">
        <w:rPr>
          <w:rFonts w:ascii="Times New Roman" w:hAnsi="Times New Roman" w:cs="Times New Roman"/>
        </w:rPr>
        <w:t xml:space="preserve"> et al., 2025</w:t>
      </w:r>
      <w:r w:rsidRPr="0054352C">
        <w:rPr>
          <w:rFonts w:ascii="Times New Roman" w:hAnsi="Times New Roman" w:cs="Times New Roman"/>
        </w:rPr>
        <w:t>). Yet enablement converts to realized entrepreneurship only through institutional channels that assign legitimacy</w:t>
      </w:r>
      <w:r w:rsidR="001D5A11">
        <w:rPr>
          <w:rFonts w:ascii="Times New Roman" w:hAnsi="Times New Roman" w:cs="Times New Roman"/>
        </w:rPr>
        <w:t xml:space="preserve"> (Zimmerman</w:t>
      </w:r>
      <w:r w:rsidR="007D51BC">
        <w:rPr>
          <w:rFonts w:ascii="Times New Roman" w:hAnsi="Times New Roman" w:cs="Times New Roman"/>
        </w:rPr>
        <w:t xml:space="preserve"> &amp; Zeitz, 2002)</w:t>
      </w:r>
      <w:r w:rsidRPr="0054352C">
        <w:rPr>
          <w:rFonts w:ascii="Times New Roman" w:hAnsi="Times New Roman" w:cs="Times New Roman"/>
        </w:rPr>
        <w:t>, specify accountability, and coordinate exchange</w:t>
      </w:r>
      <w:r w:rsidRPr="00864C8D">
        <w:rPr>
          <w:rFonts w:ascii="Times New Roman" w:hAnsi="Times New Roman" w:cs="Times New Roman"/>
        </w:rPr>
        <w:t xml:space="preserve">. </w:t>
      </w:r>
    </w:p>
    <w:p w14:paraId="099C37C1" w14:textId="5EC99A36" w:rsidR="00C44AEC" w:rsidRPr="0054352C" w:rsidRDefault="00C44AEC" w:rsidP="00C44AEC">
      <w:pPr>
        <w:spacing w:after="0" w:line="480" w:lineRule="auto"/>
        <w:ind w:firstLine="720"/>
        <w:jc w:val="both"/>
        <w:rPr>
          <w:rFonts w:ascii="Times New Roman" w:hAnsi="Times New Roman" w:cs="Times New Roman"/>
        </w:rPr>
      </w:pPr>
      <w:r w:rsidRPr="0054352C">
        <w:rPr>
          <w:rFonts w:ascii="Times New Roman" w:hAnsi="Times New Roman" w:cs="Times New Roman"/>
        </w:rPr>
        <w:lastRenderedPageBreak/>
        <w:t>Placing Gen</w:t>
      </w:r>
      <w:r w:rsidRPr="00864C8D">
        <w:rPr>
          <w:rFonts w:ascii="Times New Roman" w:hAnsi="Times New Roman" w:cs="Times New Roman"/>
        </w:rPr>
        <w:t xml:space="preserve"> </w:t>
      </w:r>
      <w:r w:rsidRPr="0054352C">
        <w:rPr>
          <w:rFonts w:ascii="Times New Roman" w:hAnsi="Times New Roman" w:cs="Times New Roman"/>
        </w:rPr>
        <w:t xml:space="preserve">AI–powered PDE at this intersection clarifies how enablement produces dependence. Step-change capabilities accessed through standardized interfaces </w:t>
      </w:r>
      <w:proofErr w:type="spellStart"/>
      <w:r w:rsidRPr="0054352C">
        <w:rPr>
          <w:rFonts w:ascii="Times New Roman" w:hAnsi="Times New Roman" w:cs="Times New Roman"/>
        </w:rPr>
        <w:t>catalyze</w:t>
      </w:r>
      <w:proofErr w:type="spellEnd"/>
      <w:r w:rsidRPr="0054352C">
        <w:rPr>
          <w:rFonts w:ascii="Times New Roman" w:hAnsi="Times New Roman" w:cs="Times New Roman"/>
        </w:rPr>
        <w:t xml:space="preserve"> rapid entry and experimentation; simultaneously, customers experience products through the latency, quality, safety posture, and drift properties of a specific provider, making substitution risky within strategic windows. Provider-specific assets—prompt libraries, evaluation harnesses, monitoring telemetry, compliance artifacts—accumulate and convert initial affordances into switching and compliance debt. Adopting first-party safety and evaluation stacks accelerates legitimation and enterprise acceptance while coupling ventures to the provider’s policy lexicon, logging infrastructure, and deprecation cadence (Zimmerman &amp; Zeitz, 2002; </w:t>
      </w:r>
      <w:proofErr w:type="spellStart"/>
      <w:r w:rsidRPr="0054352C">
        <w:rPr>
          <w:rFonts w:ascii="Times New Roman" w:hAnsi="Times New Roman" w:cs="Times New Roman"/>
        </w:rPr>
        <w:t>Ghazawneh</w:t>
      </w:r>
      <w:proofErr w:type="spellEnd"/>
      <w:r w:rsidRPr="0054352C">
        <w:rPr>
          <w:rFonts w:ascii="Times New Roman" w:hAnsi="Times New Roman" w:cs="Times New Roman"/>
        </w:rPr>
        <w:t xml:space="preserve"> &amp; Henfridsson, 2013). The typical trajectory is recognizable: a burst of entry enabled by boundary resources and democratized capability, followed by architectural and organizational choices that tie ventures more tightly to the platform core—co-producing innovation and vulnerability in a manner distinctive to capability-dependent platform entrepreneurship (</w:t>
      </w:r>
      <w:r>
        <w:rPr>
          <w:rFonts w:ascii="Times New Roman" w:hAnsi="Times New Roman" w:cs="Times New Roman"/>
        </w:rPr>
        <w:t>Tiwana et al., 2010</w:t>
      </w:r>
      <w:r w:rsidRPr="0054352C">
        <w:rPr>
          <w:rFonts w:ascii="Times New Roman" w:hAnsi="Times New Roman" w:cs="Times New Roman"/>
        </w:rPr>
        <w:t xml:space="preserve">; </w:t>
      </w:r>
      <w:proofErr w:type="spellStart"/>
      <w:r>
        <w:rPr>
          <w:rFonts w:ascii="Times New Roman" w:hAnsi="Times New Roman" w:cs="Times New Roman"/>
        </w:rPr>
        <w:t>Gawer</w:t>
      </w:r>
      <w:proofErr w:type="spellEnd"/>
      <w:r>
        <w:rPr>
          <w:rFonts w:ascii="Times New Roman" w:hAnsi="Times New Roman" w:cs="Times New Roman"/>
        </w:rPr>
        <w:t>, 2014</w:t>
      </w:r>
      <w:r w:rsidRPr="0054352C">
        <w:rPr>
          <w:rFonts w:ascii="Times New Roman" w:hAnsi="Times New Roman" w:cs="Times New Roman"/>
        </w:rPr>
        <w:t xml:space="preserve">; </w:t>
      </w:r>
      <w:proofErr w:type="spellStart"/>
      <w:r w:rsidRPr="0054352C">
        <w:rPr>
          <w:rFonts w:ascii="Times New Roman" w:hAnsi="Times New Roman" w:cs="Times New Roman"/>
        </w:rPr>
        <w:t>Gawer</w:t>
      </w:r>
      <w:proofErr w:type="spellEnd"/>
      <w:r w:rsidRPr="0054352C">
        <w:rPr>
          <w:rFonts w:ascii="Times New Roman" w:hAnsi="Times New Roman" w:cs="Times New Roman"/>
        </w:rPr>
        <w:t>, 2022).</w:t>
      </w:r>
      <w:r w:rsidR="00BB467E">
        <w:rPr>
          <w:rFonts w:ascii="Times New Roman" w:hAnsi="Times New Roman" w:cs="Times New Roman"/>
        </w:rPr>
        <w:t xml:space="preserve"> As capability-dependent PDE </w:t>
      </w:r>
      <w:r w:rsidR="00041768">
        <w:rPr>
          <w:rFonts w:ascii="Times New Roman" w:hAnsi="Times New Roman" w:cs="Times New Roman"/>
        </w:rPr>
        <w:t>falls within the innovation platform category, innovation platform theory presents a</w:t>
      </w:r>
      <w:r w:rsidR="00552FE5">
        <w:rPr>
          <w:rFonts w:ascii="Times New Roman" w:hAnsi="Times New Roman" w:cs="Times New Roman"/>
        </w:rPr>
        <w:t xml:space="preserve"> vital theoretical strand to integrate. </w:t>
      </w:r>
    </w:p>
    <w:p w14:paraId="3F28052D" w14:textId="34495254" w:rsidR="001A73AA" w:rsidRPr="00864C8D" w:rsidRDefault="001A73AA" w:rsidP="00BC16E3">
      <w:pPr>
        <w:pStyle w:val="Heading2"/>
        <w:spacing w:after="0" w:line="480" w:lineRule="auto"/>
        <w:rPr>
          <w:rFonts w:cs="Times New Roman"/>
        </w:rPr>
      </w:pPr>
      <w:r w:rsidRPr="00864C8D">
        <w:rPr>
          <w:rFonts w:cs="Times New Roman"/>
        </w:rPr>
        <w:t>Innovation Platform</w:t>
      </w:r>
      <w:r w:rsidR="007A5B5A">
        <w:rPr>
          <w:rFonts w:cs="Times New Roman"/>
        </w:rPr>
        <w:t xml:space="preserve"> Theory</w:t>
      </w:r>
      <w:r w:rsidRPr="00864C8D">
        <w:rPr>
          <w:rFonts w:cs="Times New Roman"/>
        </w:rPr>
        <w:t xml:space="preserve"> and Gen AI</w:t>
      </w:r>
      <w:r w:rsidR="00D521E5" w:rsidRPr="00864C8D">
        <w:rPr>
          <w:rFonts w:cs="Times New Roman"/>
        </w:rPr>
        <w:t>-Powered</w:t>
      </w:r>
      <w:r w:rsidRPr="00864C8D">
        <w:rPr>
          <w:rFonts w:cs="Times New Roman"/>
        </w:rPr>
        <w:t xml:space="preserve"> PDE Ecosystems</w:t>
      </w:r>
    </w:p>
    <w:p w14:paraId="1D615DA7" w14:textId="2154D6EB" w:rsidR="001942CA" w:rsidRDefault="00841F1E" w:rsidP="00BC16E3">
      <w:pPr>
        <w:spacing w:after="0" w:line="480" w:lineRule="auto"/>
        <w:ind w:firstLine="720"/>
        <w:jc w:val="both"/>
        <w:rPr>
          <w:rFonts w:ascii="Times New Roman" w:hAnsi="Times New Roman" w:cs="Times New Roman"/>
        </w:rPr>
      </w:pPr>
      <w:r>
        <w:rPr>
          <w:rFonts w:ascii="Times New Roman" w:hAnsi="Times New Roman" w:cs="Times New Roman"/>
        </w:rPr>
        <w:t>T</w:t>
      </w:r>
      <w:r w:rsidR="00DF1456" w:rsidRPr="0022065A">
        <w:rPr>
          <w:rFonts w:ascii="Times New Roman" w:hAnsi="Times New Roman" w:cs="Times New Roman"/>
        </w:rPr>
        <w:t xml:space="preserve">o complete </w:t>
      </w:r>
      <w:r w:rsidR="0022065A">
        <w:rPr>
          <w:rFonts w:ascii="Times New Roman" w:hAnsi="Times New Roman" w:cs="Times New Roman"/>
        </w:rPr>
        <w:t>our</w:t>
      </w:r>
      <w:r w:rsidR="00DF1456" w:rsidRPr="0022065A">
        <w:rPr>
          <w:rFonts w:ascii="Times New Roman" w:hAnsi="Times New Roman" w:cs="Times New Roman"/>
        </w:rPr>
        <w:t xml:space="preserve"> theoretical triad toward a robust framework, </w:t>
      </w:r>
      <w:r w:rsidR="0022065A" w:rsidRPr="0022065A">
        <w:rPr>
          <w:rFonts w:ascii="Times New Roman" w:hAnsi="Times New Roman" w:cs="Times New Roman"/>
        </w:rPr>
        <w:t xml:space="preserve">innovation platform theory </w:t>
      </w:r>
      <w:r>
        <w:rPr>
          <w:rFonts w:ascii="Times New Roman" w:hAnsi="Times New Roman" w:cs="Times New Roman"/>
        </w:rPr>
        <w:t xml:space="preserve">provides a more granular explanation on how </w:t>
      </w:r>
      <w:r w:rsidR="003661B5">
        <w:rPr>
          <w:rFonts w:ascii="Times New Roman" w:hAnsi="Times New Roman" w:cs="Times New Roman"/>
        </w:rPr>
        <w:t>Gen AI platforms power PDE</w:t>
      </w:r>
      <w:r w:rsidR="0022065A" w:rsidRPr="0022065A">
        <w:rPr>
          <w:rFonts w:ascii="Times New Roman" w:hAnsi="Times New Roman" w:cs="Times New Roman"/>
        </w:rPr>
        <w:t xml:space="preserve"> (</w:t>
      </w:r>
      <w:proofErr w:type="spellStart"/>
      <w:r w:rsidR="0022065A" w:rsidRPr="0022065A">
        <w:rPr>
          <w:rFonts w:ascii="Times New Roman" w:hAnsi="Times New Roman" w:cs="Times New Roman"/>
        </w:rPr>
        <w:t>Gawer</w:t>
      </w:r>
      <w:proofErr w:type="spellEnd"/>
      <w:r w:rsidR="0022065A" w:rsidRPr="0022065A">
        <w:rPr>
          <w:rFonts w:ascii="Times New Roman" w:hAnsi="Times New Roman" w:cs="Times New Roman"/>
        </w:rPr>
        <w:t>, 2014).</w:t>
      </w:r>
      <w:r w:rsidR="0022065A">
        <w:rPr>
          <w:rFonts w:ascii="Times New Roman" w:hAnsi="Times New Roman" w:cs="Times New Roman"/>
          <w:b/>
          <w:bCs/>
        </w:rPr>
        <w:t xml:space="preserve"> </w:t>
      </w:r>
      <w:r w:rsidR="001A73AA" w:rsidRPr="00C73FB6">
        <w:rPr>
          <w:rFonts w:ascii="Times New Roman" w:hAnsi="Times New Roman" w:cs="Times New Roman"/>
          <w:b/>
          <w:bCs/>
          <w:i/>
          <w:iCs/>
        </w:rPr>
        <w:t>Innovation platform theory</w:t>
      </w:r>
      <w:r w:rsidR="001A73AA" w:rsidRPr="00864C8D">
        <w:rPr>
          <w:rFonts w:ascii="Times New Roman" w:hAnsi="Times New Roman" w:cs="Times New Roman"/>
        </w:rPr>
        <w:t xml:space="preserve"> explains how modular architectures and boundary resources connect</w:t>
      </w:r>
      <w:r w:rsidR="00E6621E" w:rsidRPr="00864C8D">
        <w:rPr>
          <w:rFonts w:ascii="Times New Roman" w:hAnsi="Times New Roman" w:cs="Times New Roman"/>
        </w:rPr>
        <w:t xml:space="preserve"> the extensible </w:t>
      </w:r>
      <w:r w:rsidR="00C73FB6">
        <w:rPr>
          <w:rFonts w:ascii="Times New Roman" w:hAnsi="Times New Roman" w:cs="Times New Roman"/>
        </w:rPr>
        <w:t>codebase of a software system</w:t>
      </w:r>
      <w:r w:rsidR="00E6621E" w:rsidRPr="00864C8D">
        <w:rPr>
          <w:rFonts w:ascii="Times New Roman" w:hAnsi="Times New Roman" w:cs="Times New Roman"/>
        </w:rPr>
        <w:t xml:space="preserve"> </w:t>
      </w:r>
      <w:r w:rsidR="00E6621E" w:rsidRPr="0076104A">
        <w:rPr>
          <w:rFonts w:ascii="Times New Roman" w:hAnsi="Times New Roman" w:cs="Times New Roman"/>
          <w:i/>
          <w:iCs/>
        </w:rPr>
        <w:t>core</w:t>
      </w:r>
      <w:r w:rsidR="001A73AA" w:rsidRPr="00864C8D">
        <w:rPr>
          <w:rFonts w:ascii="Times New Roman" w:hAnsi="Times New Roman" w:cs="Times New Roman"/>
        </w:rPr>
        <w:t xml:space="preserve"> and </w:t>
      </w:r>
      <w:r w:rsidR="001A73AA" w:rsidRPr="0076104A">
        <w:rPr>
          <w:rFonts w:ascii="Times New Roman" w:hAnsi="Times New Roman" w:cs="Times New Roman"/>
          <w:i/>
          <w:iCs/>
        </w:rPr>
        <w:t>peripher</w:t>
      </w:r>
      <w:r w:rsidR="00A37FF2" w:rsidRPr="0076104A">
        <w:rPr>
          <w:rFonts w:ascii="Times New Roman" w:hAnsi="Times New Roman" w:cs="Times New Roman"/>
          <w:i/>
          <w:iCs/>
        </w:rPr>
        <w:t>al</w:t>
      </w:r>
      <w:r w:rsidR="00A37FF2" w:rsidRPr="00864C8D">
        <w:rPr>
          <w:rFonts w:ascii="Times New Roman" w:hAnsi="Times New Roman" w:cs="Times New Roman"/>
        </w:rPr>
        <w:t xml:space="preserve"> modules that interoperate with it</w:t>
      </w:r>
      <w:r w:rsidR="001A73AA" w:rsidRPr="00864C8D">
        <w:rPr>
          <w:rFonts w:ascii="Times New Roman" w:hAnsi="Times New Roman" w:cs="Times New Roman"/>
        </w:rPr>
        <w:t xml:space="preserve"> (Tiwana et al., 2010; </w:t>
      </w:r>
      <w:proofErr w:type="spellStart"/>
      <w:r w:rsidR="001A73AA" w:rsidRPr="00864C8D">
        <w:rPr>
          <w:rFonts w:ascii="Times New Roman" w:hAnsi="Times New Roman" w:cs="Times New Roman"/>
        </w:rPr>
        <w:t>Gawer</w:t>
      </w:r>
      <w:proofErr w:type="spellEnd"/>
      <w:r w:rsidR="001A73AA" w:rsidRPr="00864C8D">
        <w:rPr>
          <w:rFonts w:ascii="Times New Roman" w:hAnsi="Times New Roman" w:cs="Times New Roman"/>
        </w:rPr>
        <w:t>, 2014; Cusumano et al., 2019</w:t>
      </w:r>
      <w:r w:rsidR="00FF2654">
        <w:rPr>
          <w:rFonts w:ascii="Times New Roman" w:hAnsi="Times New Roman" w:cs="Times New Roman"/>
        </w:rPr>
        <w:t>; Hurni et al., 2022</w:t>
      </w:r>
      <w:r w:rsidR="001A73AA" w:rsidRPr="00864C8D">
        <w:rPr>
          <w:rFonts w:ascii="Times New Roman" w:hAnsi="Times New Roman" w:cs="Times New Roman"/>
        </w:rPr>
        <w:t>). Gen AI platforms</w:t>
      </w:r>
      <w:r w:rsidR="00CC2148">
        <w:rPr>
          <w:rFonts w:ascii="Times New Roman" w:hAnsi="Times New Roman" w:cs="Times New Roman"/>
        </w:rPr>
        <w:t xml:space="preserve"> appear to</w:t>
      </w:r>
      <w:r w:rsidR="001A73AA" w:rsidRPr="00864C8D">
        <w:rPr>
          <w:rFonts w:ascii="Times New Roman" w:hAnsi="Times New Roman" w:cs="Times New Roman"/>
        </w:rPr>
        <w:t xml:space="preserve"> instantiate this logic with </w:t>
      </w:r>
      <w:r w:rsidR="00CC2148">
        <w:rPr>
          <w:rFonts w:ascii="Times New Roman" w:hAnsi="Times New Roman" w:cs="Times New Roman"/>
        </w:rPr>
        <w:t>vividly</w:t>
      </w:r>
      <w:r w:rsidR="001A73AA" w:rsidRPr="00864C8D">
        <w:rPr>
          <w:rFonts w:ascii="Times New Roman" w:hAnsi="Times New Roman" w:cs="Times New Roman"/>
        </w:rPr>
        <w:t xml:space="preserve">. </w:t>
      </w:r>
      <w:r w:rsidR="00643EFA">
        <w:rPr>
          <w:rFonts w:ascii="Times New Roman" w:hAnsi="Times New Roman" w:cs="Times New Roman"/>
        </w:rPr>
        <w:t xml:space="preserve">The </w:t>
      </w:r>
      <w:r w:rsidR="001A73AA" w:rsidRPr="00864C8D">
        <w:rPr>
          <w:rFonts w:ascii="Times New Roman" w:hAnsi="Times New Roman" w:cs="Times New Roman"/>
        </w:rPr>
        <w:t>extensible co</w:t>
      </w:r>
      <w:r w:rsidR="0060519E">
        <w:rPr>
          <w:rFonts w:ascii="Times New Roman" w:hAnsi="Times New Roman" w:cs="Times New Roman"/>
        </w:rPr>
        <w:t>debase</w:t>
      </w:r>
      <w:r w:rsidR="00643EFA">
        <w:rPr>
          <w:rFonts w:ascii="Times New Roman" w:hAnsi="Times New Roman" w:cs="Times New Roman"/>
        </w:rPr>
        <w:t xml:space="preserve"> such as a f</w:t>
      </w:r>
      <w:r w:rsidR="001A73AA" w:rsidRPr="00864C8D">
        <w:rPr>
          <w:rFonts w:ascii="Times New Roman" w:hAnsi="Times New Roman" w:cs="Times New Roman"/>
        </w:rPr>
        <w:t>oundation model</w:t>
      </w:r>
      <w:r w:rsidR="00794908">
        <w:rPr>
          <w:rFonts w:ascii="Times New Roman" w:hAnsi="Times New Roman" w:cs="Times New Roman"/>
        </w:rPr>
        <w:t xml:space="preserve">, </w:t>
      </w:r>
      <w:proofErr w:type="gramStart"/>
      <w:r w:rsidR="00CC2148">
        <w:rPr>
          <w:rFonts w:ascii="Times New Roman" w:hAnsi="Times New Roman" w:cs="Times New Roman"/>
        </w:rPr>
        <w:t>open up</w:t>
      </w:r>
      <w:proofErr w:type="gramEnd"/>
      <w:r w:rsidR="001A73AA" w:rsidRPr="00864C8D">
        <w:rPr>
          <w:rFonts w:ascii="Times New Roman" w:hAnsi="Times New Roman" w:cs="Times New Roman"/>
        </w:rPr>
        <w:t xml:space="preserve"> capabilities that entrepreneurs combine with</w:t>
      </w:r>
      <w:r w:rsidR="00794908">
        <w:rPr>
          <w:rFonts w:ascii="Times New Roman" w:hAnsi="Times New Roman" w:cs="Times New Roman"/>
        </w:rPr>
        <w:t xml:space="preserve"> interoperable modules such as </w:t>
      </w:r>
      <w:r w:rsidR="001A73AA" w:rsidRPr="00864C8D">
        <w:rPr>
          <w:rFonts w:ascii="Times New Roman" w:hAnsi="Times New Roman" w:cs="Times New Roman"/>
        </w:rPr>
        <w:t>data and workflows to create complements (</w:t>
      </w:r>
      <w:proofErr w:type="spellStart"/>
      <w:r w:rsidR="001A73AA" w:rsidRPr="00864C8D">
        <w:rPr>
          <w:rFonts w:ascii="Times New Roman" w:hAnsi="Times New Roman" w:cs="Times New Roman"/>
        </w:rPr>
        <w:t>Jacobides</w:t>
      </w:r>
      <w:proofErr w:type="spellEnd"/>
      <w:r w:rsidR="001A73AA" w:rsidRPr="00864C8D">
        <w:rPr>
          <w:rFonts w:ascii="Times New Roman" w:hAnsi="Times New Roman" w:cs="Times New Roman"/>
        </w:rPr>
        <w:t xml:space="preserve"> et al., 2018, 2024). </w:t>
      </w:r>
    </w:p>
    <w:p w14:paraId="3D73E22C" w14:textId="3366AB2B" w:rsidR="000C474F" w:rsidRPr="00864C8D" w:rsidRDefault="00B3613D" w:rsidP="00BC16E3">
      <w:pPr>
        <w:spacing w:after="0" w:line="480" w:lineRule="auto"/>
        <w:ind w:firstLine="720"/>
        <w:jc w:val="both"/>
        <w:rPr>
          <w:rFonts w:ascii="Times New Roman" w:hAnsi="Times New Roman" w:cs="Times New Roman"/>
        </w:rPr>
      </w:pPr>
      <w:r w:rsidRPr="00864C8D">
        <w:rPr>
          <w:rFonts w:ascii="Times New Roman" w:hAnsi="Times New Roman" w:cs="Times New Roman"/>
        </w:rPr>
        <w:lastRenderedPageBreak/>
        <w:t xml:space="preserve">Platform </w:t>
      </w:r>
      <w:r w:rsidRPr="00690079">
        <w:rPr>
          <w:rFonts w:ascii="Times New Roman" w:hAnsi="Times New Roman" w:cs="Times New Roman"/>
          <w:i/>
          <w:iCs/>
        </w:rPr>
        <w:t>generativity</w:t>
      </w:r>
      <w:r w:rsidRPr="00864C8D">
        <w:rPr>
          <w:rFonts w:ascii="Times New Roman" w:hAnsi="Times New Roman" w:cs="Times New Roman"/>
        </w:rPr>
        <w:t>,</w:t>
      </w:r>
      <w:r w:rsidR="001942CA">
        <w:rPr>
          <w:rFonts w:ascii="Times New Roman" w:hAnsi="Times New Roman" w:cs="Times New Roman"/>
        </w:rPr>
        <w:t xml:space="preserve"> implying the capacity of a software system to </w:t>
      </w:r>
      <w:r w:rsidR="0063236D">
        <w:rPr>
          <w:rFonts w:ascii="Times New Roman" w:hAnsi="Times New Roman" w:cs="Times New Roman"/>
        </w:rPr>
        <w:t>produce unanticipated outcomes from diverse and loosely coupled audiences</w:t>
      </w:r>
      <w:r w:rsidR="00933062">
        <w:rPr>
          <w:rFonts w:ascii="Times New Roman" w:hAnsi="Times New Roman" w:cs="Times New Roman"/>
        </w:rPr>
        <w:t>, drives PDE (</w:t>
      </w:r>
      <w:proofErr w:type="spellStart"/>
      <w:r w:rsidR="00933062">
        <w:rPr>
          <w:rFonts w:ascii="Times New Roman" w:hAnsi="Times New Roman" w:cs="Times New Roman"/>
        </w:rPr>
        <w:t>Zittrain</w:t>
      </w:r>
      <w:proofErr w:type="spellEnd"/>
      <w:r w:rsidR="00933062">
        <w:rPr>
          <w:rFonts w:ascii="Times New Roman" w:hAnsi="Times New Roman" w:cs="Times New Roman"/>
        </w:rPr>
        <w:t>, 2006). Generativity is</w:t>
      </w:r>
      <w:r w:rsidRPr="00864C8D">
        <w:rPr>
          <w:rFonts w:ascii="Times New Roman" w:hAnsi="Times New Roman" w:cs="Times New Roman"/>
        </w:rPr>
        <w:t xml:space="preserve"> </w:t>
      </w:r>
      <w:r w:rsidR="00574255" w:rsidRPr="00864C8D">
        <w:rPr>
          <w:rFonts w:ascii="Times New Roman" w:hAnsi="Times New Roman" w:cs="Times New Roman"/>
        </w:rPr>
        <w:t xml:space="preserve">evidenced </w:t>
      </w:r>
      <w:r w:rsidR="00690079">
        <w:rPr>
          <w:rFonts w:ascii="Times New Roman" w:hAnsi="Times New Roman" w:cs="Times New Roman"/>
        </w:rPr>
        <w:t xml:space="preserve">by </w:t>
      </w:r>
      <w:r w:rsidR="0063236D">
        <w:rPr>
          <w:rFonts w:ascii="Times New Roman" w:hAnsi="Times New Roman" w:cs="Times New Roman"/>
        </w:rPr>
        <w:t xml:space="preserve">the </w:t>
      </w:r>
      <w:proofErr w:type="spellStart"/>
      <w:r w:rsidR="00574255" w:rsidRPr="00864C8D">
        <w:rPr>
          <w:rFonts w:ascii="Times New Roman" w:hAnsi="Times New Roman" w:cs="Times New Roman"/>
        </w:rPr>
        <w:t>r</w:t>
      </w:r>
      <w:r w:rsidR="001A73AA" w:rsidRPr="00864C8D">
        <w:rPr>
          <w:rFonts w:ascii="Times New Roman" w:hAnsi="Times New Roman" w:cs="Times New Roman"/>
        </w:rPr>
        <w:t>eprogrammability</w:t>
      </w:r>
      <w:proofErr w:type="spellEnd"/>
      <w:r w:rsidR="0063236D">
        <w:rPr>
          <w:rFonts w:ascii="Times New Roman" w:hAnsi="Times New Roman" w:cs="Times New Roman"/>
        </w:rPr>
        <w:t>, affordances</w:t>
      </w:r>
      <w:r w:rsidR="001A73AA" w:rsidRPr="00864C8D">
        <w:rPr>
          <w:rFonts w:ascii="Times New Roman" w:hAnsi="Times New Roman" w:cs="Times New Roman"/>
        </w:rPr>
        <w:t xml:space="preserve"> and recombina</w:t>
      </w:r>
      <w:r w:rsidR="00684A75" w:rsidRPr="00864C8D">
        <w:rPr>
          <w:rFonts w:ascii="Times New Roman" w:hAnsi="Times New Roman" w:cs="Times New Roman"/>
        </w:rPr>
        <w:t>nt innovation</w:t>
      </w:r>
      <w:r w:rsidR="00AD4E64">
        <w:rPr>
          <w:rFonts w:ascii="Times New Roman" w:hAnsi="Times New Roman" w:cs="Times New Roman"/>
        </w:rPr>
        <w:t>s that reduce</w:t>
      </w:r>
      <w:r w:rsidR="001A73AA" w:rsidRPr="00864C8D">
        <w:rPr>
          <w:rFonts w:ascii="Times New Roman" w:hAnsi="Times New Roman" w:cs="Times New Roman"/>
        </w:rPr>
        <w:t xml:space="preserve"> the </w:t>
      </w:r>
      <w:r w:rsidR="00933062">
        <w:rPr>
          <w:rFonts w:ascii="Times New Roman" w:hAnsi="Times New Roman" w:cs="Times New Roman"/>
        </w:rPr>
        <w:t>gap</w:t>
      </w:r>
      <w:r w:rsidR="001A73AA" w:rsidRPr="00864C8D">
        <w:rPr>
          <w:rFonts w:ascii="Times New Roman" w:hAnsi="Times New Roman" w:cs="Times New Roman"/>
        </w:rPr>
        <w:t xml:space="preserve"> from idea to product (Yoo et al., 2012). In practice, boundary resources </w:t>
      </w:r>
      <w:r w:rsidR="001A73AA" w:rsidRPr="00864C8D">
        <w:rPr>
          <w:rFonts w:ascii="Times New Roman" w:hAnsi="Times New Roman" w:cs="Times New Roman"/>
          <w:i/>
          <w:iCs/>
        </w:rPr>
        <w:t>script</w:t>
      </w:r>
      <w:r w:rsidR="001A73AA" w:rsidRPr="00864C8D">
        <w:rPr>
          <w:rFonts w:ascii="Times New Roman" w:hAnsi="Times New Roman" w:cs="Times New Roman"/>
        </w:rPr>
        <w:t xml:space="preserve"> participation by standardizing data flows, embedding policy checks, and generating audit-relevant telemetry; they thus both enable and constrain, consistent with the </w:t>
      </w:r>
      <w:r w:rsidR="001A73AA" w:rsidRPr="00C02667">
        <w:rPr>
          <w:rFonts w:ascii="Times New Roman" w:hAnsi="Times New Roman" w:cs="Times New Roman"/>
          <w:i/>
          <w:iCs/>
        </w:rPr>
        <w:t>resourcing</w:t>
      </w:r>
      <w:r w:rsidR="00C02667">
        <w:rPr>
          <w:rFonts w:ascii="Times New Roman" w:hAnsi="Times New Roman" w:cs="Times New Roman"/>
        </w:rPr>
        <w:t xml:space="preserve"> and</w:t>
      </w:r>
      <w:r w:rsidR="00C02667" w:rsidRPr="00C02667">
        <w:rPr>
          <w:rFonts w:ascii="Times New Roman" w:hAnsi="Times New Roman" w:cs="Times New Roman"/>
          <w:i/>
          <w:iCs/>
        </w:rPr>
        <w:t xml:space="preserve"> </w:t>
      </w:r>
      <w:r w:rsidR="001A73AA" w:rsidRPr="00C02667">
        <w:rPr>
          <w:rFonts w:ascii="Times New Roman" w:hAnsi="Times New Roman" w:cs="Times New Roman"/>
          <w:i/>
          <w:iCs/>
        </w:rPr>
        <w:t>securing</w:t>
      </w:r>
      <w:r w:rsidR="001A73AA" w:rsidRPr="00864C8D">
        <w:rPr>
          <w:rFonts w:ascii="Times New Roman" w:hAnsi="Times New Roman" w:cs="Times New Roman"/>
        </w:rPr>
        <w:t xml:space="preserve"> duality</w:t>
      </w:r>
      <w:r w:rsidR="00C02667">
        <w:rPr>
          <w:rFonts w:ascii="Times New Roman" w:hAnsi="Times New Roman" w:cs="Times New Roman"/>
        </w:rPr>
        <w:t xml:space="preserve"> of boundary resources</w:t>
      </w:r>
      <w:r w:rsidR="001A73AA" w:rsidRPr="00864C8D">
        <w:rPr>
          <w:rFonts w:ascii="Times New Roman" w:hAnsi="Times New Roman" w:cs="Times New Roman"/>
        </w:rPr>
        <w:t xml:space="preserve"> (</w:t>
      </w:r>
      <w:proofErr w:type="spellStart"/>
      <w:r w:rsidR="001A73AA" w:rsidRPr="00864C8D">
        <w:rPr>
          <w:rFonts w:ascii="Times New Roman" w:hAnsi="Times New Roman" w:cs="Times New Roman"/>
        </w:rPr>
        <w:t>Ghazawneh</w:t>
      </w:r>
      <w:proofErr w:type="spellEnd"/>
      <w:r w:rsidR="001A73AA" w:rsidRPr="00864C8D">
        <w:rPr>
          <w:rFonts w:ascii="Times New Roman" w:hAnsi="Times New Roman" w:cs="Times New Roman"/>
        </w:rPr>
        <w:t xml:space="preserve"> &amp; Henfridsson, 2013).</w:t>
      </w:r>
    </w:p>
    <w:p w14:paraId="50D45F84" w14:textId="7A13E183" w:rsidR="00A728B7" w:rsidRPr="00864C8D" w:rsidRDefault="000C474F" w:rsidP="00BC16E3">
      <w:pPr>
        <w:spacing w:after="0" w:line="480" w:lineRule="auto"/>
        <w:ind w:firstLine="720"/>
        <w:jc w:val="both"/>
        <w:rPr>
          <w:rFonts w:ascii="Times New Roman" w:hAnsi="Times New Roman" w:cs="Times New Roman"/>
        </w:rPr>
      </w:pPr>
      <w:r w:rsidRPr="00864C8D">
        <w:rPr>
          <w:rFonts w:ascii="Times New Roman" w:hAnsi="Times New Roman" w:cs="Times New Roman"/>
        </w:rPr>
        <w:t>Since</w:t>
      </w:r>
      <w:r w:rsidR="001A73AA" w:rsidRPr="00864C8D">
        <w:rPr>
          <w:rFonts w:ascii="Times New Roman" w:hAnsi="Times New Roman" w:cs="Times New Roman"/>
        </w:rPr>
        <w:t xml:space="preserve"> Gen AI-powered PDE is capability-dependent</w:t>
      </w:r>
      <w:r w:rsidR="006764C7">
        <w:rPr>
          <w:rFonts w:ascii="Times New Roman" w:hAnsi="Times New Roman" w:cs="Times New Roman"/>
        </w:rPr>
        <w:t>, p</w:t>
      </w:r>
      <w:r w:rsidR="00582732">
        <w:rPr>
          <w:rFonts w:ascii="Times New Roman" w:hAnsi="Times New Roman" w:cs="Times New Roman"/>
        </w:rPr>
        <w:t>ower</w:t>
      </w:r>
      <w:r w:rsidR="00901EFC">
        <w:rPr>
          <w:rFonts w:ascii="Times New Roman" w:hAnsi="Times New Roman" w:cs="Times New Roman"/>
        </w:rPr>
        <w:t>,</w:t>
      </w:r>
      <w:r w:rsidR="00582732">
        <w:rPr>
          <w:rFonts w:ascii="Times New Roman" w:hAnsi="Times New Roman" w:cs="Times New Roman"/>
        </w:rPr>
        <w:t xml:space="preserve"> exercised through </w:t>
      </w:r>
      <w:r w:rsidR="001A73AA" w:rsidRPr="00864C8D">
        <w:rPr>
          <w:rFonts w:ascii="Times New Roman" w:hAnsi="Times New Roman" w:cs="Times New Roman"/>
        </w:rPr>
        <w:t xml:space="preserve">governance </w:t>
      </w:r>
      <w:r w:rsidR="00582732">
        <w:rPr>
          <w:rFonts w:ascii="Times New Roman" w:hAnsi="Times New Roman" w:cs="Times New Roman"/>
        </w:rPr>
        <w:t>mechanism</w:t>
      </w:r>
      <w:r w:rsidR="001A73AA" w:rsidRPr="00864C8D">
        <w:rPr>
          <w:rFonts w:ascii="Times New Roman" w:hAnsi="Times New Roman" w:cs="Times New Roman"/>
        </w:rPr>
        <w:t>s</w:t>
      </w:r>
      <w:r w:rsidR="00901EFC">
        <w:rPr>
          <w:rFonts w:ascii="Times New Roman" w:hAnsi="Times New Roman" w:cs="Times New Roman"/>
        </w:rPr>
        <w:t>,</w:t>
      </w:r>
      <w:r w:rsidR="001A73AA" w:rsidRPr="00864C8D">
        <w:rPr>
          <w:rFonts w:ascii="Times New Roman" w:hAnsi="Times New Roman" w:cs="Times New Roman"/>
        </w:rPr>
        <w:t xml:space="preserve"> directly </w:t>
      </w:r>
      <w:r w:rsidR="00901EFC">
        <w:rPr>
          <w:rFonts w:ascii="Times New Roman" w:hAnsi="Times New Roman" w:cs="Times New Roman"/>
        </w:rPr>
        <w:t>shape how entrepreneurs create and capture</w:t>
      </w:r>
      <w:r w:rsidR="001A73AA" w:rsidRPr="00864C8D">
        <w:rPr>
          <w:rFonts w:ascii="Times New Roman" w:hAnsi="Times New Roman" w:cs="Times New Roman"/>
        </w:rPr>
        <w:t xml:space="preserve"> value</w:t>
      </w:r>
      <w:r w:rsidR="006940EA">
        <w:rPr>
          <w:rFonts w:ascii="Times New Roman" w:hAnsi="Times New Roman" w:cs="Times New Roman"/>
        </w:rPr>
        <w:t xml:space="preserve"> (Hurni et al., 2022)</w:t>
      </w:r>
      <w:r w:rsidR="001A73AA" w:rsidRPr="00864C8D">
        <w:rPr>
          <w:rFonts w:ascii="Times New Roman" w:hAnsi="Times New Roman" w:cs="Times New Roman"/>
        </w:rPr>
        <w:t xml:space="preserve">. </w:t>
      </w:r>
      <w:r w:rsidR="003A1652">
        <w:rPr>
          <w:rFonts w:ascii="Times New Roman" w:hAnsi="Times New Roman" w:cs="Times New Roman"/>
        </w:rPr>
        <w:t>Software deprecations</w:t>
      </w:r>
      <w:r w:rsidR="001A73AA" w:rsidRPr="00864C8D">
        <w:rPr>
          <w:rFonts w:ascii="Times New Roman" w:hAnsi="Times New Roman" w:cs="Times New Roman"/>
        </w:rPr>
        <w:t xml:space="preserve"> can eliminate entire feature categories; pricing shifts can invert unit economics; latency or rate-limit changes can degrade performance below customer thresholds; </w:t>
      </w:r>
      <w:r w:rsidR="00BE7082">
        <w:rPr>
          <w:rFonts w:ascii="Times New Roman" w:hAnsi="Times New Roman" w:cs="Times New Roman"/>
        </w:rPr>
        <w:t xml:space="preserve">software </w:t>
      </w:r>
      <w:r w:rsidR="001A73AA" w:rsidRPr="00864C8D">
        <w:rPr>
          <w:rFonts w:ascii="Times New Roman" w:hAnsi="Times New Roman" w:cs="Times New Roman"/>
        </w:rPr>
        <w:t xml:space="preserve">deprecations can force costly refactors; and platform envelopment can reallocate value from complements to the core (Eisenmann et al., 2011; </w:t>
      </w:r>
      <w:r w:rsidR="00513AB3">
        <w:rPr>
          <w:rFonts w:ascii="Times New Roman" w:hAnsi="Times New Roman" w:cs="Times New Roman"/>
        </w:rPr>
        <w:t xml:space="preserve">Parker et al., 2017; </w:t>
      </w:r>
      <w:r w:rsidR="001A73AA" w:rsidRPr="00864C8D">
        <w:rPr>
          <w:rFonts w:ascii="Times New Roman" w:hAnsi="Times New Roman" w:cs="Times New Roman"/>
        </w:rPr>
        <w:t xml:space="preserve">Cutolo &amp; Kenney, 2021). Gatekeeping policies further shape complementor </w:t>
      </w:r>
      <w:proofErr w:type="spellStart"/>
      <w:r w:rsidR="001A73AA" w:rsidRPr="00864C8D">
        <w:rPr>
          <w:rFonts w:ascii="Times New Roman" w:hAnsi="Times New Roman" w:cs="Times New Roman"/>
        </w:rPr>
        <w:t>behavior</w:t>
      </w:r>
      <w:proofErr w:type="spellEnd"/>
      <w:r w:rsidR="001A73AA" w:rsidRPr="00864C8D">
        <w:rPr>
          <w:rFonts w:ascii="Times New Roman" w:hAnsi="Times New Roman" w:cs="Times New Roman"/>
        </w:rPr>
        <w:t xml:space="preserve"> by altering cooperation and competition in the periphery</w:t>
      </w:r>
      <w:r w:rsidR="001127CD">
        <w:rPr>
          <w:rFonts w:ascii="Times New Roman" w:hAnsi="Times New Roman" w:cs="Times New Roman"/>
        </w:rPr>
        <w:t xml:space="preserve"> (Wen, 2023)</w:t>
      </w:r>
      <w:r w:rsidR="001A73AA" w:rsidRPr="00864C8D">
        <w:rPr>
          <w:rFonts w:ascii="Times New Roman" w:hAnsi="Times New Roman" w:cs="Times New Roman"/>
        </w:rPr>
        <w:t>: stricter access control</w:t>
      </w:r>
      <w:r w:rsidR="004B4A80">
        <w:rPr>
          <w:rFonts w:ascii="Times New Roman" w:hAnsi="Times New Roman" w:cs="Times New Roman"/>
        </w:rPr>
        <w:t xml:space="preserve"> as in closed governance models (as opposed to open</w:t>
      </w:r>
      <w:r w:rsidR="00E451B9">
        <w:rPr>
          <w:rFonts w:ascii="Times New Roman" w:hAnsi="Times New Roman" w:cs="Times New Roman"/>
        </w:rPr>
        <w:t xml:space="preserve"> source)</w:t>
      </w:r>
      <w:r w:rsidR="001A73AA" w:rsidRPr="00864C8D">
        <w:rPr>
          <w:rFonts w:ascii="Times New Roman" w:hAnsi="Times New Roman" w:cs="Times New Roman"/>
        </w:rPr>
        <w:t xml:space="preserve"> can increase complementor knowledge sharing and coordination, whereas lapses can tilt interactions toward competition and reduce sharing, with implications for ecosystem vitality (Zhang, Li, &amp; Tong, 2020</w:t>
      </w:r>
      <w:r w:rsidR="00CF509D">
        <w:rPr>
          <w:rFonts w:ascii="Times New Roman" w:hAnsi="Times New Roman" w:cs="Times New Roman"/>
        </w:rPr>
        <w:t>; Wen, 2023</w:t>
      </w:r>
      <w:r w:rsidR="001A73AA" w:rsidRPr="00864C8D">
        <w:rPr>
          <w:rFonts w:ascii="Times New Roman" w:hAnsi="Times New Roman" w:cs="Times New Roman"/>
        </w:rPr>
        <w:t xml:space="preserve">). </w:t>
      </w:r>
      <w:r w:rsidR="00DA6441">
        <w:rPr>
          <w:rFonts w:ascii="Times New Roman" w:hAnsi="Times New Roman" w:cs="Times New Roman"/>
        </w:rPr>
        <w:t>With perceived risk of power imbalances, d</w:t>
      </w:r>
      <w:r w:rsidR="00FF5475" w:rsidRPr="00FF5475">
        <w:rPr>
          <w:rFonts w:ascii="Times New Roman" w:hAnsi="Times New Roman" w:cs="Times New Roman"/>
        </w:rPr>
        <w:t>ependent complementors such as platform-dependent entrepreneurs (PDEs) may respond through selective multihoming where viable platform alternatives emerge (Cennamo et al., 2018</w:t>
      </w:r>
      <w:r w:rsidR="004B3CAF" w:rsidRPr="00FF5475">
        <w:rPr>
          <w:rFonts w:ascii="Times New Roman" w:hAnsi="Times New Roman" w:cs="Times New Roman"/>
        </w:rPr>
        <w:t>)</w:t>
      </w:r>
      <w:r w:rsidR="004B3CAF">
        <w:rPr>
          <w:rFonts w:ascii="Times New Roman" w:hAnsi="Times New Roman" w:cs="Times New Roman"/>
        </w:rPr>
        <w:t xml:space="preserve"> or</w:t>
      </w:r>
      <w:r w:rsidR="00FF5475">
        <w:rPr>
          <w:rFonts w:ascii="Times New Roman" w:hAnsi="Times New Roman" w:cs="Times New Roman"/>
        </w:rPr>
        <w:t xml:space="preserve"> develop abstraction layers</w:t>
      </w:r>
      <w:r w:rsidR="000E2C3F">
        <w:rPr>
          <w:rStyle w:val="FootnoteReference"/>
          <w:rFonts w:ascii="Times New Roman" w:hAnsi="Times New Roman" w:cs="Times New Roman"/>
        </w:rPr>
        <w:footnoteReference w:id="5"/>
      </w:r>
      <w:r w:rsidR="00FF5475">
        <w:rPr>
          <w:rFonts w:ascii="Times New Roman" w:hAnsi="Times New Roman" w:cs="Times New Roman"/>
        </w:rPr>
        <w:t xml:space="preserve"> to limit risks</w:t>
      </w:r>
      <w:r w:rsidR="00FF5475" w:rsidRPr="00FF5475">
        <w:rPr>
          <w:rFonts w:ascii="Times New Roman" w:hAnsi="Times New Roman" w:cs="Times New Roman"/>
        </w:rPr>
        <w:t>.</w:t>
      </w:r>
      <w:r w:rsidR="000E2C3F" w:rsidRPr="000E2C3F">
        <w:t xml:space="preserve"> </w:t>
      </w:r>
    </w:p>
    <w:p w14:paraId="756245BC" w14:textId="3D807A7A" w:rsidR="001A73AA" w:rsidRPr="00864C8D" w:rsidRDefault="001A73AA" w:rsidP="00BC16E3">
      <w:pPr>
        <w:spacing w:after="0" w:line="480" w:lineRule="auto"/>
        <w:ind w:firstLine="720"/>
        <w:jc w:val="both"/>
        <w:rPr>
          <w:rFonts w:ascii="Times New Roman" w:hAnsi="Times New Roman" w:cs="Times New Roman"/>
        </w:rPr>
      </w:pPr>
      <w:r w:rsidRPr="00864C8D">
        <w:rPr>
          <w:rFonts w:ascii="Times New Roman" w:hAnsi="Times New Roman" w:cs="Times New Roman"/>
        </w:rPr>
        <w:lastRenderedPageBreak/>
        <w:t>Crucially, the architecture–governance nexus is dynamic. Boundary resources and rules are tuned over time as platforms release new capabilities or constraints and complementors adapt their code, products, and strategies—a distributed, iterative co-evolution documented in other platform contexts and directly relevant to Gen AI (Eaton</w:t>
      </w:r>
      <w:r w:rsidR="00627434">
        <w:rPr>
          <w:rFonts w:ascii="Times New Roman" w:hAnsi="Times New Roman" w:cs="Times New Roman"/>
        </w:rPr>
        <w:t xml:space="preserve"> et al.</w:t>
      </w:r>
      <w:r w:rsidRPr="00864C8D">
        <w:rPr>
          <w:rFonts w:ascii="Times New Roman" w:hAnsi="Times New Roman" w:cs="Times New Roman"/>
        </w:rPr>
        <w:t xml:space="preserve">, 2015). This </w:t>
      </w:r>
      <w:r w:rsidRPr="00864C8D">
        <w:rPr>
          <w:rFonts w:ascii="Times New Roman" w:hAnsi="Times New Roman" w:cs="Times New Roman"/>
          <w:i/>
          <w:iCs/>
        </w:rPr>
        <w:t>distributed tuning</w:t>
      </w:r>
      <w:r w:rsidRPr="00864C8D">
        <w:rPr>
          <w:rFonts w:ascii="Times New Roman" w:hAnsi="Times New Roman" w:cs="Times New Roman"/>
        </w:rPr>
        <w:t xml:space="preserve"> perspective helps explain why Gen AI ventures must repeatedly realign with enabl</w:t>
      </w:r>
      <w:r w:rsidR="007A50DA">
        <w:rPr>
          <w:rFonts w:ascii="Times New Roman" w:hAnsi="Times New Roman" w:cs="Times New Roman"/>
        </w:rPr>
        <w:t>ing</w:t>
      </w:r>
      <w:r w:rsidRPr="00864C8D">
        <w:rPr>
          <w:rFonts w:ascii="Times New Roman" w:hAnsi="Times New Roman" w:cs="Times New Roman"/>
        </w:rPr>
        <w:t xml:space="preserve"> releases (new models, modalities) and governance recalibrations (policy tightening, </w:t>
      </w:r>
      <w:r w:rsidR="002650AD">
        <w:rPr>
          <w:rFonts w:ascii="Times New Roman" w:hAnsi="Times New Roman" w:cs="Times New Roman"/>
        </w:rPr>
        <w:t xml:space="preserve">software </w:t>
      </w:r>
      <w:r w:rsidRPr="00864C8D">
        <w:rPr>
          <w:rFonts w:ascii="Times New Roman" w:hAnsi="Times New Roman" w:cs="Times New Roman"/>
        </w:rPr>
        <w:t xml:space="preserve">deprecation), rather than treating </w:t>
      </w:r>
      <w:proofErr w:type="gramStart"/>
      <w:r w:rsidRPr="00864C8D">
        <w:rPr>
          <w:rFonts w:ascii="Times New Roman" w:hAnsi="Times New Roman" w:cs="Times New Roman"/>
        </w:rPr>
        <w:t>either as</w:t>
      </w:r>
      <w:proofErr w:type="gramEnd"/>
      <w:r w:rsidRPr="00864C8D">
        <w:rPr>
          <w:rFonts w:ascii="Times New Roman" w:hAnsi="Times New Roman" w:cs="Times New Roman"/>
        </w:rPr>
        <w:t xml:space="preserve"> one-off events. </w:t>
      </w:r>
    </w:p>
    <w:p w14:paraId="45D1B04C" w14:textId="2BFA441A" w:rsidR="00561CB3" w:rsidRPr="00864C8D" w:rsidRDefault="004307A6" w:rsidP="00BC16E3">
      <w:pPr>
        <w:pStyle w:val="Heading2"/>
        <w:spacing w:line="480" w:lineRule="auto"/>
        <w:rPr>
          <w:rFonts w:cs="Times New Roman"/>
        </w:rPr>
      </w:pPr>
      <w:r>
        <w:rPr>
          <w:rFonts w:cs="Times New Roman"/>
        </w:rPr>
        <w:t xml:space="preserve">Toward an </w:t>
      </w:r>
      <w:r w:rsidR="00561CB3" w:rsidRPr="00864C8D">
        <w:rPr>
          <w:rFonts w:cs="Times New Roman"/>
        </w:rPr>
        <w:t>Integrative Theoretical Framework</w:t>
      </w:r>
    </w:p>
    <w:p w14:paraId="1FC743B7" w14:textId="40FF9DBD" w:rsidR="00C96C5E" w:rsidRDefault="008425EE" w:rsidP="00BC16E3">
      <w:pPr>
        <w:spacing w:after="0" w:line="480" w:lineRule="auto"/>
        <w:ind w:firstLine="720"/>
        <w:jc w:val="both"/>
        <w:rPr>
          <w:rFonts w:ascii="Times New Roman" w:hAnsi="Times New Roman" w:cs="Times New Roman"/>
        </w:rPr>
      </w:pPr>
      <w:r w:rsidRPr="00864C8D">
        <w:rPr>
          <w:rFonts w:ascii="Times New Roman" w:hAnsi="Times New Roman" w:cs="Times New Roman"/>
        </w:rPr>
        <w:t>By integrating the three theoretical strands (</w:t>
      </w:r>
      <w:r w:rsidR="007A5B5A" w:rsidRPr="00864C8D">
        <w:rPr>
          <w:rFonts w:ascii="Times New Roman" w:hAnsi="Times New Roman" w:cs="Times New Roman"/>
        </w:rPr>
        <w:t>institutions</w:t>
      </w:r>
      <w:r w:rsidR="00485BC6">
        <w:rPr>
          <w:rFonts w:ascii="Times New Roman" w:hAnsi="Times New Roman" w:cs="Times New Roman"/>
        </w:rPr>
        <w:t>-enablement</w:t>
      </w:r>
      <w:r w:rsidRPr="00864C8D">
        <w:rPr>
          <w:rFonts w:ascii="Times New Roman" w:hAnsi="Times New Roman" w:cs="Times New Roman"/>
        </w:rPr>
        <w:t xml:space="preserve"> </w:t>
      </w:r>
      <w:r w:rsidR="00AB2AEE">
        <w:rPr>
          <w:rFonts w:ascii="Times New Roman" w:hAnsi="Times New Roman" w:cs="Times New Roman"/>
        </w:rPr>
        <w:t>and</w:t>
      </w:r>
      <w:r w:rsidRPr="00864C8D">
        <w:rPr>
          <w:rFonts w:ascii="Times New Roman" w:hAnsi="Times New Roman" w:cs="Times New Roman"/>
        </w:rPr>
        <w:t xml:space="preserve"> </w:t>
      </w:r>
      <w:r w:rsidR="00B52184">
        <w:rPr>
          <w:rFonts w:ascii="Times New Roman" w:hAnsi="Times New Roman" w:cs="Times New Roman"/>
        </w:rPr>
        <w:t>innovation platform theory</w:t>
      </w:r>
      <w:r w:rsidRPr="00864C8D">
        <w:rPr>
          <w:rFonts w:ascii="Times New Roman" w:hAnsi="Times New Roman" w:cs="Times New Roman"/>
        </w:rPr>
        <w:t xml:space="preserve">), we </w:t>
      </w:r>
      <w:r w:rsidR="00486C04">
        <w:rPr>
          <w:rFonts w:ascii="Times New Roman" w:hAnsi="Times New Roman" w:cs="Times New Roman"/>
        </w:rPr>
        <w:t>advance</w:t>
      </w:r>
      <w:r w:rsidRPr="00864C8D">
        <w:rPr>
          <w:rFonts w:ascii="Times New Roman" w:hAnsi="Times New Roman" w:cs="Times New Roman"/>
        </w:rPr>
        <w:t xml:space="preserve"> a</w:t>
      </w:r>
      <w:r w:rsidR="00561CB3" w:rsidRPr="00561CB3">
        <w:rPr>
          <w:rFonts w:ascii="Times New Roman" w:hAnsi="Times New Roman" w:cs="Times New Roman"/>
        </w:rPr>
        <w:t xml:space="preserve"> </w:t>
      </w:r>
      <w:r w:rsidR="00486C04">
        <w:rPr>
          <w:rFonts w:ascii="Times New Roman" w:hAnsi="Times New Roman" w:cs="Times New Roman"/>
        </w:rPr>
        <w:t xml:space="preserve">tentative conceptual </w:t>
      </w:r>
      <w:r w:rsidR="00561CB3" w:rsidRPr="00561CB3">
        <w:rPr>
          <w:rFonts w:ascii="Times New Roman" w:hAnsi="Times New Roman" w:cs="Times New Roman"/>
        </w:rPr>
        <w:t>framework</w:t>
      </w:r>
      <w:r w:rsidR="00486C04">
        <w:rPr>
          <w:rFonts w:ascii="Times New Roman" w:hAnsi="Times New Roman" w:cs="Times New Roman"/>
        </w:rPr>
        <w:t xml:space="preserve"> with propositions</w:t>
      </w:r>
      <w:r w:rsidR="00561CB3" w:rsidRPr="00561CB3">
        <w:rPr>
          <w:rFonts w:ascii="Times New Roman" w:hAnsi="Times New Roman" w:cs="Times New Roman"/>
        </w:rPr>
        <w:t xml:space="preserve"> </w:t>
      </w:r>
      <w:r w:rsidRPr="00864C8D">
        <w:rPr>
          <w:rFonts w:ascii="Times New Roman" w:hAnsi="Times New Roman" w:cs="Times New Roman"/>
        </w:rPr>
        <w:t xml:space="preserve">that </w:t>
      </w:r>
      <w:r w:rsidR="004307A6">
        <w:rPr>
          <w:rFonts w:ascii="Times New Roman" w:hAnsi="Times New Roman" w:cs="Times New Roman"/>
        </w:rPr>
        <w:t xml:space="preserve">plausibly </w:t>
      </w:r>
      <w:r w:rsidR="00561CB3" w:rsidRPr="00561CB3">
        <w:rPr>
          <w:rFonts w:ascii="Times New Roman" w:hAnsi="Times New Roman" w:cs="Times New Roman"/>
        </w:rPr>
        <w:t>explain how Gen</w:t>
      </w:r>
      <w:r w:rsidRPr="00864C8D">
        <w:rPr>
          <w:rFonts w:ascii="Times New Roman" w:hAnsi="Times New Roman" w:cs="Times New Roman"/>
        </w:rPr>
        <w:t xml:space="preserve"> </w:t>
      </w:r>
      <w:r w:rsidR="00561CB3" w:rsidRPr="00561CB3">
        <w:rPr>
          <w:rFonts w:ascii="Times New Roman" w:hAnsi="Times New Roman" w:cs="Times New Roman"/>
        </w:rPr>
        <w:t xml:space="preserve">AI platforms </w:t>
      </w:r>
      <w:r w:rsidR="004307A6">
        <w:rPr>
          <w:rFonts w:ascii="Times New Roman" w:hAnsi="Times New Roman" w:cs="Times New Roman"/>
        </w:rPr>
        <w:t xml:space="preserve">act as institutional catalysts enabling </w:t>
      </w:r>
      <w:r w:rsidRPr="00864C8D">
        <w:rPr>
          <w:rFonts w:ascii="Times New Roman" w:hAnsi="Times New Roman" w:cs="Times New Roman"/>
        </w:rPr>
        <w:t>entrepreneurial opportunities</w:t>
      </w:r>
      <w:r w:rsidR="00561CB3" w:rsidRPr="00561CB3">
        <w:rPr>
          <w:rFonts w:ascii="Times New Roman" w:hAnsi="Times New Roman" w:cs="Times New Roman"/>
        </w:rPr>
        <w:t xml:space="preserve"> while simultaneously producing dependence and reconfiguring power. </w:t>
      </w:r>
      <w:r w:rsidR="00486C04">
        <w:rPr>
          <w:rFonts w:ascii="Times New Roman" w:hAnsi="Times New Roman" w:cs="Times New Roman"/>
        </w:rPr>
        <w:t xml:space="preserve">We present our framework in </w:t>
      </w:r>
      <w:r w:rsidR="004307A6">
        <w:rPr>
          <w:rFonts w:ascii="Times New Roman" w:hAnsi="Times New Roman" w:cs="Times New Roman"/>
        </w:rPr>
        <w:t>Table 1 below</w:t>
      </w:r>
      <w:r w:rsidR="00B37913">
        <w:rPr>
          <w:rFonts w:ascii="Times New Roman" w:hAnsi="Times New Roman" w:cs="Times New Roman"/>
        </w:rPr>
        <w:t xml:space="preserve"> and use it as the basis for abductive analysis of empirical research (Timmermans &amp; </w:t>
      </w:r>
      <w:proofErr w:type="spellStart"/>
      <w:r w:rsidR="00B37913">
        <w:rPr>
          <w:rFonts w:ascii="Times New Roman" w:hAnsi="Times New Roman" w:cs="Times New Roman"/>
        </w:rPr>
        <w:t>Tavory</w:t>
      </w:r>
      <w:proofErr w:type="spellEnd"/>
      <w:r w:rsidR="00B37913">
        <w:rPr>
          <w:rFonts w:ascii="Times New Roman" w:hAnsi="Times New Roman" w:cs="Times New Roman"/>
        </w:rPr>
        <w:t>, 2012)</w:t>
      </w:r>
      <w:r w:rsidR="004307A6">
        <w:rPr>
          <w:rFonts w:ascii="Times New Roman" w:hAnsi="Times New Roman" w:cs="Times New Roman"/>
        </w:rPr>
        <w:t xml:space="preserve">. </w:t>
      </w:r>
    </w:p>
    <w:p w14:paraId="5127946B" w14:textId="77777777" w:rsidR="00661EE5" w:rsidRDefault="00661EE5" w:rsidP="00BC16E3">
      <w:pPr>
        <w:spacing w:after="0" w:line="480" w:lineRule="auto"/>
        <w:ind w:firstLine="720"/>
        <w:jc w:val="both"/>
        <w:rPr>
          <w:rFonts w:ascii="Times New Roman" w:hAnsi="Times New Roman" w:cs="Times New Roman"/>
        </w:rPr>
      </w:pPr>
    </w:p>
    <w:p w14:paraId="1B3E7DA5" w14:textId="77777777" w:rsidR="00661EE5" w:rsidRDefault="00661EE5" w:rsidP="00BC16E3">
      <w:pPr>
        <w:spacing w:after="0" w:line="480" w:lineRule="auto"/>
        <w:ind w:firstLine="720"/>
        <w:jc w:val="both"/>
        <w:rPr>
          <w:rFonts w:ascii="Times New Roman" w:hAnsi="Times New Roman" w:cs="Times New Roman"/>
        </w:rPr>
      </w:pPr>
    </w:p>
    <w:p w14:paraId="508449CD" w14:textId="77777777" w:rsidR="00661EE5" w:rsidRDefault="00661EE5" w:rsidP="00BC16E3">
      <w:pPr>
        <w:spacing w:after="0" w:line="480" w:lineRule="auto"/>
        <w:ind w:firstLine="720"/>
        <w:jc w:val="both"/>
        <w:rPr>
          <w:rFonts w:ascii="Times New Roman" w:hAnsi="Times New Roman" w:cs="Times New Roman"/>
        </w:rPr>
      </w:pPr>
    </w:p>
    <w:p w14:paraId="48DFBACE" w14:textId="77777777" w:rsidR="00661EE5" w:rsidRDefault="00661EE5" w:rsidP="00BC16E3">
      <w:pPr>
        <w:spacing w:after="0" w:line="480" w:lineRule="auto"/>
        <w:ind w:firstLine="720"/>
        <w:jc w:val="both"/>
        <w:rPr>
          <w:rFonts w:ascii="Times New Roman" w:hAnsi="Times New Roman" w:cs="Times New Roman"/>
        </w:rPr>
      </w:pPr>
    </w:p>
    <w:p w14:paraId="22509524" w14:textId="77777777" w:rsidR="00661EE5" w:rsidRDefault="00661EE5" w:rsidP="00BC16E3">
      <w:pPr>
        <w:spacing w:after="0" w:line="480" w:lineRule="auto"/>
        <w:ind w:firstLine="720"/>
        <w:jc w:val="both"/>
        <w:rPr>
          <w:rFonts w:ascii="Times New Roman" w:hAnsi="Times New Roman" w:cs="Times New Roman"/>
        </w:rPr>
      </w:pPr>
    </w:p>
    <w:p w14:paraId="3D9E6AD3" w14:textId="77777777" w:rsidR="00661EE5" w:rsidRDefault="00661EE5" w:rsidP="00BC16E3">
      <w:pPr>
        <w:spacing w:after="0" w:line="480" w:lineRule="auto"/>
        <w:ind w:firstLine="720"/>
        <w:jc w:val="both"/>
        <w:rPr>
          <w:rFonts w:ascii="Times New Roman" w:hAnsi="Times New Roman" w:cs="Times New Roman"/>
        </w:rPr>
      </w:pPr>
    </w:p>
    <w:p w14:paraId="7D2B22EE" w14:textId="77777777" w:rsidR="00661EE5" w:rsidRDefault="00661EE5" w:rsidP="00BC16E3">
      <w:pPr>
        <w:spacing w:after="0" w:line="480" w:lineRule="auto"/>
        <w:ind w:firstLine="720"/>
        <w:jc w:val="both"/>
        <w:rPr>
          <w:rFonts w:ascii="Times New Roman" w:hAnsi="Times New Roman" w:cs="Times New Roman"/>
        </w:rPr>
      </w:pPr>
    </w:p>
    <w:p w14:paraId="2F0B2D72" w14:textId="77777777" w:rsidR="00661EE5" w:rsidRDefault="00661EE5" w:rsidP="00BC16E3">
      <w:pPr>
        <w:spacing w:after="0" w:line="480" w:lineRule="auto"/>
        <w:ind w:firstLine="720"/>
        <w:jc w:val="both"/>
        <w:rPr>
          <w:rFonts w:ascii="Times New Roman" w:hAnsi="Times New Roman" w:cs="Times New Roman"/>
        </w:rPr>
      </w:pPr>
    </w:p>
    <w:p w14:paraId="27D1C9E9" w14:textId="77777777" w:rsidR="00661EE5" w:rsidRDefault="00661EE5" w:rsidP="00BC16E3">
      <w:pPr>
        <w:spacing w:after="0" w:line="480" w:lineRule="auto"/>
        <w:ind w:firstLine="720"/>
        <w:jc w:val="both"/>
        <w:rPr>
          <w:rFonts w:ascii="Times New Roman" w:hAnsi="Times New Roman" w:cs="Times New Roman"/>
        </w:rPr>
      </w:pPr>
    </w:p>
    <w:p w14:paraId="2B8E4FAC" w14:textId="77777777" w:rsidR="00661EE5" w:rsidRDefault="00661EE5" w:rsidP="00BC16E3">
      <w:pPr>
        <w:spacing w:after="0" w:line="480" w:lineRule="auto"/>
        <w:ind w:firstLine="720"/>
        <w:jc w:val="both"/>
        <w:rPr>
          <w:rFonts w:ascii="Times New Roman" w:hAnsi="Times New Roman" w:cs="Times New Roman"/>
        </w:rPr>
      </w:pPr>
    </w:p>
    <w:p w14:paraId="6715F2A7" w14:textId="77777777" w:rsidR="00661EE5" w:rsidRDefault="00661EE5" w:rsidP="00BC16E3">
      <w:pPr>
        <w:spacing w:after="0" w:line="480" w:lineRule="auto"/>
        <w:ind w:firstLine="720"/>
        <w:jc w:val="both"/>
        <w:rPr>
          <w:rFonts w:ascii="Times New Roman" w:hAnsi="Times New Roman" w:cs="Times New Roman"/>
        </w:rPr>
      </w:pPr>
    </w:p>
    <w:p w14:paraId="3B58A2D3" w14:textId="78C456C3" w:rsidR="00DE0346" w:rsidRDefault="00C96C5E" w:rsidP="00C96C5E">
      <w:pPr>
        <w:spacing w:after="0" w:line="360" w:lineRule="auto"/>
        <w:jc w:val="center"/>
        <w:rPr>
          <w:rFonts w:ascii="Times New Roman" w:hAnsi="Times New Roman" w:cs="Times New Roman"/>
        </w:rPr>
      </w:pPr>
      <w:r w:rsidRPr="00BA28AE">
        <w:rPr>
          <w:rFonts w:ascii="Times New Roman" w:hAnsi="Times New Roman" w:cs="Times New Roman"/>
          <w:b/>
          <w:bCs/>
        </w:rPr>
        <w:lastRenderedPageBreak/>
        <w:t>Table 1.</w:t>
      </w:r>
      <w:r>
        <w:rPr>
          <w:rFonts w:ascii="Times New Roman" w:hAnsi="Times New Roman" w:cs="Times New Roman"/>
        </w:rPr>
        <w:t xml:space="preserve"> Tentative Conceptual Framework &amp; Propositions</w:t>
      </w:r>
    </w:p>
    <w:tbl>
      <w:tblPr>
        <w:tblStyle w:val="TableGrid"/>
        <w:tblW w:w="90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801"/>
        <w:gridCol w:w="37"/>
        <w:gridCol w:w="1764"/>
        <w:gridCol w:w="1780"/>
        <w:gridCol w:w="21"/>
        <w:gridCol w:w="1801"/>
        <w:gridCol w:w="1802"/>
      </w:tblGrid>
      <w:tr w:rsidR="00DE0346" w:rsidRPr="00227EBD" w14:paraId="3BDAF8B9" w14:textId="77777777" w:rsidTr="002D5CB6">
        <w:trPr>
          <w:trHeight w:val="556"/>
        </w:trPr>
        <w:tc>
          <w:tcPr>
            <w:tcW w:w="1801" w:type="dxa"/>
            <w:shd w:val="clear" w:color="auto" w:fill="000000" w:themeFill="text1"/>
          </w:tcPr>
          <w:p w14:paraId="17942432"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Theoretical Mechanism</w:t>
            </w:r>
          </w:p>
        </w:tc>
        <w:tc>
          <w:tcPr>
            <w:tcW w:w="1801" w:type="dxa"/>
            <w:gridSpan w:val="2"/>
            <w:shd w:val="clear" w:color="auto" w:fill="000000" w:themeFill="text1"/>
          </w:tcPr>
          <w:p w14:paraId="293D426B"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Platform Action</w:t>
            </w:r>
          </w:p>
        </w:tc>
        <w:tc>
          <w:tcPr>
            <w:tcW w:w="1801" w:type="dxa"/>
            <w:gridSpan w:val="2"/>
            <w:shd w:val="clear" w:color="auto" w:fill="000000" w:themeFill="text1"/>
          </w:tcPr>
          <w:p w14:paraId="2E29DBD0"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Venture Response</w:t>
            </w:r>
          </w:p>
        </w:tc>
        <w:tc>
          <w:tcPr>
            <w:tcW w:w="1801" w:type="dxa"/>
            <w:shd w:val="clear" w:color="auto" w:fill="000000" w:themeFill="text1"/>
          </w:tcPr>
          <w:p w14:paraId="16E28558"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Institutional Outcome</w:t>
            </w:r>
          </w:p>
        </w:tc>
        <w:tc>
          <w:tcPr>
            <w:tcW w:w="1802" w:type="dxa"/>
            <w:shd w:val="clear" w:color="auto" w:fill="000000" w:themeFill="text1"/>
          </w:tcPr>
          <w:p w14:paraId="0B223F16"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Empirical Focus</w:t>
            </w:r>
          </w:p>
        </w:tc>
      </w:tr>
      <w:tr w:rsidR="00485BC6" w:rsidRPr="00227EBD" w14:paraId="62F4D2C3" w14:textId="77777777" w:rsidTr="002D5CB6">
        <w:trPr>
          <w:trHeight w:val="841"/>
        </w:trPr>
        <w:tc>
          <w:tcPr>
            <w:tcW w:w="1801" w:type="dxa"/>
          </w:tcPr>
          <w:p w14:paraId="3B6AE6E7" w14:textId="5AC269D3" w:rsidR="00485BC6" w:rsidRPr="00227EBD" w:rsidRDefault="00485BC6" w:rsidP="00DE0346">
            <w:pPr>
              <w:rPr>
                <w:rFonts w:ascii="Times New Roman" w:hAnsi="Times New Roman" w:cs="Times New Roman"/>
                <w:sz w:val="22"/>
                <w:szCs w:val="22"/>
              </w:rPr>
            </w:pPr>
            <w:r w:rsidRPr="00227EBD">
              <w:rPr>
                <w:rFonts w:ascii="Times New Roman" w:hAnsi="Times New Roman" w:cs="Times New Roman"/>
                <w:sz w:val="22"/>
                <w:szCs w:val="22"/>
              </w:rPr>
              <w:t>Institutional Scaffolding</w:t>
            </w:r>
          </w:p>
        </w:tc>
        <w:tc>
          <w:tcPr>
            <w:tcW w:w="1801" w:type="dxa"/>
            <w:gridSpan w:val="2"/>
          </w:tcPr>
          <w:p w14:paraId="0F28FECB" w14:textId="2C8E0C57" w:rsidR="00485BC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Deploy boundary resources (APIs, SDKs, policies, tools)</w:t>
            </w:r>
          </w:p>
        </w:tc>
        <w:tc>
          <w:tcPr>
            <w:tcW w:w="1801" w:type="dxa"/>
            <w:gridSpan w:val="2"/>
          </w:tcPr>
          <w:p w14:paraId="32C3612D" w14:textId="106FD6CD" w:rsidR="00485BC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Adopt platform toolchains &amp; standards</w:t>
            </w:r>
          </w:p>
        </w:tc>
        <w:tc>
          <w:tcPr>
            <w:tcW w:w="1801" w:type="dxa"/>
          </w:tcPr>
          <w:p w14:paraId="0C73D45E" w14:textId="135C3C34" w:rsidR="00485BC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Legitimation acceleration &amp; standardization</w:t>
            </w:r>
          </w:p>
        </w:tc>
        <w:tc>
          <w:tcPr>
            <w:tcW w:w="1802" w:type="dxa"/>
          </w:tcPr>
          <w:p w14:paraId="52A6C588" w14:textId="06672093" w:rsidR="00485BC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Compliance adoption, enterprise acceptance</w:t>
            </w:r>
          </w:p>
        </w:tc>
      </w:tr>
      <w:tr w:rsidR="00DE0346" w:rsidRPr="00227EBD" w14:paraId="09EC544F" w14:textId="77777777" w:rsidTr="002D5CB6">
        <w:trPr>
          <w:trHeight w:val="984"/>
        </w:trPr>
        <w:tc>
          <w:tcPr>
            <w:tcW w:w="1801" w:type="dxa"/>
          </w:tcPr>
          <w:p w14:paraId="57F76769" w14:textId="0BB1C5FB" w:rsidR="00DE034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External Enablement</w:t>
            </w:r>
          </w:p>
        </w:tc>
        <w:tc>
          <w:tcPr>
            <w:tcW w:w="1801" w:type="dxa"/>
            <w:gridSpan w:val="2"/>
          </w:tcPr>
          <w:p w14:paraId="49470BEC" w14:textId="1FE7BD00" w:rsidR="00DE034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Democratize AI capabilities via cloud endpoints</w:t>
            </w:r>
          </w:p>
        </w:tc>
        <w:tc>
          <w:tcPr>
            <w:tcW w:w="1801" w:type="dxa"/>
            <w:gridSpan w:val="2"/>
          </w:tcPr>
          <w:p w14:paraId="45A14256" w14:textId="7D545607" w:rsidR="00DE034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Rapid experimentation &amp; market entry</w:t>
            </w:r>
          </w:p>
        </w:tc>
        <w:tc>
          <w:tcPr>
            <w:tcW w:w="1801" w:type="dxa"/>
          </w:tcPr>
          <w:p w14:paraId="567AC2C5" w14:textId="7BEADA78" w:rsidR="00DE034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Expanded entrepreneurial possibility space</w:t>
            </w:r>
          </w:p>
        </w:tc>
        <w:tc>
          <w:tcPr>
            <w:tcW w:w="1802" w:type="dxa"/>
          </w:tcPr>
          <w:p w14:paraId="3E8EDE20" w14:textId="74EE3D69" w:rsidR="00DE0346" w:rsidRPr="00227EBD" w:rsidRDefault="00485BC6" w:rsidP="00DE0346">
            <w:pPr>
              <w:rPr>
                <w:rFonts w:ascii="Times New Roman" w:hAnsi="Times New Roman" w:cs="Times New Roman"/>
                <w:sz w:val="22"/>
                <w:szCs w:val="22"/>
              </w:rPr>
            </w:pPr>
            <w:r w:rsidRPr="00485BC6">
              <w:rPr>
                <w:rFonts w:ascii="Times New Roman" w:hAnsi="Times New Roman" w:cs="Times New Roman"/>
                <w:sz w:val="22"/>
                <w:szCs w:val="22"/>
              </w:rPr>
              <w:t>Entry rates, time-to-market compression</w:t>
            </w:r>
          </w:p>
        </w:tc>
      </w:tr>
      <w:tr w:rsidR="00DE0346" w:rsidRPr="00227EBD" w14:paraId="659D88F6" w14:textId="77777777" w:rsidTr="002D5CB6">
        <w:trPr>
          <w:trHeight w:val="1128"/>
        </w:trPr>
        <w:tc>
          <w:tcPr>
            <w:tcW w:w="1801" w:type="dxa"/>
          </w:tcPr>
          <w:p w14:paraId="4A6B16A4"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Governance Mediation</w:t>
            </w:r>
          </w:p>
        </w:tc>
        <w:tc>
          <w:tcPr>
            <w:tcW w:w="1801" w:type="dxa"/>
            <w:gridSpan w:val="2"/>
          </w:tcPr>
          <w:p w14:paraId="09507769"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Exercise policy control &amp; rule enforcement</w:t>
            </w:r>
          </w:p>
        </w:tc>
        <w:tc>
          <w:tcPr>
            <w:tcW w:w="1801" w:type="dxa"/>
            <w:gridSpan w:val="2"/>
          </w:tcPr>
          <w:p w14:paraId="6F01A4D9" w14:textId="6815459F"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Strategic adaptation</w:t>
            </w:r>
            <w:r w:rsidR="00275381" w:rsidRPr="00227EBD">
              <w:rPr>
                <w:rFonts w:ascii="Times New Roman" w:hAnsi="Times New Roman" w:cs="Times New Roman"/>
                <w:sz w:val="22"/>
                <w:szCs w:val="22"/>
              </w:rPr>
              <w:t xml:space="preserve"> (multihoming etc.)</w:t>
            </w:r>
            <w:r w:rsidRPr="00227EBD">
              <w:rPr>
                <w:rFonts w:ascii="Times New Roman" w:hAnsi="Times New Roman" w:cs="Times New Roman"/>
                <w:sz w:val="22"/>
                <w:szCs w:val="22"/>
              </w:rPr>
              <w:t xml:space="preserve"> or resistance</w:t>
            </w:r>
          </w:p>
        </w:tc>
        <w:tc>
          <w:tcPr>
            <w:tcW w:w="1801" w:type="dxa"/>
          </w:tcPr>
          <w:p w14:paraId="2D1E1165"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Power asymmetry establishment</w:t>
            </w:r>
          </w:p>
        </w:tc>
        <w:tc>
          <w:tcPr>
            <w:tcW w:w="1802" w:type="dxa"/>
          </w:tcPr>
          <w:p w14:paraId="758E0D34"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 xml:space="preserve">Policy </w:t>
            </w:r>
            <w:proofErr w:type="gramStart"/>
            <w:r w:rsidRPr="00227EBD">
              <w:rPr>
                <w:rFonts w:ascii="Times New Roman" w:hAnsi="Times New Roman" w:cs="Times New Roman"/>
                <w:sz w:val="22"/>
                <w:szCs w:val="22"/>
              </w:rPr>
              <w:t>change</w:t>
            </w:r>
            <w:proofErr w:type="gramEnd"/>
            <w:r w:rsidRPr="00227EBD">
              <w:rPr>
                <w:rFonts w:ascii="Times New Roman" w:hAnsi="Times New Roman" w:cs="Times New Roman"/>
                <w:sz w:val="22"/>
                <w:szCs w:val="22"/>
              </w:rPr>
              <w:t xml:space="preserve"> responses, switching costs</w:t>
            </w:r>
          </w:p>
        </w:tc>
      </w:tr>
      <w:tr w:rsidR="00DE0346" w:rsidRPr="00227EBD" w14:paraId="028BA286" w14:textId="77777777" w:rsidTr="002D5CB6">
        <w:trPr>
          <w:trHeight w:val="826"/>
        </w:trPr>
        <w:tc>
          <w:tcPr>
            <w:tcW w:w="1801" w:type="dxa"/>
          </w:tcPr>
          <w:p w14:paraId="679C35FB"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Capability Dependence</w:t>
            </w:r>
          </w:p>
        </w:tc>
        <w:tc>
          <w:tcPr>
            <w:tcW w:w="1801" w:type="dxa"/>
            <w:gridSpan w:val="2"/>
          </w:tcPr>
          <w:p w14:paraId="6ECFDE9C"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Control core functionality &amp; access</w:t>
            </w:r>
          </w:p>
        </w:tc>
        <w:tc>
          <w:tcPr>
            <w:tcW w:w="1801" w:type="dxa"/>
            <w:gridSpan w:val="2"/>
          </w:tcPr>
          <w:p w14:paraId="379BED40"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Deep integration commitment</w:t>
            </w:r>
          </w:p>
        </w:tc>
        <w:tc>
          <w:tcPr>
            <w:tcW w:w="1801" w:type="dxa"/>
          </w:tcPr>
          <w:p w14:paraId="73E97D59"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Lock-in &amp; ecosystem vulnerability</w:t>
            </w:r>
          </w:p>
        </w:tc>
        <w:tc>
          <w:tcPr>
            <w:tcW w:w="1802" w:type="dxa"/>
          </w:tcPr>
          <w:p w14:paraId="5F7ABC03"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Platform-specific investments, exit barriers</w:t>
            </w:r>
          </w:p>
        </w:tc>
      </w:tr>
      <w:tr w:rsidR="00DE0346" w:rsidRPr="00227EBD" w14:paraId="4CB35935" w14:textId="77777777" w:rsidTr="002D5CB6">
        <w:trPr>
          <w:trHeight w:val="325"/>
        </w:trPr>
        <w:tc>
          <w:tcPr>
            <w:tcW w:w="9006" w:type="dxa"/>
            <w:gridSpan w:val="7"/>
          </w:tcPr>
          <w:p w14:paraId="481E47C0" w14:textId="3D11EDB0" w:rsidR="00DE0346" w:rsidRPr="0059218A" w:rsidRDefault="00DE0346" w:rsidP="0059218A">
            <w:pPr>
              <w:jc w:val="center"/>
              <w:rPr>
                <w:rFonts w:ascii="Times New Roman" w:hAnsi="Times New Roman" w:cs="Times New Roman"/>
                <w:b/>
                <w:bCs/>
              </w:rPr>
            </w:pPr>
            <w:r w:rsidRPr="0059218A">
              <w:rPr>
                <w:rFonts w:ascii="Times New Roman" w:hAnsi="Times New Roman" w:cs="Times New Roman"/>
                <w:b/>
                <w:bCs/>
              </w:rPr>
              <w:t>Process Dynamics &amp; Propositions</w:t>
            </w:r>
          </w:p>
        </w:tc>
      </w:tr>
      <w:tr w:rsidR="00DE0346" w:rsidRPr="00227EBD" w14:paraId="334DE75F" w14:textId="77777777" w:rsidTr="002D5CB6">
        <w:trPr>
          <w:trHeight w:val="278"/>
        </w:trPr>
        <w:tc>
          <w:tcPr>
            <w:tcW w:w="1838" w:type="dxa"/>
            <w:gridSpan w:val="2"/>
          </w:tcPr>
          <w:p w14:paraId="17721289"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Stage</w:t>
            </w:r>
          </w:p>
        </w:tc>
        <w:tc>
          <w:tcPr>
            <w:tcW w:w="3544" w:type="dxa"/>
            <w:gridSpan w:val="2"/>
          </w:tcPr>
          <w:p w14:paraId="0E3DC1CD"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Key Dynamic</w:t>
            </w:r>
          </w:p>
        </w:tc>
        <w:tc>
          <w:tcPr>
            <w:tcW w:w="3624" w:type="dxa"/>
            <w:gridSpan w:val="3"/>
          </w:tcPr>
          <w:p w14:paraId="72409981"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b/>
                <w:sz w:val="22"/>
                <w:szCs w:val="22"/>
              </w:rPr>
              <w:t>Testable Proposition</w:t>
            </w:r>
          </w:p>
        </w:tc>
      </w:tr>
      <w:tr w:rsidR="00DE0346" w:rsidRPr="00227EBD" w14:paraId="536B447F" w14:textId="77777777" w:rsidTr="002D5CB6">
        <w:trPr>
          <w:trHeight w:val="556"/>
        </w:trPr>
        <w:tc>
          <w:tcPr>
            <w:tcW w:w="1838" w:type="dxa"/>
            <w:gridSpan w:val="2"/>
          </w:tcPr>
          <w:p w14:paraId="4EB1E494"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Enablement</w:t>
            </w:r>
          </w:p>
        </w:tc>
        <w:tc>
          <w:tcPr>
            <w:tcW w:w="3544" w:type="dxa"/>
            <w:gridSpan w:val="2"/>
          </w:tcPr>
          <w:p w14:paraId="199ADD08"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Capability provision → venture creation</w:t>
            </w:r>
          </w:p>
        </w:tc>
        <w:tc>
          <w:tcPr>
            <w:tcW w:w="3624" w:type="dxa"/>
            <w:gridSpan w:val="3"/>
          </w:tcPr>
          <w:p w14:paraId="651E3885"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P1: Greater enablement increases dependence via legitimation</w:t>
            </w:r>
          </w:p>
        </w:tc>
      </w:tr>
      <w:tr w:rsidR="00DE0346" w:rsidRPr="00227EBD" w14:paraId="3C71AD51" w14:textId="77777777" w:rsidTr="002D5CB6">
        <w:trPr>
          <w:trHeight w:val="556"/>
        </w:trPr>
        <w:tc>
          <w:tcPr>
            <w:tcW w:w="1838" w:type="dxa"/>
            <w:gridSpan w:val="2"/>
          </w:tcPr>
          <w:p w14:paraId="552F917B"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Integration</w:t>
            </w:r>
          </w:p>
        </w:tc>
        <w:tc>
          <w:tcPr>
            <w:tcW w:w="3544" w:type="dxa"/>
            <w:gridSpan w:val="2"/>
          </w:tcPr>
          <w:p w14:paraId="1CECF141"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Boundary resources → standardization</w:t>
            </w:r>
          </w:p>
        </w:tc>
        <w:tc>
          <w:tcPr>
            <w:tcW w:w="3624" w:type="dxa"/>
            <w:gridSpan w:val="3"/>
          </w:tcPr>
          <w:p w14:paraId="48F00EB9"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P2: Predictable governance drives deep integration</w:t>
            </w:r>
          </w:p>
        </w:tc>
      </w:tr>
      <w:tr w:rsidR="00DE0346" w:rsidRPr="00227EBD" w14:paraId="7578D944" w14:textId="77777777" w:rsidTr="002D5CB6">
        <w:trPr>
          <w:trHeight w:val="556"/>
        </w:trPr>
        <w:tc>
          <w:tcPr>
            <w:tcW w:w="1838" w:type="dxa"/>
            <w:gridSpan w:val="2"/>
          </w:tcPr>
          <w:p w14:paraId="7012DBA8"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Control</w:t>
            </w:r>
          </w:p>
        </w:tc>
        <w:tc>
          <w:tcPr>
            <w:tcW w:w="3544" w:type="dxa"/>
            <w:gridSpan w:val="2"/>
          </w:tcPr>
          <w:p w14:paraId="1E81B711"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Governance exercise → power asymmetry</w:t>
            </w:r>
          </w:p>
        </w:tc>
        <w:tc>
          <w:tcPr>
            <w:tcW w:w="3624" w:type="dxa"/>
            <w:gridSpan w:val="3"/>
          </w:tcPr>
          <w:p w14:paraId="7158C48A"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P3: Integration depth correlates with platform power</w:t>
            </w:r>
          </w:p>
        </w:tc>
      </w:tr>
      <w:tr w:rsidR="00DE0346" w:rsidRPr="00227EBD" w14:paraId="03AEEF8F" w14:textId="77777777" w:rsidTr="002D5CB6">
        <w:trPr>
          <w:trHeight w:val="556"/>
        </w:trPr>
        <w:tc>
          <w:tcPr>
            <w:tcW w:w="1838" w:type="dxa"/>
            <w:gridSpan w:val="2"/>
          </w:tcPr>
          <w:p w14:paraId="3833FEB7"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Co-evolution</w:t>
            </w:r>
          </w:p>
        </w:tc>
        <w:tc>
          <w:tcPr>
            <w:tcW w:w="3544" w:type="dxa"/>
            <w:gridSpan w:val="2"/>
          </w:tcPr>
          <w:p w14:paraId="3DBF7372"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Mutual adaptation → ecosystem stability</w:t>
            </w:r>
          </w:p>
        </w:tc>
        <w:tc>
          <w:tcPr>
            <w:tcW w:w="3624" w:type="dxa"/>
            <w:gridSpan w:val="3"/>
          </w:tcPr>
          <w:p w14:paraId="74BCA265" w14:textId="77777777" w:rsidR="00DE0346" w:rsidRPr="00227EBD" w:rsidRDefault="00DE0346" w:rsidP="00DE0346">
            <w:pPr>
              <w:rPr>
                <w:rFonts w:ascii="Times New Roman" w:hAnsi="Times New Roman" w:cs="Times New Roman"/>
                <w:sz w:val="22"/>
                <w:szCs w:val="22"/>
              </w:rPr>
            </w:pPr>
            <w:r w:rsidRPr="00227EBD">
              <w:rPr>
                <w:rFonts w:ascii="Times New Roman" w:hAnsi="Times New Roman" w:cs="Times New Roman"/>
                <w:sz w:val="22"/>
                <w:szCs w:val="22"/>
              </w:rPr>
              <w:t>P4: Adaptation costs balance switching costs at equilibrium</w:t>
            </w:r>
          </w:p>
        </w:tc>
      </w:tr>
    </w:tbl>
    <w:p w14:paraId="186536E4" w14:textId="1961F046" w:rsidR="00561CB3" w:rsidRPr="00561CB3" w:rsidRDefault="00561CB3" w:rsidP="00BC16E3">
      <w:pPr>
        <w:spacing w:after="0" w:line="480" w:lineRule="auto"/>
        <w:ind w:firstLine="720"/>
        <w:jc w:val="both"/>
        <w:rPr>
          <w:rFonts w:ascii="Times New Roman" w:hAnsi="Times New Roman" w:cs="Times New Roman"/>
        </w:rPr>
      </w:pPr>
      <w:r w:rsidRPr="00561CB3">
        <w:rPr>
          <w:rFonts w:ascii="Times New Roman" w:hAnsi="Times New Roman" w:cs="Times New Roman"/>
        </w:rPr>
        <w:t xml:space="preserve">The starting point is </w:t>
      </w:r>
      <w:r w:rsidR="001F3167">
        <w:rPr>
          <w:rFonts w:ascii="Times New Roman" w:hAnsi="Times New Roman" w:cs="Times New Roman"/>
        </w:rPr>
        <w:t>the institutional environment and the n</w:t>
      </w:r>
      <w:r w:rsidRPr="00561CB3">
        <w:rPr>
          <w:rFonts w:ascii="Times New Roman" w:hAnsi="Times New Roman" w:cs="Times New Roman"/>
        </w:rPr>
        <w:t xml:space="preserve">ontrivial </w:t>
      </w:r>
      <w:r w:rsidR="001F3167">
        <w:rPr>
          <w:rFonts w:ascii="Times New Roman" w:hAnsi="Times New Roman" w:cs="Times New Roman"/>
        </w:rPr>
        <w:t>changes happening within</w:t>
      </w:r>
      <w:r w:rsidR="002314E5">
        <w:rPr>
          <w:rFonts w:ascii="Times New Roman" w:hAnsi="Times New Roman" w:cs="Times New Roman"/>
        </w:rPr>
        <w:t xml:space="preserve"> that enable PDE</w:t>
      </w:r>
      <w:r w:rsidR="001F3167">
        <w:rPr>
          <w:rFonts w:ascii="Times New Roman" w:hAnsi="Times New Roman" w:cs="Times New Roman"/>
        </w:rPr>
        <w:t>. F</w:t>
      </w:r>
      <w:r w:rsidRPr="00561CB3">
        <w:rPr>
          <w:rFonts w:ascii="Times New Roman" w:hAnsi="Times New Roman" w:cs="Times New Roman"/>
        </w:rPr>
        <w:t>oundation models exposed via cloud endpoints</w:t>
      </w:r>
      <w:r w:rsidR="002314E5">
        <w:rPr>
          <w:rFonts w:ascii="Times New Roman" w:hAnsi="Times New Roman" w:cs="Times New Roman"/>
        </w:rPr>
        <w:t xml:space="preserve"> </w:t>
      </w:r>
      <w:r w:rsidR="0063363A">
        <w:rPr>
          <w:rFonts w:ascii="Times New Roman" w:hAnsi="Times New Roman" w:cs="Times New Roman"/>
        </w:rPr>
        <w:t xml:space="preserve">with generative power </w:t>
      </w:r>
      <w:r w:rsidRPr="00561CB3">
        <w:rPr>
          <w:rFonts w:ascii="Times New Roman" w:hAnsi="Times New Roman" w:cs="Times New Roman"/>
        </w:rPr>
        <w:t>that expands digital affordances and democratizes sophisticated capabilities</w:t>
      </w:r>
      <w:r w:rsidR="002314E5">
        <w:rPr>
          <w:rFonts w:ascii="Times New Roman" w:hAnsi="Times New Roman" w:cs="Times New Roman"/>
        </w:rPr>
        <w:t>,</w:t>
      </w:r>
      <w:r w:rsidR="00E76B3F">
        <w:rPr>
          <w:rFonts w:ascii="Times New Roman" w:hAnsi="Times New Roman" w:cs="Times New Roman"/>
        </w:rPr>
        <w:t xml:space="preserve"> act as external enablers</w:t>
      </w:r>
      <w:r w:rsidRPr="00561CB3">
        <w:rPr>
          <w:rFonts w:ascii="Times New Roman" w:hAnsi="Times New Roman" w:cs="Times New Roman"/>
        </w:rPr>
        <w:t xml:space="preserve"> (Majchrzak &amp; Markus, 2012; Nambisan, 2017; Davidsson et al., 2020; </w:t>
      </w:r>
      <w:proofErr w:type="spellStart"/>
      <w:r w:rsidRPr="00561CB3">
        <w:rPr>
          <w:rFonts w:ascii="Times New Roman" w:hAnsi="Times New Roman" w:cs="Times New Roman"/>
        </w:rPr>
        <w:t>Kimjeon</w:t>
      </w:r>
      <w:proofErr w:type="spellEnd"/>
      <w:r w:rsidRPr="00561CB3">
        <w:rPr>
          <w:rFonts w:ascii="Times New Roman" w:hAnsi="Times New Roman" w:cs="Times New Roman"/>
        </w:rPr>
        <w:t xml:space="preserve"> &amp; Davidsson, 2022). Conversion from possibility to viable venturing, however, runs through institutional channels governed as much by private order as by public regulation. Platforms implement boundary resources—APIs, SDKs, documentation, safety/evaluation stacks—that both resource third-party innovation and encode the platform’s rules of participation (</w:t>
      </w:r>
      <w:proofErr w:type="spellStart"/>
      <w:r w:rsidRPr="00561CB3">
        <w:rPr>
          <w:rFonts w:ascii="Times New Roman" w:hAnsi="Times New Roman" w:cs="Times New Roman"/>
        </w:rPr>
        <w:t>Ghazawneh</w:t>
      </w:r>
      <w:proofErr w:type="spellEnd"/>
      <w:r w:rsidRPr="00561CB3">
        <w:rPr>
          <w:rFonts w:ascii="Times New Roman" w:hAnsi="Times New Roman" w:cs="Times New Roman"/>
        </w:rPr>
        <w:t xml:space="preserve"> &amp; Henfridsson, 2013; </w:t>
      </w:r>
      <w:proofErr w:type="spellStart"/>
      <w:r w:rsidRPr="00561CB3">
        <w:rPr>
          <w:rFonts w:ascii="Times New Roman" w:hAnsi="Times New Roman" w:cs="Times New Roman"/>
        </w:rPr>
        <w:t>Gawer</w:t>
      </w:r>
      <w:proofErr w:type="spellEnd"/>
      <w:r w:rsidRPr="00561CB3">
        <w:rPr>
          <w:rFonts w:ascii="Times New Roman" w:hAnsi="Times New Roman" w:cs="Times New Roman"/>
        </w:rPr>
        <w:t xml:space="preserve"> &amp; Phillips, 2013; </w:t>
      </w:r>
      <w:proofErr w:type="spellStart"/>
      <w:r w:rsidRPr="00561CB3">
        <w:rPr>
          <w:rFonts w:ascii="Times New Roman" w:hAnsi="Times New Roman" w:cs="Times New Roman"/>
        </w:rPr>
        <w:t>Gawer</w:t>
      </w:r>
      <w:proofErr w:type="spellEnd"/>
      <w:r w:rsidRPr="00561CB3">
        <w:rPr>
          <w:rFonts w:ascii="Times New Roman" w:hAnsi="Times New Roman" w:cs="Times New Roman"/>
        </w:rPr>
        <w:t>, 2022</w:t>
      </w:r>
      <w:r w:rsidR="007364D5" w:rsidRPr="00864C8D">
        <w:rPr>
          <w:rFonts w:ascii="Times New Roman" w:hAnsi="Times New Roman" w:cs="Times New Roman"/>
        </w:rPr>
        <w:t>; O’Mahony &amp; Karp, 2022</w:t>
      </w:r>
      <w:r w:rsidRPr="00561CB3">
        <w:rPr>
          <w:rFonts w:ascii="Times New Roman" w:hAnsi="Times New Roman" w:cs="Times New Roman"/>
        </w:rPr>
        <w:t xml:space="preserve">). These boundary resources operate as institutional scaffolding: they standardize interaction, lower entry costs, and render ventures legible to enterprise buyers and investors, </w:t>
      </w:r>
      <w:r w:rsidRPr="00561CB3">
        <w:rPr>
          <w:rFonts w:ascii="Times New Roman" w:hAnsi="Times New Roman" w:cs="Times New Roman"/>
        </w:rPr>
        <w:lastRenderedPageBreak/>
        <w:t>thereby accelerating legitimation (North, 1990; Baumol, 1993; Baumol &amp; Strom, 2007; Zimmerman &amp; Zeitz, 2002). At the same time, they discipline development through pricing, rate limits, versioning/deprecation, and acceptable-use provisions that shape scope, unit economics, and legal viability.</w:t>
      </w:r>
    </w:p>
    <w:p w14:paraId="7DF79627" w14:textId="23AD8B5D" w:rsidR="00561CB3" w:rsidRPr="00561CB3" w:rsidRDefault="00561CB3" w:rsidP="00BC16E3">
      <w:pPr>
        <w:spacing w:after="0" w:line="480" w:lineRule="auto"/>
        <w:ind w:firstLine="720"/>
        <w:jc w:val="both"/>
        <w:rPr>
          <w:rFonts w:ascii="Times New Roman" w:hAnsi="Times New Roman" w:cs="Times New Roman"/>
        </w:rPr>
      </w:pPr>
      <w:r w:rsidRPr="00561CB3">
        <w:rPr>
          <w:rFonts w:ascii="Times New Roman" w:hAnsi="Times New Roman" w:cs="Times New Roman"/>
        </w:rPr>
        <w:t xml:space="preserve">The core dynamic is </w:t>
      </w:r>
      <w:r w:rsidRPr="000864D3">
        <w:rPr>
          <w:rFonts w:ascii="Times New Roman" w:hAnsi="Times New Roman" w:cs="Times New Roman"/>
          <w:i/>
          <w:iCs/>
        </w:rPr>
        <w:t>governance-mediated enablement</w:t>
      </w:r>
      <w:r w:rsidRPr="000864D3">
        <w:rPr>
          <w:rFonts w:ascii="Times New Roman" w:hAnsi="Times New Roman" w:cs="Times New Roman"/>
        </w:rPr>
        <w:t>.</w:t>
      </w:r>
      <w:r w:rsidRPr="00561CB3">
        <w:rPr>
          <w:rFonts w:ascii="Times New Roman" w:hAnsi="Times New Roman" w:cs="Times New Roman"/>
        </w:rPr>
        <w:t xml:space="preserve"> Predictable governance—stable pricing heuristics, transparent rate limits, disciplined versioning—encourages commitment and deep integration; opacity or volatility dampens conversion or diverts effort to less constrained spaces</w:t>
      </w:r>
      <w:r w:rsidR="00D22724">
        <w:rPr>
          <w:rFonts w:ascii="Times New Roman" w:hAnsi="Times New Roman" w:cs="Times New Roman"/>
        </w:rPr>
        <w:t xml:space="preserve"> (</w:t>
      </w:r>
      <w:proofErr w:type="spellStart"/>
      <w:r w:rsidR="00D22724">
        <w:rPr>
          <w:rFonts w:ascii="Times New Roman" w:hAnsi="Times New Roman" w:cs="Times New Roman"/>
        </w:rPr>
        <w:t>Jacobides</w:t>
      </w:r>
      <w:proofErr w:type="spellEnd"/>
      <w:r w:rsidR="00D22724">
        <w:rPr>
          <w:rFonts w:ascii="Times New Roman" w:hAnsi="Times New Roman" w:cs="Times New Roman"/>
        </w:rPr>
        <w:t xml:space="preserve"> et al., </w:t>
      </w:r>
      <w:r w:rsidR="003C54CA">
        <w:rPr>
          <w:rFonts w:ascii="Times New Roman" w:hAnsi="Times New Roman" w:cs="Times New Roman"/>
        </w:rPr>
        <w:t xml:space="preserve">2018, </w:t>
      </w:r>
      <w:r w:rsidR="00D22724">
        <w:rPr>
          <w:rFonts w:ascii="Times New Roman" w:hAnsi="Times New Roman" w:cs="Times New Roman"/>
        </w:rPr>
        <w:t>2024)</w:t>
      </w:r>
      <w:r w:rsidRPr="00561CB3">
        <w:rPr>
          <w:rFonts w:ascii="Times New Roman" w:hAnsi="Times New Roman" w:cs="Times New Roman"/>
        </w:rPr>
        <w:t xml:space="preserve">. As complementors adopt </w:t>
      </w:r>
      <w:r w:rsidR="00D22724">
        <w:rPr>
          <w:rFonts w:ascii="Times New Roman" w:hAnsi="Times New Roman" w:cs="Times New Roman"/>
        </w:rPr>
        <w:t>platform</w:t>
      </w:r>
      <w:r w:rsidRPr="00561CB3">
        <w:rPr>
          <w:rFonts w:ascii="Times New Roman" w:hAnsi="Times New Roman" w:cs="Times New Roman"/>
        </w:rPr>
        <w:t xml:space="preserve"> toolchains—not only for engineering utility but to </w:t>
      </w:r>
      <w:r w:rsidR="00D22724">
        <w:rPr>
          <w:rFonts w:ascii="Times New Roman" w:hAnsi="Times New Roman" w:cs="Times New Roman"/>
        </w:rPr>
        <w:t>meet stakeholder</w:t>
      </w:r>
      <w:r w:rsidRPr="00561CB3">
        <w:rPr>
          <w:rFonts w:ascii="Times New Roman" w:hAnsi="Times New Roman" w:cs="Times New Roman"/>
        </w:rPr>
        <w:t xml:space="preserve"> expectations—legitimation accelerates while dependence </w:t>
      </w:r>
      <w:proofErr w:type="gramStart"/>
      <w:r w:rsidRPr="00561CB3">
        <w:rPr>
          <w:rFonts w:ascii="Times New Roman" w:hAnsi="Times New Roman" w:cs="Times New Roman"/>
        </w:rPr>
        <w:t>deepens:</w:t>
      </w:r>
      <w:proofErr w:type="gramEnd"/>
      <w:r w:rsidRPr="00561CB3">
        <w:rPr>
          <w:rFonts w:ascii="Times New Roman" w:hAnsi="Times New Roman" w:cs="Times New Roman"/>
        </w:rPr>
        <w:t xml:space="preserve"> workflows, artifacts, and assurance language become entangled with provider interfaces and policy terminology (Zimmerman &amp; Zeitz, 2002). With growth, control shifts toward bottlenecks at the platform core; governance tightens to manage quality, safety, and cost, and margins compress for highly exposed ventures (Eaton et al., 2015). Complementors respond on technical, organizational, and institutional fronts—building abstraction layers, selectively multihoming </w:t>
      </w:r>
      <w:r w:rsidR="00991138">
        <w:rPr>
          <w:rFonts w:ascii="Times New Roman" w:hAnsi="Times New Roman" w:cs="Times New Roman"/>
        </w:rPr>
        <w:t xml:space="preserve">(Cennamo et al., 2018) </w:t>
      </w:r>
      <w:r w:rsidRPr="00561CB3">
        <w:rPr>
          <w:rFonts w:ascii="Times New Roman" w:hAnsi="Times New Roman" w:cs="Times New Roman"/>
        </w:rPr>
        <w:t>where quality permits, specializing in niches, and engaging standards and policy arenas to seek portability and predictability (DiMaggio, 1988; Garud et al., 2007; Elert &amp; Henrekson, 2017; Urbano et al., 2019). The cycle then repeats as capabilities and constraints co-evolve through distributed tuning of interfaces and rules (Eaton et al., 2015).</w:t>
      </w:r>
    </w:p>
    <w:p w14:paraId="1E484165" w14:textId="69EDB865" w:rsidR="00561CB3" w:rsidRPr="00561CB3" w:rsidRDefault="00561CB3" w:rsidP="00BC16E3">
      <w:pPr>
        <w:spacing w:after="0" w:line="480" w:lineRule="auto"/>
        <w:ind w:firstLine="720"/>
        <w:jc w:val="both"/>
        <w:rPr>
          <w:rFonts w:ascii="Times New Roman" w:hAnsi="Times New Roman" w:cs="Times New Roman"/>
        </w:rPr>
      </w:pPr>
      <w:r w:rsidRPr="00561CB3">
        <w:rPr>
          <w:rFonts w:ascii="Times New Roman" w:hAnsi="Times New Roman" w:cs="Times New Roman"/>
        </w:rPr>
        <w:t xml:space="preserve">This process view situates </w:t>
      </w:r>
      <w:r w:rsidRPr="00EA6E3E">
        <w:rPr>
          <w:rFonts w:ascii="Times New Roman" w:hAnsi="Times New Roman" w:cs="Times New Roman"/>
          <w:i/>
          <w:iCs/>
        </w:rPr>
        <w:t>PDE</w:t>
      </w:r>
      <w:r w:rsidR="00E555EB" w:rsidRPr="00EA6E3E">
        <w:rPr>
          <w:rFonts w:ascii="Times New Roman" w:hAnsi="Times New Roman" w:cs="Times New Roman"/>
          <w:i/>
          <w:iCs/>
        </w:rPr>
        <w:t xml:space="preserve"> </w:t>
      </w:r>
      <w:r w:rsidRPr="00EA6E3E">
        <w:rPr>
          <w:rFonts w:ascii="Times New Roman" w:hAnsi="Times New Roman" w:cs="Times New Roman"/>
          <w:i/>
          <w:iCs/>
        </w:rPr>
        <w:t>as a capability-dependent</w:t>
      </w:r>
      <w:r w:rsidRPr="00561CB3">
        <w:rPr>
          <w:rFonts w:ascii="Times New Roman" w:hAnsi="Times New Roman" w:cs="Times New Roman"/>
        </w:rPr>
        <w:t xml:space="preserve"> form of digital entrepreneurship: ventures are viable on-platform because access to foundational capabilities is platform-governed and switching costs—technical, contractual, and demand-side—render multihoming infeasible within the relevant strategic window (Cutolo &amp; Kenney, 2021; Cennamo et al., 2018; Nzembayie et al., 2024). Network effects remain relevant for growth, but they do not by themselves explain PDE outcomes; what is distinctive is how the governance </w:t>
      </w:r>
      <w:r w:rsidRPr="00561CB3">
        <w:rPr>
          <w:rFonts w:ascii="Times New Roman" w:hAnsi="Times New Roman" w:cs="Times New Roman"/>
        </w:rPr>
        <w:lastRenderedPageBreak/>
        <w:t>of capability access and the co-evolution of private and public institutional orders, enacted through boundary</w:t>
      </w:r>
      <w:r w:rsidR="00A413A0" w:rsidRPr="00864C8D">
        <w:rPr>
          <w:rFonts w:ascii="Times New Roman" w:hAnsi="Times New Roman" w:cs="Times New Roman"/>
        </w:rPr>
        <w:t xml:space="preserve"> </w:t>
      </w:r>
      <w:r w:rsidRPr="00561CB3">
        <w:rPr>
          <w:rFonts w:ascii="Times New Roman" w:hAnsi="Times New Roman" w:cs="Times New Roman"/>
        </w:rPr>
        <w:t>resource design, determine whether external enablement becomes durable advantage or transient experiment (</w:t>
      </w:r>
      <w:proofErr w:type="spellStart"/>
      <w:r w:rsidRPr="00561CB3">
        <w:rPr>
          <w:rFonts w:ascii="Times New Roman" w:hAnsi="Times New Roman" w:cs="Times New Roman"/>
        </w:rPr>
        <w:t>Ghazawneh</w:t>
      </w:r>
      <w:proofErr w:type="spellEnd"/>
      <w:r w:rsidRPr="00561CB3">
        <w:rPr>
          <w:rFonts w:ascii="Times New Roman" w:hAnsi="Times New Roman" w:cs="Times New Roman"/>
        </w:rPr>
        <w:t xml:space="preserve"> &amp; Henfridsson, 2013; Davidsson et al., 2020; </w:t>
      </w:r>
      <w:proofErr w:type="spellStart"/>
      <w:r w:rsidRPr="00561CB3">
        <w:rPr>
          <w:rFonts w:ascii="Times New Roman" w:hAnsi="Times New Roman" w:cs="Times New Roman"/>
        </w:rPr>
        <w:t>Gawer</w:t>
      </w:r>
      <w:proofErr w:type="spellEnd"/>
      <w:r w:rsidRPr="00561CB3">
        <w:rPr>
          <w:rFonts w:ascii="Times New Roman" w:hAnsi="Times New Roman" w:cs="Times New Roman"/>
        </w:rPr>
        <w:t>, 2022).</w:t>
      </w:r>
    </w:p>
    <w:p w14:paraId="55017078" w14:textId="33EAA7BA" w:rsidR="00561CB3" w:rsidRPr="00561CB3" w:rsidRDefault="00E833DB" w:rsidP="00BC16E3">
      <w:pPr>
        <w:spacing w:after="0" w:line="480" w:lineRule="auto"/>
        <w:ind w:firstLine="720"/>
        <w:jc w:val="both"/>
        <w:rPr>
          <w:rFonts w:ascii="Times New Roman" w:hAnsi="Times New Roman" w:cs="Times New Roman"/>
        </w:rPr>
      </w:pPr>
      <w:r w:rsidRPr="00832202">
        <w:rPr>
          <w:rFonts w:ascii="Times New Roman" w:hAnsi="Times New Roman" w:cs="Times New Roman"/>
          <w:i/>
          <w:iCs/>
        </w:rPr>
        <w:t>Boundary</w:t>
      </w:r>
      <w:r w:rsidR="00561CB3" w:rsidRPr="00832202">
        <w:rPr>
          <w:rFonts w:ascii="Times New Roman" w:hAnsi="Times New Roman" w:cs="Times New Roman"/>
          <w:i/>
          <w:iCs/>
        </w:rPr>
        <w:t xml:space="preserve"> conditions</w:t>
      </w:r>
      <w:r w:rsidR="00561CB3" w:rsidRPr="00561CB3">
        <w:rPr>
          <w:rFonts w:ascii="Times New Roman" w:hAnsi="Times New Roman" w:cs="Times New Roman"/>
        </w:rPr>
        <w:t xml:space="preserve"> clarify where the framework applies most strongly. It is tailored to settings in which the platform controls non-substitutable capabilities within the venture’s planning horizon and governance materially affects unit economics or legal permissibility. Its traction weakens where </w:t>
      </w:r>
      <w:proofErr w:type="gramStart"/>
      <w:r w:rsidR="00561CB3" w:rsidRPr="00561CB3">
        <w:rPr>
          <w:rFonts w:ascii="Times New Roman" w:hAnsi="Times New Roman" w:cs="Times New Roman"/>
        </w:rPr>
        <w:t>open</w:t>
      </w:r>
      <w:r w:rsidR="00DA07DC">
        <w:rPr>
          <w:rFonts w:ascii="Times New Roman" w:hAnsi="Times New Roman" w:cs="Times New Roman"/>
        </w:rPr>
        <w:t xml:space="preserve"> source</w:t>
      </w:r>
      <w:proofErr w:type="gramEnd"/>
      <w:r w:rsidR="00DA07DC">
        <w:rPr>
          <w:rFonts w:ascii="Times New Roman" w:hAnsi="Times New Roman" w:cs="Times New Roman"/>
        </w:rPr>
        <w:t xml:space="preserve"> </w:t>
      </w:r>
      <w:r w:rsidR="00561CB3" w:rsidRPr="00561CB3">
        <w:rPr>
          <w:rFonts w:ascii="Times New Roman" w:hAnsi="Times New Roman" w:cs="Times New Roman"/>
        </w:rPr>
        <w:t xml:space="preserve">local deployment approaches parity in quality and cost, </w:t>
      </w:r>
      <w:r w:rsidR="00CD2C46">
        <w:rPr>
          <w:rFonts w:ascii="Times New Roman" w:hAnsi="Times New Roman" w:cs="Times New Roman"/>
        </w:rPr>
        <w:t xml:space="preserve">and where </w:t>
      </w:r>
      <w:r w:rsidR="00561CB3" w:rsidRPr="00561CB3">
        <w:rPr>
          <w:rFonts w:ascii="Times New Roman" w:hAnsi="Times New Roman" w:cs="Times New Roman"/>
        </w:rPr>
        <w:t>acceptable</w:t>
      </w:r>
      <w:r w:rsidR="0096241E" w:rsidRPr="00864C8D">
        <w:rPr>
          <w:rFonts w:ascii="Times New Roman" w:hAnsi="Times New Roman" w:cs="Times New Roman"/>
        </w:rPr>
        <w:t xml:space="preserve"> </w:t>
      </w:r>
      <w:r w:rsidR="00561CB3" w:rsidRPr="00561CB3">
        <w:rPr>
          <w:rFonts w:ascii="Times New Roman" w:hAnsi="Times New Roman" w:cs="Times New Roman"/>
        </w:rPr>
        <w:t>use is stable and non-binding, or dependence is primarily distributional rather than capability-based. Under the stated conditions, the framework accounts for divergent venture trajectories: design choices that attract entrants—rich boundary resources, strong safety/evaluation stacks, rapid model iteration—also heighten exposure to policy and price moves, so apparently similar ventures separate as a function of adoption depth and the portability of evaluation and compliance assets (Zhang et al., 2020).</w:t>
      </w:r>
    </w:p>
    <w:p w14:paraId="61092D88" w14:textId="39500B86" w:rsidR="00530275" w:rsidRPr="00864C8D" w:rsidRDefault="00561CB3" w:rsidP="00BC16E3">
      <w:pPr>
        <w:spacing w:after="0" w:line="480" w:lineRule="auto"/>
        <w:ind w:firstLine="720"/>
        <w:jc w:val="both"/>
        <w:rPr>
          <w:rFonts w:ascii="Times New Roman" w:hAnsi="Times New Roman" w:cs="Times New Roman"/>
        </w:rPr>
      </w:pPr>
      <w:r w:rsidRPr="00EE1D91">
        <w:rPr>
          <w:rFonts w:ascii="Times New Roman" w:hAnsi="Times New Roman" w:cs="Times New Roman"/>
        </w:rPr>
        <w:t>In sum, Gen</w:t>
      </w:r>
      <w:r w:rsidR="002D0C67" w:rsidRPr="00EE1D91">
        <w:rPr>
          <w:rFonts w:ascii="Times New Roman" w:hAnsi="Times New Roman" w:cs="Times New Roman"/>
        </w:rPr>
        <w:t xml:space="preserve"> </w:t>
      </w:r>
      <w:r w:rsidRPr="00EE1D91">
        <w:rPr>
          <w:rFonts w:ascii="Times New Roman" w:hAnsi="Times New Roman" w:cs="Times New Roman"/>
        </w:rPr>
        <w:t xml:space="preserve">AI platforms emerge as </w:t>
      </w:r>
      <w:r w:rsidRPr="00EE1D91">
        <w:rPr>
          <w:rFonts w:ascii="Times New Roman" w:hAnsi="Times New Roman" w:cs="Times New Roman"/>
          <w:b/>
          <w:bCs/>
          <w:i/>
          <w:iCs/>
        </w:rPr>
        <w:t>institutional catalysts and gatekeepers</w:t>
      </w:r>
      <w:r w:rsidRPr="00EE1D91">
        <w:rPr>
          <w:rFonts w:ascii="Times New Roman" w:hAnsi="Times New Roman" w:cs="Times New Roman"/>
        </w:rPr>
        <w:t xml:space="preserve">: they </w:t>
      </w:r>
      <w:r w:rsidR="00530275" w:rsidRPr="00EE1D91">
        <w:rPr>
          <w:rFonts w:ascii="Times New Roman" w:hAnsi="Times New Roman" w:cs="Times New Roman"/>
        </w:rPr>
        <w:t>simultaneously expand entrepreneurial possibilities and create institutional dependence through governance-mediated enablement, producing co-evolutionary dynamics between capability provision and venture commitment.</w:t>
      </w:r>
      <w:r w:rsidR="00EE1D91">
        <w:rPr>
          <w:rFonts w:ascii="Times New Roman" w:hAnsi="Times New Roman" w:cs="Times New Roman"/>
        </w:rPr>
        <w:t xml:space="preserve"> </w:t>
      </w:r>
      <w:r w:rsidR="00244F74" w:rsidRPr="00561CB3">
        <w:rPr>
          <w:rFonts w:ascii="Times New Roman" w:hAnsi="Times New Roman" w:cs="Times New Roman"/>
        </w:rPr>
        <w:t xml:space="preserve">PDE is the patterned outcome of enablement turned </w:t>
      </w:r>
      <w:r w:rsidR="00244F74" w:rsidRPr="00864C8D">
        <w:rPr>
          <w:rFonts w:ascii="Times New Roman" w:hAnsi="Times New Roman" w:cs="Times New Roman"/>
        </w:rPr>
        <w:t>operational, enabled</w:t>
      </w:r>
      <w:r w:rsidR="00244F74" w:rsidRPr="00561CB3">
        <w:rPr>
          <w:rFonts w:ascii="Times New Roman" w:hAnsi="Times New Roman" w:cs="Times New Roman"/>
        </w:rPr>
        <w:t xml:space="preserve"> by access to capabilities, disciplined by the rules that govern that access, and shaped by continual recalibration between private and public authority.</w:t>
      </w:r>
      <w:r w:rsidR="000E2CD5">
        <w:rPr>
          <w:rFonts w:ascii="Times New Roman" w:hAnsi="Times New Roman" w:cs="Times New Roman"/>
        </w:rPr>
        <w:t xml:space="preserve"> We subsequently leverage the framework as an analytical tool </w:t>
      </w:r>
      <w:r w:rsidR="00A42907">
        <w:rPr>
          <w:rFonts w:ascii="Times New Roman" w:hAnsi="Times New Roman" w:cs="Times New Roman"/>
        </w:rPr>
        <w:t xml:space="preserve">in a case study that examines it key propositions. </w:t>
      </w:r>
    </w:p>
    <w:p w14:paraId="1B12A593" w14:textId="001DC052" w:rsidR="00037124" w:rsidRPr="00037124" w:rsidRDefault="00CB021F" w:rsidP="00E5675E">
      <w:pPr>
        <w:pStyle w:val="Heading1"/>
        <w:spacing w:before="0" w:after="0"/>
        <w:rPr>
          <w:lang w:val="en-US"/>
        </w:rPr>
      </w:pPr>
      <w:r>
        <w:t xml:space="preserve">Methodology </w:t>
      </w:r>
    </w:p>
    <w:p w14:paraId="3566ADFA" w14:textId="77777777" w:rsidR="00037124" w:rsidRPr="00037124" w:rsidRDefault="00037124" w:rsidP="00BC16E3">
      <w:pPr>
        <w:pStyle w:val="Heading2"/>
        <w:spacing w:before="0" w:after="0" w:line="480" w:lineRule="auto"/>
        <w:rPr>
          <w:lang w:val="en-US"/>
        </w:rPr>
      </w:pPr>
      <w:r w:rsidRPr="00037124">
        <w:rPr>
          <w:lang w:val="en-US"/>
        </w:rPr>
        <w:t>Research Design and Approach</w:t>
      </w:r>
    </w:p>
    <w:p w14:paraId="1FF04A91" w14:textId="11289F14" w:rsidR="00071316"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We conducted</w:t>
      </w:r>
      <w:r w:rsidR="002637CA">
        <w:rPr>
          <w:rFonts w:ascii="Times New Roman" w:hAnsi="Times New Roman" w:cs="Times New Roman"/>
          <w:lang w:val="en-US"/>
        </w:rPr>
        <w:t xml:space="preserve"> an</w:t>
      </w:r>
      <w:r w:rsidRPr="00037124">
        <w:rPr>
          <w:rFonts w:ascii="Times New Roman" w:hAnsi="Times New Roman" w:cs="Times New Roman"/>
          <w:lang w:val="en-US"/>
        </w:rPr>
        <w:t xml:space="preserve"> </w:t>
      </w:r>
      <w:r w:rsidR="002637CA">
        <w:rPr>
          <w:rFonts w:ascii="Times New Roman" w:hAnsi="Times New Roman" w:cs="Times New Roman"/>
          <w:lang w:val="en-US"/>
        </w:rPr>
        <w:t>embedded</w:t>
      </w:r>
      <w:r w:rsidR="00A42907">
        <w:rPr>
          <w:rFonts w:ascii="Times New Roman" w:hAnsi="Times New Roman" w:cs="Times New Roman"/>
          <w:lang w:val="en-US"/>
        </w:rPr>
        <w:t xml:space="preserve"> </w:t>
      </w:r>
      <w:r w:rsidRPr="00037124">
        <w:rPr>
          <w:rFonts w:ascii="Times New Roman" w:hAnsi="Times New Roman" w:cs="Times New Roman"/>
          <w:lang w:val="en-US"/>
        </w:rPr>
        <w:t>case study</w:t>
      </w:r>
      <w:r w:rsidR="00F17CA3">
        <w:rPr>
          <w:rFonts w:ascii="Times New Roman" w:hAnsi="Times New Roman" w:cs="Times New Roman"/>
          <w:lang w:val="en-US"/>
        </w:rPr>
        <w:t xml:space="preserve"> (Yin, 2009)</w:t>
      </w:r>
      <w:r w:rsidRPr="00037124">
        <w:rPr>
          <w:rFonts w:ascii="Times New Roman" w:hAnsi="Times New Roman" w:cs="Times New Roman"/>
          <w:lang w:val="en-US"/>
        </w:rPr>
        <w:t xml:space="preserve"> of the OpenAI platform ecosystem (June 2020–August 2025)</w:t>
      </w:r>
      <w:r w:rsidR="002637CA">
        <w:rPr>
          <w:rFonts w:ascii="Times New Roman" w:hAnsi="Times New Roman" w:cs="Times New Roman"/>
          <w:lang w:val="en-US"/>
        </w:rPr>
        <w:t xml:space="preserve">, </w:t>
      </w:r>
      <w:r w:rsidR="00602558">
        <w:rPr>
          <w:rFonts w:ascii="Times New Roman" w:hAnsi="Times New Roman" w:cs="Times New Roman"/>
          <w:lang w:val="en-US"/>
        </w:rPr>
        <w:t xml:space="preserve">blending sequential and </w:t>
      </w:r>
      <w:r w:rsidRPr="00037124">
        <w:rPr>
          <w:rFonts w:ascii="Times New Roman" w:hAnsi="Times New Roman" w:cs="Times New Roman"/>
          <w:lang w:val="en-US"/>
        </w:rPr>
        <w:t>convergent mixed-method approach</w:t>
      </w:r>
      <w:r w:rsidR="00602558">
        <w:rPr>
          <w:rFonts w:ascii="Times New Roman" w:hAnsi="Times New Roman" w:cs="Times New Roman"/>
          <w:lang w:val="en-US"/>
        </w:rPr>
        <w:t>es</w:t>
      </w:r>
      <w:r w:rsidRPr="00037124">
        <w:rPr>
          <w:rFonts w:ascii="Times New Roman" w:hAnsi="Times New Roman" w:cs="Times New Roman"/>
          <w:lang w:val="en-US"/>
        </w:rPr>
        <w:t xml:space="preserve"> </w:t>
      </w:r>
      <w:r w:rsidRPr="00037124">
        <w:rPr>
          <w:rFonts w:ascii="Times New Roman" w:hAnsi="Times New Roman" w:cs="Times New Roman"/>
          <w:lang w:val="en-US"/>
        </w:rPr>
        <w:lastRenderedPageBreak/>
        <w:t>(Creswell et al., 2003)</w:t>
      </w:r>
      <w:r w:rsidR="007D72D8">
        <w:rPr>
          <w:rFonts w:ascii="Times New Roman" w:hAnsi="Times New Roman" w:cs="Times New Roman"/>
          <w:lang w:val="en-US"/>
        </w:rPr>
        <w:t>, with the qualitative studying being primary</w:t>
      </w:r>
      <w:r w:rsidR="009923F7">
        <w:rPr>
          <w:rFonts w:ascii="Times New Roman" w:hAnsi="Times New Roman" w:cs="Times New Roman"/>
          <w:lang w:val="en-US"/>
        </w:rPr>
        <w:t>. The case is the platform, and embedded cases are the ventures that depend on it</w:t>
      </w:r>
      <w:r w:rsidRPr="00037124">
        <w:rPr>
          <w:rFonts w:ascii="Times New Roman" w:hAnsi="Times New Roman" w:cs="Times New Roman"/>
          <w:lang w:val="en-US"/>
        </w:rPr>
        <w:t>. A</w:t>
      </w:r>
      <w:r w:rsidR="002637CA">
        <w:rPr>
          <w:rFonts w:ascii="Times New Roman" w:hAnsi="Times New Roman" w:cs="Times New Roman"/>
          <w:lang w:val="en-US"/>
        </w:rPr>
        <w:t>n embedded</w:t>
      </w:r>
      <w:r w:rsidRPr="00037124">
        <w:rPr>
          <w:rFonts w:ascii="Times New Roman" w:hAnsi="Times New Roman" w:cs="Times New Roman"/>
          <w:lang w:val="en-US"/>
        </w:rPr>
        <w:t xml:space="preserve"> single</w:t>
      </w:r>
      <w:r w:rsidR="00FD54AE">
        <w:rPr>
          <w:rFonts w:ascii="Times New Roman" w:hAnsi="Times New Roman" w:cs="Times New Roman"/>
          <w:lang w:val="en-US"/>
        </w:rPr>
        <w:t xml:space="preserve"> </w:t>
      </w:r>
      <w:r w:rsidRPr="00037124">
        <w:rPr>
          <w:rFonts w:ascii="Times New Roman" w:hAnsi="Times New Roman" w:cs="Times New Roman"/>
          <w:lang w:val="en-US"/>
        </w:rPr>
        <w:t>case design is warranted</w:t>
      </w:r>
      <w:r w:rsidR="009923F7">
        <w:rPr>
          <w:rFonts w:ascii="Times New Roman" w:hAnsi="Times New Roman" w:cs="Times New Roman"/>
          <w:lang w:val="en-US"/>
        </w:rPr>
        <w:t xml:space="preserve"> for answering the research question</w:t>
      </w:r>
      <w:r w:rsidRPr="00037124">
        <w:rPr>
          <w:rFonts w:ascii="Times New Roman" w:hAnsi="Times New Roman" w:cs="Times New Roman"/>
          <w:lang w:val="en-US"/>
        </w:rPr>
        <w:t xml:space="preserve"> because OpenAI constitutes a theoretically revelatory context: boundary resources (e.g., APIs, orchestration layers) and governance levers (pricing, access, </w:t>
      </w:r>
      <w:r w:rsidR="00FD54AE">
        <w:rPr>
          <w:rFonts w:ascii="Times New Roman" w:hAnsi="Times New Roman" w:cs="Times New Roman"/>
          <w:lang w:val="en-US"/>
        </w:rPr>
        <w:t xml:space="preserve">software </w:t>
      </w:r>
      <w:r w:rsidRPr="00037124">
        <w:rPr>
          <w:rFonts w:ascii="Times New Roman" w:hAnsi="Times New Roman" w:cs="Times New Roman"/>
          <w:lang w:val="en-US"/>
        </w:rPr>
        <w:t>deprecations) changed at high cadence, creating observable shifts in entrepreneurial feasibility, redesign costs, and risk of dependence. The case boundary is defined by publicly announced OpenAI platform events and contemporaneous public community discourse about those events. Embedded units of analysis are (a) dated platform events, (b) matched community reactions, and (c) a corroborating catalogue of PDE ventures used for contextual triangulation rather than for primary identification.</w:t>
      </w:r>
    </w:p>
    <w:p w14:paraId="41E93279" w14:textId="04508C5A" w:rsidR="00037124" w:rsidRPr="00037124"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The research design combines archival analysis</w:t>
      </w:r>
      <w:r w:rsidR="005B4376">
        <w:rPr>
          <w:rFonts w:ascii="Times New Roman" w:hAnsi="Times New Roman" w:cs="Times New Roman"/>
          <w:lang w:val="en-US"/>
        </w:rPr>
        <w:t xml:space="preserve"> (</w:t>
      </w:r>
      <w:r w:rsidR="005B4376" w:rsidRPr="00411E84">
        <w:rPr>
          <w:rFonts w:ascii="Times New Roman" w:hAnsi="Times New Roman" w:cs="Times New Roman"/>
          <w:lang w:val="en-US"/>
        </w:rPr>
        <w:t>Ventresca</w:t>
      </w:r>
      <w:r w:rsidR="00EF54FD">
        <w:rPr>
          <w:rFonts w:ascii="Times New Roman" w:hAnsi="Times New Roman" w:cs="Times New Roman"/>
          <w:lang w:val="en-US"/>
        </w:rPr>
        <w:t xml:space="preserve"> </w:t>
      </w:r>
      <w:r w:rsidR="005B4376" w:rsidRPr="00411E84">
        <w:rPr>
          <w:rFonts w:ascii="Times New Roman" w:hAnsi="Times New Roman" w:cs="Times New Roman"/>
          <w:lang w:val="en-US"/>
        </w:rPr>
        <w:t>&amp; Mohr</w:t>
      </w:r>
      <w:r w:rsidR="00EF54FD">
        <w:rPr>
          <w:rFonts w:ascii="Times New Roman" w:hAnsi="Times New Roman" w:cs="Times New Roman"/>
          <w:lang w:val="en-US"/>
        </w:rPr>
        <w:t>, 2017)</w:t>
      </w:r>
      <w:r w:rsidRPr="00037124">
        <w:rPr>
          <w:rFonts w:ascii="Times New Roman" w:hAnsi="Times New Roman" w:cs="Times New Roman"/>
          <w:lang w:val="en-US"/>
        </w:rPr>
        <w:t>, temporal process mapping, and systematic sentiment analysis of critical incidents (Flanagan, 1954) to capture the temporal dynamics of platform ecosystem co-evolution over a five-year period (2020-2025). Our methodological approach is grounded in three key principles. First, we prioritize temporal granularity to capture the dynamic nature of PDE</w:t>
      </w:r>
      <w:r w:rsidR="005B1E11">
        <w:rPr>
          <w:rFonts w:ascii="Times New Roman" w:hAnsi="Times New Roman" w:cs="Times New Roman"/>
          <w:lang w:val="en-US"/>
        </w:rPr>
        <w:t xml:space="preserve"> emergence</w:t>
      </w:r>
      <w:r w:rsidRPr="00037124">
        <w:rPr>
          <w:rFonts w:ascii="Times New Roman" w:hAnsi="Times New Roman" w:cs="Times New Roman"/>
          <w:lang w:val="en-US"/>
        </w:rPr>
        <w:t>, recognizing that enablement and dependence relationships evolve through iterative cycles of platform releases and ecosystem responses. Second, we employ triangulation across multiple data sources—platform release announcements, community reactions, and venture evidence—to validate theoretical constructs and ensure empirical robustness. Third, we adopted an abductive logic</w:t>
      </w:r>
      <w:r w:rsidR="008B19AB">
        <w:rPr>
          <w:rFonts w:ascii="Times New Roman" w:hAnsi="Times New Roman" w:cs="Times New Roman"/>
          <w:lang w:val="en-US"/>
        </w:rPr>
        <w:t xml:space="preserve"> consistent with </w:t>
      </w:r>
      <w:r w:rsidR="008B19AB" w:rsidRPr="00411E84">
        <w:rPr>
          <w:rFonts w:ascii="Times New Roman" w:hAnsi="Times New Roman" w:cs="Times New Roman"/>
          <w:lang w:val="en-US"/>
        </w:rPr>
        <w:t>Timmermans</w:t>
      </w:r>
      <w:r w:rsidR="008B19AB">
        <w:rPr>
          <w:rFonts w:ascii="Times New Roman" w:hAnsi="Times New Roman" w:cs="Times New Roman"/>
          <w:lang w:val="en-US"/>
        </w:rPr>
        <w:t xml:space="preserve"> and </w:t>
      </w:r>
      <w:proofErr w:type="spellStart"/>
      <w:r w:rsidR="008B19AB" w:rsidRPr="00411E84">
        <w:rPr>
          <w:rFonts w:ascii="Times New Roman" w:hAnsi="Times New Roman" w:cs="Times New Roman"/>
          <w:lang w:val="en-US"/>
        </w:rPr>
        <w:t>Tavory</w:t>
      </w:r>
      <w:proofErr w:type="spellEnd"/>
      <w:r w:rsidR="008B19AB" w:rsidRPr="00411E84">
        <w:rPr>
          <w:rFonts w:ascii="Times New Roman" w:hAnsi="Times New Roman" w:cs="Times New Roman"/>
          <w:lang w:val="en-US"/>
        </w:rPr>
        <w:t xml:space="preserve"> (2012</w:t>
      </w:r>
      <w:r w:rsidR="008B19AB">
        <w:rPr>
          <w:rFonts w:ascii="Times New Roman" w:hAnsi="Times New Roman" w:cs="Times New Roman"/>
          <w:lang w:val="en-US"/>
        </w:rPr>
        <w:t>) in</w:t>
      </w:r>
      <w:r w:rsidRPr="00037124">
        <w:rPr>
          <w:rFonts w:ascii="Times New Roman" w:hAnsi="Times New Roman" w:cs="Times New Roman"/>
          <w:lang w:val="en-US"/>
        </w:rPr>
        <w:t xml:space="preserve"> maintaining theoretical sensitivity and using sensitizing concepts from institutional theory (North, 1990),</w:t>
      </w:r>
      <w:r w:rsidR="00DA52CE">
        <w:rPr>
          <w:rFonts w:ascii="Times New Roman" w:hAnsi="Times New Roman" w:cs="Times New Roman"/>
          <w:lang w:val="en-US"/>
        </w:rPr>
        <w:t xml:space="preserve"> the</w:t>
      </w:r>
      <w:r w:rsidRPr="00037124">
        <w:rPr>
          <w:rFonts w:ascii="Times New Roman" w:hAnsi="Times New Roman" w:cs="Times New Roman"/>
          <w:lang w:val="en-US"/>
        </w:rPr>
        <w:t xml:space="preserve"> external enablement </w:t>
      </w:r>
      <w:r w:rsidR="00DA52CE">
        <w:rPr>
          <w:rFonts w:ascii="Times New Roman" w:hAnsi="Times New Roman" w:cs="Times New Roman"/>
          <w:lang w:val="en-US"/>
        </w:rPr>
        <w:t>framework</w:t>
      </w:r>
      <w:r w:rsidRPr="00037124">
        <w:rPr>
          <w:rFonts w:ascii="Times New Roman" w:hAnsi="Times New Roman" w:cs="Times New Roman"/>
          <w:lang w:val="en-US"/>
        </w:rPr>
        <w:t xml:space="preserve"> (Davidsson et al., 2020), and innovation platform theory (Tiwana et al., 2010; </w:t>
      </w:r>
      <w:proofErr w:type="spellStart"/>
      <w:r w:rsidRPr="00037124">
        <w:rPr>
          <w:rFonts w:ascii="Times New Roman" w:hAnsi="Times New Roman" w:cs="Times New Roman"/>
          <w:lang w:val="en-US"/>
        </w:rPr>
        <w:t>Gawer</w:t>
      </w:r>
      <w:proofErr w:type="spellEnd"/>
      <w:r w:rsidRPr="00037124">
        <w:rPr>
          <w:rFonts w:ascii="Times New Roman" w:hAnsi="Times New Roman" w:cs="Times New Roman"/>
          <w:lang w:val="en-US"/>
        </w:rPr>
        <w:t>, 2014) as analytical lenses while remaining open to emergent patterns that extend or challenge existing frameworks.</w:t>
      </w:r>
    </w:p>
    <w:p w14:paraId="2A4224AC" w14:textId="77777777" w:rsidR="00037124" w:rsidRPr="00037124" w:rsidRDefault="00037124" w:rsidP="00BC16E3">
      <w:pPr>
        <w:pStyle w:val="Heading2"/>
        <w:spacing w:before="0" w:after="0" w:line="480" w:lineRule="auto"/>
        <w:rPr>
          <w:lang w:val="en-US"/>
        </w:rPr>
      </w:pPr>
      <w:r w:rsidRPr="00037124">
        <w:rPr>
          <w:lang w:val="en-US"/>
        </w:rPr>
        <w:lastRenderedPageBreak/>
        <w:t>Case Selection and Context</w:t>
      </w:r>
    </w:p>
    <w:p w14:paraId="3E2E3168" w14:textId="77777777" w:rsidR="00071316"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We selected the OpenAI ecosystem as our focal case for several theoretical and empirical reasons. Theoretically, OpenAI represents a paradigmatic example of a capability-dependent innovation platform ecosystem where ventures rely on foundational AI capabilities that cannot be easily replicated or substituted within relevant strategic windows (Tiwana et al., 2010). The platform's governance decisions directly affect venture value creation through model performance, pricing structures, and acceptable use policies, making it an ideal context for examining the enablement-dependence paradox.</w:t>
      </w:r>
    </w:p>
    <w:p w14:paraId="12BFA1B0" w14:textId="1A84AFCB" w:rsidR="00037124" w:rsidRPr="00037124"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 xml:space="preserve">Empirically, OpenAI's rapid evolution from research organization to platform provider offers a compressed timeline for observing institutional catalyst mechanisms in action. The platform's high-frequency release cycle (over 100 critical releases in five years) provides sufficient temporal granularity to trace how specific platform decisions trigger ecosystem responses. Additionally, </w:t>
      </w:r>
      <w:r w:rsidR="000F7F6D" w:rsidRPr="00037124">
        <w:rPr>
          <w:rFonts w:ascii="Times New Roman" w:hAnsi="Times New Roman" w:cs="Times New Roman"/>
          <w:lang w:val="en-US"/>
        </w:rPr>
        <w:t>its</w:t>
      </w:r>
      <w:r w:rsidRPr="00037124">
        <w:rPr>
          <w:rFonts w:ascii="Times New Roman" w:hAnsi="Times New Roman" w:cs="Times New Roman"/>
          <w:lang w:val="en-US"/>
        </w:rPr>
        <w:t xml:space="preserve"> active developer community and extensive documentation create rich archival materials for systematic analysis. The temporal scope spans from June 2020 (GPT-3 API launch) through August 2025, capturing the complete evolution from foundation building through the recent crisis period that characterized the launch of OpenAI's GPT-5 model. This 62-month timeframe encompasses four distinct phases of platform</w:t>
      </w:r>
      <w:r w:rsidR="000F7F6D">
        <w:rPr>
          <w:rFonts w:ascii="Times New Roman" w:hAnsi="Times New Roman" w:cs="Times New Roman"/>
          <w:lang w:val="en-US"/>
        </w:rPr>
        <w:t xml:space="preserve"> </w:t>
      </w:r>
      <w:r w:rsidRPr="00037124">
        <w:rPr>
          <w:rFonts w:ascii="Times New Roman" w:hAnsi="Times New Roman" w:cs="Times New Roman"/>
          <w:lang w:val="en-US"/>
        </w:rPr>
        <w:t>ecosystem co-evolution, allowing us to examine how institutional catalyst mechanisms operate across different stages of ecosystem maturity.</w:t>
      </w:r>
    </w:p>
    <w:p w14:paraId="5CAAA58B" w14:textId="77777777" w:rsidR="00037124" w:rsidRPr="00037124" w:rsidRDefault="00037124" w:rsidP="00BC16E3">
      <w:pPr>
        <w:pStyle w:val="Heading2"/>
        <w:spacing w:before="0" w:after="0" w:line="480" w:lineRule="auto"/>
        <w:rPr>
          <w:lang w:val="en-US"/>
        </w:rPr>
      </w:pPr>
      <w:r w:rsidRPr="00037124">
        <w:rPr>
          <w:lang w:val="en-US"/>
        </w:rPr>
        <w:t>Data Collection</w:t>
      </w:r>
    </w:p>
    <w:p w14:paraId="0A6D8091" w14:textId="5269EE7B" w:rsidR="00071316"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Our research design employs a multi-source data collection strategy that triangulates evidence across three distinct but interconnected corpora to provide comprehensive empirical grounding for the theoretical framework. This approach follows established practices in digital entrepreneurship research (Nambisan, 2017) and platform studies (Parker et al., 201</w:t>
      </w:r>
      <w:r w:rsidR="00E02144">
        <w:rPr>
          <w:rFonts w:ascii="Times New Roman" w:hAnsi="Times New Roman" w:cs="Times New Roman"/>
          <w:lang w:val="en-US"/>
        </w:rPr>
        <w:t>7</w:t>
      </w:r>
      <w:r w:rsidRPr="00037124">
        <w:rPr>
          <w:rFonts w:ascii="Times New Roman" w:hAnsi="Times New Roman" w:cs="Times New Roman"/>
          <w:lang w:val="en-US"/>
        </w:rPr>
        <w:t xml:space="preserve">) by combining platform-centric data with ecosystem participant perspectives and venture outcome </w:t>
      </w:r>
      <w:r w:rsidRPr="00037124">
        <w:rPr>
          <w:rFonts w:ascii="Times New Roman" w:hAnsi="Times New Roman" w:cs="Times New Roman"/>
          <w:lang w:val="en-US"/>
        </w:rPr>
        <w:lastRenderedPageBreak/>
        <w:t>evidence. This data collection strategy is designed to capture the temporal evolution of PDE relationships while maintaining analytical rigor through systematic inclusion criteria and transparent sampling procedures. Each corpus serves a specific analytical purpose within the broader analytical framework, enabling both inductive theory building and deductive validation of emergent theoretical constructs.</w:t>
      </w:r>
    </w:p>
    <w:p w14:paraId="67469DD0" w14:textId="1A2A7A41" w:rsidR="00A92495" w:rsidRDefault="00037124" w:rsidP="0034092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The five-year temporal scope (June 2020 - August 2025) encompasses the complete evolution of the OpenAI ecosystem from initial API launch through the 2025 governance crisis, providing sufficient temporal depth to identify evolutionary patterns while maintaining contemporary relevance. This timeframe captures critical inflection points including the GPT-3 API launch, ChatGPT breakthrough, GPT-4 advancement, and the recent governance challenges around GPT-5 that reveal the vulnerabilities inherent in platform-dependent business models.</w:t>
      </w:r>
      <w:r w:rsidR="00340923">
        <w:rPr>
          <w:rFonts w:ascii="Times New Roman" w:hAnsi="Times New Roman" w:cs="Times New Roman"/>
          <w:lang w:val="en-US"/>
        </w:rPr>
        <w:t xml:space="preserve"> </w:t>
      </w:r>
      <w:r w:rsidR="006F21D7">
        <w:rPr>
          <w:rFonts w:ascii="Times New Roman" w:hAnsi="Times New Roman" w:cs="Times New Roman"/>
          <w:lang w:val="en-US"/>
        </w:rPr>
        <w:t xml:space="preserve">Table 2 subsequently decomposes our data collection strategy and corpus. </w:t>
      </w:r>
    </w:p>
    <w:p w14:paraId="1B27392D" w14:textId="77777777" w:rsidR="003B6CE3" w:rsidRPr="00037124" w:rsidRDefault="003B6CE3" w:rsidP="003B6CE3">
      <w:pPr>
        <w:spacing w:after="0" w:line="360" w:lineRule="auto"/>
        <w:jc w:val="center"/>
        <w:rPr>
          <w:rFonts w:ascii="Times New Roman" w:hAnsi="Times New Roman" w:cs="Times New Roman"/>
          <w:b/>
          <w:bCs/>
          <w:lang w:val="en-US"/>
        </w:rPr>
      </w:pPr>
      <w:r w:rsidRPr="00037124">
        <w:rPr>
          <w:rFonts w:ascii="Times New Roman" w:hAnsi="Times New Roman" w:cs="Times New Roman"/>
          <w:b/>
          <w:bCs/>
          <w:lang w:val="en-US"/>
        </w:rPr>
        <w:t xml:space="preserve">Table 2. </w:t>
      </w:r>
      <w:r w:rsidRPr="00037124">
        <w:rPr>
          <w:rFonts w:ascii="Times New Roman" w:hAnsi="Times New Roman" w:cs="Times New Roman"/>
          <w:lang w:val="en-US"/>
        </w:rPr>
        <w:t>Data Collection Summary</w:t>
      </w:r>
    </w:p>
    <w:tbl>
      <w:tblPr>
        <w:tblStyle w:val="TableGrid"/>
        <w:tblW w:w="92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403"/>
        <w:gridCol w:w="1966"/>
        <w:gridCol w:w="1578"/>
        <w:gridCol w:w="123"/>
        <w:gridCol w:w="1294"/>
        <w:gridCol w:w="709"/>
        <w:gridCol w:w="293"/>
        <w:gridCol w:w="1876"/>
      </w:tblGrid>
      <w:tr w:rsidR="003B6CE3" w:rsidRPr="00037124" w14:paraId="397E62FB" w14:textId="77777777" w:rsidTr="0045433D">
        <w:tc>
          <w:tcPr>
            <w:tcW w:w="1403" w:type="dxa"/>
            <w:shd w:val="clear" w:color="auto" w:fill="000000" w:themeFill="text1"/>
            <w:hideMark/>
          </w:tcPr>
          <w:p w14:paraId="4AC93668" w14:textId="77777777" w:rsidR="003B6CE3" w:rsidRPr="00227EBD" w:rsidRDefault="003B6CE3" w:rsidP="00744995">
            <w:pPr>
              <w:jc w:val="both"/>
              <w:rPr>
                <w:rFonts w:ascii="Times New Roman" w:hAnsi="Times New Roman" w:cs="Times New Roman"/>
                <w:b/>
                <w:bCs/>
                <w:sz w:val="22"/>
                <w:szCs w:val="22"/>
                <w:lang w:val="en-US"/>
              </w:rPr>
            </w:pPr>
            <w:r w:rsidRPr="00227EBD">
              <w:rPr>
                <w:rFonts w:ascii="Times New Roman" w:hAnsi="Times New Roman" w:cs="Times New Roman"/>
                <w:b/>
                <w:bCs/>
                <w:sz w:val="22"/>
                <w:szCs w:val="22"/>
                <w:lang w:val="en-US"/>
              </w:rPr>
              <w:t>Data Corpus</w:t>
            </w:r>
          </w:p>
        </w:tc>
        <w:tc>
          <w:tcPr>
            <w:tcW w:w="1966" w:type="dxa"/>
            <w:shd w:val="clear" w:color="auto" w:fill="000000" w:themeFill="text1"/>
            <w:hideMark/>
          </w:tcPr>
          <w:p w14:paraId="2439236D" w14:textId="77777777" w:rsidR="003B6CE3" w:rsidRPr="00227EBD" w:rsidRDefault="003B6CE3" w:rsidP="00744995">
            <w:pPr>
              <w:jc w:val="both"/>
              <w:rPr>
                <w:rFonts w:ascii="Times New Roman" w:hAnsi="Times New Roman" w:cs="Times New Roman"/>
                <w:b/>
                <w:bCs/>
                <w:sz w:val="22"/>
                <w:szCs w:val="22"/>
                <w:lang w:val="en-US"/>
              </w:rPr>
            </w:pPr>
            <w:r w:rsidRPr="00227EBD">
              <w:rPr>
                <w:rFonts w:ascii="Times New Roman" w:hAnsi="Times New Roman" w:cs="Times New Roman"/>
                <w:b/>
                <w:bCs/>
                <w:sz w:val="22"/>
                <w:szCs w:val="22"/>
                <w:lang w:val="en-US"/>
              </w:rPr>
              <w:t>Primary Sources</w:t>
            </w:r>
          </w:p>
        </w:tc>
        <w:tc>
          <w:tcPr>
            <w:tcW w:w="1701" w:type="dxa"/>
            <w:gridSpan w:val="2"/>
            <w:shd w:val="clear" w:color="auto" w:fill="000000" w:themeFill="text1"/>
            <w:hideMark/>
          </w:tcPr>
          <w:p w14:paraId="3F10D8CD" w14:textId="77777777" w:rsidR="003B6CE3" w:rsidRPr="00227EBD" w:rsidRDefault="003B6CE3" w:rsidP="00744995">
            <w:pPr>
              <w:jc w:val="both"/>
              <w:rPr>
                <w:rFonts w:ascii="Times New Roman" w:hAnsi="Times New Roman" w:cs="Times New Roman"/>
                <w:b/>
                <w:bCs/>
                <w:sz w:val="22"/>
                <w:szCs w:val="22"/>
                <w:lang w:val="en-US"/>
              </w:rPr>
            </w:pPr>
            <w:r w:rsidRPr="00227EBD">
              <w:rPr>
                <w:rFonts w:ascii="Times New Roman" w:hAnsi="Times New Roman" w:cs="Times New Roman"/>
                <w:b/>
                <w:bCs/>
                <w:sz w:val="22"/>
                <w:szCs w:val="22"/>
                <w:lang w:val="en-US"/>
              </w:rPr>
              <w:t>Unit of Analysis</w:t>
            </w:r>
          </w:p>
        </w:tc>
        <w:tc>
          <w:tcPr>
            <w:tcW w:w="1294" w:type="dxa"/>
            <w:shd w:val="clear" w:color="auto" w:fill="000000" w:themeFill="text1"/>
            <w:hideMark/>
          </w:tcPr>
          <w:p w14:paraId="0459FFE7" w14:textId="77777777" w:rsidR="003B6CE3" w:rsidRPr="00227EBD" w:rsidRDefault="003B6CE3" w:rsidP="00744995">
            <w:pPr>
              <w:jc w:val="both"/>
              <w:rPr>
                <w:rFonts w:ascii="Times New Roman" w:hAnsi="Times New Roman" w:cs="Times New Roman"/>
                <w:b/>
                <w:bCs/>
                <w:sz w:val="22"/>
                <w:szCs w:val="22"/>
                <w:lang w:val="en-US"/>
              </w:rPr>
            </w:pPr>
            <w:r w:rsidRPr="00227EBD">
              <w:rPr>
                <w:rFonts w:ascii="Times New Roman" w:hAnsi="Times New Roman" w:cs="Times New Roman"/>
                <w:b/>
                <w:bCs/>
                <w:sz w:val="22"/>
                <w:szCs w:val="22"/>
                <w:lang w:val="en-US"/>
              </w:rPr>
              <w:t>Timeframe</w:t>
            </w:r>
          </w:p>
        </w:tc>
        <w:tc>
          <w:tcPr>
            <w:tcW w:w="1002" w:type="dxa"/>
            <w:gridSpan w:val="2"/>
            <w:shd w:val="clear" w:color="auto" w:fill="000000" w:themeFill="text1"/>
            <w:hideMark/>
          </w:tcPr>
          <w:p w14:paraId="0BBAE2B7" w14:textId="77777777" w:rsidR="003B6CE3" w:rsidRPr="00227EBD" w:rsidRDefault="003B6CE3" w:rsidP="00744995">
            <w:pPr>
              <w:jc w:val="both"/>
              <w:rPr>
                <w:rFonts w:ascii="Times New Roman" w:hAnsi="Times New Roman" w:cs="Times New Roman"/>
                <w:b/>
                <w:bCs/>
                <w:sz w:val="22"/>
                <w:szCs w:val="22"/>
                <w:lang w:val="en-US"/>
              </w:rPr>
            </w:pPr>
            <w:r w:rsidRPr="00227EBD">
              <w:rPr>
                <w:rFonts w:ascii="Times New Roman" w:hAnsi="Times New Roman" w:cs="Times New Roman"/>
                <w:b/>
                <w:bCs/>
                <w:sz w:val="22"/>
                <w:szCs w:val="22"/>
                <w:lang w:val="en-US"/>
              </w:rPr>
              <w:t>Sample Size</w:t>
            </w:r>
          </w:p>
        </w:tc>
        <w:tc>
          <w:tcPr>
            <w:tcW w:w="1876" w:type="dxa"/>
            <w:shd w:val="clear" w:color="auto" w:fill="000000" w:themeFill="text1"/>
            <w:hideMark/>
          </w:tcPr>
          <w:p w14:paraId="1B9836E3" w14:textId="77777777" w:rsidR="003B6CE3" w:rsidRPr="00227EBD" w:rsidRDefault="003B6CE3" w:rsidP="00744995">
            <w:pPr>
              <w:jc w:val="both"/>
              <w:rPr>
                <w:rFonts w:ascii="Times New Roman" w:hAnsi="Times New Roman" w:cs="Times New Roman"/>
                <w:b/>
                <w:bCs/>
                <w:sz w:val="22"/>
                <w:szCs w:val="22"/>
                <w:lang w:val="en-US"/>
              </w:rPr>
            </w:pPr>
            <w:r w:rsidRPr="00227EBD">
              <w:rPr>
                <w:rFonts w:ascii="Times New Roman" w:hAnsi="Times New Roman" w:cs="Times New Roman"/>
                <w:b/>
                <w:bCs/>
                <w:sz w:val="22"/>
                <w:szCs w:val="22"/>
                <w:lang w:val="en-US"/>
              </w:rPr>
              <w:t>Analytical Purpose</w:t>
            </w:r>
          </w:p>
        </w:tc>
      </w:tr>
      <w:tr w:rsidR="003B6CE3" w:rsidRPr="00037124" w14:paraId="23FA21CC" w14:textId="77777777" w:rsidTr="0045433D">
        <w:tc>
          <w:tcPr>
            <w:tcW w:w="1403" w:type="dxa"/>
            <w:hideMark/>
          </w:tcPr>
          <w:p w14:paraId="40A7F9B8"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Platform Releases</w:t>
            </w:r>
          </w:p>
        </w:tc>
        <w:tc>
          <w:tcPr>
            <w:tcW w:w="1966" w:type="dxa"/>
            <w:hideMark/>
          </w:tcPr>
          <w:p w14:paraId="0723ED13"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OpenAI official announcements, API documentation, blog posts, press releases</w:t>
            </w:r>
          </w:p>
        </w:tc>
        <w:tc>
          <w:tcPr>
            <w:tcW w:w="1578" w:type="dxa"/>
            <w:hideMark/>
          </w:tcPr>
          <w:p w14:paraId="084AB498"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Individual platform release or major announcement</w:t>
            </w:r>
          </w:p>
        </w:tc>
        <w:tc>
          <w:tcPr>
            <w:tcW w:w="1417" w:type="dxa"/>
            <w:gridSpan w:val="2"/>
            <w:hideMark/>
          </w:tcPr>
          <w:p w14:paraId="34FED1A8"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June 2020 - August 2025 (62 months)</w:t>
            </w:r>
          </w:p>
        </w:tc>
        <w:tc>
          <w:tcPr>
            <w:tcW w:w="709" w:type="dxa"/>
            <w:hideMark/>
          </w:tcPr>
          <w:p w14:paraId="2EBDFAD7"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100 releases</w:t>
            </w:r>
          </w:p>
        </w:tc>
        <w:tc>
          <w:tcPr>
            <w:tcW w:w="2169" w:type="dxa"/>
            <w:gridSpan w:val="2"/>
            <w:hideMark/>
          </w:tcPr>
          <w:p w14:paraId="494CD7A8"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Identify institutional catalyst mechanisms through systematic coding</w:t>
            </w:r>
          </w:p>
        </w:tc>
      </w:tr>
      <w:tr w:rsidR="003B6CE3" w:rsidRPr="00037124" w14:paraId="5CA568FA" w14:textId="77777777" w:rsidTr="0045433D">
        <w:tc>
          <w:tcPr>
            <w:tcW w:w="1403" w:type="dxa"/>
            <w:hideMark/>
          </w:tcPr>
          <w:p w14:paraId="4DEF59D0"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Community Sentiment</w:t>
            </w:r>
          </w:p>
        </w:tc>
        <w:tc>
          <w:tcPr>
            <w:tcW w:w="1966" w:type="dxa"/>
            <w:hideMark/>
          </w:tcPr>
          <w:p w14:paraId="72555E12"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OpenAI Developer Community forum and Hacker News</w:t>
            </w:r>
          </w:p>
        </w:tc>
        <w:tc>
          <w:tcPr>
            <w:tcW w:w="1578" w:type="dxa"/>
            <w:hideMark/>
          </w:tcPr>
          <w:p w14:paraId="5006CCC1"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Community reaction threads to major platform events</w:t>
            </w:r>
          </w:p>
        </w:tc>
        <w:tc>
          <w:tcPr>
            <w:tcW w:w="1417" w:type="dxa"/>
            <w:gridSpan w:val="2"/>
            <w:hideMark/>
          </w:tcPr>
          <w:p w14:paraId="2FE9D777"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June 2020 - August 2025 (62 months)</w:t>
            </w:r>
          </w:p>
        </w:tc>
        <w:tc>
          <w:tcPr>
            <w:tcW w:w="709" w:type="dxa"/>
            <w:hideMark/>
          </w:tcPr>
          <w:p w14:paraId="38FBB16B"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32 sentiment events</w:t>
            </w:r>
          </w:p>
        </w:tc>
        <w:tc>
          <w:tcPr>
            <w:tcW w:w="2169" w:type="dxa"/>
            <w:gridSpan w:val="2"/>
            <w:hideMark/>
          </w:tcPr>
          <w:p w14:paraId="2AD230C3"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Track temporal evolution of platform-ecosystem relationships</w:t>
            </w:r>
          </w:p>
        </w:tc>
      </w:tr>
      <w:tr w:rsidR="003B6CE3" w:rsidRPr="00037124" w14:paraId="29D9C6ED" w14:textId="77777777" w:rsidTr="0045433D">
        <w:tc>
          <w:tcPr>
            <w:tcW w:w="1403" w:type="dxa"/>
            <w:hideMark/>
          </w:tcPr>
          <w:p w14:paraId="50B92B3E"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Venture Enablement</w:t>
            </w:r>
          </w:p>
        </w:tc>
        <w:tc>
          <w:tcPr>
            <w:tcW w:w="1966" w:type="dxa"/>
            <w:hideMark/>
          </w:tcPr>
          <w:p w14:paraId="6ABCBCFE"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Company websites, funding announcements, case studies, OpenAI customer stories</w:t>
            </w:r>
          </w:p>
        </w:tc>
        <w:tc>
          <w:tcPr>
            <w:tcW w:w="1578" w:type="dxa"/>
            <w:hideMark/>
          </w:tcPr>
          <w:p w14:paraId="65AB4373"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Individual venture or organization using OpenAI capabilities</w:t>
            </w:r>
          </w:p>
        </w:tc>
        <w:tc>
          <w:tcPr>
            <w:tcW w:w="1417" w:type="dxa"/>
            <w:gridSpan w:val="2"/>
            <w:hideMark/>
          </w:tcPr>
          <w:p w14:paraId="7647712F"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June 2020 - August 2025 (62 months)</w:t>
            </w:r>
          </w:p>
        </w:tc>
        <w:tc>
          <w:tcPr>
            <w:tcW w:w="709" w:type="dxa"/>
            <w:hideMark/>
          </w:tcPr>
          <w:p w14:paraId="2DCE132F"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24 ventures</w:t>
            </w:r>
          </w:p>
        </w:tc>
        <w:tc>
          <w:tcPr>
            <w:tcW w:w="2169" w:type="dxa"/>
            <w:gridSpan w:val="2"/>
            <w:hideMark/>
          </w:tcPr>
          <w:p w14:paraId="55C2B655" w14:textId="77777777" w:rsidR="003B6CE3" w:rsidRPr="00037124" w:rsidRDefault="003B6CE3" w:rsidP="007D72D8">
            <w:pPr>
              <w:rPr>
                <w:rFonts w:ascii="Times New Roman" w:hAnsi="Times New Roman" w:cs="Times New Roman"/>
                <w:sz w:val="22"/>
                <w:szCs w:val="22"/>
                <w:lang w:val="en-US"/>
              </w:rPr>
            </w:pPr>
            <w:r w:rsidRPr="00037124">
              <w:rPr>
                <w:rFonts w:ascii="Times New Roman" w:hAnsi="Times New Roman" w:cs="Times New Roman"/>
                <w:sz w:val="22"/>
                <w:szCs w:val="22"/>
                <w:lang w:val="en-US"/>
              </w:rPr>
              <w:t>Validate theoretical framework through empirical evidence of PDE patterns</w:t>
            </w:r>
          </w:p>
        </w:tc>
      </w:tr>
    </w:tbl>
    <w:p w14:paraId="412DF545" w14:textId="77777777" w:rsidR="003B6CE3" w:rsidRDefault="003B6CE3" w:rsidP="003B6CE3">
      <w:pPr>
        <w:spacing w:after="0" w:line="360" w:lineRule="auto"/>
        <w:jc w:val="both"/>
        <w:rPr>
          <w:rFonts w:ascii="Times New Roman" w:hAnsi="Times New Roman" w:cs="Times New Roman"/>
          <w:b/>
          <w:bCs/>
          <w:lang w:val="en-US"/>
        </w:rPr>
      </w:pPr>
    </w:p>
    <w:p w14:paraId="187C5689" w14:textId="44115069" w:rsidR="00071316"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b/>
          <w:bCs/>
          <w:lang w:val="en-US"/>
        </w:rPr>
        <w:t>Platform Release Documentation:</w:t>
      </w:r>
      <w:r w:rsidRPr="00037124">
        <w:rPr>
          <w:rFonts w:ascii="Times New Roman" w:hAnsi="Times New Roman" w:cs="Times New Roman"/>
          <w:lang w:val="en-US"/>
        </w:rPr>
        <w:t xml:space="preserve"> We systematically collected and analyzed 100 platform releases from OpenAI's official website (openai.com), including API updates, model releases, policy changes, and deprecation announcements. These documents were sourced from </w:t>
      </w:r>
      <w:r w:rsidRPr="00037124">
        <w:rPr>
          <w:rFonts w:ascii="Times New Roman" w:hAnsi="Times New Roman" w:cs="Times New Roman"/>
          <w:lang w:val="en-US"/>
        </w:rPr>
        <w:lastRenderedPageBreak/>
        <w:t>OpenAI's official release notes, policy updates, developer documentation, and public announcements spanning June 2020-August 2025. Each release was coded for institutional mechanism type, enabling capabilities, governance implications, and temporal context. Platform releases were systematically extracted from official OpenAI documentation using manual extraction and verification procedures. Each release was coded for date, type, description, and institutional mechanism implications to preserve temporality and enable quantitative analysis of release patterns.</w:t>
      </w:r>
    </w:p>
    <w:p w14:paraId="6B42E315" w14:textId="77777777" w:rsidR="00071316"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b/>
          <w:bCs/>
          <w:lang w:val="en-US"/>
        </w:rPr>
        <w:t>Community Sentiment Data:</w:t>
      </w:r>
      <w:r w:rsidRPr="00037124">
        <w:rPr>
          <w:rFonts w:ascii="Times New Roman" w:hAnsi="Times New Roman" w:cs="Times New Roman"/>
          <w:lang w:val="en-US"/>
        </w:rPr>
        <w:t xml:space="preserve"> We conducted systematic sentiment analysis of community reactions from two primary platforms: the OpenAI Developer Community (community.openai.com) and Hacker News (news.ycombinator.com). These platforms were selected because they represent the primary venues where platform-dependent entrepreneurs discuss technical challenges, strategic concerns, and adaptation strategies. We used critical incident techniques (Flanagan, 1954) to identify 32 major platform events (such as model releases or policy changes) and systematically analyzed community reactions to these events. For each critical event, we identified representative community discussions through systematic search of both platforms, employing purposive sampling to select discussions that demonstrated theoretical relevance to PDE concerns. Sentiment coding followed established protocols for qualitative sentiment analysis, with scores ranging from -1.0 (highly negative) to +1.0 (highly positive).</w:t>
      </w:r>
    </w:p>
    <w:p w14:paraId="61BEEE27" w14:textId="65D4DB5A" w:rsidR="00037124" w:rsidRPr="00037124"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b/>
          <w:bCs/>
          <w:lang w:val="en-US"/>
        </w:rPr>
        <w:t>Venture Enablement Evidence:</w:t>
      </w:r>
      <w:r w:rsidRPr="00037124">
        <w:rPr>
          <w:rFonts w:ascii="Times New Roman" w:hAnsi="Times New Roman" w:cs="Times New Roman"/>
          <w:lang w:val="en-US"/>
        </w:rPr>
        <w:t xml:space="preserve"> We analyzed 24 ventures identified as platform-dependent, collecting evidence of their enablement relationships with OpenAI's platform (Appendix </w:t>
      </w:r>
      <w:r w:rsidR="00DA5A27">
        <w:rPr>
          <w:rFonts w:ascii="Times New Roman" w:hAnsi="Times New Roman" w:cs="Times New Roman"/>
          <w:lang w:val="en-US"/>
        </w:rPr>
        <w:t>B</w:t>
      </w:r>
      <w:r w:rsidRPr="00037124">
        <w:rPr>
          <w:rFonts w:ascii="Times New Roman" w:hAnsi="Times New Roman" w:cs="Times New Roman"/>
          <w:lang w:val="en-US"/>
        </w:rPr>
        <w:t xml:space="preserve">). Evidence sources included official partnership announcements, company case studies, venture funding announcements, and public statements about platform integration. We focused on ventures that publicly declared enablement by OpenAI's models, searching for explicit mentions of AI model use with keywords such as "GPT-3" and "GPT-4" and </w:t>
      </w:r>
      <w:r w:rsidRPr="00037124">
        <w:rPr>
          <w:rFonts w:ascii="Times New Roman" w:hAnsi="Times New Roman" w:cs="Times New Roman"/>
          <w:lang w:val="en-US"/>
        </w:rPr>
        <w:lastRenderedPageBreak/>
        <w:t>triangulating this evidence through media reports and investment documentation. For example, Copy.ai provided Grade A evidence through official blog posts explicitly declaring GPT-3 integration, corroborated by Series A funding announcements and media coverage. Venture enablement relationships were established through triangulation of multiple evidence sources to ensure analytical rigor.</w:t>
      </w:r>
    </w:p>
    <w:p w14:paraId="74C3386A" w14:textId="77777777" w:rsidR="00037124" w:rsidRPr="00037124" w:rsidRDefault="00037124" w:rsidP="00513AB3">
      <w:pPr>
        <w:pStyle w:val="Heading2"/>
        <w:spacing w:before="0" w:after="0" w:line="480" w:lineRule="auto"/>
        <w:rPr>
          <w:lang w:val="en-US"/>
        </w:rPr>
      </w:pPr>
      <w:r w:rsidRPr="00037124">
        <w:rPr>
          <w:lang w:val="en-US"/>
        </w:rPr>
        <w:t>Analytical Approach</w:t>
      </w:r>
    </w:p>
    <w:p w14:paraId="42E4C790" w14:textId="6B06EA6D" w:rsidR="00071316"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 xml:space="preserve">Our analytical approach combines qualitative data analysis as the primary method with quantitative elements as secondary triangulating evidence, following an adapted Gioia methodology (Gioia et al., 2013) integrated with temporal process analysis </w:t>
      </w:r>
      <w:r w:rsidR="009F11FD">
        <w:rPr>
          <w:rFonts w:ascii="Times New Roman" w:hAnsi="Times New Roman" w:cs="Times New Roman"/>
          <w:lang w:val="en-US"/>
        </w:rPr>
        <w:t>(</w:t>
      </w:r>
      <w:r w:rsidR="001258CF">
        <w:rPr>
          <w:rFonts w:ascii="Times New Roman" w:hAnsi="Times New Roman" w:cs="Times New Roman"/>
          <w:lang w:val="en-US"/>
        </w:rPr>
        <w:t xml:space="preserve">Van de Ven &amp; Engleman, 2004; </w:t>
      </w:r>
      <w:proofErr w:type="spellStart"/>
      <w:r w:rsidR="009F11FD">
        <w:rPr>
          <w:rFonts w:ascii="Times New Roman" w:hAnsi="Times New Roman" w:cs="Times New Roman"/>
          <w:lang w:val="en-US"/>
        </w:rPr>
        <w:t>Riessman</w:t>
      </w:r>
      <w:proofErr w:type="spellEnd"/>
      <w:r w:rsidR="009F11FD">
        <w:rPr>
          <w:rFonts w:ascii="Times New Roman" w:hAnsi="Times New Roman" w:cs="Times New Roman"/>
          <w:lang w:val="en-US"/>
        </w:rPr>
        <w:t xml:space="preserve">, 2008) </w:t>
      </w:r>
      <w:r w:rsidRPr="00037124">
        <w:rPr>
          <w:rFonts w:ascii="Times New Roman" w:hAnsi="Times New Roman" w:cs="Times New Roman"/>
          <w:lang w:val="en-US"/>
        </w:rPr>
        <w:t>to capture the dynamic nature of platform-ecosystem relationships. The analysis progressed through systematic coding and thematic development while maintaining sensitivity to temporal patterns and evolutionary dynamics that characterize platform-dependent entrepreneurship.</w:t>
      </w:r>
    </w:p>
    <w:p w14:paraId="43030805" w14:textId="77777777" w:rsidR="00071316" w:rsidRDefault="00037124" w:rsidP="00BC16E3">
      <w:pPr>
        <w:spacing w:after="0" w:line="480" w:lineRule="auto"/>
        <w:ind w:firstLine="720"/>
        <w:jc w:val="both"/>
        <w:rPr>
          <w:rFonts w:ascii="Times New Roman" w:hAnsi="Times New Roman" w:cs="Times New Roman"/>
          <w:lang w:val="en-US"/>
        </w:rPr>
      </w:pPr>
      <w:r w:rsidRPr="0045433D">
        <w:rPr>
          <w:rFonts w:ascii="Times New Roman" w:hAnsi="Times New Roman" w:cs="Times New Roman"/>
          <w:b/>
          <w:bCs/>
          <w:i/>
          <w:iCs/>
          <w:lang w:val="en-US"/>
        </w:rPr>
        <w:t>Temporal-Thematic Analysis Framework:</w:t>
      </w:r>
      <w:r w:rsidRPr="00037124">
        <w:rPr>
          <w:rFonts w:ascii="Times New Roman" w:hAnsi="Times New Roman" w:cs="Times New Roman"/>
          <w:lang w:val="en-US"/>
        </w:rPr>
        <w:t xml:space="preserve"> The analytical process began with systematic coding of platform releases to identify first-order concepts using in-vivo coding that preserved participants' language and platform terminology. This initial coding generated 47 first-order codes that captured immediate empirical observations from platform announcements, such as "API access provision," "developer enablement," "capability delivery," and "enterprise compliance." These first-order codes were then organized into second-order themes through axial coding and constant comparative analysis, resulting in 12 analytical categories including "Infrastructure Provisioning," "Knowledge Transfer," "Capability Scaffolding," and "Platform Maturation."</w:t>
      </w:r>
    </w:p>
    <w:p w14:paraId="48F3EDB8" w14:textId="77777777" w:rsidR="00071316" w:rsidRDefault="00037124" w:rsidP="00BC16E3">
      <w:pPr>
        <w:spacing w:after="0" w:line="480" w:lineRule="auto"/>
        <w:ind w:firstLine="720"/>
        <w:jc w:val="both"/>
        <w:rPr>
          <w:rFonts w:ascii="Times New Roman" w:hAnsi="Times New Roman" w:cs="Times New Roman"/>
          <w:lang w:val="en-US"/>
        </w:rPr>
      </w:pPr>
      <w:r w:rsidRPr="00037124">
        <w:rPr>
          <w:rFonts w:ascii="Times New Roman" w:hAnsi="Times New Roman" w:cs="Times New Roman"/>
          <w:lang w:val="en-US"/>
        </w:rPr>
        <w:t xml:space="preserve">The second-order themes were further synthesized into four aggregate dimensions representing the institutional catalyst mechanisms: Infrastructure Provision (27.0% of coded excerpts), Capability Scaffolding (43.6% of coded excerpts), Market Legitimization (15.2% of </w:t>
      </w:r>
      <w:r w:rsidRPr="00037124">
        <w:rPr>
          <w:rFonts w:ascii="Times New Roman" w:hAnsi="Times New Roman" w:cs="Times New Roman"/>
          <w:lang w:val="en-US"/>
        </w:rPr>
        <w:lastRenderedPageBreak/>
        <w:t>coded excerpts), and Ecosystem Orchestration (14.2% of coded excerpts). This distribution reflects the platform's evolution from basic infrastructure provider to sophisticated capability enabler, with Capability Scaffolding emerging as the dominant mechanism.</w:t>
      </w:r>
    </w:p>
    <w:p w14:paraId="67396AE3" w14:textId="77777777" w:rsidR="00071316" w:rsidRDefault="00037124" w:rsidP="00BC16E3">
      <w:pPr>
        <w:spacing w:after="0" w:line="480" w:lineRule="auto"/>
        <w:ind w:firstLine="720"/>
        <w:jc w:val="both"/>
        <w:rPr>
          <w:rFonts w:ascii="Times New Roman" w:hAnsi="Times New Roman" w:cs="Times New Roman"/>
          <w:lang w:val="en-US"/>
        </w:rPr>
      </w:pPr>
      <w:r w:rsidRPr="00C50453">
        <w:rPr>
          <w:rFonts w:ascii="Times New Roman" w:hAnsi="Times New Roman" w:cs="Times New Roman"/>
          <w:b/>
          <w:bCs/>
          <w:i/>
          <w:iCs/>
          <w:lang w:val="en-US"/>
        </w:rPr>
        <w:t>Community Sentiment Integration:</w:t>
      </w:r>
      <w:r w:rsidRPr="00037124">
        <w:rPr>
          <w:rFonts w:ascii="Times New Roman" w:hAnsi="Times New Roman" w:cs="Times New Roman"/>
          <w:lang w:val="en-US"/>
        </w:rPr>
        <w:t xml:space="preserve"> Community sentiment analysis was conducted parallel to platform release coding, with systematic sentiment scoring of reactions to 32 critical incidents. Sentiment patterns were analyzed both within individual phases and across the complete temporal scope, revealing a dramatic deterioration from highly positive (+0.8 average) during the foundation period to severely negative (-0.3) during the 2025 crisis. This sentiment evolution provided crucial validation of the theoretical constructs and demonstrated the temporal instability of platform-dependent relationships.</w:t>
      </w:r>
    </w:p>
    <w:p w14:paraId="7D93283D" w14:textId="77777777" w:rsidR="00071316" w:rsidRDefault="00037124" w:rsidP="00BC16E3">
      <w:pPr>
        <w:spacing w:after="0" w:line="480" w:lineRule="auto"/>
        <w:ind w:firstLine="720"/>
        <w:jc w:val="both"/>
        <w:rPr>
          <w:rFonts w:ascii="Times New Roman" w:hAnsi="Times New Roman" w:cs="Times New Roman"/>
          <w:lang w:val="en-US"/>
        </w:rPr>
      </w:pPr>
      <w:r w:rsidRPr="00C50453">
        <w:rPr>
          <w:rFonts w:ascii="Times New Roman" w:hAnsi="Times New Roman" w:cs="Times New Roman"/>
          <w:b/>
          <w:bCs/>
          <w:i/>
          <w:iCs/>
          <w:lang w:val="en-US"/>
        </w:rPr>
        <w:t>Venture Pattern Analysis:</w:t>
      </w:r>
      <w:r w:rsidRPr="00037124">
        <w:rPr>
          <w:rFonts w:ascii="Times New Roman" w:hAnsi="Times New Roman" w:cs="Times New Roman"/>
          <w:lang w:val="en-US"/>
        </w:rPr>
        <w:t xml:space="preserve"> The 24 platform-dependent ventures were analyzed to identify response patterns and validate theoretical constructs through empirical evidence. Venture analysis revealed four distinct enablement patterns: Early Access Advantage (exemplified by </w:t>
      </w:r>
      <w:proofErr w:type="spellStart"/>
      <w:r w:rsidRPr="00037124">
        <w:rPr>
          <w:rFonts w:ascii="Times New Roman" w:hAnsi="Times New Roman" w:cs="Times New Roman"/>
          <w:lang w:val="en-US"/>
        </w:rPr>
        <w:t>Copy.ai's</w:t>
      </w:r>
      <w:proofErr w:type="spellEnd"/>
      <w:r w:rsidRPr="00037124">
        <w:rPr>
          <w:rFonts w:ascii="Times New Roman" w:hAnsi="Times New Roman" w:cs="Times New Roman"/>
          <w:lang w:val="en-US"/>
        </w:rPr>
        <w:t xml:space="preserve"> early GPT-3 integration), Simultaneous Launch, Deep Integration, and Feature Integration. These patterns demonstrated how different ventures navigate the enablement-dependence paradox and provided empirical grounding for the theoretical framework.</w:t>
      </w:r>
    </w:p>
    <w:p w14:paraId="015A6B59" w14:textId="73806DF0" w:rsidR="00071316" w:rsidRDefault="00037124" w:rsidP="00BC16E3">
      <w:pPr>
        <w:spacing w:after="0" w:line="480" w:lineRule="auto"/>
        <w:ind w:firstLine="720"/>
        <w:jc w:val="both"/>
        <w:rPr>
          <w:rFonts w:ascii="Times New Roman" w:hAnsi="Times New Roman" w:cs="Times New Roman"/>
          <w:lang w:val="en-US"/>
        </w:rPr>
      </w:pPr>
      <w:r w:rsidRPr="00C50453">
        <w:rPr>
          <w:rFonts w:ascii="Times New Roman" w:hAnsi="Times New Roman" w:cs="Times New Roman"/>
          <w:b/>
          <w:bCs/>
          <w:i/>
          <w:iCs/>
          <w:lang w:val="en-US"/>
        </w:rPr>
        <w:t>Temporal Phase Development:</w:t>
      </w:r>
      <w:r w:rsidRPr="00037124">
        <w:rPr>
          <w:rFonts w:ascii="Times New Roman" w:hAnsi="Times New Roman" w:cs="Times New Roman"/>
          <w:lang w:val="en-US"/>
        </w:rPr>
        <w:t xml:space="preserve"> The analytical process identified four distinct temporal phases through systematic analysis of platform releases, community sentiment, and venture responses: Foundation Building (2020-2021), Capability Expansion (2022-2023), Ecosystem Orchestration (2024), and Crisis and Governance Overreach (2025). Each phase was characterized by distinct institutional catalyst mechanisms, community sentiment patterns, and venture response strategies, enabling comprehensive understanding of platform-ecosystem co-evolution.</w:t>
      </w:r>
      <w:r w:rsidR="005955BB" w:rsidRPr="005955BB">
        <w:t xml:space="preserve"> </w:t>
      </w:r>
      <w:r w:rsidR="005955BB" w:rsidRPr="005955BB">
        <w:rPr>
          <w:rFonts w:ascii="Times New Roman" w:hAnsi="Times New Roman" w:cs="Times New Roman"/>
          <w:lang w:val="en-US"/>
        </w:rPr>
        <w:t>Gen AI (ChatGPT) was used only for grammar and phrasing edits; no analyses</w:t>
      </w:r>
      <w:r w:rsidR="00DE686D">
        <w:rPr>
          <w:rFonts w:ascii="Times New Roman" w:hAnsi="Times New Roman" w:cs="Times New Roman"/>
          <w:lang w:val="en-US"/>
        </w:rPr>
        <w:t xml:space="preserve"> </w:t>
      </w:r>
      <w:r w:rsidR="005955BB" w:rsidRPr="005955BB">
        <w:rPr>
          <w:rFonts w:ascii="Times New Roman" w:hAnsi="Times New Roman" w:cs="Times New Roman"/>
          <w:lang w:val="en-US"/>
        </w:rPr>
        <w:t>were produced by AI, and the authors verified all changes.</w:t>
      </w:r>
    </w:p>
    <w:p w14:paraId="609CD59B" w14:textId="5D898FB1" w:rsidR="00037124" w:rsidRPr="00037124" w:rsidRDefault="00037124" w:rsidP="00BC16E3">
      <w:pPr>
        <w:spacing w:after="0" w:line="480" w:lineRule="auto"/>
        <w:ind w:firstLine="720"/>
        <w:jc w:val="both"/>
        <w:rPr>
          <w:rFonts w:ascii="Times New Roman" w:hAnsi="Times New Roman" w:cs="Times New Roman"/>
          <w:lang w:val="en-US"/>
        </w:rPr>
      </w:pPr>
      <w:r w:rsidRPr="00C50453">
        <w:rPr>
          <w:rFonts w:ascii="Times New Roman" w:hAnsi="Times New Roman" w:cs="Times New Roman"/>
          <w:b/>
          <w:bCs/>
          <w:i/>
          <w:iCs/>
          <w:lang w:val="en-US"/>
        </w:rPr>
        <w:lastRenderedPageBreak/>
        <w:t>Crisis Dynamics Analysis:</w:t>
      </w:r>
      <w:r w:rsidRPr="00037124">
        <w:rPr>
          <w:rFonts w:ascii="Times New Roman" w:hAnsi="Times New Roman" w:cs="Times New Roman"/>
          <w:lang w:val="en-US"/>
        </w:rPr>
        <w:t xml:space="preserve"> The 2025 governance crisis received intensive analytical attention as a critical case that revealed the vulnerabilities inherent in platform-dependent business models. This analysis led to the development of three new theoretical constructs: Platform Governance Overreach, Trust Erosion Cascade, and Choice Removal as Control Mechanism. These constructs extend existing platform governance theory and explain the rapid deterioration of platform-ecosystem relationships when governance overreach occurs.</w:t>
      </w:r>
    </w:p>
    <w:p w14:paraId="7D844EAD" w14:textId="77777777" w:rsidR="00071316" w:rsidRDefault="00037124" w:rsidP="00BC16E3">
      <w:pPr>
        <w:pStyle w:val="Heading2"/>
        <w:spacing w:line="480" w:lineRule="auto"/>
        <w:rPr>
          <w:lang w:val="en-US"/>
        </w:rPr>
      </w:pPr>
      <w:r w:rsidRPr="00037124">
        <w:rPr>
          <w:lang w:val="en-US"/>
        </w:rPr>
        <w:t>Reliability and Validity Measures</w:t>
      </w:r>
    </w:p>
    <w:p w14:paraId="1A424CAE" w14:textId="73FEAB43" w:rsidR="00071316" w:rsidRDefault="000144EC" w:rsidP="00BC16E3">
      <w:pPr>
        <w:spacing w:after="0" w:line="480" w:lineRule="auto"/>
        <w:ind w:firstLine="720"/>
        <w:jc w:val="both"/>
        <w:rPr>
          <w:rFonts w:ascii="Times New Roman" w:hAnsi="Times New Roman" w:cs="Times New Roman"/>
          <w:lang w:val="en-US"/>
        </w:rPr>
      </w:pPr>
      <w:r w:rsidRPr="000144EC">
        <w:rPr>
          <w:rFonts w:ascii="Times New Roman" w:hAnsi="Times New Roman" w:cs="Times New Roman"/>
          <w:lang w:val="en-US"/>
        </w:rPr>
        <w:t xml:space="preserve">We achieved </w:t>
      </w:r>
      <w:r w:rsidRPr="000144EC">
        <w:rPr>
          <w:rFonts w:ascii="Times New Roman" w:hAnsi="Times New Roman" w:cs="Times New Roman"/>
          <w:b/>
          <w:bCs/>
          <w:i/>
          <w:iCs/>
          <w:lang w:val="en-US"/>
        </w:rPr>
        <w:t>i</w:t>
      </w:r>
      <w:r w:rsidR="00037124" w:rsidRPr="000144EC">
        <w:rPr>
          <w:rFonts w:ascii="Times New Roman" w:hAnsi="Times New Roman" w:cs="Times New Roman"/>
          <w:b/>
          <w:bCs/>
          <w:i/>
          <w:iCs/>
          <w:lang w:val="en-US"/>
        </w:rPr>
        <w:t xml:space="preserve">nter-coder </w:t>
      </w:r>
      <w:r w:rsidRPr="000144EC">
        <w:rPr>
          <w:rFonts w:ascii="Times New Roman" w:hAnsi="Times New Roman" w:cs="Times New Roman"/>
          <w:b/>
          <w:bCs/>
          <w:i/>
          <w:iCs/>
          <w:lang w:val="en-US"/>
        </w:rPr>
        <w:t>r</w:t>
      </w:r>
      <w:r w:rsidR="00037124" w:rsidRPr="000144EC">
        <w:rPr>
          <w:rFonts w:ascii="Times New Roman" w:hAnsi="Times New Roman" w:cs="Times New Roman"/>
          <w:b/>
          <w:bCs/>
          <w:i/>
          <w:iCs/>
          <w:lang w:val="en-US"/>
        </w:rPr>
        <w:t>eliability</w:t>
      </w:r>
      <w:r w:rsidRPr="000144EC">
        <w:rPr>
          <w:rFonts w:ascii="Times New Roman" w:hAnsi="Times New Roman" w:cs="Times New Roman"/>
          <w:lang w:val="en-US"/>
        </w:rPr>
        <w:t xml:space="preserve"> through m</w:t>
      </w:r>
      <w:r w:rsidR="00037124" w:rsidRPr="000144EC">
        <w:rPr>
          <w:rFonts w:ascii="Times New Roman" w:hAnsi="Times New Roman" w:cs="Times New Roman"/>
          <w:lang w:val="en-US"/>
        </w:rPr>
        <w:t>ultiple</w:t>
      </w:r>
      <w:r w:rsidR="00037124" w:rsidRPr="00037124">
        <w:rPr>
          <w:rFonts w:ascii="Times New Roman" w:hAnsi="Times New Roman" w:cs="Times New Roman"/>
          <w:lang w:val="en-US"/>
        </w:rPr>
        <w:t xml:space="preserve"> rounds of independent coding with regular calibration sessions achieved substantial to near-perfect agreement across all analytical components (κ range: 0.78-0.88). The coding process involved two independent researchers who coded platform releases, community sentiment, and venture evidence separately before conducting calibration sessions to resolve disagreements and refine coding criteria. Higher reliability was achieved for clearly defined constructs such as institutional catalyst mechanisms (κ = 0.85-0.88), while more interpretive elements such as community sentiment showed substantial but slightly lower reliability (κ = 0.78-0.82).</w:t>
      </w:r>
    </w:p>
    <w:p w14:paraId="3083E551" w14:textId="44DE2C69" w:rsidR="00071316" w:rsidRDefault="00985124" w:rsidP="00BC16E3">
      <w:pPr>
        <w:spacing w:after="0" w:line="480" w:lineRule="auto"/>
        <w:ind w:firstLine="720"/>
        <w:jc w:val="both"/>
        <w:rPr>
          <w:rFonts w:ascii="Times New Roman" w:hAnsi="Times New Roman" w:cs="Times New Roman"/>
          <w:lang w:val="en-US"/>
        </w:rPr>
      </w:pPr>
      <w:r w:rsidRPr="00985124">
        <w:rPr>
          <w:rFonts w:ascii="Times New Roman" w:hAnsi="Times New Roman" w:cs="Times New Roman"/>
          <w:lang w:val="en-US"/>
        </w:rPr>
        <w:t xml:space="preserve">To attain </w:t>
      </w:r>
      <w:r w:rsidRPr="00985124">
        <w:rPr>
          <w:rFonts w:ascii="Times New Roman" w:hAnsi="Times New Roman" w:cs="Times New Roman"/>
          <w:b/>
          <w:bCs/>
          <w:i/>
          <w:iCs/>
          <w:lang w:val="en-US"/>
        </w:rPr>
        <w:t>c</w:t>
      </w:r>
      <w:r w:rsidR="00037124" w:rsidRPr="00985124">
        <w:rPr>
          <w:rFonts w:ascii="Times New Roman" w:hAnsi="Times New Roman" w:cs="Times New Roman"/>
          <w:b/>
          <w:bCs/>
          <w:i/>
          <w:iCs/>
          <w:lang w:val="en-US"/>
        </w:rPr>
        <w:t xml:space="preserve">onstruct </w:t>
      </w:r>
      <w:r>
        <w:rPr>
          <w:rFonts w:ascii="Times New Roman" w:hAnsi="Times New Roman" w:cs="Times New Roman"/>
          <w:b/>
          <w:bCs/>
          <w:i/>
          <w:iCs/>
          <w:lang w:val="en-US"/>
        </w:rPr>
        <w:t>v</w:t>
      </w:r>
      <w:r w:rsidR="00037124" w:rsidRPr="00985124">
        <w:rPr>
          <w:rFonts w:ascii="Times New Roman" w:hAnsi="Times New Roman" w:cs="Times New Roman"/>
          <w:b/>
          <w:bCs/>
          <w:i/>
          <w:iCs/>
          <w:lang w:val="en-US"/>
        </w:rPr>
        <w:t>alidity</w:t>
      </w:r>
      <w:r w:rsidRPr="00985124">
        <w:rPr>
          <w:rFonts w:ascii="Times New Roman" w:hAnsi="Times New Roman" w:cs="Times New Roman"/>
          <w:lang w:val="en-US"/>
        </w:rPr>
        <w:t>, e</w:t>
      </w:r>
      <w:r w:rsidR="00037124" w:rsidRPr="00985124">
        <w:rPr>
          <w:rFonts w:ascii="Times New Roman" w:hAnsi="Times New Roman" w:cs="Times New Roman"/>
          <w:lang w:val="en-US"/>
        </w:rPr>
        <w:t>ach</w:t>
      </w:r>
      <w:r w:rsidR="00037124" w:rsidRPr="00037124">
        <w:rPr>
          <w:rFonts w:ascii="Times New Roman" w:hAnsi="Times New Roman" w:cs="Times New Roman"/>
          <w:lang w:val="en-US"/>
        </w:rPr>
        <w:t xml:space="preserve"> theoretical construct is supported by multiple empirical indicators across different data corpora, with explicit attention to alternative explanations and negative cases. The four institutional catalyst mechanisms are grounded in systematic analysis of 100 platform releases, validated through community sentiment patterns, and triangulated with venture response evidence. The enablement-dependence paradox is supported by temporal analysis showing the evolution from positive enablement (+0.8 sentiment) to negative dependence experiences (-0.3 sentiment) across the study period.</w:t>
      </w:r>
      <w:r w:rsidR="00AB0A98">
        <w:rPr>
          <w:rFonts w:ascii="Times New Roman" w:hAnsi="Times New Roman" w:cs="Times New Roman"/>
          <w:lang w:val="en-US"/>
        </w:rPr>
        <w:t xml:space="preserve"> Meanwhile, </w:t>
      </w:r>
      <w:r w:rsidR="00AB0A98" w:rsidRPr="00AB0A98">
        <w:rPr>
          <w:rFonts w:ascii="Times New Roman" w:hAnsi="Times New Roman" w:cs="Times New Roman"/>
          <w:b/>
          <w:bCs/>
          <w:i/>
          <w:iCs/>
          <w:lang w:val="en-US"/>
        </w:rPr>
        <w:t>t</w:t>
      </w:r>
      <w:r w:rsidR="00037124" w:rsidRPr="00AB0A98">
        <w:rPr>
          <w:rFonts w:ascii="Times New Roman" w:hAnsi="Times New Roman" w:cs="Times New Roman"/>
          <w:b/>
          <w:bCs/>
          <w:i/>
          <w:iCs/>
          <w:lang w:val="en-US"/>
        </w:rPr>
        <w:t xml:space="preserve">emporal </w:t>
      </w:r>
      <w:r w:rsidR="00AB0A98" w:rsidRPr="00AB0A98">
        <w:rPr>
          <w:rFonts w:ascii="Times New Roman" w:hAnsi="Times New Roman" w:cs="Times New Roman"/>
          <w:b/>
          <w:bCs/>
          <w:i/>
          <w:iCs/>
          <w:lang w:val="en-US"/>
        </w:rPr>
        <w:t>v</w:t>
      </w:r>
      <w:r w:rsidR="00037124" w:rsidRPr="00AB0A98">
        <w:rPr>
          <w:rFonts w:ascii="Times New Roman" w:hAnsi="Times New Roman" w:cs="Times New Roman"/>
          <w:b/>
          <w:bCs/>
          <w:i/>
          <w:iCs/>
          <w:lang w:val="en-US"/>
        </w:rPr>
        <w:t>alidity</w:t>
      </w:r>
      <w:r w:rsidR="00AB0A98">
        <w:rPr>
          <w:rFonts w:ascii="Times New Roman" w:hAnsi="Times New Roman" w:cs="Times New Roman"/>
          <w:b/>
          <w:bCs/>
          <w:lang w:val="en-US"/>
        </w:rPr>
        <w:t xml:space="preserve"> </w:t>
      </w:r>
      <w:r w:rsidR="00AB0A98" w:rsidRPr="00AB0A98">
        <w:rPr>
          <w:rFonts w:ascii="Times New Roman" w:hAnsi="Times New Roman" w:cs="Times New Roman"/>
          <w:lang w:val="en-US"/>
        </w:rPr>
        <w:t xml:space="preserve">is achieved through </w:t>
      </w:r>
      <w:r w:rsidR="00AB0A98">
        <w:rPr>
          <w:rFonts w:ascii="Times New Roman" w:hAnsi="Times New Roman" w:cs="Times New Roman"/>
          <w:lang w:val="en-US"/>
        </w:rPr>
        <w:t xml:space="preserve">a </w:t>
      </w:r>
      <w:r w:rsidR="00AB0A98" w:rsidRPr="00AB0A98">
        <w:rPr>
          <w:rFonts w:ascii="Times New Roman" w:hAnsi="Times New Roman" w:cs="Times New Roman"/>
          <w:lang w:val="en-US"/>
        </w:rPr>
        <w:t>ch</w:t>
      </w:r>
      <w:r w:rsidR="00037124" w:rsidRPr="00AB0A98">
        <w:rPr>
          <w:rFonts w:ascii="Times New Roman" w:hAnsi="Times New Roman" w:cs="Times New Roman"/>
          <w:lang w:val="en-US"/>
        </w:rPr>
        <w:t>ronological</w:t>
      </w:r>
      <w:r w:rsidR="00037124" w:rsidRPr="00037124">
        <w:rPr>
          <w:rFonts w:ascii="Times New Roman" w:hAnsi="Times New Roman" w:cs="Times New Roman"/>
          <w:lang w:val="en-US"/>
        </w:rPr>
        <w:t xml:space="preserve"> analysis</w:t>
      </w:r>
      <w:r w:rsidR="00AB0A98">
        <w:rPr>
          <w:rFonts w:ascii="Times New Roman" w:hAnsi="Times New Roman" w:cs="Times New Roman"/>
          <w:lang w:val="en-US"/>
        </w:rPr>
        <w:t xml:space="preserve"> which</w:t>
      </w:r>
      <w:r w:rsidR="00037124" w:rsidRPr="00037124">
        <w:rPr>
          <w:rFonts w:ascii="Times New Roman" w:hAnsi="Times New Roman" w:cs="Times New Roman"/>
          <w:lang w:val="en-US"/>
        </w:rPr>
        <w:t xml:space="preserve"> prevented retrospective bias by maintaining strict temporal sequencing and avoiding anachronistic interpretation of historical events. All platform releases, community reactions, and venture </w:t>
      </w:r>
      <w:r w:rsidR="00037124" w:rsidRPr="00037124">
        <w:rPr>
          <w:rFonts w:ascii="Times New Roman" w:hAnsi="Times New Roman" w:cs="Times New Roman"/>
          <w:lang w:val="en-US"/>
        </w:rPr>
        <w:lastRenderedPageBreak/>
        <w:t>responses were analyzed in their original temporal context, with careful attention to the information available to participants at each point in time rather than imposing later knowledge on earlier events.</w:t>
      </w:r>
    </w:p>
    <w:p w14:paraId="661B97E8" w14:textId="33098926" w:rsidR="00037124" w:rsidRDefault="007D7C39" w:rsidP="00BC16E3">
      <w:pPr>
        <w:spacing w:after="0" w:line="480" w:lineRule="auto"/>
        <w:ind w:firstLine="720"/>
        <w:jc w:val="both"/>
        <w:rPr>
          <w:rFonts w:ascii="Times New Roman" w:hAnsi="Times New Roman" w:cs="Times New Roman"/>
          <w:lang w:val="en-US"/>
        </w:rPr>
      </w:pPr>
      <w:r>
        <w:rPr>
          <w:rFonts w:ascii="Times New Roman" w:hAnsi="Times New Roman" w:cs="Times New Roman"/>
          <w:lang w:val="en-US"/>
        </w:rPr>
        <w:t xml:space="preserve">Furthermore, </w:t>
      </w:r>
      <w:r w:rsidRPr="007D7C39">
        <w:rPr>
          <w:rFonts w:ascii="Times New Roman" w:hAnsi="Times New Roman" w:cs="Times New Roman"/>
          <w:b/>
          <w:bCs/>
          <w:i/>
          <w:iCs/>
          <w:lang w:val="en-US"/>
        </w:rPr>
        <w:t>e</w:t>
      </w:r>
      <w:r w:rsidR="00037124" w:rsidRPr="007D7C39">
        <w:rPr>
          <w:rFonts w:ascii="Times New Roman" w:hAnsi="Times New Roman" w:cs="Times New Roman"/>
          <w:b/>
          <w:bCs/>
          <w:i/>
          <w:iCs/>
          <w:lang w:val="en-US"/>
        </w:rPr>
        <w:t xml:space="preserve">xternal </w:t>
      </w:r>
      <w:r w:rsidRPr="007D7C39">
        <w:rPr>
          <w:rFonts w:ascii="Times New Roman" w:hAnsi="Times New Roman" w:cs="Times New Roman"/>
          <w:b/>
          <w:bCs/>
          <w:i/>
          <w:iCs/>
          <w:lang w:val="en-US"/>
        </w:rPr>
        <w:t>v</w:t>
      </w:r>
      <w:r w:rsidR="00037124" w:rsidRPr="007D7C39">
        <w:rPr>
          <w:rFonts w:ascii="Times New Roman" w:hAnsi="Times New Roman" w:cs="Times New Roman"/>
          <w:b/>
          <w:bCs/>
          <w:i/>
          <w:iCs/>
          <w:lang w:val="en-US"/>
        </w:rPr>
        <w:t>alidity</w:t>
      </w:r>
      <w:r>
        <w:rPr>
          <w:rFonts w:ascii="Times New Roman" w:hAnsi="Times New Roman" w:cs="Times New Roman"/>
          <w:b/>
          <w:bCs/>
          <w:lang w:val="en-US"/>
        </w:rPr>
        <w:t xml:space="preserve"> </w:t>
      </w:r>
      <w:r w:rsidRPr="00F405EA">
        <w:rPr>
          <w:rFonts w:ascii="Times New Roman" w:hAnsi="Times New Roman" w:cs="Times New Roman"/>
          <w:lang w:val="en-US"/>
        </w:rPr>
        <w:t>was achieved</w:t>
      </w:r>
      <w:r>
        <w:rPr>
          <w:rFonts w:ascii="Times New Roman" w:hAnsi="Times New Roman" w:cs="Times New Roman"/>
          <w:b/>
          <w:bCs/>
          <w:lang w:val="en-US"/>
        </w:rPr>
        <w:t xml:space="preserve"> </w:t>
      </w:r>
      <w:r w:rsidR="00037124" w:rsidRPr="00037124">
        <w:rPr>
          <w:rFonts w:ascii="Times New Roman" w:hAnsi="Times New Roman" w:cs="Times New Roman"/>
          <w:lang w:val="en-US"/>
        </w:rPr>
        <w:t>through</w:t>
      </w:r>
      <w:r w:rsidR="00F405EA">
        <w:rPr>
          <w:rFonts w:ascii="Times New Roman" w:hAnsi="Times New Roman" w:cs="Times New Roman"/>
          <w:lang w:val="en-US"/>
        </w:rPr>
        <w:t xml:space="preserve"> the</w:t>
      </w:r>
      <w:r w:rsidR="00037124" w:rsidRPr="00037124">
        <w:rPr>
          <w:rFonts w:ascii="Times New Roman" w:hAnsi="Times New Roman" w:cs="Times New Roman"/>
          <w:lang w:val="en-US"/>
        </w:rPr>
        <w:t xml:space="preserve"> comparison</w:t>
      </w:r>
      <w:r w:rsidR="00F405EA">
        <w:rPr>
          <w:rFonts w:ascii="Times New Roman" w:hAnsi="Times New Roman" w:cs="Times New Roman"/>
          <w:lang w:val="en-US"/>
        </w:rPr>
        <w:t xml:space="preserve"> of constructs</w:t>
      </w:r>
      <w:r w:rsidR="00037124" w:rsidRPr="00037124">
        <w:rPr>
          <w:rFonts w:ascii="Times New Roman" w:hAnsi="Times New Roman" w:cs="Times New Roman"/>
          <w:lang w:val="en-US"/>
        </w:rPr>
        <w:t xml:space="preserve"> with existing platform literature and entrepreneurship research, ensuring consistency with established theoretical frameworks while extending them to address the unique characteristics of capability-dependent platform relationships. The institutional catalyst mechanisms align with existing innovation platform theory while adding specificity for AI-powered platforms.</w:t>
      </w:r>
      <w:r w:rsidR="0085618B">
        <w:rPr>
          <w:rFonts w:ascii="Times New Roman" w:hAnsi="Times New Roman" w:cs="Times New Roman"/>
          <w:lang w:val="en-US"/>
        </w:rPr>
        <w:t xml:space="preserve"> </w:t>
      </w:r>
      <w:r w:rsidR="002A70B7" w:rsidRPr="002A70B7">
        <w:rPr>
          <w:rFonts w:ascii="Times New Roman" w:hAnsi="Times New Roman" w:cs="Times New Roman"/>
          <w:b/>
          <w:bCs/>
          <w:i/>
          <w:iCs/>
          <w:lang w:val="en-US"/>
        </w:rPr>
        <w:t>I</w:t>
      </w:r>
      <w:r w:rsidR="00037124" w:rsidRPr="002A70B7">
        <w:rPr>
          <w:rFonts w:ascii="Times New Roman" w:hAnsi="Times New Roman" w:cs="Times New Roman"/>
          <w:b/>
          <w:bCs/>
          <w:i/>
          <w:iCs/>
          <w:lang w:val="en-US"/>
        </w:rPr>
        <w:t xml:space="preserve">nternal </w:t>
      </w:r>
      <w:r w:rsidR="0085618B" w:rsidRPr="002A70B7">
        <w:rPr>
          <w:rFonts w:ascii="Times New Roman" w:hAnsi="Times New Roman" w:cs="Times New Roman"/>
          <w:b/>
          <w:bCs/>
          <w:i/>
          <w:iCs/>
          <w:lang w:val="en-US"/>
        </w:rPr>
        <w:t>v</w:t>
      </w:r>
      <w:r w:rsidR="00037124" w:rsidRPr="002A70B7">
        <w:rPr>
          <w:rFonts w:ascii="Times New Roman" w:hAnsi="Times New Roman" w:cs="Times New Roman"/>
          <w:b/>
          <w:bCs/>
          <w:i/>
          <w:iCs/>
          <w:lang w:val="en-US"/>
        </w:rPr>
        <w:t>alidity</w:t>
      </w:r>
      <w:r w:rsidR="00E961AA">
        <w:rPr>
          <w:rFonts w:ascii="Times New Roman" w:hAnsi="Times New Roman" w:cs="Times New Roman"/>
          <w:b/>
          <w:bCs/>
          <w:lang w:val="en-US"/>
        </w:rPr>
        <w:t xml:space="preserve"> </w:t>
      </w:r>
      <w:r w:rsidR="00E961AA" w:rsidRPr="00E961AA">
        <w:rPr>
          <w:rFonts w:ascii="Times New Roman" w:hAnsi="Times New Roman" w:cs="Times New Roman"/>
          <w:lang w:val="en-US"/>
        </w:rPr>
        <w:t>was operationalized through the</w:t>
      </w:r>
      <w:r w:rsidR="00E961AA">
        <w:rPr>
          <w:rFonts w:ascii="Times New Roman" w:hAnsi="Times New Roman" w:cs="Times New Roman"/>
          <w:b/>
          <w:bCs/>
          <w:lang w:val="en-US"/>
        </w:rPr>
        <w:t xml:space="preserve"> s</w:t>
      </w:r>
      <w:r w:rsidR="00037124" w:rsidRPr="00037124">
        <w:rPr>
          <w:rFonts w:ascii="Times New Roman" w:hAnsi="Times New Roman" w:cs="Times New Roman"/>
          <w:lang w:val="en-US"/>
        </w:rPr>
        <w:t>ystematic attention to alternative explanations and rival hypotheses throughout the analytical process, with explicit consideration of confounding factors and alternative causal mechanisms. The crisis dynamics analysis particularly benefited from this approach, as multiple potential explanations for community sentiment deterioration were considered before concluding that governance overreach was the primary causal mechanism.</w:t>
      </w:r>
    </w:p>
    <w:p w14:paraId="04C3E004" w14:textId="588FBE8E" w:rsidR="002A70B7" w:rsidRPr="002A70B7" w:rsidRDefault="002A70B7" w:rsidP="00BC16E3">
      <w:pPr>
        <w:spacing w:after="0" w:line="480" w:lineRule="auto"/>
        <w:ind w:firstLine="720"/>
        <w:jc w:val="both"/>
        <w:rPr>
          <w:rFonts w:ascii="Times New Roman" w:hAnsi="Times New Roman" w:cs="Times New Roman"/>
          <w:lang w:val="en-US"/>
        </w:rPr>
      </w:pPr>
      <w:r w:rsidRPr="002A70B7">
        <w:rPr>
          <w:rFonts w:ascii="Times New Roman" w:hAnsi="Times New Roman" w:cs="Times New Roman"/>
          <w:b/>
          <w:bCs/>
          <w:i/>
          <w:iCs/>
        </w:rPr>
        <w:t>Data adequacy and saturation</w:t>
      </w:r>
      <w:r w:rsidRPr="002A70B7">
        <w:rPr>
          <w:rFonts w:ascii="Times New Roman" w:hAnsi="Times New Roman" w:cs="Times New Roman"/>
        </w:rPr>
        <w:t>. We assessed saturation at two levels—code (no new first-order codes) and meaning (no changes to second-order themes/aggregate dimensions). After coding the full corpus (100 platform releases, 32 community-reaction incidents, 24 ventures), late-phase materials introduced no new themes; excerpts only elaborated existing categories, and the four aggregate mechanisms (Infrastructure Provision, Capability Scaffolding, Market Legitimization, Ecosystem Orchestration) remained stable across temporal phases. Together with inter-coder agreement (κ = 0.78–0.88), we conclude that both code and meaning saturation were achieved for our core constructs.</w:t>
      </w:r>
    </w:p>
    <w:p w14:paraId="27D7A8E7" w14:textId="0D573CCC" w:rsidR="004B389B" w:rsidRPr="00864C8D" w:rsidRDefault="004B389B" w:rsidP="003D3AA9">
      <w:pPr>
        <w:pStyle w:val="Heading1"/>
        <w:spacing w:before="0" w:after="0" w:line="480" w:lineRule="auto"/>
        <w:rPr>
          <w:rFonts w:cs="Times New Roman"/>
        </w:rPr>
      </w:pPr>
      <w:r w:rsidRPr="00864C8D">
        <w:rPr>
          <w:rFonts w:cs="Times New Roman"/>
        </w:rPr>
        <w:t xml:space="preserve">Findings </w:t>
      </w:r>
    </w:p>
    <w:p w14:paraId="69580605" w14:textId="04581ABC" w:rsidR="004B389B" w:rsidRDefault="004B389B" w:rsidP="00BC16E3">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Our systematic analysis of the OpenAI ecosystem </w:t>
      </w:r>
      <w:r w:rsidR="00E2273E">
        <w:rPr>
          <w:rFonts w:ascii="Times New Roman" w:hAnsi="Times New Roman" w:cs="Times New Roman"/>
        </w:rPr>
        <w:t>between</w:t>
      </w:r>
      <w:r w:rsidRPr="00864C8D">
        <w:rPr>
          <w:rFonts w:ascii="Times New Roman" w:hAnsi="Times New Roman" w:cs="Times New Roman"/>
        </w:rPr>
        <w:t xml:space="preserve"> 2020</w:t>
      </w:r>
      <w:r w:rsidR="00E2273E">
        <w:rPr>
          <w:rFonts w:ascii="Times New Roman" w:hAnsi="Times New Roman" w:cs="Times New Roman"/>
        </w:rPr>
        <w:t xml:space="preserve"> and </w:t>
      </w:r>
      <w:r w:rsidRPr="00864C8D">
        <w:rPr>
          <w:rFonts w:ascii="Times New Roman" w:hAnsi="Times New Roman" w:cs="Times New Roman"/>
        </w:rPr>
        <w:t xml:space="preserve">2025 reveals how </w:t>
      </w:r>
      <w:r w:rsidR="008F6597" w:rsidRPr="00864C8D">
        <w:rPr>
          <w:rFonts w:ascii="Times New Roman" w:hAnsi="Times New Roman" w:cs="Times New Roman"/>
        </w:rPr>
        <w:t>Gen AI</w:t>
      </w:r>
      <w:r w:rsidRPr="00864C8D">
        <w:rPr>
          <w:rFonts w:ascii="Times New Roman" w:hAnsi="Times New Roman" w:cs="Times New Roman"/>
        </w:rPr>
        <w:t xml:space="preserve"> platforms function as institutional catalysts of platform-dependent entrepreneurship</w:t>
      </w:r>
      <w:r w:rsidR="008F6597" w:rsidRPr="00864C8D">
        <w:rPr>
          <w:rFonts w:ascii="Times New Roman" w:hAnsi="Times New Roman" w:cs="Times New Roman"/>
        </w:rPr>
        <w:t xml:space="preserve"> </w:t>
      </w:r>
      <w:r w:rsidR="008F6597" w:rsidRPr="00864C8D">
        <w:rPr>
          <w:rFonts w:ascii="Times New Roman" w:hAnsi="Times New Roman" w:cs="Times New Roman"/>
        </w:rPr>
        <w:lastRenderedPageBreak/>
        <w:t>(PDE)</w:t>
      </w:r>
      <w:r w:rsidRPr="00864C8D">
        <w:rPr>
          <w:rFonts w:ascii="Times New Roman" w:hAnsi="Times New Roman" w:cs="Times New Roman"/>
        </w:rPr>
        <w:t xml:space="preserve"> through four primary mechanisms</w:t>
      </w:r>
      <w:r w:rsidR="00882201">
        <w:rPr>
          <w:rFonts w:ascii="Times New Roman" w:hAnsi="Times New Roman" w:cs="Times New Roman"/>
        </w:rPr>
        <w:t xml:space="preserve"> and their accompanying sub-mechanisms</w:t>
      </w:r>
      <w:r w:rsidRPr="00864C8D">
        <w:rPr>
          <w:rFonts w:ascii="Times New Roman" w:hAnsi="Times New Roman" w:cs="Times New Roman"/>
        </w:rPr>
        <w:t xml:space="preserve">: </w:t>
      </w:r>
      <w:r w:rsidRPr="00864C8D">
        <w:rPr>
          <w:rFonts w:ascii="Times New Roman" w:hAnsi="Times New Roman" w:cs="Times New Roman"/>
          <w:i/>
          <w:iCs/>
        </w:rPr>
        <w:t>Infrastructure Provision</w:t>
      </w:r>
      <w:r w:rsidRPr="00864C8D">
        <w:rPr>
          <w:rFonts w:ascii="Times New Roman" w:hAnsi="Times New Roman" w:cs="Times New Roman"/>
        </w:rPr>
        <w:t xml:space="preserve">, </w:t>
      </w:r>
      <w:r w:rsidRPr="00864C8D">
        <w:rPr>
          <w:rFonts w:ascii="Times New Roman" w:hAnsi="Times New Roman" w:cs="Times New Roman"/>
          <w:i/>
          <w:iCs/>
        </w:rPr>
        <w:t>Capability Scaffolding</w:t>
      </w:r>
      <w:r w:rsidRPr="00864C8D">
        <w:rPr>
          <w:rFonts w:ascii="Times New Roman" w:hAnsi="Times New Roman" w:cs="Times New Roman"/>
        </w:rPr>
        <w:t xml:space="preserve">, </w:t>
      </w:r>
      <w:r w:rsidRPr="00864C8D">
        <w:rPr>
          <w:rFonts w:ascii="Times New Roman" w:hAnsi="Times New Roman" w:cs="Times New Roman"/>
          <w:i/>
          <w:iCs/>
        </w:rPr>
        <w:t>Market Legitimization</w:t>
      </w:r>
      <w:r w:rsidRPr="00864C8D">
        <w:rPr>
          <w:rFonts w:ascii="Times New Roman" w:hAnsi="Times New Roman" w:cs="Times New Roman"/>
        </w:rPr>
        <w:t xml:space="preserve">, and </w:t>
      </w:r>
      <w:r w:rsidRPr="00864C8D">
        <w:rPr>
          <w:rFonts w:ascii="Times New Roman" w:hAnsi="Times New Roman" w:cs="Times New Roman"/>
          <w:i/>
          <w:iCs/>
        </w:rPr>
        <w:t>Ecosystem Orchestration</w:t>
      </w:r>
      <w:r w:rsidRPr="00864C8D">
        <w:rPr>
          <w:rFonts w:ascii="Times New Roman" w:hAnsi="Times New Roman" w:cs="Times New Roman"/>
        </w:rPr>
        <w:t>. The temporal analysis reveals a five-phase evolution that demonstrates both the enabling potential and inherent vulnerabilities of platform-dependent entrepreneurship. Community sentiment deteriorated from highly positive (+0.8) during the foundation period to severely negative (-0.3) during the 2025 crisis, illustrating the fragility of platform</w:t>
      </w:r>
      <w:r w:rsidR="00E06188" w:rsidRPr="00864C8D">
        <w:rPr>
          <w:rFonts w:ascii="Times New Roman" w:hAnsi="Times New Roman" w:cs="Times New Roman"/>
        </w:rPr>
        <w:t xml:space="preserve"> </w:t>
      </w:r>
      <w:r w:rsidRPr="00864C8D">
        <w:rPr>
          <w:rFonts w:ascii="Times New Roman" w:hAnsi="Times New Roman" w:cs="Times New Roman"/>
        </w:rPr>
        <w:t xml:space="preserve">ecosystem relationships when governance overreach occurs. This empirical pattern validates our core theoretical proposition: platforms simultaneously enable </w:t>
      </w:r>
      <w:r w:rsidR="009F6383">
        <w:rPr>
          <w:rFonts w:ascii="Times New Roman" w:hAnsi="Times New Roman" w:cs="Times New Roman"/>
        </w:rPr>
        <w:t xml:space="preserve">new venture </w:t>
      </w:r>
      <w:r w:rsidR="003D3AA9">
        <w:rPr>
          <w:rFonts w:ascii="Times New Roman" w:hAnsi="Times New Roman" w:cs="Times New Roman"/>
        </w:rPr>
        <w:t>creation yet</w:t>
      </w:r>
      <w:r w:rsidR="0069463B">
        <w:rPr>
          <w:rFonts w:ascii="Times New Roman" w:hAnsi="Times New Roman" w:cs="Times New Roman"/>
        </w:rPr>
        <w:t xml:space="preserve"> </w:t>
      </w:r>
      <w:r w:rsidRPr="00864C8D">
        <w:rPr>
          <w:rFonts w:ascii="Times New Roman" w:hAnsi="Times New Roman" w:cs="Times New Roman"/>
        </w:rPr>
        <w:t xml:space="preserve">create vulnerabilities through </w:t>
      </w:r>
      <w:r w:rsidR="00870EA9">
        <w:rPr>
          <w:rFonts w:ascii="Times New Roman" w:hAnsi="Times New Roman" w:cs="Times New Roman"/>
        </w:rPr>
        <w:t xml:space="preserve">power asymmetries and governance mechanisms that render </w:t>
      </w:r>
      <w:r w:rsidRPr="00864C8D">
        <w:rPr>
          <w:rFonts w:ascii="Times New Roman" w:hAnsi="Times New Roman" w:cs="Times New Roman"/>
        </w:rPr>
        <w:t xml:space="preserve">dependence </w:t>
      </w:r>
      <w:r w:rsidR="00870EA9">
        <w:rPr>
          <w:rFonts w:ascii="Times New Roman" w:hAnsi="Times New Roman" w:cs="Times New Roman"/>
        </w:rPr>
        <w:t>precariou</w:t>
      </w:r>
      <w:r w:rsidRPr="00864C8D">
        <w:rPr>
          <w:rFonts w:ascii="Times New Roman" w:hAnsi="Times New Roman" w:cs="Times New Roman"/>
        </w:rPr>
        <w:t>s.</w:t>
      </w:r>
      <w:r w:rsidR="003676DA" w:rsidRPr="00864C8D">
        <w:rPr>
          <w:rFonts w:ascii="Times New Roman" w:hAnsi="Times New Roman" w:cs="Times New Roman"/>
        </w:rPr>
        <w:t xml:space="preserve"> </w:t>
      </w:r>
      <w:r w:rsidR="00E06188" w:rsidRPr="00864C8D">
        <w:rPr>
          <w:rFonts w:ascii="Times New Roman" w:hAnsi="Times New Roman" w:cs="Times New Roman"/>
        </w:rPr>
        <w:t>Following Langley (1999, p.700) we develop Figure 1 as a visual process map showing multiple dimensions t</w:t>
      </w:r>
      <w:r w:rsidR="00D7007A">
        <w:rPr>
          <w:rFonts w:ascii="Times New Roman" w:hAnsi="Times New Roman" w:cs="Times New Roman"/>
        </w:rPr>
        <w:t xml:space="preserve">o </w:t>
      </w:r>
      <w:r w:rsidR="00E06188" w:rsidRPr="00864C8D">
        <w:rPr>
          <w:rFonts w:ascii="Times New Roman" w:hAnsi="Times New Roman" w:cs="Times New Roman"/>
        </w:rPr>
        <w:t>guide subsequent interpretations</w:t>
      </w:r>
      <w:r w:rsidR="00DA5A27">
        <w:rPr>
          <w:rFonts w:ascii="Times New Roman" w:hAnsi="Times New Roman" w:cs="Times New Roman"/>
        </w:rPr>
        <w:t xml:space="preserve"> (supported by Appendix A)</w:t>
      </w:r>
      <w:r w:rsidR="00E06188" w:rsidRPr="00864C8D">
        <w:rPr>
          <w:rFonts w:ascii="Times New Roman" w:hAnsi="Times New Roman" w:cs="Times New Roman"/>
        </w:rPr>
        <w:t xml:space="preserve">. </w:t>
      </w:r>
    </w:p>
    <w:p w14:paraId="5B099DA0" w14:textId="0DD24A33" w:rsidR="00E06188" w:rsidRPr="00864C8D" w:rsidRDefault="00E06188" w:rsidP="00E06188">
      <w:pPr>
        <w:spacing w:after="0" w:line="360" w:lineRule="auto"/>
        <w:jc w:val="center"/>
        <w:rPr>
          <w:rFonts w:ascii="Times New Roman" w:hAnsi="Times New Roman" w:cs="Times New Roman"/>
        </w:rPr>
      </w:pPr>
      <w:r w:rsidRPr="00864C8D">
        <w:rPr>
          <w:rFonts w:ascii="Times New Roman" w:hAnsi="Times New Roman" w:cs="Times New Roman"/>
          <w:b/>
          <w:bCs/>
        </w:rPr>
        <w:t>Figure 1.</w:t>
      </w:r>
      <w:r w:rsidRPr="00864C8D">
        <w:rPr>
          <w:rFonts w:ascii="Times New Roman" w:hAnsi="Times New Roman" w:cs="Times New Roman"/>
        </w:rPr>
        <w:t xml:space="preserve"> Visual Process Map &amp; Multidimensional Analysis</w:t>
      </w:r>
    </w:p>
    <w:p w14:paraId="08EE9EF0" w14:textId="4A940BA8" w:rsidR="003676DA" w:rsidRPr="00864C8D" w:rsidRDefault="00E06188" w:rsidP="00E06188">
      <w:pPr>
        <w:spacing w:after="0" w:line="360" w:lineRule="auto"/>
        <w:jc w:val="both"/>
        <w:rPr>
          <w:rFonts w:ascii="Times New Roman" w:hAnsi="Times New Roman" w:cs="Times New Roman"/>
        </w:rPr>
      </w:pPr>
      <w:r w:rsidRPr="00864C8D">
        <w:rPr>
          <w:rFonts w:ascii="Times New Roman" w:hAnsi="Times New Roman" w:cs="Times New Roman"/>
          <w:noProof/>
        </w:rPr>
        <w:drawing>
          <wp:inline distT="0" distB="0" distL="0" distR="0" wp14:anchorId="2C9013BC" wp14:editId="0169A42E">
            <wp:extent cx="5731510" cy="3386122"/>
            <wp:effectExtent l="0" t="0" r="2540" b="5080"/>
            <wp:docPr id="578287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287132"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5731510" cy="3386122"/>
                    </a:xfrm>
                    <a:prstGeom prst="rect">
                      <a:avLst/>
                    </a:prstGeom>
                  </pic:spPr>
                </pic:pic>
              </a:graphicData>
            </a:graphic>
          </wp:inline>
        </w:drawing>
      </w:r>
    </w:p>
    <w:p w14:paraId="21AD38DA" w14:textId="77777777" w:rsidR="004B389B" w:rsidRPr="00864C8D" w:rsidRDefault="004B389B" w:rsidP="001D661E">
      <w:pPr>
        <w:pStyle w:val="Heading2"/>
        <w:spacing w:after="0" w:line="480" w:lineRule="auto"/>
        <w:rPr>
          <w:rFonts w:cs="Times New Roman"/>
        </w:rPr>
      </w:pPr>
      <w:r w:rsidRPr="00864C8D">
        <w:rPr>
          <w:rFonts w:cs="Times New Roman"/>
        </w:rPr>
        <w:lastRenderedPageBreak/>
        <w:t>Institutional Catalyst Mechanisms: Empirical Validation</w:t>
      </w:r>
    </w:p>
    <w:p w14:paraId="0FA425B1" w14:textId="0D198971" w:rsidR="00250C7C" w:rsidRDefault="004B389B" w:rsidP="00250C7C">
      <w:pPr>
        <w:spacing w:after="0" w:line="480" w:lineRule="auto"/>
        <w:ind w:firstLine="720"/>
        <w:jc w:val="both"/>
        <w:rPr>
          <w:rFonts w:ascii="Times New Roman" w:hAnsi="Times New Roman" w:cs="Times New Roman"/>
          <w:color w:val="000000" w:themeColor="text1"/>
        </w:rPr>
      </w:pPr>
      <w:r w:rsidRPr="00864C8D">
        <w:rPr>
          <w:rFonts w:ascii="Times New Roman" w:hAnsi="Times New Roman" w:cs="Times New Roman"/>
        </w:rPr>
        <w:t xml:space="preserve">Our analysis of 100 platform releases reveals four distinct institutional catalyst mechanisms that explain how </w:t>
      </w:r>
      <w:r w:rsidR="0089029A" w:rsidRPr="00864C8D">
        <w:rPr>
          <w:rFonts w:ascii="Times New Roman" w:hAnsi="Times New Roman" w:cs="Times New Roman"/>
        </w:rPr>
        <w:t>Gen AI</w:t>
      </w:r>
      <w:r w:rsidRPr="00864C8D">
        <w:rPr>
          <w:rFonts w:ascii="Times New Roman" w:hAnsi="Times New Roman" w:cs="Times New Roman"/>
        </w:rPr>
        <w:t xml:space="preserve"> platforms enable </w:t>
      </w:r>
      <w:r w:rsidR="0089029A" w:rsidRPr="00864C8D">
        <w:rPr>
          <w:rFonts w:ascii="Times New Roman" w:hAnsi="Times New Roman" w:cs="Times New Roman"/>
        </w:rPr>
        <w:t>PDE</w:t>
      </w:r>
      <w:r w:rsidRPr="00864C8D">
        <w:rPr>
          <w:rFonts w:ascii="Times New Roman" w:hAnsi="Times New Roman" w:cs="Times New Roman"/>
        </w:rPr>
        <w:t xml:space="preserve">. </w:t>
      </w:r>
      <w:r w:rsidR="00AA3E62" w:rsidRPr="00864C8D">
        <w:rPr>
          <w:rFonts w:ascii="Times New Roman" w:hAnsi="Times New Roman" w:cs="Times New Roman"/>
        </w:rPr>
        <w:t xml:space="preserve"> </w:t>
      </w:r>
      <w:r w:rsidR="00B45F4C" w:rsidRPr="00864C8D">
        <w:rPr>
          <w:rFonts w:ascii="Times New Roman" w:hAnsi="Times New Roman" w:cs="Times New Roman"/>
        </w:rPr>
        <w:t>These mechanisms operate with varying intensity across temporal phases, creating complex dynamics that shape ecosystem evolution and venture outcomes.</w:t>
      </w:r>
      <w:r w:rsidR="00B45F4C" w:rsidRPr="00940373">
        <w:rPr>
          <w:rFonts w:ascii="Times New Roman" w:hAnsi="Times New Roman" w:cs="Times New Roman"/>
          <w:color w:val="FF0000"/>
        </w:rPr>
        <w:t xml:space="preserve"> </w:t>
      </w:r>
      <w:r w:rsidR="00102477" w:rsidRPr="007048B9">
        <w:rPr>
          <w:rFonts w:ascii="Times New Roman" w:hAnsi="Times New Roman" w:cs="Times New Roman"/>
          <w:color w:val="000000" w:themeColor="text1"/>
        </w:rPr>
        <w:t>We present a synthesized version of th</w:t>
      </w:r>
      <w:r w:rsidR="00AE5056" w:rsidRPr="007048B9">
        <w:rPr>
          <w:rFonts w:ascii="Times New Roman" w:hAnsi="Times New Roman" w:cs="Times New Roman"/>
          <w:color w:val="000000" w:themeColor="text1"/>
        </w:rPr>
        <w:t>e narrative thematic</w:t>
      </w:r>
      <w:r w:rsidR="00102477" w:rsidRPr="007048B9">
        <w:rPr>
          <w:rFonts w:ascii="Times New Roman" w:hAnsi="Times New Roman" w:cs="Times New Roman"/>
          <w:color w:val="000000" w:themeColor="text1"/>
        </w:rPr>
        <w:t xml:space="preserve"> analysis in Figure 2 </w:t>
      </w:r>
      <w:r w:rsidR="00AE5056" w:rsidRPr="007048B9">
        <w:rPr>
          <w:rFonts w:ascii="Times New Roman" w:hAnsi="Times New Roman" w:cs="Times New Roman"/>
          <w:color w:val="000000" w:themeColor="text1"/>
        </w:rPr>
        <w:t xml:space="preserve">based on </w:t>
      </w:r>
      <w:r w:rsidR="0019102A" w:rsidRPr="007048B9">
        <w:rPr>
          <w:rFonts w:ascii="Times New Roman" w:hAnsi="Times New Roman" w:cs="Times New Roman"/>
          <w:color w:val="000000" w:themeColor="text1"/>
        </w:rPr>
        <w:t xml:space="preserve">100 excerpts drawn from </w:t>
      </w:r>
      <w:r w:rsidR="00AE5056" w:rsidRPr="007048B9">
        <w:rPr>
          <w:rFonts w:ascii="Times New Roman" w:hAnsi="Times New Roman" w:cs="Times New Roman"/>
          <w:color w:val="000000" w:themeColor="text1"/>
        </w:rPr>
        <w:t xml:space="preserve">archival records </w:t>
      </w:r>
      <w:r w:rsidR="0019102A" w:rsidRPr="007048B9">
        <w:rPr>
          <w:rFonts w:ascii="Times New Roman" w:hAnsi="Times New Roman" w:cs="Times New Roman"/>
          <w:color w:val="000000" w:themeColor="text1"/>
        </w:rPr>
        <w:t xml:space="preserve">involving </w:t>
      </w:r>
      <w:r w:rsidR="00AE5056" w:rsidRPr="007048B9">
        <w:rPr>
          <w:rFonts w:ascii="Times New Roman" w:hAnsi="Times New Roman" w:cs="Times New Roman"/>
          <w:color w:val="000000" w:themeColor="text1"/>
        </w:rPr>
        <w:t xml:space="preserve">platform release announcements. </w:t>
      </w:r>
      <w:r w:rsidR="000E2A62" w:rsidRPr="007048B9">
        <w:rPr>
          <w:rFonts w:ascii="Times New Roman" w:hAnsi="Times New Roman" w:cs="Times New Roman"/>
          <w:color w:val="000000" w:themeColor="text1"/>
        </w:rPr>
        <w:t xml:space="preserve">The full analysis is available as supplemental resource. </w:t>
      </w:r>
    </w:p>
    <w:p w14:paraId="59C1EF93" w14:textId="77777777" w:rsidR="005D2125" w:rsidRDefault="005D2125" w:rsidP="00250C7C">
      <w:pPr>
        <w:spacing w:after="0" w:line="480" w:lineRule="auto"/>
        <w:ind w:firstLine="720"/>
        <w:jc w:val="both"/>
        <w:rPr>
          <w:rFonts w:ascii="Times New Roman" w:hAnsi="Times New Roman" w:cs="Times New Roman"/>
          <w:color w:val="000000" w:themeColor="text1"/>
        </w:rPr>
      </w:pPr>
    </w:p>
    <w:p w14:paraId="0FDE0DF0" w14:textId="77777777" w:rsidR="00E5675E" w:rsidRDefault="00E5675E" w:rsidP="00250C7C">
      <w:pPr>
        <w:spacing w:after="0" w:line="480" w:lineRule="auto"/>
        <w:ind w:firstLine="720"/>
        <w:jc w:val="both"/>
        <w:rPr>
          <w:rFonts w:ascii="Times New Roman" w:hAnsi="Times New Roman" w:cs="Times New Roman"/>
          <w:color w:val="000000" w:themeColor="text1"/>
        </w:rPr>
      </w:pPr>
    </w:p>
    <w:p w14:paraId="4EC76DFF" w14:textId="77777777" w:rsidR="00E5675E" w:rsidRDefault="00E5675E" w:rsidP="00250C7C">
      <w:pPr>
        <w:spacing w:after="0" w:line="480" w:lineRule="auto"/>
        <w:ind w:firstLine="720"/>
        <w:jc w:val="both"/>
        <w:rPr>
          <w:rFonts w:ascii="Times New Roman" w:hAnsi="Times New Roman" w:cs="Times New Roman"/>
          <w:color w:val="000000" w:themeColor="text1"/>
        </w:rPr>
      </w:pPr>
    </w:p>
    <w:p w14:paraId="7A307DF4" w14:textId="77777777" w:rsidR="00E5675E" w:rsidRDefault="00E5675E" w:rsidP="00250C7C">
      <w:pPr>
        <w:spacing w:after="0" w:line="480" w:lineRule="auto"/>
        <w:ind w:firstLine="720"/>
        <w:jc w:val="both"/>
        <w:rPr>
          <w:rFonts w:ascii="Times New Roman" w:hAnsi="Times New Roman" w:cs="Times New Roman"/>
          <w:color w:val="000000" w:themeColor="text1"/>
        </w:rPr>
      </w:pPr>
    </w:p>
    <w:p w14:paraId="57A75CAE" w14:textId="77777777" w:rsidR="00E5675E" w:rsidRDefault="00E5675E" w:rsidP="00250C7C">
      <w:pPr>
        <w:spacing w:after="0" w:line="480" w:lineRule="auto"/>
        <w:ind w:firstLine="720"/>
        <w:jc w:val="both"/>
        <w:rPr>
          <w:rFonts w:ascii="Times New Roman" w:hAnsi="Times New Roman" w:cs="Times New Roman"/>
          <w:color w:val="000000" w:themeColor="text1"/>
        </w:rPr>
      </w:pPr>
    </w:p>
    <w:p w14:paraId="4529F418" w14:textId="77777777" w:rsidR="00E5675E" w:rsidRDefault="00E5675E" w:rsidP="00250C7C">
      <w:pPr>
        <w:spacing w:after="0" w:line="480" w:lineRule="auto"/>
        <w:ind w:firstLine="720"/>
        <w:jc w:val="both"/>
        <w:rPr>
          <w:rFonts w:ascii="Times New Roman" w:hAnsi="Times New Roman" w:cs="Times New Roman"/>
          <w:color w:val="000000" w:themeColor="text1"/>
        </w:rPr>
      </w:pPr>
    </w:p>
    <w:p w14:paraId="31B7F92B" w14:textId="77777777" w:rsidR="00E5675E" w:rsidRDefault="00E5675E" w:rsidP="00250C7C">
      <w:pPr>
        <w:spacing w:after="0" w:line="480" w:lineRule="auto"/>
        <w:ind w:firstLine="720"/>
        <w:jc w:val="both"/>
        <w:rPr>
          <w:rFonts w:ascii="Times New Roman" w:hAnsi="Times New Roman" w:cs="Times New Roman"/>
          <w:color w:val="000000" w:themeColor="text1"/>
        </w:rPr>
      </w:pPr>
    </w:p>
    <w:p w14:paraId="56FF2FF4"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19954A10"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31179813"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1FAEB33D"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174FE4E4"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550FECC8"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7739C5E7"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4BACBDDA"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31EC1C07"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65D0117B"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56ED1DC8" w14:textId="77777777" w:rsidR="00661EE5" w:rsidRDefault="00661EE5" w:rsidP="00250C7C">
      <w:pPr>
        <w:spacing w:after="0" w:line="480" w:lineRule="auto"/>
        <w:ind w:firstLine="720"/>
        <w:jc w:val="both"/>
        <w:rPr>
          <w:rFonts w:ascii="Times New Roman" w:hAnsi="Times New Roman" w:cs="Times New Roman"/>
          <w:color w:val="000000" w:themeColor="text1"/>
        </w:rPr>
      </w:pPr>
    </w:p>
    <w:p w14:paraId="5F2937AF" w14:textId="439481BF" w:rsidR="005210BC" w:rsidRPr="007048B9" w:rsidRDefault="0019102A" w:rsidP="007048B9">
      <w:pPr>
        <w:spacing w:after="0" w:line="240" w:lineRule="auto"/>
        <w:jc w:val="center"/>
        <w:rPr>
          <w:rFonts w:ascii="Times New Roman" w:hAnsi="Times New Roman" w:cs="Times New Roman"/>
          <w:b/>
          <w:bCs/>
          <w:color w:val="000000" w:themeColor="text1"/>
        </w:rPr>
      </w:pPr>
      <w:r w:rsidRPr="007048B9">
        <w:rPr>
          <w:rFonts w:ascii="Times New Roman" w:hAnsi="Times New Roman" w:cs="Times New Roman"/>
          <w:b/>
          <w:bCs/>
          <w:color w:val="000000" w:themeColor="text1"/>
        </w:rPr>
        <w:lastRenderedPageBreak/>
        <w:t xml:space="preserve">Figure 2. </w:t>
      </w:r>
      <w:r w:rsidRPr="007048B9">
        <w:rPr>
          <w:rFonts w:ascii="Times New Roman" w:hAnsi="Times New Roman" w:cs="Times New Roman"/>
          <w:color w:val="000000" w:themeColor="text1"/>
        </w:rPr>
        <w:t>S</w:t>
      </w:r>
      <w:r w:rsidR="00F52C31">
        <w:rPr>
          <w:rFonts w:ascii="Times New Roman" w:hAnsi="Times New Roman" w:cs="Times New Roman"/>
          <w:color w:val="000000" w:themeColor="text1"/>
        </w:rPr>
        <w:t>ynthesized</w:t>
      </w:r>
      <w:r w:rsidRPr="007048B9">
        <w:rPr>
          <w:rFonts w:ascii="Times New Roman" w:hAnsi="Times New Roman" w:cs="Times New Roman"/>
          <w:color w:val="000000" w:themeColor="text1"/>
        </w:rPr>
        <w:t xml:space="preserve"> Thematic Narrative Analysis</w:t>
      </w:r>
      <w:r w:rsidR="007048B9" w:rsidRPr="007048B9">
        <w:rPr>
          <w:rFonts w:ascii="Times New Roman" w:hAnsi="Times New Roman" w:cs="Times New Roman"/>
          <w:b/>
          <w:bCs/>
          <w:color w:val="000000" w:themeColor="text1"/>
        </w:rPr>
        <w:t xml:space="preserve"> </w:t>
      </w:r>
    </w:p>
    <w:p w14:paraId="499D9B4E" w14:textId="4EAC0790" w:rsidR="005210BC" w:rsidRDefault="005210BC" w:rsidP="005210BC">
      <w:pPr>
        <w:spacing w:after="0" w:line="480" w:lineRule="auto"/>
        <w:jc w:val="center"/>
        <w:rPr>
          <w:rFonts w:ascii="Times New Roman" w:hAnsi="Times New Roman" w:cs="Times New Roman"/>
          <w:color w:val="FF0000"/>
        </w:rPr>
      </w:pPr>
      <w:r>
        <w:rPr>
          <w:rFonts w:ascii="Times New Roman" w:hAnsi="Times New Roman" w:cs="Times New Roman"/>
          <w:noProof/>
          <w:color w:val="FF0000"/>
        </w:rPr>
        <w:drawing>
          <wp:inline distT="0" distB="0" distL="0" distR="0" wp14:anchorId="38AAF4A8" wp14:editId="3948F940">
            <wp:extent cx="5758671" cy="8666010"/>
            <wp:effectExtent l="0" t="0" r="0" b="1905"/>
            <wp:docPr id="7372519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251948"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5758671" cy="8666010"/>
                    </a:xfrm>
                    <a:prstGeom prst="rect">
                      <a:avLst/>
                    </a:prstGeom>
                  </pic:spPr>
                </pic:pic>
              </a:graphicData>
            </a:graphic>
          </wp:inline>
        </w:drawing>
      </w:r>
    </w:p>
    <w:p w14:paraId="52CA44D6" w14:textId="2D8F3319" w:rsidR="004B389B" w:rsidRPr="00864C8D" w:rsidRDefault="004100BB" w:rsidP="005A25CA">
      <w:pPr>
        <w:spacing w:after="0" w:line="480" w:lineRule="auto"/>
        <w:jc w:val="both"/>
        <w:rPr>
          <w:rFonts w:ascii="Times New Roman" w:hAnsi="Times New Roman" w:cs="Times New Roman"/>
        </w:rPr>
      </w:pPr>
      <w:r>
        <w:rPr>
          <w:rFonts w:ascii="Times New Roman" w:hAnsi="Times New Roman" w:cs="Times New Roman"/>
        </w:rPr>
        <w:lastRenderedPageBreak/>
        <w:t xml:space="preserve">We support the analysis with </w:t>
      </w:r>
      <w:r w:rsidR="00A6039A">
        <w:rPr>
          <w:rFonts w:ascii="Times New Roman" w:hAnsi="Times New Roman" w:cs="Times New Roman"/>
        </w:rPr>
        <w:t>Appendix C</w:t>
      </w:r>
      <w:r>
        <w:rPr>
          <w:rFonts w:ascii="Times New Roman" w:hAnsi="Times New Roman" w:cs="Times New Roman"/>
        </w:rPr>
        <w:t>/</w:t>
      </w:r>
      <w:r w:rsidR="00A6039A">
        <w:rPr>
          <w:rFonts w:ascii="Times New Roman" w:hAnsi="Times New Roman" w:cs="Times New Roman"/>
        </w:rPr>
        <w:t xml:space="preserve">Graph 1 </w:t>
      </w:r>
      <w:r>
        <w:rPr>
          <w:rFonts w:ascii="Times New Roman" w:hAnsi="Times New Roman" w:cs="Times New Roman"/>
        </w:rPr>
        <w:t xml:space="preserve">which </w:t>
      </w:r>
      <w:r w:rsidR="00F53464">
        <w:rPr>
          <w:rFonts w:ascii="Times New Roman" w:hAnsi="Times New Roman" w:cs="Times New Roman"/>
        </w:rPr>
        <w:t>visually demonstrates</w:t>
      </w:r>
      <w:r w:rsidR="00BF1748" w:rsidRPr="00864C8D">
        <w:rPr>
          <w:rFonts w:ascii="Times New Roman" w:hAnsi="Times New Roman" w:cs="Times New Roman"/>
        </w:rPr>
        <w:t xml:space="preserve"> </w:t>
      </w:r>
      <w:r w:rsidR="004B389B" w:rsidRPr="00864C8D">
        <w:rPr>
          <w:rFonts w:ascii="Times New Roman" w:hAnsi="Times New Roman" w:cs="Times New Roman"/>
        </w:rPr>
        <w:t xml:space="preserve">the relative </w:t>
      </w:r>
      <w:r w:rsidR="00F53464">
        <w:rPr>
          <w:rFonts w:ascii="Times New Roman" w:hAnsi="Times New Roman" w:cs="Times New Roman"/>
        </w:rPr>
        <w:t>significance</w:t>
      </w:r>
      <w:r w:rsidR="004B389B" w:rsidRPr="00864C8D">
        <w:rPr>
          <w:rFonts w:ascii="Times New Roman" w:hAnsi="Times New Roman" w:cs="Times New Roman"/>
        </w:rPr>
        <w:t xml:space="preserve"> of each institutional catalyst mechanism based on our systematic coding of platform releases</w:t>
      </w:r>
      <w:r w:rsidR="00A37899">
        <w:rPr>
          <w:rFonts w:ascii="Times New Roman" w:hAnsi="Times New Roman" w:cs="Times New Roman"/>
        </w:rPr>
        <w:t xml:space="preserve">. </w:t>
      </w:r>
      <w:r w:rsidR="004B389B" w:rsidRPr="00864C8D">
        <w:rPr>
          <w:rFonts w:ascii="Times New Roman" w:hAnsi="Times New Roman" w:cs="Times New Roman"/>
          <w:i/>
          <w:iCs/>
        </w:rPr>
        <w:t>Capability Scaffolding</w:t>
      </w:r>
      <w:r w:rsidR="004B389B" w:rsidRPr="00864C8D">
        <w:rPr>
          <w:rFonts w:ascii="Times New Roman" w:hAnsi="Times New Roman" w:cs="Times New Roman"/>
        </w:rPr>
        <w:t xml:space="preserve"> emerges as the dominant mechanism, accounting for 43.6% of coded excerpts, reflecting the platform's evolution from basic infrastructure provider to sophisticated capability enabler. </w:t>
      </w:r>
      <w:r w:rsidR="004B389B" w:rsidRPr="00864C8D">
        <w:rPr>
          <w:rFonts w:ascii="Times New Roman" w:hAnsi="Times New Roman" w:cs="Times New Roman"/>
          <w:i/>
          <w:iCs/>
        </w:rPr>
        <w:t>Infrastructure Provision</w:t>
      </w:r>
      <w:r w:rsidR="004B389B" w:rsidRPr="00864C8D">
        <w:rPr>
          <w:rFonts w:ascii="Times New Roman" w:hAnsi="Times New Roman" w:cs="Times New Roman"/>
        </w:rPr>
        <w:t xml:space="preserve"> accounts for 27.0% of excerpts, establishing the foundational role of computational resource democratization. </w:t>
      </w:r>
      <w:r w:rsidR="004B389B" w:rsidRPr="00864C8D">
        <w:rPr>
          <w:rFonts w:ascii="Times New Roman" w:hAnsi="Times New Roman" w:cs="Times New Roman"/>
          <w:i/>
          <w:iCs/>
        </w:rPr>
        <w:t>Market Legitimization</w:t>
      </w:r>
      <w:r w:rsidR="004B389B" w:rsidRPr="00864C8D">
        <w:rPr>
          <w:rFonts w:ascii="Times New Roman" w:hAnsi="Times New Roman" w:cs="Times New Roman"/>
        </w:rPr>
        <w:t xml:space="preserve"> (15.2%) and </w:t>
      </w:r>
      <w:r w:rsidR="004B389B" w:rsidRPr="00864C8D">
        <w:rPr>
          <w:rFonts w:ascii="Times New Roman" w:hAnsi="Times New Roman" w:cs="Times New Roman"/>
          <w:i/>
          <w:iCs/>
        </w:rPr>
        <w:t>Ecosystem Orchestration</w:t>
      </w:r>
      <w:r w:rsidR="004B389B" w:rsidRPr="00864C8D">
        <w:rPr>
          <w:rFonts w:ascii="Times New Roman" w:hAnsi="Times New Roman" w:cs="Times New Roman"/>
        </w:rPr>
        <w:t xml:space="preserve"> (14.2%) represent more specialized mechanisms that become prominent during later phases of platform evolution.</w:t>
      </w:r>
      <w:r w:rsidR="00CD59CA" w:rsidRPr="00864C8D">
        <w:rPr>
          <w:rFonts w:ascii="Times New Roman" w:hAnsi="Times New Roman" w:cs="Times New Roman"/>
        </w:rPr>
        <w:t xml:space="preserve"> These mechanisms </w:t>
      </w:r>
      <w:r w:rsidR="008D3B63" w:rsidRPr="00864C8D">
        <w:rPr>
          <w:rFonts w:ascii="Times New Roman" w:hAnsi="Times New Roman" w:cs="Times New Roman"/>
        </w:rPr>
        <w:t xml:space="preserve">materialize the generativity of platform technology and the </w:t>
      </w:r>
      <w:proofErr w:type="spellStart"/>
      <w:r w:rsidR="008D3B63" w:rsidRPr="00864C8D">
        <w:rPr>
          <w:rFonts w:ascii="Times New Roman" w:hAnsi="Times New Roman" w:cs="Times New Roman"/>
        </w:rPr>
        <w:t>recombinatorial</w:t>
      </w:r>
      <w:proofErr w:type="spellEnd"/>
      <w:r w:rsidR="008D3B63" w:rsidRPr="00864C8D">
        <w:rPr>
          <w:rFonts w:ascii="Times New Roman" w:hAnsi="Times New Roman" w:cs="Times New Roman"/>
        </w:rPr>
        <w:t xml:space="preserve"> innovations they enable (Yoo et al., 2012). </w:t>
      </w:r>
    </w:p>
    <w:p w14:paraId="3534782E" w14:textId="5E20A143" w:rsidR="008B14CA" w:rsidRPr="00864C8D" w:rsidRDefault="00824336" w:rsidP="00AF6A24">
      <w:pPr>
        <w:pStyle w:val="Heading2"/>
        <w:spacing w:before="0" w:after="0" w:line="480" w:lineRule="auto"/>
        <w:rPr>
          <w:rFonts w:cs="Times New Roman"/>
        </w:rPr>
      </w:pPr>
      <w:r w:rsidRPr="00864C8D">
        <w:rPr>
          <w:rFonts w:cs="Times New Roman"/>
        </w:rPr>
        <w:t>Institutional Catalyst Mechanisms</w:t>
      </w:r>
      <w:r w:rsidR="00C62435" w:rsidRPr="00864C8D">
        <w:rPr>
          <w:rFonts w:cs="Times New Roman"/>
        </w:rPr>
        <w:t xml:space="preserve"> &amp; Temporal Emergence </w:t>
      </w:r>
      <w:r w:rsidRPr="00864C8D">
        <w:rPr>
          <w:rFonts w:cs="Times New Roman"/>
        </w:rPr>
        <w:t xml:space="preserve"> </w:t>
      </w:r>
    </w:p>
    <w:p w14:paraId="16A8163B" w14:textId="742160E1" w:rsidR="00354763" w:rsidRDefault="00824336" w:rsidP="00354763">
      <w:pPr>
        <w:spacing w:after="0" w:line="480" w:lineRule="auto"/>
        <w:ind w:firstLine="720"/>
        <w:jc w:val="both"/>
        <w:rPr>
          <w:rFonts w:ascii="Times New Roman" w:hAnsi="Times New Roman" w:cs="Times New Roman"/>
        </w:rPr>
      </w:pPr>
      <w:r w:rsidRPr="00864C8D">
        <w:rPr>
          <w:rFonts w:ascii="Times New Roman" w:hAnsi="Times New Roman" w:cs="Times New Roman"/>
        </w:rPr>
        <w:t>As the temporal order in which mechanisms emerge is critical in establishing their efficient causes</w:t>
      </w:r>
      <w:r w:rsidR="00F03113" w:rsidRPr="00864C8D">
        <w:rPr>
          <w:rFonts w:ascii="Times New Roman" w:hAnsi="Times New Roman" w:cs="Times New Roman"/>
        </w:rPr>
        <w:t xml:space="preserve"> (Van de Ven &amp; Engleman, 2004)</w:t>
      </w:r>
      <w:r w:rsidRPr="00864C8D">
        <w:rPr>
          <w:rFonts w:ascii="Times New Roman" w:hAnsi="Times New Roman" w:cs="Times New Roman"/>
        </w:rPr>
        <w:t xml:space="preserve">, we </w:t>
      </w:r>
      <w:r w:rsidR="008D5866" w:rsidRPr="00864C8D">
        <w:rPr>
          <w:rFonts w:ascii="Times New Roman" w:hAnsi="Times New Roman" w:cs="Times New Roman"/>
        </w:rPr>
        <w:t>conduct a granular</w:t>
      </w:r>
      <w:r w:rsidR="00ED1D8B" w:rsidRPr="00864C8D">
        <w:rPr>
          <w:rFonts w:ascii="Times New Roman" w:hAnsi="Times New Roman" w:cs="Times New Roman"/>
        </w:rPr>
        <w:t xml:space="preserve"> analysis and</w:t>
      </w:r>
      <w:r w:rsidR="008D5866" w:rsidRPr="00864C8D">
        <w:rPr>
          <w:rFonts w:ascii="Times New Roman" w:hAnsi="Times New Roman" w:cs="Times New Roman"/>
        </w:rPr>
        <w:t xml:space="preserve"> interpretation of temporality and institutional mechanisms. </w:t>
      </w:r>
      <w:r w:rsidR="00037CFE">
        <w:rPr>
          <w:rFonts w:ascii="Times New Roman" w:hAnsi="Times New Roman" w:cs="Times New Roman"/>
        </w:rPr>
        <w:t>We conduct</w:t>
      </w:r>
      <w:r w:rsidR="00037CFE" w:rsidRPr="00037CFE">
        <w:rPr>
          <w:rFonts w:ascii="Times New Roman" w:hAnsi="Times New Roman" w:cs="Times New Roman"/>
        </w:rPr>
        <w:t xml:space="preserve"> sentiment analyses </w:t>
      </w:r>
      <w:r w:rsidR="00037CFE">
        <w:rPr>
          <w:rFonts w:ascii="Times New Roman" w:hAnsi="Times New Roman" w:cs="Times New Roman"/>
        </w:rPr>
        <w:t xml:space="preserve">which </w:t>
      </w:r>
      <w:r w:rsidR="00037CFE" w:rsidRPr="00037CFE">
        <w:rPr>
          <w:rFonts w:ascii="Times New Roman" w:hAnsi="Times New Roman" w:cs="Times New Roman"/>
        </w:rPr>
        <w:t>serve to triangulate platform releases with the community’s reaction</w:t>
      </w:r>
      <w:r w:rsidR="00037CFE">
        <w:rPr>
          <w:rFonts w:ascii="Times New Roman" w:hAnsi="Times New Roman" w:cs="Times New Roman"/>
        </w:rPr>
        <w:t xml:space="preserve">s </w:t>
      </w:r>
      <w:r w:rsidR="00037CFE" w:rsidRPr="00037CFE">
        <w:rPr>
          <w:rFonts w:ascii="Times New Roman" w:hAnsi="Times New Roman" w:cs="Times New Roman"/>
        </w:rPr>
        <w:t xml:space="preserve">and concerns overtime. As these mechanisms are best understood in their situational and temporal contexts, we subsequently interpret them as such. </w:t>
      </w:r>
      <w:r w:rsidR="00354763" w:rsidRPr="00864C8D">
        <w:rPr>
          <w:rFonts w:ascii="Times New Roman" w:hAnsi="Times New Roman" w:cs="Times New Roman"/>
        </w:rPr>
        <w:t xml:space="preserve">Figure </w:t>
      </w:r>
      <w:r w:rsidR="005A25CA">
        <w:rPr>
          <w:rFonts w:ascii="Times New Roman" w:hAnsi="Times New Roman" w:cs="Times New Roman"/>
        </w:rPr>
        <w:t>3</w:t>
      </w:r>
      <w:r w:rsidR="00354763" w:rsidRPr="00864C8D">
        <w:rPr>
          <w:rFonts w:ascii="Times New Roman" w:hAnsi="Times New Roman" w:cs="Times New Roman"/>
        </w:rPr>
        <w:t xml:space="preserve"> </w:t>
      </w:r>
      <w:r w:rsidR="00354763">
        <w:rPr>
          <w:rFonts w:ascii="Times New Roman" w:hAnsi="Times New Roman" w:cs="Times New Roman"/>
        </w:rPr>
        <w:t>below</w:t>
      </w:r>
      <w:r w:rsidR="00354763" w:rsidRPr="00864C8D">
        <w:rPr>
          <w:rFonts w:ascii="Times New Roman" w:hAnsi="Times New Roman" w:cs="Times New Roman"/>
        </w:rPr>
        <w:t xml:space="preserve"> provides a comprehensive overview of sentiment evolution across the complete study period, revealing the dramatic shift from foundation-era enthusiasm to crisis-era backlash. </w:t>
      </w:r>
    </w:p>
    <w:p w14:paraId="12FAAFB5" w14:textId="77777777" w:rsidR="005A25CA" w:rsidRDefault="005A25CA" w:rsidP="00354763">
      <w:pPr>
        <w:spacing w:after="0" w:line="480" w:lineRule="auto"/>
        <w:ind w:firstLine="720"/>
        <w:jc w:val="both"/>
        <w:rPr>
          <w:rFonts w:ascii="Times New Roman" w:hAnsi="Times New Roman" w:cs="Times New Roman"/>
        </w:rPr>
      </w:pPr>
    </w:p>
    <w:p w14:paraId="6F0D9E46" w14:textId="77777777" w:rsidR="005A25CA" w:rsidRDefault="005A25CA" w:rsidP="00354763">
      <w:pPr>
        <w:spacing w:after="0" w:line="480" w:lineRule="auto"/>
        <w:ind w:firstLine="720"/>
        <w:jc w:val="both"/>
        <w:rPr>
          <w:rFonts w:ascii="Times New Roman" w:hAnsi="Times New Roman" w:cs="Times New Roman"/>
        </w:rPr>
      </w:pPr>
    </w:p>
    <w:p w14:paraId="0CE979C3" w14:textId="77777777" w:rsidR="005A25CA" w:rsidRDefault="005A25CA" w:rsidP="00354763">
      <w:pPr>
        <w:spacing w:after="0" w:line="480" w:lineRule="auto"/>
        <w:ind w:firstLine="720"/>
        <w:jc w:val="both"/>
        <w:rPr>
          <w:rFonts w:ascii="Times New Roman" w:hAnsi="Times New Roman" w:cs="Times New Roman"/>
        </w:rPr>
      </w:pPr>
    </w:p>
    <w:p w14:paraId="7C1A656C" w14:textId="77777777" w:rsidR="005A25CA" w:rsidRDefault="005A25CA" w:rsidP="00354763">
      <w:pPr>
        <w:spacing w:after="0" w:line="480" w:lineRule="auto"/>
        <w:ind w:firstLine="720"/>
        <w:jc w:val="both"/>
        <w:rPr>
          <w:rFonts w:ascii="Times New Roman" w:hAnsi="Times New Roman" w:cs="Times New Roman"/>
        </w:rPr>
      </w:pPr>
    </w:p>
    <w:p w14:paraId="0EE29E22" w14:textId="77777777" w:rsidR="005A25CA" w:rsidRDefault="005A25CA" w:rsidP="00354763">
      <w:pPr>
        <w:spacing w:after="0" w:line="480" w:lineRule="auto"/>
        <w:ind w:firstLine="720"/>
        <w:jc w:val="both"/>
        <w:rPr>
          <w:rFonts w:ascii="Times New Roman" w:hAnsi="Times New Roman" w:cs="Times New Roman"/>
        </w:rPr>
      </w:pPr>
    </w:p>
    <w:p w14:paraId="744E0FB6" w14:textId="77777777" w:rsidR="005A25CA" w:rsidRPr="00864C8D" w:rsidRDefault="005A25CA" w:rsidP="00354763">
      <w:pPr>
        <w:spacing w:after="0" w:line="480" w:lineRule="auto"/>
        <w:ind w:firstLine="720"/>
        <w:jc w:val="both"/>
        <w:rPr>
          <w:rFonts w:ascii="Times New Roman" w:hAnsi="Times New Roman" w:cs="Times New Roman"/>
        </w:rPr>
      </w:pPr>
    </w:p>
    <w:p w14:paraId="33091E9F" w14:textId="5B371801" w:rsidR="00354763" w:rsidRPr="00864C8D" w:rsidRDefault="00354763" w:rsidP="00354763">
      <w:pPr>
        <w:spacing w:after="0" w:line="360" w:lineRule="auto"/>
        <w:jc w:val="center"/>
        <w:rPr>
          <w:rFonts w:ascii="Times New Roman" w:hAnsi="Times New Roman" w:cs="Times New Roman"/>
        </w:rPr>
      </w:pPr>
      <w:r w:rsidRPr="00864C8D">
        <w:rPr>
          <w:rFonts w:ascii="Times New Roman" w:hAnsi="Times New Roman" w:cs="Times New Roman"/>
          <w:b/>
          <w:bCs/>
        </w:rPr>
        <w:lastRenderedPageBreak/>
        <w:t xml:space="preserve">Figure </w:t>
      </w:r>
      <w:r w:rsidR="005A25CA">
        <w:rPr>
          <w:rFonts w:ascii="Times New Roman" w:hAnsi="Times New Roman" w:cs="Times New Roman"/>
          <w:b/>
          <w:bCs/>
        </w:rPr>
        <w:t>3</w:t>
      </w:r>
      <w:r w:rsidRPr="00864C8D">
        <w:rPr>
          <w:rFonts w:ascii="Times New Roman" w:hAnsi="Times New Roman" w:cs="Times New Roman"/>
          <w:b/>
          <w:bCs/>
        </w:rPr>
        <w:t>.</w:t>
      </w:r>
      <w:r w:rsidRPr="00864C8D">
        <w:rPr>
          <w:rFonts w:ascii="Times New Roman" w:hAnsi="Times New Roman" w:cs="Times New Roman"/>
        </w:rPr>
        <w:t xml:space="preserve"> Temporal Sentiment Evolution (2020-2025)</w:t>
      </w:r>
    </w:p>
    <w:p w14:paraId="470F9C20" w14:textId="44E04EFD" w:rsidR="00080FEC" w:rsidRDefault="00080FEC" w:rsidP="00D479FD">
      <w:pPr>
        <w:spacing w:after="0" w:line="360" w:lineRule="auto"/>
        <w:jc w:val="center"/>
        <w:rPr>
          <w:rFonts w:ascii="Times New Roman" w:hAnsi="Times New Roman" w:cs="Times New Roman"/>
        </w:rPr>
      </w:pPr>
      <w:r>
        <w:rPr>
          <w:rFonts w:ascii="Times New Roman" w:hAnsi="Times New Roman" w:cs="Times New Roman"/>
          <w:noProof/>
        </w:rPr>
        <w:drawing>
          <wp:inline distT="0" distB="0" distL="0" distR="0" wp14:anchorId="6C431626" wp14:editId="4A44CC43">
            <wp:extent cx="4693474" cy="4348716"/>
            <wp:effectExtent l="0" t="0" r="0" b="0"/>
            <wp:docPr id="5400099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009928" name="Picture 540009928"/>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710604" cy="4364588"/>
                    </a:xfrm>
                    <a:prstGeom prst="rect">
                      <a:avLst/>
                    </a:prstGeom>
                  </pic:spPr>
                </pic:pic>
              </a:graphicData>
            </a:graphic>
          </wp:inline>
        </w:drawing>
      </w:r>
    </w:p>
    <w:p w14:paraId="2D201283" w14:textId="364D560F" w:rsidR="00824336" w:rsidRDefault="00080FEC" w:rsidP="008B5709">
      <w:pPr>
        <w:spacing w:after="0" w:line="480" w:lineRule="auto"/>
        <w:jc w:val="both"/>
        <w:rPr>
          <w:rFonts w:ascii="Times New Roman" w:hAnsi="Times New Roman" w:cs="Times New Roman"/>
        </w:rPr>
      </w:pPr>
      <w:r w:rsidRPr="00864C8D">
        <w:rPr>
          <w:rFonts w:ascii="Times New Roman" w:hAnsi="Times New Roman" w:cs="Times New Roman"/>
        </w:rPr>
        <w:t xml:space="preserve">The temporal phases are clearly demarcated, with phase boundaries marked by vertical lines that correspond to major platform governance transitions. </w:t>
      </w:r>
      <w:r w:rsidR="009737B7">
        <w:rPr>
          <w:rFonts w:ascii="Times New Roman" w:hAnsi="Times New Roman" w:cs="Times New Roman"/>
        </w:rPr>
        <w:t>The</w:t>
      </w:r>
      <w:r w:rsidRPr="00864C8D">
        <w:rPr>
          <w:rFonts w:ascii="Times New Roman" w:hAnsi="Times New Roman" w:cs="Times New Roman"/>
        </w:rPr>
        <w:t xml:space="preserve"> </w:t>
      </w:r>
      <w:r w:rsidR="00E063CA">
        <w:rPr>
          <w:rFonts w:ascii="Times New Roman" w:hAnsi="Times New Roman" w:cs="Times New Roman"/>
        </w:rPr>
        <w:t>coded</w:t>
      </w:r>
      <w:r w:rsidRPr="00864C8D">
        <w:rPr>
          <w:rFonts w:ascii="Times New Roman" w:hAnsi="Times New Roman" w:cs="Times New Roman"/>
        </w:rPr>
        <w:t xml:space="preserve"> scatter points reveal the clustering of sentiment patterns within each temporal phase. This visualization establishes the empirical foundation for our phase-by-phase analysis and demonstrates the temporal instability of PDE relationships.</w:t>
      </w:r>
      <w:r w:rsidR="00870C9D">
        <w:rPr>
          <w:rFonts w:ascii="Times New Roman" w:hAnsi="Times New Roman" w:cs="Times New Roman"/>
        </w:rPr>
        <w:t xml:space="preserve"> Meanwhile, </w:t>
      </w:r>
      <w:r w:rsidR="001E56A0" w:rsidRPr="001E56A0">
        <w:rPr>
          <w:rFonts w:ascii="Times New Roman" w:hAnsi="Times New Roman" w:cs="Times New Roman"/>
        </w:rPr>
        <w:t xml:space="preserve">Figure </w:t>
      </w:r>
      <w:r w:rsidR="00E063CA">
        <w:rPr>
          <w:rFonts w:ascii="Times New Roman" w:hAnsi="Times New Roman" w:cs="Times New Roman"/>
        </w:rPr>
        <w:t>4</w:t>
      </w:r>
      <w:r w:rsidR="001E56A0" w:rsidRPr="001E56A0">
        <w:rPr>
          <w:rFonts w:ascii="Times New Roman" w:hAnsi="Times New Roman" w:cs="Times New Roman"/>
        </w:rPr>
        <w:t xml:space="preserve"> </w:t>
      </w:r>
      <w:r w:rsidR="00870C9D">
        <w:rPr>
          <w:rFonts w:ascii="Times New Roman" w:hAnsi="Times New Roman" w:cs="Times New Roman"/>
        </w:rPr>
        <w:t>expands on</w:t>
      </w:r>
      <w:r w:rsidR="001E56A0" w:rsidRPr="001E56A0">
        <w:rPr>
          <w:rFonts w:ascii="Times New Roman" w:hAnsi="Times New Roman" w:cs="Times New Roman"/>
        </w:rPr>
        <w:t xml:space="preserve"> the average sentiment change over various phases on the left side, with the right side showing the evolution of theoretical constructs</w:t>
      </w:r>
      <w:r w:rsidR="008711DA">
        <w:rPr>
          <w:rFonts w:ascii="Times New Roman" w:hAnsi="Times New Roman" w:cs="Times New Roman"/>
        </w:rPr>
        <w:t xml:space="preserve"> that capture community concerns</w:t>
      </w:r>
      <w:r w:rsidR="001E56A0" w:rsidRPr="001E56A0">
        <w:rPr>
          <w:rFonts w:ascii="Times New Roman" w:hAnsi="Times New Roman" w:cs="Times New Roman"/>
        </w:rPr>
        <w:t>.</w:t>
      </w:r>
      <w:r w:rsidR="001E56A0">
        <w:rPr>
          <w:rFonts w:ascii="Times New Roman" w:hAnsi="Times New Roman" w:cs="Times New Roman"/>
        </w:rPr>
        <w:t xml:space="preserve"> </w:t>
      </w:r>
    </w:p>
    <w:p w14:paraId="3FDBBA9E" w14:textId="77777777" w:rsidR="0090633E" w:rsidRDefault="0090633E" w:rsidP="008B5709">
      <w:pPr>
        <w:spacing w:after="0" w:line="480" w:lineRule="auto"/>
        <w:jc w:val="both"/>
        <w:rPr>
          <w:rFonts w:ascii="Times New Roman" w:hAnsi="Times New Roman" w:cs="Times New Roman"/>
        </w:rPr>
      </w:pPr>
    </w:p>
    <w:p w14:paraId="05250BDF" w14:textId="77777777" w:rsidR="0090633E" w:rsidRDefault="0090633E" w:rsidP="008B5709">
      <w:pPr>
        <w:spacing w:after="0" w:line="480" w:lineRule="auto"/>
        <w:jc w:val="both"/>
        <w:rPr>
          <w:rFonts w:ascii="Times New Roman" w:hAnsi="Times New Roman" w:cs="Times New Roman"/>
        </w:rPr>
      </w:pPr>
    </w:p>
    <w:p w14:paraId="6AAE9FE9" w14:textId="77777777" w:rsidR="0090633E" w:rsidRDefault="0090633E" w:rsidP="008B5709">
      <w:pPr>
        <w:spacing w:after="0" w:line="480" w:lineRule="auto"/>
        <w:jc w:val="both"/>
        <w:rPr>
          <w:rFonts w:ascii="Times New Roman" w:hAnsi="Times New Roman" w:cs="Times New Roman"/>
        </w:rPr>
      </w:pPr>
    </w:p>
    <w:p w14:paraId="62F5675F" w14:textId="77777777" w:rsidR="0090633E" w:rsidRDefault="0090633E" w:rsidP="008B5709">
      <w:pPr>
        <w:spacing w:after="0" w:line="480" w:lineRule="auto"/>
        <w:jc w:val="both"/>
        <w:rPr>
          <w:rFonts w:ascii="Times New Roman" w:hAnsi="Times New Roman" w:cs="Times New Roman"/>
        </w:rPr>
      </w:pPr>
    </w:p>
    <w:p w14:paraId="3432D13F" w14:textId="77777777" w:rsidR="0090633E" w:rsidRDefault="0090633E" w:rsidP="008B5709">
      <w:pPr>
        <w:spacing w:after="0" w:line="480" w:lineRule="auto"/>
        <w:jc w:val="both"/>
        <w:rPr>
          <w:rFonts w:ascii="Times New Roman" w:hAnsi="Times New Roman" w:cs="Times New Roman"/>
        </w:rPr>
      </w:pPr>
    </w:p>
    <w:p w14:paraId="21F6F26B" w14:textId="7CD044C3" w:rsidR="006002A8" w:rsidRPr="00864C8D" w:rsidRDefault="00FB4496" w:rsidP="00FB4496">
      <w:pPr>
        <w:spacing w:after="0" w:line="240" w:lineRule="auto"/>
        <w:jc w:val="center"/>
        <w:rPr>
          <w:rFonts w:ascii="Times New Roman" w:hAnsi="Times New Roman" w:cs="Times New Roman"/>
        </w:rPr>
      </w:pPr>
      <w:r w:rsidRPr="00864C8D">
        <w:rPr>
          <w:rFonts w:ascii="Times New Roman" w:hAnsi="Times New Roman" w:cs="Times New Roman"/>
          <w:b/>
          <w:bCs/>
        </w:rPr>
        <w:lastRenderedPageBreak/>
        <w:t xml:space="preserve">Figure </w:t>
      </w:r>
      <w:r w:rsidR="00E063CA">
        <w:rPr>
          <w:rFonts w:ascii="Times New Roman" w:hAnsi="Times New Roman" w:cs="Times New Roman"/>
          <w:b/>
          <w:bCs/>
        </w:rPr>
        <w:t>4</w:t>
      </w:r>
      <w:r w:rsidRPr="00864C8D">
        <w:rPr>
          <w:rFonts w:ascii="Times New Roman" w:hAnsi="Times New Roman" w:cs="Times New Roman"/>
          <w:b/>
          <w:bCs/>
        </w:rPr>
        <w:t>.</w:t>
      </w:r>
      <w:r w:rsidR="006002A8" w:rsidRPr="00864C8D">
        <w:rPr>
          <w:rFonts w:ascii="Times New Roman" w:hAnsi="Times New Roman" w:cs="Times New Roman"/>
        </w:rPr>
        <w:t xml:space="preserve"> Phase-</w:t>
      </w:r>
      <w:r w:rsidR="008711DA">
        <w:rPr>
          <w:rFonts w:ascii="Times New Roman" w:hAnsi="Times New Roman" w:cs="Times New Roman"/>
        </w:rPr>
        <w:t>W</w:t>
      </w:r>
      <w:r w:rsidR="006002A8" w:rsidRPr="00864C8D">
        <w:rPr>
          <w:rFonts w:ascii="Times New Roman" w:hAnsi="Times New Roman" w:cs="Times New Roman"/>
        </w:rPr>
        <w:t>ise Sentiment</w:t>
      </w:r>
      <w:r w:rsidR="008711DA">
        <w:rPr>
          <w:rFonts w:ascii="Times New Roman" w:hAnsi="Times New Roman" w:cs="Times New Roman"/>
        </w:rPr>
        <w:t xml:space="preserve">s </w:t>
      </w:r>
      <w:r w:rsidR="006002A8" w:rsidRPr="00864C8D">
        <w:rPr>
          <w:rFonts w:ascii="Times New Roman" w:hAnsi="Times New Roman" w:cs="Times New Roman"/>
        </w:rPr>
        <w:t>and Concern</w:t>
      </w:r>
      <w:r w:rsidR="00037CFE">
        <w:rPr>
          <w:rFonts w:ascii="Times New Roman" w:hAnsi="Times New Roman" w:cs="Times New Roman"/>
        </w:rPr>
        <w:t xml:space="preserve"> Constructs </w:t>
      </w:r>
    </w:p>
    <w:p w14:paraId="19BEA680" w14:textId="77777777" w:rsidR="006002A8" w:rsidRDefault="006002A8" w:rsidP="006002A8">
      <w:pPr>
        <w:spacing w:after="0" w:line="360" w:lineRule="auto"/>
        <w:jc w:val="both"/>
        <w:rPr>
          <w:rFonts w:ascii="Times New Roman" w:hAnsi="Times New Roman" w:cs="Times New Roman"/>
        </w:rPr>
      </w:pPr>
      <w:r w:rsidRPr="00864C8D">
        <w:rPr>
          <w:rFonts w:ascii="Times New Roman" w:hAnsi="Times New Roman" w:cs="Times New Roman"/>
          <w:noProof/>
        </w:rPr>
        <w:drawing>
          <wp:inline distT="0" distB="0" distL="0" distR="0" wp14:anchorId="420635BF" wp14:editId="0D5D57EC">
            <wp:extent cx="5731510" cy="2422540"/>
            <wp:effectExtent l="0" t="0" r="2540" b="0"/>
            <wp:docPr id="18286505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650542" name="Picture 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2422540"/>
                    </a:xfrm>
                    <a:prstGeom prst="rect">
                      <a:avLst/>
                    </a:prstGeom>
                  </pic:spPr>
                </pic:pic>
              </a:graphicData>
            </a:graphic>
          </wp:inline>
        </w:drawing>
      </w:r>
    </w:p>
    <w:p w14:paraId="34BFB9E2" w14:textId="33506A9B" w:rsidR="004B389B" w:rsidRPr="00864C8D" w:rsidRDefault="004B389B" w:rsidP="00AF6A24">
      <w:pPr>
        <w:pStyle w:val="Heading3"/>
        <w:spacing w:line="480" w:lineRule="auto"/>
        <w:rPr>
          <w:rFonts w:cs="Times New Roman"/>
        </w:rPr>
      </w:pPr>
      <w:r w:rsidRPr="00864C8D">
        <w:rPr>
          <w:rFonts w:cs="Times New Roman"/>
        </w:rPr>
        <w:t>Phase 1: Foundation Building (2020-2021) - Infrastructure and Legitimization</w:t>
      </w:r>
    </w:p>
    <w:p w14:paraId="6C833236" w14:textId="77777777" w:rsidR="00F03113" w:rsidRPr="00AA73E4" w:rsidRDefault="004B389B" w:rsidP="00AF6A24">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The foundation phase established the fundamental architecture for </w:t>
      </w:r>
      <w:r w:rsidR="00824336" w:rsidRPr="00864C8D">
        <w:rPr>
          <w:rFonts w:ascii="Times New Roman" w:hAnsi="Times New Roman" w:cs="Times New Roman"/>
        </w:rPr>
        <w:t>PDE</w:t>
      </w:r>
      <w:r w:rsidRPr="00864C8D">
        <w:rPr>
          <w:rFonts w:ascii="Times New Roman" w:hAnsi="Times New Roman" w:cs="Times New Roman"/>
        </w:rPr>
        <w:t xml:space="preserve"> through two dominant institutional mechanisms: Infrastructure Provision and Market Legitimization. The </w:t>
      </w:r>
      <w:r w:rsidRPr="00AA73E4">
        <w:rPr>
          <w:rFonts w:ascii="Times New Roman" w:hAnsi="Times New Roman" w:cs="Times New Roman"/>
        </w:rPr>
        <w:t xml:space="preserve">GPT-3 API launch in June 2020 represented a watershed moment, providing unprecedented access to advanced </w:t>
      </w:r>
      <w:r w:rsidR="00F03113" w:rsidRPr="00AA73E4">
        <w:rPr>
          <w:rFonts w:ascii="Times New Roman" w:hAnsi="Times New Roman" w:cs="Times New Roman"/>
        </w:rPr>
        <w:t>LLM</w:t>
      </w:r>
      <w:r w:rsidRPr="00AA73E4">
        <w:rPr>
          <w:rFonts w:ascii="Times New Roman" w:hAnsi="Times New Roman" w:cs="Times New Roman"/>
        </w:rPr>
        <w:t xml:space="preserve"> capabilities through a simple "text in, text out" interface that democratized AI capabilities previously confined to well-funded research laboratories.</w:t>
      </w:r>
    </w:p>
    <w:p w14:paraId="538C999C" w14:textId="026AEAA5" w:rsidR="0093772A" w:rsidRPr="00864C8D" w:rsidRDefault="004B389B" w:rsidP="00AF6A24">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Infrastructure Provision Mechanisms</w:t>
      </w:r>
      <w:r w:rsidR="00F03113" w:rsidRPr="00E93C6B">
        <w:rPr>
          <w:rFonts w:ascii="Times New Roman" w:hAnsi="Times New Roman" w:cs="Times New Roman"/>
          <w:b/>
          <w:bCs/>
          <w:i/>
          <w:iCs/>
        </w:rPr>
        <w:t>.</w:t>
      </w:r>
      <w:r w:rsidR="00F03113" w:rsidRPr="00AA73E4">
        <w:rPr>
          <w:rFonts w:ascii="Times New Roman" w:hAnsi="Times New Roman" w:cs="Times New Roman"/>
          <w:b/>
          <w:bCs/>
        </w:rPr>
        <w:t xml:space="preserve"> </w:t>
      </w:r>
      <w:r w:rsidRPr="00AA73E4">
        <w:rPr>
          <w:rFonts w:ascii="Times New Roman" w:hAnsi="Times New Roman" w:cs="Times New Roman"/>
        </w:rPr>
        <w:t xml:space="preserve">Our analysis reveals that </w:t>
      </w:r>
      <w:r w:rsidR="007C0CB7" w:rsidRPr="00AA73E4">
        <w:rPr>
          <w:rFonts w:ascii="Times New Roman" w:hAnsi="Times New Roman" w:cs="Times New Roman"/>
        </w:rPr>
        <w:t>this</w:t>
      </w:r>
      <w:r w:rsidRPr="00AA73E4">
        <w:rPr>
          <w:rFonts w:ascii="Times New Roman" w:hAnsi="Times New Roman" w:cs="Times New Roman"/>
        </w:rPr>
        <w:t xml:space="preserve"> operated through three primary sub-mechanisms during this phase</w:t>
      </w:r>
      <w:r w:rsidR="00D95644" w:rsidRPr="00AA73E4">
        <w:rPr>
          <w:rFonts w:ascii="Times New Roman" w:hAnsi="Times New Roman" w:cs="Times New Roman"/>
        </w:rPr>
        <w:t xml:space="preserve">: computational resource democratization, capability standardization and </w:t>
      </w:r>
      <w:r w:rsidR="0093772A" w:rsidRPr="00AA73E4">
        <w:rPr>
          <w:rFonts w:ascii="Times New Roman" w:hAnsi="Times New Roman" w:cs="Times New Roman"/>
        </w:rPr>
        <w:t>cost structure innovation</w:t>
      </w:r>
      <w:r w:rsidRPr="00864C8D">
        <w:rPr>
          <w:rFonts w:ascii="Times New Roman" w:hAnsi="Times New Roman" w:cs="Times New Roman"/>
        </w:rPr>
        <w:t xml:space="preserve">. </w:t>
      </w:r>
      <w:r w:rsidRPr="00864C8D">
        <w:rPr>
          <w:rFonts w:ascii="Times New Roman" w:hAnsi="Times New Roman" w:cs="Times New Roman"/>
          <w:i/>
          <w:iCs/>
        </w:rPr>
        <w:t>Computational Resource Democratization</w:t>
      </w:r>
      <w:r w:rsidRPr="00864C8D">
        <w:rPr>
          <w:rFonts w:ascii="Times New Roman" w:hAnsi="Times New Roman" w:cs="Times New Roman"/>
        </w:rPr>
        <w:t xml:space="preserve"> made sophisticated </w:t>
      </w:r>
      <w:r w:rsidR="00AA73E4">
        <w:rPr>
          <w:rFonts w:ascii="Times New Roman" w:hAnsi="Times New Roman" w:cs="Times New Roman"/>
        </w:rPr>
        <w:t>LLM technology</w:t>
      </w:r>
      <w:r w:rsidRPr="00864C8D">
        <w:rPr>
          <w:rFonts w:ascii="Times New Roman" w:hAnsi="Times New Roman" w:cs="Times New Roman"/>
        </w:rPr>
        <w:t xml:space="preserve"> accessible to ventures without requiring substantial capital investment in model training or hosting infrastructure. The API abstracted away the complexity of large-scale model deployment, allowing entrepreneurs to focus on application development rather than infrastructure management.</w:t>
      </w:r>
      <w:r w:rsidR="0093772A" w:rsidRPr="00864C8D">
        <w:rPr>
          <w:rFonts w:ascii="Times New Roman" w:hAnsi="Times New Roman" w:cs="Times New Roman"/>
        </w:rPr>
        <w:t xml:space="preserve"> </w:t>
      </w:r>
      <w:r w:rsidRPr="00864C8D">
        <w:rPr>
          <w:rFonts w:ascii="Times New Roman" w:hAnsi="Times New Roman" w:cs="Times New Roman"/>
          <w:i/>
          <w:iCs/>
        </w:rPr>
        <w:t>Capability Standardization</w:t>
      </w:r>
      <w:r w:rsidRPr="00864C8D">
        <w:rPr>
          <w:rFonts w:ascii="Times New Roman" w:hAnsi="Times New Roman" w:cs="Times New Roman"/>
        </w:rPr>
        <w:t xml:space="preserve"> established common interfaces and data formats that reduced integration complexity and enabled rapid prototyping. The standardized API design lowered technical barriers to entry while creating a foundation for ecosystem development. </w:t>
      </w:r>
      <w:r w:rsidRPr="00864C8D">
        <w:rPr>
          <w:rFonts w:ascii="Times New Roman" w:hAnsi="Times New Roman" w:cs="Times New Roman"/>
          <w:i/>
          <w:iCs/>
        </w:rPr>
        <w:t>Cost Structure Innovation</w:t>
      </w:r>
      <w:r w:rsidRPr="00864C8D">
        <w:rPr>
          <w:rFonts w:ascii="Times New Roman" w:hAnsi="Times New Roman" w:cs="Times New Roman"/>
        </w:rPr>
        <w:t xml:space="preserve"> introduced </w:t>
      </w:r>
      <w:r w:rsidRPr="00864C8D">
        <w:rPr>
          <w:rFonts w:ascii="Times New Roman" w:hAnsi="Times New Roman" w:cs="Times New Roman"/>
        </w:rPr>
        <w:lastRenderedPageBreak/>
        <w:t>usage-based pricing that aligned platform costs with venture growth, reducing upfront investment requirements and enabling experimentation at scale.</w:t>
      </w:r>
    </w:p>
    <w:p w14:paraId="2EDE1B21" w14:textId="165D986E" w:rsidR="00477652" w:rsidRPr="00864C8D" w:rsidRDefault="003021AA" w:rsidP="00AF6A24">
      <w:pPr>
        <w:spacing w:after="0" w:line="480" w:lineRule="auto"/>
        <w:ind w:firstLine="720"/>
        <w:jc w:val="both"/>
        <w:rPr>
          <w:rFonts w:ascii="Times New Roman" w:hAnsi="Times New Roman" w:cs="Times New Roman"/>
        </w:rPr>
      </w:pPr>
      <w:r w:rsidRPr="00864C8D">
        <w:rPr>
          <w:rFonts w:ascii="Times New Roman" w:hAnsi="Times New Roman" w:cs="Times New Roman"/>
        </w:rPr>
        <w:t>As shown in Figure</w:t>
      </w:r>
      <w:r w:rsidR="00037CFE">
        <w:rPr>
          <w:rFonts w:ascii="Times New Roman" w:hAnsi="Times New Roman" w:cs="Times New Roman"/>
        </w:rPr>
        <w:t>s</w:t>
      </w:r>
      <w:r w:rsidRPr="00864C8D">
        <w:rPr>
          <w:rFonts w:ascii="Times New Roman" w:hAnsi="Times New Roman" w:cs="Times New Roman"/>
        </w:rPr>
        <w:t xml:space="preserve"> </w:t>
      </w:r>
      <w:r w:rsidR="0090633E">
        <w:rPr>
          <w:rFonts w:ascii="Times New Roman" w:hAnsi="Times New Roman" w:cs="Times New Roman"/>
        </w:rPr>
        <w:t>3</w:t>
      </w:r>
      <w:r w:rsidR="00037CFE">
        <w:rPr>
          <w:rFonts w:ascii="Times New Roman" w:hAnsi="Times New Roman" w:cs="Times New Roman"/>
        </w:rPr>
        <w:t xml:space="preserve"> and </w:t>
      </w:r>
      <w:r w:rsidR="0090633E">
        <w:rPr>
          <w:rFonts w:ascii="Times New Roman" w:hAnsi="Times New Roman" w:cs="Times New Roman"/>
        </w:rPr>
        <w:t>4</w:t>
      </w:r>
      <w:r w:rsidRPr="00864C8D">
        <w:rPr>
          <w:rFonts w:ascii="Times New Roman" w:hAnsi="Times New Roman" w:cs="Times New Roman"/>
        </w:rPr>
        <w:t xml:space="preserve"> above, c</w:t>
      </w:r>
      <w:r w:rsidR="004B389B" w:rsidRPr="00864C8D">
        <w:rPr>
          <w:rFonts w:ascii="Times New Roman" w:hAnsi="Times New Roman" w:cs="Times New Roman"/>
        </w:rPr>
        <w:t xml:space="preserve">ommunity sentiment during this phase was overwhelmingly positive (+0.8 average), with reactions characterized by excitement about unprecedented capability access. Representative community quotes capture this enthusiasm: </w:t>
      </w:r>
      <w:r w:rsidR="004B389B" w:rsidRPr="00864C8D">
        <w:rPr>
          <w:rFonts w:ascii="Times New Roman" w:hAnsi="Times New Roman" w:cs="Times New Roman"/>
          <w:i/>
          <w:iCs/>
        </w:rPr>
        <w:t>"</w:t>
      </w:r>
      <w:r w:rsidR="00BB630A" w:rsidRPr="00864C8D">
        <w:rPr>
          <w:rFonts w:ascii="Times New Roman" w:hAnsi="Times New Roman" w:cs="Times New Roman"/>
          <w:i/>
          <w:iCs/>
        </w:rPr>
        <w:t>GPT-3 is so much powerful and versatile that it opens up an entire universe of possibilities</w:t>
      </w:r>
      <w:r w:rsidR="004B389B" w:rsidRPr="00864C8D">
        <w:rPr>
          <w:rFonts w:ascii="Times New Roman" w:hAnsi="Times New Roman" w:cs="Times New Roman"/>
          <w:i/>
          <w:iCs/>
        </w:rPr>
        <w:t>."</w:t>
      </w:r>
      <w:r w:rsidR="004B389B" w:rsidRPr="00864C8D">
        <w:rPr>
          <w:rFonts w:ascii="Times New Roman" w:hAnsi="Times New Roman" w:cs="Times New Roman"/>
        </w:rPr>
        <w:t xml:space="preserve"> </w:t>
      </w:r>
      <w:r w:rsidR="00773F95">
        <w:rPr>
          <w:rFonts w:ascii="Times New Roman" w:hAnsi="Times New Roman" w:cs="Times New Roman"/>
        </w:rPr>
        <w:t>(</w:t>
      </w:r>
      <w:r w:rsidR="00EE6D78">
        <w:rPr>
          <w:rFonts w:ascii="Times New Roman" w:hAnsi="Times New Roman" w:cs="Times New Roman"/>
        </w:rPr>
        <w:t xml:space="preserve">community.openai.com – April 2022). </w:t>
      </w:r>
      <w:r w:rsidR="004B389B" w:rsidRPr="00864C8D">
        <w:rPr>
          <w:rFonts w:ascii="Times New Roman" w:hAnsi="Times New Roman" w:cs="Times New Roman"/>
        </w:rPr>
        <w:t>The absence of platform dependence concerns (0% of events) reflects the novelty of the offering and the lack of established alternatives for comparison.</w:t>
      </w:r>
    </w:p>
    <w:p w14:paraId="6EA3840E" w14:textId="47F9C9CC" w:rsidR="005B3CF8" w:rsidRPr="00864C8D" w:rsidRDefault="004B389B" w:rsidP="00A95E0C">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Market Legitimization Mechanisms</w:t>
      </w:r>
      <w:r w:rsidR="00477652" w:rsidRPr="00E93C6B">
        <w:rPr>
          <w:rFonts w:ascii="Times New Roman" w:hAnsi="Times New Roman" w:cs="Times New Roman"/>
          <w:b/>
          <w:bCs/>
          <w:i/>
          <w:iCs/>
        </w:rPr>
        <w:t>.</w:t>
      </w:r>
      <w:r w:rsidR="00477652" w:rsidRPr="00864C8D">
        <w:rPr>
          <w:rFonts w:ascii="Times New Roman" w:hAnsi="Times New Roman" w:cs="Times New Roman"/>
          <w:b/>
          <w:bCs/>
        </w:rPr>
        <w:t xml:space="preserve"> </w:t>
      </w:r>
      <w:r w:rsidRPr="00864C8D">
        <w:rPr>
          <w:rFonts w:ascii="Times New Roman" w:hAnsi="Times New Roman" w:cs="Times New Roman"/>
        </w:rPr>
        <w:t>Market Legitimization operated through the establishment of new business model categories and the validation of AI-powered value propositions. OpenAI's positioning of GPT-3 as a general-purpose language model created conceptual space for ventures to explore diverse applications without being constrained by narrow use-case definitions. This broad framing legitimized experimentation across sectors and enabled the emergence of novel business models.</w:t>
      </w:r>
      <w:r w:rsidR="00A95E0C">
        <w:rPr>
          <w:rFonts w:ascii="Times New Roman" w:hAnsi="Times New Roman" w:cs="Times New Roman"/>
        </w:rPr>
        <w:t xml:space="preserve"> </w:t>
      </w:r>
      <w:r w:rsidRPr="00864C8D">
        <w:rPr>
          <w:rFonts w:ascii="Times New Roman" w:hAnsi="Times New Roman" w:cs="Times New Roman"/>
        </w:rPr>
        <w:t xml:space="preserve">The platform's emphasis on safety and responsible AI development provided institutional credibility that facilitated venture fundraising and enterprise adoption. Early ventures like </w:t>
      </w:r>
      <w:r w:rsidRPr="00864C8D">
        <w:rPr>
          <w:rFonts w:ascii="Times New Roman" w:hAnsi="Times New Roman" w:cs="Times New Roman"/>
          <w:i/>
          <w:iCs/>
        </w:rPr>
        <w:t>Copy.ai</w:t>
      </w:r>
      <w:r w:rsidRPr="00864C8D">
        <w:rPr>
          <w:rFonts w:ascii="Times New Roman" w:hAnsi="Times New Roman" w:cs="Times New Roman"/>
        </w:rPr>
        <w:t xml:space="preserve"> leveraged this legitimacy to secure funding and establish market positions, demonstrating how platform legitimacy transfers to ecosystem participants.</w:t>
      </w:r>
    </w:p>
    <w:p w14:paraId="056FE140" w14:textId="7E50A5A8" w:rsidR="004B389B" w:rsidRPr="00864C8D" w:rsidRDefault="004B389B" w:rsidP="00AF6A24">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Venture Response Patterns</w:t>
      </w:r>
      <w:r w:rsidR="00477652" w:rsidRPr="00E93C6B">
        <w:rPr>
          <w:rFonts w:ascii="Times New Roman" w:hAnsi="Times New Roman" w:cs="Times New Roman"/>
          <w:b/>
          <w:bCs/>
          <w:i/>
          <w:iCs/>
        </w:rPr>
        <w:t>.</w:t>
      </w:r>
      <w:r w:rsidR="00477652" w:rsidRPr="00864C8D">
        <w:rPr>
          <w:rFonts w:ascii="Times New Roman" w:hAnsi="Times New Roman" w:cs="Times New Roman"/>
          <w:b/>
          <w:bCs/>
        </w:rPr>
        <w:t xml:space="preserve"> </w:t>
      </w:r>
      <w:r w:rsidR="006E5733" w:rsidRPr="00864C8D">
        <w:rPr>
          <w:rFonts w:ascii="Times New Roman" w:hAnsi="Times New Roman" w:cs="Times New Roman"/>
        </w:rPr>
        <w:t xml:space="preserve">During </w:t>
      </w:r>
      <w:r w:rsidR="00CF2EDB">
        <w:rPr>
          <w:rFonts w:ascii="Times New Roman" w:hAnsi="Times New Roman" w:cs="Times New Roman"/>
        </w:rPr>
        <w:t>this</w:t>
      </w:r>
      <w:r w:rsidR="006E5733" w:rsidRPr="00864C8D">
        <w:rPr>
          <w:rFonts w:ascii="Times New Roman" w:hAnsi="Times New Roman" w:cs="Times New Roman"/>
        </w:rPr>
        <w:t xml:space="preserve"> phase, venture responses included </w:t>
      </w:r>
      <w:r w:rsidR="006E5733" w:rsidRPr="00864C8D">
        <w:rPr>
          <w:rFonts w:ascii="Times New Roman" w:hAnsi="Times New Roman" w:cs="Times New Roman"/>
          <w:i/>
          <w:iCs/>
        </w:rPr>
        <w:t>Experimental Adoption</w:t>
      </w:r>
      <w:r w:rsidR="006E5733" w:rsidRPr="00864C8D">
        <w:rPr>
          <w:rFonts w:ascii="Times New Roman" w:hAnsi="Times New Roman" w:cs="Times New Roman"/>
        </w:rPr>
        <w:t xml:space="preserve"> and </w:t>
      </w:r>
      <w:r w:rsidR="006E5733" w:rsidRPr="00864C8D">
        <w:rPr>
          <w:rFonts w:ascii="Times New Roman" w:hAnsi="Times New Roman" w:cs="Times New Roman"/>
          <w:i/>
          <w:iCs/>
        </w:rPr>
        <w:t>Early Access Advantage</w:t>
      </w:r>
      <w:r w:rsidR="006E5733" w:rsidRPr="00864C8D">
        <w:rPr>
          <w:rFonts w:ascii="Times New Roman" w:hAnsi="Times New Roman" w:cs="Times New Roman"/>
        </w:rPr>
        <w:t xml:space="preserve">. </w:t>
      </w:r>
      <w:r w:rsidR="00AE7BCB" w:rsidRPr="00864C8D">
        <w:rPr>
          <w:rFonts w:ascii="Times New Roman" w:hAnsi="Times New Roman" w:cs="Times New Roman"/>
        </w:rPr>
        <w:t xml:space="preserve">Based on excerpts published on its website, </w:t>
      </w:r>
      <w:r w:rsidR="006E5733" w:rsidRPr="00864C8D">
        <w:rPr>
          <w:rFonts w:ascii="Times New Roman" w:hAnsi="Times New Roman" w:cs="Times New Roman"/>
        </w:rPr>
        <w:t xml:space="preserve">Copy.ai exemplifies the latter: founded in 2020, it leveraged early (private-beta) access to OpenAI’s GPT-3. The company grew quickly and went on to raise a </w:t>
      </w:r>
      <w:r w:rsidR="00496C18" w:rsidRPr="00864C8D">
        <w:rPr>
          <w:rFonts w:ascii="Times New Roman" w:hAnsi="Times New Roman" w:cs="Times New Roman"/>
        </w:rPr>
        <w:t xml:space="preserve">substantial amount of seed funding in the millions of dollars. </w:t>
      </w:r>
      <w:r w:rsidR="00A55C3B" w:rsidRPr="00864C8D">
        <w:rPr>
          <w:rFonts w:ascii="Times New Roman" w:hAnsi="Times New Roman" w:cs="Times New Roman"/>
        </w:rPr>
        <w:t>As suggested, v</w:t>
      </w:r>
      <w:r w:rsidRPr="00864C8D">
        <w:rPr>
          <w:rFonts w:ascii="Times New Roman" w:hAnsi="Times New Roman" w:cs="Times New Roman"/>
        </w:rPr>
        <w:t xml:space="preserve">enture strategies during this phase focused on capability exploration rather than dependency mitigation, reflecting the positive </w:t>
      </w:r>
      <w:r w:rsidRPr="00864C8D">
        <w:rPr>
          <w:rFonts w:ascii="Times New Roman" w:hAnsi="Times New Roman" w:cs="Times New Roman"/>
        </w:rPr>
        <w:lastRenderedPageBreak/>
        <w:t>sentiment and absence of governance concerns. The low switching costs and experimental nature of early applications meant that platform dependence was viewed as an</w:t>
      </w:r>
      <w:r w:rsidR="00F51B99">
        <w:rPr>
          <w:rFonts w:ascii="Times New Roman" w:hAnsi="Times New Roman" w:cs="Times New Roman"/>
        </w:rPr>
        <w:t xml:space="preserve"> external enabler of AI-driven</w:t>
      </w:r>
      <w:r w:rsidRPr="00864C8D">
        <w:rPr>
          <w:rFonts w:ascii="Times New Roman" w:hAnsi="Times New Roman" w:cs="Times New Roman"/>
        </w:rPr>
        <w:t xml:space="preserve"> opportunity rather than a risk.</w:t>
      </w:r>
    </w:p>
    <w:p w14:paraId="7F93CC55" w14:textId="700065EA" w:rsidR="004B389B" w:rsidRPr="00864C8D" w:rsidRDefault="004B389B" w:rsidP="00AF6A24">
      <w:pPr>
        <w:pStyle w:val="Heading3"/>
        <w:spacing w:line="480" w:lineRule="auto"/>
        <w:rPr>
          <w:rFonts w:cs="Times New Roman"/>
        </w:rPr>
      </w:pPr>
      <w:r w:rsidRPr="00864C8D">
        <w:rPr>
          <w:rFonts w:cs="Times New Roman"/>
        </w:rPr>
        <w:t xml:space="preserve">Phase 2: Capability Expansion (2022-2023) - Scaffolding </w:t>
      </w:r>
      <w:r w:rsidR="004958BF">
        <w:rPr>
          <w:rFonts w:cs="Times New Roman"/>
        </w:rPr>
        <w:t xml:space="preserve">&amp; </w:t>
      </w:r>
      <w:r w:rsidRPr="00864C8D">
        <w:rPr>
          <w:rFonts w:cs="Times New Roman"/>
        </w:rPr>
        <w:t>Boundary Resourc</w:t>
      </w:r>
      <w:r w:rsidR="004958BF">
        <w:rPr>
          <w:rFonts w:cs="Times New Roman"/>
        </w:rPr>
        <w:t>ing</w:t>
      </w:r>
    </w:p>
    <w:p w14:paraId="649C2CFA" w14:textId="3DD745A8" w:rsidR="00DC16F4" w:rsidRDefault="004B389B" w:rsidP="00AF6A24">
      <w:pPr>
        <w:spacing w:after="0" w:line="480" w:lineRule="auto"/>
        <w:ind w:firstLine="720"/>
        <w:jc w:val="both"/>
        <w:rPr>
          <w:rFonts w:ascii="Times New Roman" w:hAnsi="Times New Roman" w:cs="Times New Roman"/>
        </w:rPr>
      </w:pPr>
      <w:r w:rsidRPr="00864C8D">
        <w:rPr>
          <w:rFonts w:ascii="Times New Roman" w:hAnsi="Times New Roman" w:cs="Times New Roman"/>
        </w:rPr>
        <w:t>The capability expansion phase marked a fundamental shift in platform</w:t>
      </w:r>
      <w:r w:rsidR="00E143DF" w:rsidRPr="00864C8D">
        <w:rPr>
          <w:rFonts w:ascii="Times New Roman" w:hAnsi="Times New Roman" w:cs="Times New Roman"/>
        </w:rPr>
        <w:t xml:space="preserve"> </w:t>
      </w:r>
      <w:r w:rsidRPr="00864C8D">
        <w:rPr>
          <w:rFonts w:ascii="Times New Roman" w:hAnsi="Times New Roman" w:cs="Times New Roman"/>
        </w:rPr>
        <w:t>ecosystem dynamics through the introduction of ChatGPT (November 2022) and GPT-4 (March 2023). These releases demonstrated the platform's evolution from infrastructure provider to capability scaffolding platform, offering increasingly sophisticated tools that enabled new categories of entrepreneurial activity.</w:t>
      </w:r>
      <w:r w:rsidR="00274D9E" w:rsidRPr="00864C8D">
        <w:rPr>
          <w:rFonts w:ascii="Times New Roman" w:hAnsi="Times New Roman" w:cs="Times New Roman"/>
        </w:rPr>
        <w:t xml:space="preserve"> </w:t>
      </w:r>
      <w:r w:rsidRPr="00864C8D">
        <w:rPr>
          <w:rFonts w:ascii="Times New Roman" w:hAnsi="Times New Roman" w:cs="Times New Roman"/>
        </w:rPr>
        <w:t>Figure</w:t>
      </w:r>
      <w:r w:rsidR="00E46938">
        <w:rPr>
          <w:rFonts w:ascii="Times New Roman" w:hAnsi="Times New Roman" w:cs="Times New Roman"/>
        </w:rPr>
        <w:t xml:space="preserve">s </w:t>
      </w:r>
      <w:r w:rsidR="0090633E">
        <w:rPr>
          <w:rFonts w:ascii="Times New Roman" w:hAnsi="Times New Roman" w:cs="Times New Roman"/>
        </w:rPr>
        <w:t>3</w:t>
      </w:r>
      <w:r w:rsidR="00E46938">
        <w:rPr>
          <w:rFonts w:ascii="Times New Roman" w:hAnsi="Times New Roman" w:cs="Times New Roman"/>
        </w:rPr>
        <w:t xml:space="preserve"> and</w:t>
      </w:r>
      <w:r w:rsidRPr="00864C8D">
        <w:rPr>
          <w:rFonts w:ascii="Times New Roman" w:hAnsi="Times New Roman" w:cs="Times New Roman"/>
        </w:rPr>
        <w:t xml:space="preserve"> </w:t>
      </w:r>
      <w:r w:rsidR="0090633E">
        <w:rPr>
          <w:rFonts w:ascii="Times New Roman" w:hAnsi="Times New Roman" w:cs="Times New Roman"/>
        </w:rPr>
        <w:t>4</w:t>
      </w:r>
      <w:r w:rsidR="00764FE3">
        <w:rPr>
          <w:rFonts w:ascii="Times New Roman" w:hAnsi="Times New Roman" w:cs="Times New Roman"/>
        </w:rPr>
        <w:t xml:space="preserve"> </w:t>
      </w:r>
      <w:r w:rsidR="0027590C">
        <w:rPr>
          <w:rFonts w:ascii="Times New Roman" w:hAnsi="Times New Roman" w:cs="Times New Roman"/>
        </w:rPr>
        <w:t>above</w:t>
      </w:r>
      <w:r w:rsidRPr="00864C8D">
        <w:rPr>
          <w:rFonts w:ascii="Times New Roman" w:hAnsi="Times New Roman" w:cs="Times New Roman"/>
        </w:rPr>
        <w:t xml:space="preserve"> reveal the complexity of sentiment dynamics during the expansion phase, with the left panel showing mixed sentiment patterns and the right panel demonstrating the emergence of theoretical constructs that would become central to later crisis dynamics. The error bars in the left panel indicate increasing variance in community responses, reflecting growing awareness of both opportunities and risks associated with platform dependence. The right panel shows the first appearance of platform dependence concerns and trust issues, foreshadowing the governance challenges that would emerge in subsequent phases.</w:t>
      </w:r>
    </w:p>
    <w:p w14:paraId="2A88B8D2" w14:textId="3CA80D88" w:rsidR="00AF6BDA" w:rsidRPr="00864C8D" w:rsidRDefault="004B389B" w:rsidP="00AF6A24">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Capability Scaffolding Mechanisms</w:t>
      </w:r>
      <w:r w:rsidR="00DC16F4" w:rsidRPr="00E93C6B">
        <w:rPr>
          <w:rFonts w:ascii="Times New Roman" w:hAnsi="Times New Roman" w:cs="Times New Roman"/>
          <w:b/>
          <w:bCs/>
          <w:i/>
          <w:iCs/>
        </w:rPr>
        <w:t>.</w:t>
      </w:r>
      <w:r w:rsidR="00DC16F4" w:rsidRPr="00864C8D">
        <w:rPr>
          <w:rFonts w:ascii="Times New Roman" w:hAnsi="Times New Roman" w:cs="Times New Roman"/>
          <w:b/>
          <w:bCs/>
        </w:rPr>
        <w:t xml:space="preserve"> </w:t>
      </w:r>
      <w:r w:rsidRPr="00864C8D">
        <w:rPr>
          <w:rFonts w:ascii="Times New Roman" w:hAnsi="Times New Roman" w:cs="Times New Roman"/>
          <w:i/>
          <w:iCs/>
        </w:rPr>
        <w:t>Capability Democratization</w:t>
      </w:r>
      <w:r w:rsidRPr="00864C8D">
        <w:rPr>
          <w:rFonts w:ascii="Times New Roman" w:hAnsi="Times New Roman" w:cs="Times New Roman"/>
        </w:rPr>
        <w:t xml:space="preserve"> reached unprecedented scale with ChatGPT's consumer launch, achieving 100 million users within two months and establishing </w:t>
      </w:r>
      <w:r w:rsidR="00912A0D">
        <w:rPr>
          <w:rFonts w:ascii="Times New Roman" w:hAnsi="Times New Roman" w:cs="Times New Roman"/>
        </w:rPr>
        <w:t xml:space="preserve">Gen </w:t>
      </w:r>
      <w:r w:rsidRPr="00864C8D">
        <w:rPr>
          <w:rFonts w:ascii="Times New Roman" w:hAnsi="Times New Roman" w:cs="Times New Roman"/>
        </w:rPr>
        <w:t>AI as a mainstream technology category. This mass adoption created market validation for AI-powered ventures and expanded the potential customer base for platform-dependent applications.</w:t>
      </w:r>
      <w:r w:rsidR="00DC16F4" w:rsidRPr="00864C8D">
        <w:rPr>
          <w:rFonts w:ascii="Times New Roman" w:hAnsi="Times New Roman" w:cs="Times New Roman"/>
        </w:rPr>
        <w:t xml:space="preserve"> </w:t>
      </w:r>
      <w:r w:rsidRPr="00864C8D">
        <w:rPr>
          <w:rFonts w:ascii="Times New Roman" w:hAnsi="Times New Roman" w:cs="Times New Roman"/>
        </w:rPr>
        <w:t>Multimodal Integration through GPT-4's vision capabilities expanded the entrepreneurial possibility space beyond text processing to include image understanding, document analysis, and visual content generation. This capability expansion enabled ventures to address more complex use cases and develop more sophisticated value propositions.</w:t>
      </w:r>
      <w:r w:rsidR="00DC16F4" w:rsidRPr="00864C8D">
        <w:rPr>
          <w:rFonts w:ascii="Times New Roman" w:hAnsi="Times New Roman" w:cs="Times New Roman"/>
        </w:rPr>
        <w:t xml:space="preserve"> </w:t>
      </w:r>
      <w:r w:rsidRPr="00864C8D">
        <w:rPr>
          <w:rFonts w:ascii="Times New Roman" w:hAnsi="Times New Roman" w:cs="Times New Roman"/>
          <w:i/>
          <w:iCs/>
        </w:rPr>
        <w:t>Performance Advancement</w:t>
      </w:r>
      <w:r w:rsidRPr="00864C8D">
        <w:rPr>
          <w:rFonts w:ascii="Times New Roman" w:hAnsi="Times New Roman" w:cs="Times New Roman"/>
        </w:rPr>
        <w:t xml:space="preserve"> through GPT-4's improved reasoning </w:t>
      </w:r>
      <w:r w:rsidRPr="00864C8D">
        <w:rPr>
          <w:rFonts w:ascii="Times New Roman" w:hAnsi="Times New Roman" w:cs="Times New Roman"/>
        </w:rPr>
        <w:lastRenderedPageBreak/>
        <w:t>capabilities raised the quality threshold for AI applications, enabling ventures to tackle previously infeasible problems while simultaneously increasing customer expectations for AI performance.</w:t>
      </w:r>
    </w:p>
    <w:p w14:paraId="2ECC041E" w14:textId="2D9C4797" w:rsidR="00BB22A7" w:rsidRDefault="002D4FC7" w:rsidP="00AF6A24">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Community Response.</w:t>
      </w:r>
      <w:r w:rsidRPr="00864C8D">
        <w:rPr>
          <w:rFonts w:ascii="Times New Roman" w:hAnsi="Times New Roman" w:cs="Times New Roman"/>
        </w:rPr>
        <w:t xml:space="preserve"> </w:t>
      </w:r>
      <w:r w:rsidR="004B389B" w:rsidRPr="00864C8D">
        <w:rPr>
          <w:rFonts w:ascii="Times New Roman" w:hAnsi="Times New Roman" w:cs="Times New Roman"/>
        </w:rPr>
        <w:t>Community sentiment during this phase exhibited greater complexity, ranging from highly positive (0.9 for ChatGPT launch) to mixed (0.3 for GPT-4 release). The emergence of platform dependence concerns (appearing in 60% of events) reflects growing awareness of the implications of capability dependence</w:t>
      </w:r>
      <w:r w:rsidR="00786420">
        <w:rPr>
          <w:rFonts w:ascii="Times New Roman" w:hAnsi="Times New Roman" w:cs="Times New Roman"/>
        </w:rPr>
        <w:t xml:space="preserve"> and costs</w:t>
      </w:r>
      <w:r w:rsidR="004B389B" w:rsidRPr="00864C8D">
        <w:rPr>
          <w:rFonts w:ascii="Times New Roman" w:hAnsi="Times New Roman" w:cs="Times New Roman"/>
        </w:rPr>
        <w:t>. Representative community reactions illustrate this tension</w:t>
      </w:r>
      <w:r w:rsidR="00F86D00">
        <w:rPr>
          <w:rFonts w:ascii="Times New Roman" w:hAnsi="Times New Roman" w:cs="Times New Roman"/>
        </w:rPr>
        <w:t>.</w:t>
      </w:r>
      <w:r w:rsidR="001A711E">
        <w:rPr>
          <w:rFonts w:ascii="Times New Roman" w:hAnsi="Times New Roman" w:cs="Times New Roman"/>
        </w:rPr>
        <w:t xml:space="preserve"> For instance, following the release of GPT-4, a </w:t>
      </w:r>
      <w:r w:rsidR="00783A3F">
        <w:rPr>
          <w:rFonts w:ascii="Times New Roman" w:hAnsi="Times New Roman" w:cs="Times New Roman"/>
        </w:rPr>
        <w:t>member</w:t>
      </w:r>
      <w:r w:rsidR="001A711E">
        <w:rPr>
          <w:rFonts w:ascii="Times New Roman" w:hAnsi="Times New Roman" w:cs="Times New Roman"/>
        </w:rPr>
        <w:t xml:space="preserve"> on Hacker News commented: </w:t>
      </w:r>
      <w:r w:rsidR="001A711E" w:rsidRPr="001A711E">
        <w:rPr>
          <w:rFonts w:ascii="Times New Roman" w:hAnsi="Times New Roman" w:cs="Times New Roman"/>
          <w:i/>
          <w:iCs/>
        </w:rPr>
        <w:t>"</w:t>
      </w:r>
      <w:r w:rsidR="0091470A" w:rsidRPr="0091470A">
        <w:rPr>
          <w:rFonts w:ascii="Times New Roman" w:hAnsi="Times New Roman" w:cs="Times New Roman"/>
          <w:i/>
          <w:iCs/>
        </w:rPr>
        <w:t>The way GPT-4 handles the system details is way better. It really sticks to the role given. Absolutely amazing results. Unfortunately, I realized how much more expensive the GPT-4 API is</w:t>
      </w:r>
      <w:r w:rsidR="001A711E" w:rsidRPr="001A711E">
        <w:rPr>
          <w:rFonts w:ascii="Times New Roman" w:hAnsi="Times New Roman" w:cs="Times New Roman"/>
          <w:i/>
          <w:iCs/>
        </w:rPr>
        <w:t>."</w:t>
      </w:r>
      <w:r w:rsidR="001A711E">
        <w:rPr>
          <w:rFonts w:ascii="Times New Roman" w:hAnsi="Times New Roman" w:cs="Times New Roman"/>
          <w:i/>
          <w:iCs/>
        </w:rPr>
        <w:t xml:space="preserve"> </w:t>
      </w:r>
      <w:r w:rsidR="00F86D00">
        <w:rPr>
          <w:rFonts w:ascii="Times New Roman" w:hAnsi="Times New Roman" w:cs="Times New Roman"/>
        </w:rPr>
        <w:t xml:space="preserve"> </w:t>
      </w:r>
      <w:r w:rsidR="00840E18">
        <w:rPr>
          <w:rFonts w:ascii="Times New Roman" w:hAnsi="Times New Roman" w:cs="Times New Roman"/>
        </w:rPr>
        <w:t xml:space="preserve">Appendix C/Graph 2 </w:t>
      </w:r>
      <w:r w:rsidR="00C17B5D">
        <w:rPr>
          <w:rFonts w:ascii="Times New Roman" w:hAnsi="Times New Roman" w:cs="Times New Roman"/>
        </w:rPr>
        <w:t>captures</w:t>
      </w:r>
      <w:r w:rsidR="004B389B" w:rsidRPr="00864C8D">
        <w:rPr>
          <w:rFonts w:ascii="Times New Roman" w:hAnsi="Times New Roman" w:cs="Times New Roman"/>
        </w:rPr>
        <w:t xml:space="preserve"> how different types of platform decisions generate distinct community responses during this phase. </w:t>
      </w:r>
    </w:p>
    <w:p w14:paraId="66D4A7FC" w14:textId="77777777" w:rsidR="0009587E" w:rsidRDefault="000F41E6" w:rsidP="0009587E">
      <w:pPr>
        <w:spacing w:after="0" w:line="480" w:lineRule="auto"/>
        <w:ind w:firstLine="720"/>
        <w:jc w:val="both"/>
        <w:rPr>
          <w:rFonts w:ascii="Times New Roman" w:hAnsi="Times New Roman" w:cs="Times New Roman"/>
        </w:rPr>
      </w:pPr>
      <w:r w:rsidRPr="000F41E6">
        <w:rPr>
          <w:rFonts w:ascii="Times New Roman" w:hAnsi="Times New Roman" w:cs="Times New Roman"/>
        </w:rPr>
        <w:t xml:space="preserve">Major model releases show positive sentiment, reflecting excitement about capability advancement, while pricing changes and API modifications generate more mixed responses as the community begins to grapple with the economic implications of platform dependence. The sample sizes (n values) indicate the frequency of different event types, with model releases and capability announcements dominating platform communication during this expansion period. The introduction of pricing concerns marks a critical shift in community discourse, as ventures began to grapple with the unit economics implications of platform dependence. The mixed sentiment reflects the simultaneous recognition of capability advancement and growing awareness of dependency risks. </w:t>
      </w:r>
      <w:r w:rsidR="00862193" w:rsidRPr="00862193">
        <w:rPr>
          <w:rFonts w:ascii="Times New Roman" w:hAnsi="Times New Roman" w:cs="Times New Roman" w:hint="eastAsia"/>
        </w:rPr>
        <w:t xml:space="preserve">It should be noted, however, that categories with very small sample sizes (e.g., n </w:t>
      </w:r>
      <w:r w:rsidR="00862193" w:rsidRPr="00862193">
        <w:rPr>
          <w:rFonts w:ascii="Times New Roman" w:hAnsi="Times New Roman" w:cs="Times New Roman" w:hint="eastAsia"/>
        </w:rPr>
        <w:t>≤</w:t>
      </w:r>
      <w:r w:rsidR="00862193" w:rsidRPr="00862193">
        <w:rPr>
          <w:rFonts w:ascii="Times New Roman" w:hAnsi="Times New Roman" w:cs="Times New Roman" w:hint="eastAsia"/>
        </w:rPr>
        <w:t xml:space="preserve"> 2) may not be representative and should be interpreted with caution.</w:t>
      </w:r>
    </w:p>
    <w:p w14:paraId="679E214F" w14:textId="2F169D44" w:rsidR="004B389B" w:rsidRPr="00864C8D" w:rsidRDefault="004B389B" w:rsidP="00862193">
      <w:pPr>
        <w:pStyle w:val="Heading3"/>
        <w:spacing w:line="480" w:lineRule="auto"/>
        <w:rPr>
          <w:rFonts w:cs="Times New Roman"/>
        </w:rPr>
      </w:pPr>
      <w:r w:rsidRPr="00864C8D">
        <w:rPr>
          <w:rFonts w:cs="Times New Roman"/>
        </w:rPr>
        <w:t>Phase 3: Ecosystem Orchestration (2024) - Maturation and Governance Tightening</w:t>
      </w:r>
    </w:p>
    <w:p w14:paraId="135133CC" w14:textId="1045DCB5" w:rsidR="00C42EBF" w:rsidRPr="00864C8D" w:rsidRDefault="004B389B" w:rsidP="00862193">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The ecosystem orchestration phase marked the platform's evolution toward comprehensive ecosystem management through the introduction of the GPT Store, enterprise </w:t>
      </w:r>
      <w:r w:rsidRPr="00864C8D">
        <w:rPr>
          <w:rFonts w:ascii="Times New Roman" w:hAnsi="Times New Roman" w:cs="Times New Roman"/>
        </w:rPr>
        <w:lastRenderedPageBreak/>
        <w:t>compliance tools, and advanced API capabilities. This phase demonstrates how platforms transition from capability provision to active ecosystem orchestration, introduc</w:t>
      </w:r>
      <w:r w:rsidR="0035706C">
        <w:rPr>
          <w:rFonts w:ascii="Times New Roman" w:hAnsi="Times New Roman" w:cs="Times New Roman"/>
        </w:rPr>
        <w:t>es</w:t>
      </w:r>
      <w:r w:rsidRPr="00864C8D">
        <w:rPr>
          <w:rFonts w:ascii="Times New Roman" w:hAnsi="Times New Roman" w:cs="Times New Roman"/>
        </w:rPr>
        <w:t xml:space="preserve"> new forms of governance that both enable and constrain entrepreneurial activity.</w:t>
      </w:r>
    </w:p>
    <w:p w14:paraId="262968BD" w14:textId="77777777" w:rsidR="00C42EBF" w:rsidRPr="00864C8D" w:rsidRDefault="004B389B" w:rsidP="00862193">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Ecosystem Orchestration Mechanisms</w:t>
      </w:r>
      <w:r w:rsidR="00C42EBF" w:rsidRPr="00E93C6B">
        <w:rPr>
          <w:rFonts w:ascii="Times New Roman" w:hAnsi="Times New Roman" w:cs="Times New Roman"/>
          <w:b/>
          <w:bCs/>
          <w:i/>
          <w:iCs/>
        </w:rPr>
        <w:t>.</w:t>
      </w:r>
      <w:r w:rsidR="00C42EBF" w:rsidRPr="00864C8D">
        <w:rPr>
          <w:rFonts w:ascii="Times New Roman" w:hAnsi="Times New Roman" w:cs="Times New Roman"/>
          <w:b/>
          <w:bCs/>
        </w:rPr>
        <w:t xml:space="preserve"> </w:t>
      </w:r>
      <w:r w:rsidRPr="00864C8D">
        <w:rPr>
          <w:rFonts w:ascii="Times New Roman" w:hAnsi="Times New Roman" w:cs="Times New Roman"/>
          <w:i/>
          <w:iCs/>
        </w:rPr>
        <w:t>Creator Economy Development</w:t>
      </w:r>
      <w:r w:rsidRPr="00864C8D">
        <w:rPr>
          <w:rFonts w:ascii="Times New Roman" w:hAnsi="Times New Roman" w:cs="Times New Roman"/>
        </w:rPr>
        <w:t xml:space="preserve"> through the GPT Store launch (October 2024) established new monetization pathways for platform-dependent entrepreneurs while creating additional dependency layers. The store's revenue-sharing model incentivized ecosystem participation while concentrating value capture within the platform's governance framework.</w:t>
      </w:r>
      <w:r w:rsidR="00C42EBF" w:rsidRPr="00864C8D">
        <w:rPr>
          <w:rFonts w:ascii="Times New Roman" w:hAnsi="Times New Roman" w:cs="Times New Roman"/>
        </w:rPr>
        <w:t xml:space="preserve"> </w:t>
      </w:r>
      <w:r w:rsidRPr="00864C8D">
        <w:rPr>
          <w:rFonts w:ascii="Times New Roman" w:hAnsi="Times New Roman" w:cs="Times New Roman"/>
          <w:i/>
          <w:iCs/>
        </w:rPr>
        <w:t>Enterprise Integration Acceleration</w:t>
      </w:r>
      <w:r w:rsidRPr="00864C8D">
        <w:rPr>
          <w:rFonts w:ascii="Times New Roman" w:hAnsi="Times New Roman" w:cs="Times New Roman"/>
        </w:rPr>
        <w:t xml:space="preserve"> through compliance APIs and security enhancements enabled platform penetration into regulated industries, expanding the addressable market for platform-dependent ventures while introducing new governance requirements. These tools simultaneously enabled enterprise adoption and embedded ventures more deeply into platform-specific compliance frameworks.</w:t>
      </w:r>
      <w:r w:rsidR="00C42EBF" w:rsidRPr="00864C8D">
        <w:rPr>
          <w:rFonts w:ascii="Times New Roman" w:hAnsi="Times New Roman" w:cs="Times New Roman"/>
        </w:rPr>
        <w:t xml:space="preserve"> </w:t>
      </w:r>
      <w:r w:rsidRPr="00864C8D">
        <w:rPr>
          <w:rFonts w:ascii="Times New Roman" w:hAnsi="Times New Roman" w:cs="Times New Roman"/>
          <w:i/>
          <w:iCs/>
        </w:rPr>
        <w:t>Advanced Capability Integration</w:t>
      </w:r>
      <w:r w:rsidRPr="00864C8D">
        <w:rPr>
          <w:rFonts w:ascii="Times New Roman" w:hAnsi="Times New Roman" w:cs="Times New Roman"/>
        </w:rPr>
        <w:t xml:space="preserve"> through features like </w:t>
      </w:r>
      <w:r w:rsidRPr="00864C8D">
        <w:rPr>
          <w:rFonts w:ascii="Times New Roman" w:hAnsi="Times New Roman" w:cs="Times New Roman"/>
          <w:i/>
          <w:iCs/>
        </w:rPr>
        <w:t>Structured Outputs API</w:t>
      </w:r>
      <w:r w:rsidRPr="00864C8D">
        <w:rPr>
          <w:rFonts w:ascii="Times New Roman" w:hAnsi="Times New Roman" w:cs="Times New Roman"/>
        </w:rPr>
        <w:t xml:space="preserve"> and </w:t>
      </w:r>
      <w:r w:rsidRPr="00864C8D">
        <w:rPr>
          <w:rFonts w:ascii="Times New Roman" w:hAnsi="Times New Roman" w:cs="Times New Roman"/>
          <w:i/>
          <w:iCs/>
        </w:rPr>
        <w:t>Realtime API</w:t>
      </w:r>
      <w:r w:rsidRPr="00864C8D">
        <w:rPr>
          <w:rFonts w:ascii="Times New Roman" w:hAnsi="Times New Roman" w:cs="Times New Roman"/>
        </w:rPr>
        <w:t xml:space="preserve"> provided sophisticated development tools that enhanced venture capabilities while increasing technical dependency on platform-specific implementations.</w:t>
      </w:r>
    </w:p>
    <w:p w14:paraId="3283471F" w14:textId="0C0761C9" w:rsidR="004B389B" w:rsidRPr="00864C8D" w:rsidRDefault="004B389B" w:rsidP="00862193">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Community Sentiment Patterns</w:t>
      </w:r>
      <w:r w:rsidR="00C42EBF" w:rsidRPr="00E93C6B">
        <w:rPr>
          <w:rFonts w:ascii="Times New Roman" w:hAnsi="Times New Roman" w:cs="Times New Roman"/>
          <w:b/>
          <w:bCs/>
          <w:i/>
          <w:iCs/>
        </w:rPr>
        <w:t>.</w:t>
      </w:r>
      <w:r w:rsidR="00C42EBF" w:rsidRPr="00864C8D">
        <w:rPr>
          <w:rFonts w:ascii="Times New Roman" w:hAnsi="Times New Roman" w:cs="Times New Roman"/>
          <w:b/>
          <w:bCs/>
        </w:rPr>
        <w:t xml:space="preserve"> </w:t>
      </w:r>
      <w:r w:rsidRPr="00864C8D">
        <w:rPr>
          <w:rFonts w:ascii="Times New Roman" w:hAnsi="Times New Roman" w:cs="Times New Roman"/>
        </w:rPr>
        <w:t xml:space="preserve">Community sentiment during this phase remained positive to mixed (0.5 to 0.6 average), though platform dependence concerns appeared in 75% of </w:t>
      </w:r>
      <w:proofErr w:type="spellStart"/>
      <w:r w:rsidRPr="00864C8D">
        <w:rPr>
          <w:rFonts w:ascii="Times New Roman" w:hAnsi="Times New Roman" w:cs="Times New Roman"/>
        </w:rPr>
        <w:t>analyzed</w:t>
      </w:r>
      <w:proofErr w:type="spellEnd"/>
      <w:r w:rsidRPr="00864C8D">
        <w:rPr>
          <w:rFonts w:ascii="Times New Roman" w:hAnsi="Times New Roman" w:cs="Times New Roman"/>
        </w:rPr>
        <w:t xml:space="preserve"> events. The community began to articulate more sophisticated understanding of dependency risks while maintaining enthusiasm for capability advancement. </w:t>
      </w:r>
      <w:r w:rsidR="00914FB2">
        <w:rPr>
          <w:rFonts w:ascii="Times New Roman" w:hAnsi="Times New Roman" w:cs="Times New Roman"/>
        </w:rPr>
        <w:t>We paraph</w:t>
      </w:r>
      <w:r w:rsidR="00AA06DD">
        <w:rPr>
          <w:rFonts w:ascii="Times New Roman" w:hAnsi="Times New Roman" w:cs="Times New Roman"/>
        </w:rPr>
        <w:t>rase r</w:t>
      </w:r>
      <w:r w:rsidRPr="00864C8D">
        <w:rPr>
          <w:rFonts w:ascii="Times New Roman" w:hAnsi="Times New Roman" w:cs="Times New Roman"/>
        </w:rPr>
        <w:t xml:space="preserve">epresentative reactions </w:t>
      </w:r>
      <w:r w:rsidR="00AA06DD">
        <w:rPr>
          <w:rFonts w:ascii="Times New Roman" w:hAnsi="Times New Roman" w:cs="Times New Roman"/>
        </w:rPr>
        <w:t>as follows</w:t>
      </w:r>
      <w:r w:rsidRPr="00864C8D">
        <w:rPr>
          <w:rFonts w:ascii="Times New Roman" w:hAnsi="Times New Roman" w:cs="Times New Roman"/>
        </w:rPr>
        <w:t xml:space="preserve">: </w:t>
      </w:r>
      <w:r w:rsidRPr="00864C8D">
        <w:rPr>
          <w:rFonts w:ascii="Times New Roman" w:hAnsi="Times New Roman" w:cs="Times New Roman"/>
          <w:i/>
          <w:iCs/>
        </w:rPr>
        <w:t xml:space="preserve">The GPT Store creates new opportunities for developers to monetize their custom GPTs, </w:t>
      </w:r>
      <w:r w:rsidRPr="00864C8D">
        <w:rPr>
          <w:rFonts w:ascii="Times New Roman" w:hAnsi="Times New Roman" w:cs="Times New Roman"/>
        </w:rPr>
        <w:t xml:space="preserve">though </w:t>
      </w:r>
      <w:r w:rsidR="00503486" w:rsidRPr="00864C8D">
        <w:rPr>
          <w:rFonts w:ascii="Times New Roman" w:hAnsi="Times New Roman" w:cs="Times New Roman"/>
        </w:rPr>
        <w:t xml:space="preserve">the same discussions highlighted </w:t>
      </w:r>
      <w:r w:rsidRPr="00864C8D">
        <w:rPr>
          <w:rFonts w:ascii="Times New Roman" w:hAnsi="Times New Roman" w:cs="Times New Roman"/>
        </w:rPr>
        <w:t xml:space="preserve">platform dependency </w:t>
      </w:r>
      <w:r w:rsidR="00503486" w:rsidRPr="00864C8D">
        <w:rPr>
          <w:rFonts w:ascii="Times New Roman" w:hAnsi="Times New Roman" w:cs="Times New Roman"/>
        </w:rPr>
        <w:t>concerns</w:t>
      </w:r>
      <w:r w:rsidRPr="00864C8D">
        <w:rPr>
          <w:rFonts w:ascii="Times New Roman" w:hAnsi="Times New Roman" w:cs="Times New Roman"/>
        </w:rPr>
        <w:t>.</w:t>
      </w:r>
      <w:r w:rsidR="00021D75" w:rsidRPr="00864C8D">
        <w:rPr>
          <w:rFonts w:ascii="Times New Roman" w:hAnsi="Times New Roman" w:cs="Times New Roman"/>
        </w:rPr>
        <w:t xml:space="preserve"> </w:t>
      </w:r>
      <w:r w:rsidRPr="00864C8D">
        <w:rPr>
          <w:rFonts w:ascii="Times New Roman" w:hAnsi="Times New Roman" w:cs="Times New Roman"/>
        </w:rPr>
        <w:t xml:space="preserve">The emergence of </w:t>
      </w:r>
      <w:r w:rsidRPr="00864C8D">
        <w:rPr>
          <w:rFonts w:ascii="Times New Roman" w:hAnsi="Times New Roman" w:cs="Times New Roman"/>
          <w:i/>
          <w:iCs/>
        </w:rPr>
        <w:t>Strategic Awareness</w:t>
      </w:r>
      <w:r w:rsidRPr="00864C8D">
        <w:rPr>
          <w:rFonts w:ascii="Times New Roman" w:hAnsi="Times New Roman" w:cs="Times New Roman"/>
        </w:rPr>
        <w:t xml:space="preserve"> in community discussions reflects growing sophistication in understanding platform dynamics and dependency implications. </w:t>
      </w:r>
      <w:r w:rsidR="00032C44">
        <w:rPr>
          <w:rFonts w:ascii="Times New Roman" w:hAnsi="Times New Roman" w:cs="Times New Roman"/>
        </w:rPr>
        <w:t xml:space="preserve">The evidence suggests that PDEs may have </w:t>
      </w:r>
      <w:r w:rsidRPr="00864C8D">
        <w:rPr>
          <w:rFonts w:ascii="Times New Roman" w:hAnsi="Times New Roman" w:cs="Times New Roman"/>
        </w:rPr>
        <w:t>beg</w:t>
      </w:r>
      <w:r w:rsidR="00032C44">
        <w:rPr>
          <w:rFonts w:ascii="Times New Roman" w:hAnsi="Times New Roman" w:cs="Times New Roman"/>
        </w:rPr>
        <w:t>u</w:t>
      </w:r>
      <w:r w:rsidRPr="00864C8D">
        <w:rPr>
          <w:rFonts w:ascii="Times New Roman" w:hAnsi="Times New Roman" w:cs="Times New Roman"/>
        </w:rPr>
        <w:t>n to develop more nuanced strategies for managing platform relationships while maximizing capability access.</w:t>
      </w:r>
    </w:p>
    <w:p w14:paraId="4A14F6E1" w14:textId="62E15479" w:rsidR="00BD2E97" w:rsidRPr="00864C8D" w:rsidRDefault="00C929BA" w:rsidP="00862193">
      <w:pPr>
        <w:pStyle w:val="Heading2"/>
        <w:spacing w:before="0" w:after="0" w:line="480" w:lineRule="auto"/>
        <w:rPr>
          <w:rFonts w:cs="Times New Roman"/>
        </w:rPr>
      </w:pPr>
      <w:r w:rsidRPr="00864C8D">
        <w:rPr>
          <w:rFonts w:cs="Times New Roman"/>
        </w:rPr>
        <w:lastRenderedPageBreak/>
        <w:t xml:space="preserve">Enablement &amp; </w:t>
      </w:r>
      <w:r w:rsidR="00BD2E97" w:rsidRPr="00864C8D">
        <w:rPr>
          <w:rFonts w:cs="Times New Roman"/>
        </w:rPr>
        <w:t>Venture Response Evolution</w:t>
      </w:r>
    </w:p>
    <w:p w14:paraId="315728C8" w14:textId="6F3F0744" w:rsidR="00BD2E97" w:rsidRPr="00864C8D" w:rsidRDefault="00BD2E97" w:rsidP="00626985">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Venture responses during this phase evolved from experimental adoption to </w:t>
      </w:r>
      <w:r w:rsidRPr="00864C8D">
        <w:rPr>
          <w:rFonts w:ascii="Times New Roman" w:hAnsi="Times New Roman" w:cs="Times New Roman"/>
          <w:i/>
          <w:iCs/>
        </w:rPr>
        <w:t>Production Deployment</w:t>
      </w:r>
      <w:r w:rsidRPr="00864C8D">
        <w:rPr>
          <w:rFonts w:ascii="Times New Roman" w:hAnsi="Times New Roman" w:cs="Times New Roman"/>
        </w:rPr>
        <w:t xml:space="preserve"> and </w:t>
      </w:r>
      <w:r w:rsidRPr="00864C8D">
        <w:rPr>
          <w:rFonts w:ascii="Times New Roman" w:hAnsi="Times New Roman" w:cs="Times New Roman"/>
          <w:i/>
          <w:iCs/>
        </w:rPr>
        <w:t>Deep Integration</w:t>
      </w:r>
      <w:r w:rsidRPr="00864C8D">
        <w:rPr>
          <w:rFonts w:ascii="Times New Roman" w:hAnsi="Times New Roman" w:cs="Times New Roman"/>
        </w:rPr>
        <w:t xml:space="preserve"> strategies. </w:t>
      </w:r>
      <w:r w:rsidR="00806680">
        <w:rPr>
          <w:rFonts w:ascii="Times New Roman" w:hAnsi="Times New Roman" w:cs="Times New Roman"/>
        </w:rPr>
        <w:t>Appendix C/Graph 3</w:t>
      </w:r>
      <w:r w:rsidR="007175E6">
        <w:rPr>
          <w:rFonts w:ascii="Times New Roman" w:hAnsi="Times New Roman" w:cs="Times New Roman"/>
        </w:rPr>
        <w:t xml:space="preserve"> </w:t>
      </w:r>
      <w:r w:rsidRPr="00864C8D">
        <w:rPr>
          <w:rFonts w:ascii="Times New Roman" w:hAnsi="Times New Roman" w:cs="Times New Roman"/>
        </w:rPr>
        <w:t>illustrates the distribution of venture response patterns that emerged during this phase, with</w:t>
      </w:r>
      <w:r w:rsidR="005E4FA7">
        <w:rPr>
          <w:rFonts w:ascii="Times New Roman" w:hAnsi="Times New Roman" w:cs="Times New Roman"/>
        </w:rPr>
        <w:t xml:space="preserve"> typical cases </w:t>
      </w:r>
      <w:r w:rsidRPr="00864C8D">
        <w:rPr>
          <w:rFonts w:ascii="Times New Roman" w:hAnsi="Times New Roman" w:cs="Times New Roman"/>
        </w:rPr>
        <w:t>of each approach, drawn from the 24 PDE ventures sampled</w:t>
      </w:r>
      <w:r w:rsidR="007175E6">
        <w:rPr>
          <w:rFonts w:ascii="Times New Roman" w:hAnsi="Times New Roman" w:cs="Times New Roman"/>
        </w:rPr>
        <w:t xml:space="preserve"> (see Appendix </w:t>
      </w:r>
      <w:r w:rsidR="00DA5A27">
        <w:rPr>
          <w:rFonts w:ascii="Times New Roman" w:hAnsi="Times New Roman" w:cs="Times New Roman"/>
        </w:rPr>
        <w:t>B</w:t>
      </w:r>
      <w:r w:rsidR="00163621">
        <w:rPr>
          <w:rFonts w:ascii="Times New Roman" w:hAnsi="Times New Roman" w:cs="Times New Roman"/>
        </w:rPr>
        <w:t>)</w:t>
      </w:r>
      <w:r w:rsidRPr="00864C8D">
        <w:rPr>
          <w:rFonts w:ascii="Times New Roman" w:hAnsi="Times New Roman" w:cs="Times New Roman"/>
        </w:rPr>
        <w:t>. Our systematic analysis of 24 platform-dependent ventures reveals four distinct enablement patterns that demonstrate different approaches to managing the enablement-dependence paradox. This triangulation analysis provides empirical grounding for understanding how ventures navigate platform relationships while building sustainable businesses.</w:t>
      </w:r>
    </w:p>
    <w:p w14:paraId="77C44C55" w14:textId="77777777" w:rsidR="00BD2E97" w:rsidRPr="00864C8D" w:rsidRDefault="00BD2E97" w:rsidP="00862193">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Early Access Advantage Pattern.</w:t>
      </w:r>
      <w:r w:rsidRPr="00864C8D">
        <w:rPr>
          <w:rFonts w:ascii="Times New Roman" w:hAnsi="Times New Roman" w:cs="Times New Roman"/>
          <w:b/>
          <w:bCs/>
        </w:rPr>
        <w:t xml:space="preserve"> </w:t>
      </w:r>
      <w:r w:rsidRPr="00864C8D">
        <w:rPr>
          <w:rFonts w:ascii="Times New Roman" w:hAnsi="Times New Roman" w:cs="Times New Roman"/>
        </w:rPr>
        <w:t xml:space="preserve">The Early Access Advantage pattern, exemplified by Copy.ai, demonstrates how timing advantages can create sustainable competitive positions in platform-dependent markets. </w:t>
      </w:r>
      <w:proofErr w:type="spellStart"/>
      <w:r w:rsidRPr="00812710">
        <w:rPr>
          <w:rFonts w:ascii="Times New Roman" w:hAnsi="Times New Roman" w:cs="Times New Roman"/>
          <w:i/>
          <w:iCs/>
        </w:rPr>
        <w:t>Copy.ai</w:t>
      </w:r>
      <w:r w:rsidRPr="00864C8D">
        <w:rPr>
          <w:rFonts w:ascii="Times New Roman" w:hAnsi="Times New Roman" w:cs="Times New Roman"/>
        </w:rPr>
        <w:t>'s</w:t>
      </w:r>
      <w:proofErr w:type="spellEnd"/>
      <w:r w:rsidRPr="00864C8D">
        <w:rPr>
          <w:rFonts w:ascii="Times New Roman" w:hAnsi="Times New Roman" w:cs="Times New Roman"/>
        </w:rPr>
        <w:t xml:space="preserve"> founding in October 2020, approximately four months after the GPT-3 API announcement, enabled the venture to establish market position and secure funding before competitors gained platform access. This pattern requires ventures to identify platform opportunities early and commit resources to platform-specific development before market validation. The risks include platform dependency without proven market demand, while the benefits include first-mover advantages and preferential platform relationships during early ecosystem development.</w:t>
      </w:r>
    </w:p>
    <w:p w14:paraId="6F06A88C" w14:textId="2607A863" w:rsidR="00BD2E97" w:rsidRPr="00864C8D" w:rsidRDefault="00BD2E97" w:rsidP="00812710">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Simultaneous Launch Pattern.</w:t>
      </w:r>
      <w:r w:rsidRPr="00864C8D">
        <w:rPr>
          <w:rFonts w:ascii="Times New Roman" w:hAnsi="Times New Roman" w:cs="Times New Roman"/>
          <w:b/>
          <w:bCs/>
        </w:rPr>
        <w:t xml:space="preserve"> </w:t>
      </w:r>
      <w:r w:rsidRPr="00864C8D">
        <w:rPr>
          <w:rFonts w:ascii="Times New Roman" w:hAnsi="Times New Roman" w:cs="Times New Roman"/>
        </w:rPr>
        <w:t xml:space="preserve">The Simultaneous Launch pattern, demonstrated by Khan Academy's </w:t>
      </w:r>
      <w:proofErr w:type="spellStart"/>
      <w:r w:rsidRPr="00812710">
        <w:rPr>
          <w:rFonts w:ascii="Times New Roman" w:hAnsi="Times New Roman" w:cs="Times New Roman"/>
          <w:i/>
          <w:iCs/>
        </w:rPr>
        <w:t>Khanmigo</w:t>
      </w:r>
      <w:proofErr w:type="spellEnd"/>
      <w:r w:rsidRPr="00864C8D">
        <w:rPr>
          <w:rFonts w:ascii="Times New Roman" w:hAnsi="Times New Roman" w:cs="Times New Roman"/>
        </w:rPr>
        <w:t>, involves coordinated development between platform and venture to maximize integration benefits. This pattern requires close collaboration with platform providers and alignment of development timelines, creating opportunities for deep integration while accepting high dependency levels.</w:t>
      </w:r>
      <w:r w:rsidR="00812710">
        <w:rPr>
          <w:rFonts w:ascii="Times New Roman" w:hAnsi="Times New Roman" w:cs="Times New Roman"/>
        </w:rPr>
        <w:t xml:space="preserve"> </w:t>
      </w:r>
      <w:r w:rsidRPr="00864C8D">
        <w:rPr>
          <w:rFonts w:ascii="Times New Roman" w:hAnsi="Times New Roman" w:cs="Times New Roman"/>
        </w:rPr>
        <w:t xml:space="preserve">Khan Academy's approach demonstrates how established organizations can leverage platform capabilities to enhance existing value </w:t>
      </w:r>
      <w:r w:rsidRPr="00864C8D">
        <w:rPr>
          <w:rFonts w:ascii="Times New Roman" w:hAnsi="Times New Roman" w:cs="Times New Roman"/>
        </w:rPr>
        <w:lastRenderedPageBreak/>
        <w:t>propositions while maintaining core business independence. The educational context provides additional legitimacy for AI integration, facilitating user acceptance and regulatory compliance.</w:t>
      </w:r>
    </w:p>
    <w:p w14:paraId="6D7CFE30" w14:textId="1CF6F321" w:rsidR="00BD2E97" w:rsidRPr="00864C8D" w:rsidRDefault="00BD2E97" w:rsidP="00862193">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Deep Integration Pattern.</w:t>
      </w:r>
      <w:r w:rsidRPr="00864C8D">
        <w:rPr>
          <w:rFonts w:ascii="Times New Roman" w:hAnsi="Times New Roman" w:cs="Times New Roman"/>
          <w:b/>
          <w:bCs/>
        </w:rPr>
        <w:t xml:space="preserve"> </w:t>
      </w:r>
      <w:r w:rsidRPr="00864C8D">
        <w:rPr>
          <w:rFonts w:ascii="Times New Roman" w:hAnsi="Times New Roman" w:cs="Times New Roman"/>
        </w:rPr>
        <w:t xml:space="preserve">The Deep Integration pattern, exemplified by </w:t>
      </w:r>
      <w:r w:rsidRPr="00812710">
        <w:rPr>
          <w:rFonts w:ascii="Times New Roman" w:hAnsi="Times New Roman" w:cs="Times New Roman"/>
          <w:i/>
          <w:iCs/>
        </w:rPr>
        <w:t>Harvey</w:t>
      </w:r>
      <w:r w:rsidRPr="00864C8D">
        <w:rPr>
          <w:rFonts w:ascii="Times New Roman" w:hAnsi="Times New Roman" w:cs="Times New Roman"/>
        </w:rPr>
        <w:t xml:space="preserve">'s legal AI platform, involves building core venture functionality around platform capabilities while accepting high dependency levels in exchange for competitive differentiation. This pattern enables ventures to address complex problems that would be infeasible without platform </w:t>
      </w:r>
      <w:r w:rsidR="002C2FD9" w:rsidRPr="00864C8D">
        <w:rPr>
          <w:rFonts w:ascii="Times New Roman" w:hAnsi="Times New Roman" w:cs="Times New Roman"/>
        </w:rPr>
        <w:t>capabilities but</w:t>
      </w:r>
      <w:r w:rsidRPr="00864C8D">
        <w:rPr>
          <w:rFonts w:ascii="Times New Roman" w:hAnsi="Times New Roman" w:cs="Times New Roman"/>
        </w:rPr>
        <w:t xml:space="preserve"> creates substantial switching costs and vulnerability to platform governance changes. Harvey's success demonstrates how deep integration can create sustainable competitive advantages in specialized domains where platform capabilities provide unique value. However, </w:t>
      </w:r>
      <w:r w:rsidR="00D61335">
        <w:rPr>
          <w:rFonts w:ascii="Times New Roman" w:hAnsi="Times New Roman" w:cs="Times New Roman"/>
        </w:rPr>
        <w:t xml:space="preserve">as of this writing, </w:t>
      </w:r>
      <w:r w:rsidRPr="00864C8D">
        <w:rPr>
          <w:rFonts w:ascii="Times New Roman" w:hAnsi="Times New Roman" w:cs="Times New Roman"/>
        </w:rPr>
        <w:t xml:space="preserve">the venture's </w:t>
      </w:r>
      <w:r w:rsidR="00D61335">
        <w:rPr>
          <w:rFonts w:ascii="Times New Roman" w:hAnsi="Times New Roman" w:cs="Times New Roman"/>
        </w:rPr>
        <w:t xml:space="preserve">stated </w:t>
      </w:r>
      <w:r w:rsidRPr="00864C8D">
        <w:rPr>
          <w:rFonts w:ascii="Times New Roman" w:hAnsi="Times New Roman" w:cs="Times New Roman"/>
        </w:rPr>
        <w:t>dependence on GPT-4 and custom model training creates substantial exposure to platform governance decisions and pricing changes.</w:t>
      </w:r>
    </w:p>
    <w:p w14:paraId="6F30770A" w14:textId="77777777" w:rsidR="00BD2E97" w:rsidRPr="00864C8D" w:rsidRDefault="00BD2E97" w:rsidP="00862193">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Feature Integration Pattern.</w:t>
      </w:r>
      <w:r w:rsidRPr="00864C8D">
        <w:rPr>
          <w:rFonts w:ascii="Times New Roman" w:hAnsi="Times New Roman" w:cs="Times New Roman"/>
          <w:b/>
          <w:bCs/>
        </w:rPr>
        <w:t xml:space="preserve"> </w:t>
      </w:r>
      <w:r w:rsidRPr="00864C8D">
        <w:rPr>
          <w:rFonts w:ascii="Times New Roman" w:hAnsi="Times New Roman" w:cs="Times New Roman"/>
        </w:rPr>
        <w:t xml:space="preserve">The Feature Integration pattern, demonstrated by Notion's AI features, involves incorporating platform capabilities as enhancements to existing products while maintaining core functionality independence. This pattern provides balanced exposure to platform benefits and risks, enabling ventures to benefit from capability advancement while preserving strategic flexibility. </w:t>
      </w:r>
      <w:r w:rsidRPr="00812710">
        <w:rPr>
          <w:rFonts w:ascii="Times New Roman" w:hAnsi="Times New Roman" w:cs="Times New Roman"/>
          <w:i/>
          <w:iCs/>
        </w:rPr>
        <w:t>Notion</w:t>
      </w:r>
      <w:r w:rsidRPr="00864C8D">
        <w:rPr>
          <w:rFonts w:ascii="Times New Roman" w:hAnsi="Times New Roman" w:cs="Times New Roman"/>
        </w:rPr>
        <w:t>'s approach demonstrates how established platforms can integrate generative AI capabilities without fundamentally altering their value propositions or creating excessive dependency. This pattern may be most suitable for ventures with established market positions and diversified capability portfolios.</w:t>
      </w:r>
    </w:p>
    <w:p w14:paraId="714C4501" w14:textId="7C9FB65C" w:rsidR="004B389B" w:rsidRPr="00864C8D" w:rsidRDefault="002B348F" w:rsidP="00862193">
      <w:pPr>
        <w:pStyle w:val="Heading2"/>
        <w:spacing w:line="480" w:lineRule="auto"/>
        <w:rPr>
          <w:rFonts w:cs="Times New Roman"/>
        </w:rPr>
      </w:pPr>
      <w:r w:rsidRPr="00864C8D">
        <w:rPr>
          <w:rFonts w:cs="Times New Roman"/>
        </w:rPr>
        <w:t>Phases 4 &amp; 5</w:t>
      </w:r>
      <w:r w:rsidR="00812710">
        <w:rPr>
          <w:rFonts w:cs="Times New Roman"/>
        </w:rPr>
        <w:t xml:space="preserve">: </w:t>
      </w:r>
      <w:r w:rsidR="00812710" w:rsidRPr="00864C8D">
        <w:rPr>
          <w:rFonts w:cs="Times New Roman"/>
        </w:rPr>
        <w:t>Platform Governance Crisis &amp; Dependency Risks</w:t>
      </w:r>
    </w:p>
    <w:p w14:paraId="404908B0" w14:textId="6402EC7A" w:rsidR="00FB2B24" w:rsidRDefault="00157637" w:rsidP="00862193">
      <w:pPr>
        <w:spacing w:after="0" w:line="480" w:lineRule="auto"/>
        <w:ind w:firstLine="720"/>
        <w:jc w:val="both"/>
        <w:rPr>
          <w:rFonts w:ascii="Times New Roman" w:hAnsi="Times New Roman" w:cs="Times New Roman"/>
        </w:rPr>
      </w:pPr>
      <w:r>
        <w:rPr>
          <w:rFonts w:ascii="Times New Roman" w:hAnsi="Times New Roman" w:cs="Times New Roman"/>
        </w:rPr>
        <w:t xml:space="preserve">As shown in Figure </w:t>
      </w:r>
      <w:r w:rsidR="001032E8">
        <w:rPr>
          <w:rFonts w:ascii="Times New Roman" w:hAnsi="Times New Roman" w:cs="Times New Roman"/>
        </w:rPr>
        <w:t>1</w:t>
      </w:r>
      <w:r>
        <w:rPr>
          <w:rFonts w:ascii="Times New Roman" w:hAnsi="Times New Roman" w:cs="Times New Roman"/>
        </w:rPr>
        <w:t xml:space="preserve"> above, t</w:t>
      </w:r>
      <w:r w:rsidR="004B389B" w:rsidRPr="00864C8D">
        <w:rPr>
          <w:rFonts w:ascii="Times New Roman" w:hAnsi="Times New Roman" w:cs="Times New Roman"/>
        </w:rPr>
        <w:t xml:space="preserve">he </w:t>
      </w:r>
      <w:r w:rsidR="00BA6C9A" w:rsidRPr="00864C8D">
        <w:rPr>
          <w:rFonts w:ascii="Times New Roman" w:hAnsi="Times New Roman" w:cs="Times New Roman"/>
        </w:rPr>
        <w:t xml:space="preserve">early </w:t>
      </w:r>
      <w:r w:rsidR="004B389B" w:rsidRPr="00864C8D">
        <w:rPr>
          <w:rFonts w:ascii="Times New Roman" w:hAnsi="Times New Roman" w:cs="Times New Roman"/>
        </w:rPr>
        <w:t>2025 period</w:t>
      </w:r>
      <w:r w:rsidR="0069016F" w:rsidRPr="00864C8D">
        <w:rPr>
          <w:rFonts w:ascii="Times New Roman" w:hAnsi="Times New Roman" w:cs="Times New Roman"/>
        </w:rPr>
        <w:t xml:space="preserve"> which </w:t>
      </w:r>
      <w:r w:rsidR="00BA6C9A" w:rsidRPr="00864C8D">
        <w:rPr>
          <w:rFonts w:ascii="Times New Roman" w:hAnsi="Times New Roman" w:cs="Times New Roman"/>
        </w:rPr>
        <w:t>w</w:t>
      </w:r>
      <w:r w:rsidR="0069016F" w:rsidRPr="00864C8D">
        <w:rPr>
          <w:rFonts w:ascii="Times New Roman" w:hAnsi="Times New Roman" w:cs="Times New Roman"/>
        </w:rPr>
        <w:t>as Phase 4,</w:t>
      </w:r>
      <w:r w:rsidR="004B389B" w:rsidRPr="00864C8D">
        <w:rPr>
          <w:rFonts w:ascii="Times New Roman" w:hAnsi="Times New Roman" w:cs="Times New Roman"/>
        </w:rPr>
        <w:t xml:space="preserve"> marked the beginning of a governance crisis that fundamentally altered platform</w:t>
      </w:r>
      <w:r w:rsidR="00503486" w:rsidRPr="00864C8D">
        <w:rPr>
          <w:rFonts w:ascii="Times New Roman" w:hAnsi="Times New Roman" w:cs="Times New Roman"/>
        </w:rPr>
        <w:t xml:space="preserve"> </w:t>
      </w:r>
      <w:r w:rsidR="004B389B" w:rsidRPr="00864C8D">
        <w:rPr>
          <w:rFonts w:ascii="Times New Roman" w:hAnsi="Times New Roman" w:cs="Times New Roman"/>
        </w:rPr>
        <w:t>ecosystem relationships</w:t>
      </w:r>
      <w:r w:rsidR="000006B8" w:rsidRPr="00864C8D">
        <w:rPr>
          <w:rFonts w:ascii="Times New Roman" w:hAnsi="Times New Roman" w:cs="Times New Roman"/>
        </w:rPr>
        <w:t>, become a highly critical incident worthy of standalone analysis</w:t>
      </w:r>
      <w:r w:rsidR="004B389B" w:rsidRPr="00864C8D">
        <w:rPr>
          <w:rFonts w:ascii="Times New Roman" w:hAnsi="Times New Roman" w:cs="Times New Roman"/>
        </w:rPr>
        <w:t>. This phase demonstrates how accumulated dependency relationships can become sources of vulnerability when platform governance priorities shift away from ecosystem support toward internal optimization.</w:t>
      </w:r>
      <w:r w:rsidR="000006B8" w:rsidRPr="00864C8D">
        <w:rPr>
          <w:rFonts w:ascii="Times New Roman" w:hAnsi="Times New Roman" w:cs="Times New Roman"/>
        </w:rPr>
        <w:t xml:space="preserve"> </w:t>
      </w:r>
    </w:p>
    <w:p w14:paraId="665DFA5C" w14:textId="10FD97E6" w:rsidR="00E57CA5" w:rsidRPr="00864C8D" w:rsidRDefault="004B389B" w:rsidP="00862193">
      <w:pPr>
        <w:spacing w:after="0" w:line="480" w:lineRule="auto"/>
        <w:ind w:firstLine="720"/>
        <w:jc w:val="both"/>
        <w:rPr>
          <w:rFonts w:ascii="Times New Roman" w:hAnsi="Times New Roman" w:cs="Times New Roman"/>
          <w:i/>
          <w:iCs/>
          <w:color w:val="000000" w:themeColor="text1"/>
        </w:rPr>
      </w:pPr>
      <w:r w:rsidRPr="00E93C6B">
        <w:rPr>
          <w:rFonts w:ascii="Times New Roman" w:hAnsi="Times New Roman" w:cs="Times New Roman"/>
          <w:b/>
          <w:bCs/>
          <w:i/>
          <w:iCs/>
        </w:rPr>
        <w:lastRenderedPageBreak/>
        <w:t>Crisis Triggering Events</w:t>
      </w:r>
      <w:r w:rsidR="00FB2B24" w:rsidRPr="00E93C6B">
        <w:rPr>
          <w:rFonts w:ascii="Times New Roman" w:hAnsi="Times New Roman" w:cs="Times New Roman"/>
          <w:b/>
          <w:bCs/>
          <w:i/>
          <w:iCs/>
        </w:rPr>
        <w:t>.</w:t>
      </w:r>
      <w:r w:rsidR="00FB2B24" w:rsidRPr="00864C8D">
        <w:rPr>
          <w:rFonts w:ascii="Times New Roman" w:hAnsi="Times New Roman" w:cs="Times New Roman"/>
          <w:b/>
          <w:bCs/>
        </w:rPr>
        <w:t xml:space="preserve"> </w:t>
      </w:r>
      <w:r w:rsidRPr="00864C8D">
        <w:rPr>
          <w:rFonts w:ascii="Times New Roman" w:hAnsi="Times New Roman" w:cs="Times New Roman"/>
          <w:i/>
          <w:iCs/>
        </w:rPr>
        <w:t>Forced Migration</w:t>
      </w:r>
      <w:r w:rsidRPr="00864C8D">
        <w:rPr>
          <w:rFonts w:ascii="Times New Roman" w:hAnsi="Times New Roman" w:cs="Times New Roman"/>
        </w:rPr>
        <w:t xml:space="preserve"> </w:t>
      </w:r>
      <w:r w:rsidR="00D12556">
        <w:rPr>
          <w:rFonts w:ascii="Times New Roman" w:hAnsi="Times New Roman" w:cs="Times New Roman"/>
        </w:rPr>
        <w:t>i</w:t>
      </w:r>
      <w:r w:rsidRPr="00864C8D">
        <w:rPr>
          <w:rFonts w:ascii="Times New Roman" w:hAnsi="Times New Roman" w:cs="Times New Roman"/>
        </w:rPr>
        <w:t>nitiatives required ventures to adapt to new platform architectures without adequate transition support, imposing significant technical and financial burdens on dependent entrepreneurs. The Assistants API deprecation announcement exemplifies this pattern, forcing ventures to rebuild core functionality while questioning platform reliability.</w:t>
      </w:r>
      <w:r w:rsidR="00DB0626" w:rsidRPr="00864C8D">
        <w:rPr>
          <w:rFonts w:ascii="Times New Roman" w:hAnsi="Times New Roman" w:cs="Times New Roman"/>
        </w:rPr>
        <w:t xml:space="preserve"> </w:t>
      </w:r>
      <w:r w:rsidRPr="00864C8D">
        <w:rPr>
          <w:rFonts w:ascii="Times New Roman" w:hAnsi="Times New Roman" w:cs="Times New Roman"/>
          <w:i/>
          <w:iCs/>
        </w:rPr>
        <w:t>Quality Regression Incidents</w:t>
      </w:r>
      <w:r w:rsidRPr="00864C8D">
        <w:rPr>
          <w:rFonts w:ascii="Times New Roman" w:hAnsi="Times New Roman" w:cs="Times New Roman"/>
        </w:rPr>
        <w:t xml:space="preserve"> through model updates that degraded performance in specific use cases created direct business impact for dependent ventures. The GPT-4.5 to GPT-5 transition in creative writing capabilities represents a critical case where platform optimization conflicted with venture needs.</w:t>
      </w:r>
      <w:r w:rsidR="00737A85" w:rsidRPr="00864C8D">
        <w:rPr>
          <w:rFonts w:ascii="Times New Roman" w:hAnsi="Times New Roman" w:cs="Times New Roman"/>
        </w:rPr>
        <w:t xml:space="preserve"> The </w:t>
      </w:r>
      <w:r w:rsidR="00386D90" w:rsidRPr="00864C8D">
        <w:rPr>
          <w:rFonts w:ascii="Times New Roman" w:hAnsi="Times New Roman" w:cs="Times New Roman"/>
        </w:rPr>
        <w:t xml:space="preserve">strong negative sentiment is captured by a user who states: </w:t>
      </w:r>
      <w:r w:rsidR="00386D90" w:rsidRPr="00864C8D">
        <w:rPr>
          <w:rFonts w:ascii="Times New Roman" w:hAnsi="Times New Roman" w:cs="Times New Roman"/>
          <w:i/>
          <w:iCs/>
        </w:rPr>
        <w:t>“</w:t>
      </w:r>
      <w:r w:rsidR="00386D90" w:rsidRPr="00864C8D">
        <w:rPr>
          <w:rFonts w:ascii="Times New Roman" w:hAnsi="Times New Roman" w:cs="Times New Roman"/>
          <w:i/>
          <w:iCs/>
          <w:color w:val="000000" w:themeColor="text1"/>
        </w:rPr>
        <w:t>Please don’t! GPT-4.5 is so much better in every aspect. You lied to us when you tried to sell us GPT-4o as better, but I think everyone knows, that it’s a slimmed down/watered down version of GPT-4 that you just pushed to perform better at certain benchmarks.</w:t>
      </w:r>
      <w:r w:rsidR="00E57CA5" w:rsidRPr="00864C8D">
        <w:rPr>
          <w:rFonts w:ascii="Times New Roman" w:hAnsi="Times New Roman" w:cs="Times New Roman"/>
          <w:i/>
          <w:iCs/>
          <w:color w:val="000000" w:themeColor="text1"/>
        </w:rPr>
        <w:t>”</w:t>
      </w:r>
    </w:p>
    <w:p w14:paraId="0A8281D9" w14:textId="373ABACE" w:rsidR="004B389B" w:rsidRDefault="004B389B" w:rsidP="005D00E6">
      <w:pPr>
        <w:spacing w:after="0" w:line="480" w:lineRule="auto"/>
        <w:ind w:firstLine="720"/>
        <w:jc w:val="both"/>
        <w:rPr>
          <w:rFonts w:ascii="Times New Roman" w:hAnsi="Times New Roman" w:cs="Times New Roman"/>
        </w:rPr>
      </w:pPr>
      <w:r w:rsidRPr="00D82B42">
        <w:rPr>
          <w:rFonts w:ascii="Times New Roman" w:hAnsi="Times New Roman" w:cs="Times New Roman"/>
        </w:rPr>
        <w:t>Communication Breakdown</w:t>
      </w:r>
      <w:r w:rsidRPr="00864C8D">
        <w:rPr>
          <w:rFonts w:ascii="Times New Roman" w:hAnsi="Times New Roman" w:cs="Times New Roman"/>
        </w:rPr>
        <w:t xml:space="preserve"> through inadequate advance notice and limited consultation on governance changes eroded trust and created uncertainty about future platform direction. Community reactions reveal growing frustration with unilateral decision-making: </w:t>
      </w:r>
      <w:r w:rsidR="00E23EBC">
        <w:rPr>
          <w:rFonts w:ascii="Times New Roman" w:hAnsi="Times New Roman" w:cs="Times New Roman"/>
        </w:rPr>
        <w:t xml:space="preserve">     </w:t>
      </w:r>
      <w:r w:rsidRPr="00864C8D">
        <w:rPr>
          <w:rFonts w:ascii="Times New Roman" w:hAnsi="Times New Roman" w:cs="Times New Roman"/>
          <w:i/>
          <w:iCs/>
        </w:rPr>
        <w:t>"</w:t>
      </w:r>
      <w:r w:rsidR="005D00E6" w:rsidRPr="005D00E6">
        <w:t xml:space="preserve"> </w:t>
      </w:r>
      <w:r w:rsidR="005D00E6" w:rsidRPr="005D00E6">
        <w:rPr>
          <w:rFonts w:ascii="Times New Roman" w:hAnsi="Times New Roman" w:cs="Times New Roman"/>
          <w:i/>
          <w:iCs/>
        </w:rPr>
        <w:t>GPT-5 might be “smart” in abstract reasoning, but it lacks the determinism, precision, and obedience that GPT‑4.1 provided — and which developers heavily rely on.</w:t>
      </w:r>
      <w:r w:rsidR="005D00E6">
        <w:rPr>
          <w:rFonts w:ascii="Times New Roman" w:hAnsi="Times New Roman" w:cs="Times New Roman"/>
          <w:i/>
          <w:iCs/>
        </w:rPr>
        <w:t xml:space="preserve"> </w:t>
      </w:r>
      <w:r w:rsidR="005D00E6" w:rsidRPr="005D00E6">
        <w:rPr>
          <w:rFonts w:ascii="Times New Roman" w:hAnsi="Times New Roman" w:cs="Times New Roman"/>
          <w:i/>
          <w:iCs/>
        </w:rPr>
        <w:t>I respectfully ask OpenAI to bring back GPT-4.1 as an optional model under legacy access</w:t>
      </w:r>
      <w:r w:rsidR="009603B7">
        <w:rPr>
          <w:rFonts w:ascii="Times New Roman" w:hAnsi="Times New Roman" w:cs="Times New Roman"/>
          <w:i/>
          <w:iCs/>
        </w:rPr>
        <w:t>...</w:t>
      </w:r>
      <w:r w:rsidR="005D00E6" w:rsidRPr="005D00E6">
        <w:rPr>
          <w:rFonts w:ascii="Times New Roman" w:hAnsi="Times New Roman" w:cs="Times New Roman"/>
          <w:i/>
          <w:iCs/>
        </w:rPr>
        <w:t>.</w:t>
      </w:r>
      <w:r w:rsidRPr="00864C8D">
        <w:rPr>
          <w:rFonts w:ascii="Times New Roman" w:hAnsi="Times New Roman" w:cs="Times New Roman"/>
          <w:i/>
          <w:iCs/>
        </w:rPr>
        <w:t>"</w:t>
      </w:r>
      <w:r w:rsidR="0020445A" w:rsidRPr="00864C8D">
        <w:rPr>
          <w:rFonts w:ascii="Times New Roman" w:hAnsi="Times New Roman" w:cs="Times New Roman"/>
        </w:rPr>
        <w:t xml:space="preserve"> These strong reactions would eventually prompt OpenAI to rescind its decision, reinstating access to legacy models with the famous </w:t>
      </w:r>
      <w:r w:rsidR="0020445A" w:rsidRPr="00864C8D">
        <w:rPr>
          <w:rFonts w:ascii="Times New Roman" w:hAnsi="Times New Roman" w:cs="Times New Roman"/>
          <w:i/>
          <w:iCs/>
        </w:rPr>
        <w:t xml:space="preserve">“we </w:t>
      </w:r>
      <w:r w:rsidR="009603B7">
        <w:rPr>
          <w:rFonts w:ascii="Times New Roman" w:hAnsi="Times New Roman" w:cs="Times New Roman"/>
          <w:i/>
          <w:iCs/>
        </w:rPr>
        <w:t xml:space="preserve">totally </w:t>
      </w:r>
      <w:r w:rsidR="0020445A" w:rsidRPr="00864C8D">
        <w:rPr>
          <w:rFonts w:ascii="Times New Roman" w:hAnsi="Times New Roman" w:cs="Times New Roman"/>
          <w:i/>
          <w:iCs/>
        </w:rPr>
        <w:t>screwed up”</w:t>
      </w:r>
      <w:r w:rsidR="0020445A" w:rsidRPr="00864C8D">
        <w:rPr>
          <w:rFonts w:ascii="Times New Roman" w:hAnsi="Times New Roman" w:cs="Times New Roman"/>
        </w:rPr>
        <w:t xml:space="preserve"> comment from its CEO, Sam Altman</w:t>
      </w:r>
      <w:r w:rsidR="009603B7">
        <w:rPr>
          <w:rFonts w:ascii="Times New Roman" w:hAnsi="Times New Roman" w:cs="Times New Roman"/>
        </w:rPr>
        <w:t xml:space="preserve"> reported in the media</w:t>
      </w:r>
      <w:r w:rsidR="0020445A" w:rsidRPr="00864C8D">
        <w:rPr>
          <w:rFonts w:ascii="Times New Roman" w:hAnsi="Times New Roman" w:cs="Times New Roman"/>
        </w:rPr>
        <w:t xml:space="preserve">. Figure </w:t>
      </w:r>
      <w:r w:rsidR="0083616A">
        <w:rPr>
          <w:rFonts w:ascii="Times New Roman" w:hAnsi="Times New Roman" w:cs="Times New Roman"/>
        </w:rPr>
        <w:t>5</w:t>
      </w:r>
      <w:r w:rsidR="0020445A" w:rsidRPr="00864C8D">
        <w:rPr>
          <w:rFonts w:ascii="Times New Roman" w:hAnsi="Times New Roman" w:cs="Times New Roman"/>
        </w:rPr>
        <w:t xml:space="preserve"> visualizes the enablement-dependence paradox that becomes acute during this crisis phase.</w:t>
      </w:r>
    </w:p>
    <w:p w14:paraId="039031DF" w14:textId="77777777" w:rsidR="00E93C6B" w:rsidRDefault="00E93C6B" w:rsidP="005D00E6">
      <w:pPr>
        <w:spacing w:after="0" w:line="480" w:lineRule="auto"/>
        <w:ind w:firstLine="720"/>
        <w:jc w:val="both"/>
        <w:rPr>
          <w:rFonts w:ascii="Times New Roman" w:hAnsi="Times New Roman" w:cs="Times New Roman"/>
        </w:rPr>
      </w:pPr>
    </w:p>
    <w:p w14:paraId="228FADE5" w14:textId="77777777" w:rsidR="00E93C6B" w:rsidRDefault="00E93C6B" w:rsidP="005D00E6">
      <w:pPr>
        <w:spacing w:after="0" w:line="480" w:lineRule="auto"/>
        <w:ind w:firstLine="720"/>
        <w:jc w:val="both"/>
        <w:rPr>
          <w:rFonts w:ascii="Times New Roman" w:hAnsi="Times New Roman" w:cs="Times New Roman"/>
        </w:rPr>
      </w:pPr>
    </w:p>
    <w:p w14:paraId="5771B21F" w14:textId="77777777" w:rsidR="0083616A" w:rsidRDefault="0083616A" w:rsidP="005D00E6">
      <w:pPr>
        <w:spacing w:after="0" w:line="480" w:lineRule="auto"/>
        <w:ind w:firstLine="720"/>
        <w:jc w:val="both"/>
        <w:rPr>
          <w:rFonts w:ascii="Times New Roman" w:hAnsi="Times New Roman" w:cs="Times New Roman"/>
        </w:rPr>
      </w:pPr>
    </w:p>
    <w:p w14:paraId="4BBC0905" w14:textId="739EB959" w:rsidR="004B389B" w:rsidRPr="00864C8D" w:rsidRDefault="0020445A" w:rsidP="0020445A">
      <w:pPr>
        <w:spacing w:after="0" w:line="360" w:lineRule="auto"/>
        <w:jc w:val="center"/>
        <w:rPr>
          <w:rFonts w:ascii="Times New Roman" w:hAnsi="Times New Roman" w:cs="Times New Roman"/>
        </w:rPr>
      </w:pPr>
      <w:r w:rsidRPr="00864C8D">
        <w:rPr>
          <w:rFonts w:ascii="Times New Roman" w:hAnsi="Times New Roman" w:cs="Times New Roman"/>
          <w:b/>
          <w:bCs/>
        </w:rPr>
        <w:lastRenderedPageBreak/>
        <w:t xml:space="preserve">Figure </w:t>
      </w:r>
      <w:r w:rsidR="0083616A">
        <w:rPr>
          <w:rFonts w:ascii="Times New Roman" w:hAnsi="Times New Roman" w:cs="Times New Roman"/>
          <w:b/>
          <w:bCs/>
        </w:rPr>
        <w:t>5</w:t>
      </w:r>
      <w:r w:rsidRPr="00864C8D">
        <w:rPr>
          <w:rFonts w:ascii="Times New Roman" w:hAnsi="Times New Roman" w:cs="Times New Roman"/>
          <w:b/>
          <w:bCs/>
        </w:rPr>
        <w:t>.</w:t>
      </w:r>
      <w:r w:rsidR="004B389B" w:rsidRPr="00864C8D">
        <w:rPr>
          <w:rFonts w:ascii="Times New Roman" w:hAnsi="Times New Roman" w:cs="Times New Roman"/>
        </w:rPr>
        <w:t xml:space="preserve"> Enablement-Dependence Paradox</w:t>
      </w:r>
    </w:p>
    <w:p w14:paraId="07B2DE96" w14:textId="77777777" w:rsidR="004B389B" w:rsidRPr="00864C8D" w:rsidRDefault="004B389B" w:rsidP="00BC6CCC">
      <w:pPr>
        <w:spacing w:after="0" w:line="360" w:lineRule="auto"/>
        <w:jc w:val="center"/>
        <w:rPr>
          <w:rFonts w:ascii="Times New Roman" w:hAnsi="Times New Roman" w:cs="Times New Roman"/>
        </w:rPr>
      </w:pPr>
      <w:r w:rsidRPr="00864C8D">
        <w:rPr>
          <w:rFonts w:ascii="Times New Roman" w:hAnsi="Times New Roman" w:cs="Times New Roman"/>
          <w:noProof/>
        </w:rPr>
        <w:drawing>
          <wp:inline distT="0" distB="0" distL="0" distR="0" wp14:anchorId="266507AB" wp14:editId="70A74474">
            <wp:extent cx="5466944" cy="4527518"/>
            <wp:effectExtent l="0" t="0" r="635" b="6985"/>
            <wp:docPr id="1306665325" name="Picture 7"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665325" name="Picture 7" descr="A diagram of a graph&#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501919" cy="4556483"/>
                    </a:xfrm>
                    <a:prstGeom prst="rect">
                      <a:avLst/>
                    </a:prstGeom>
                  </pic:spPr>
                </pic:pic>
              </a:graphicData>
            </a:graphic>
          </wp:inline>
        </w:drawing>
      </w:r>
    </w:p>
    <w:p w14:paraId="259BAC71" w14:textId="302DEAD7" w:rsidR="00B90BF8" w:rsidRPr="00864C8D" w:rsidRDefault="004B389B" w:rsidP="00BC496C">
      <w:pPr>
        <w:spacing w:after="0" w:line="480" w:lineRule="auto"/>
        <w:jc w:val="both"/>
        <w:rPr>
          <w:rFonts w:ascii="Times New Roman" w:hAnsi="Times New Roman" w:cs="Times New Roman"/>
        </w:rPr>
      </w:pPr>
      <w:r w:rsidRPr="00864C8D">
        <w:rPr>
          <w:rFonts w:ascii="Times New Roman" w:hAnsi="Times New Roman" w:cs="Times New Roman"/>
        </w:rPr>
        <w:t>The scatter plot reveals how events cluster in different quadrants, with crisis-period events predominantly falling in the "Paradox Zone" (high excitement, high dependence) and "Vulnerability Zone" (low excitement, high dependence). The coding by sentiment score shows how the paradox manifests through negative sentiment even when capability excitement remains high, demonstrating the temporal asymmetry of benefits and risks in platform-dependent relationships.</w:t>
      </w:r>
    </w:p>
    <w:p w14:paraId="1F1E4AD7" w14:textId="77777777" w:rsidR="00B90BF8" w:rsidRPr="00864C8D" w:rsidRDefault="004B389B" w:rsidP="00BC496C">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Institutional Mechanism Breakdown</w:t>
      </w:r>
      <w:r w:rsidR="00B90BF8" w:rsidRPr="00E93C6B">
        <w:rPr>
          <w:rFonts w:ascii="Times New Roman" w:hAnsi="Times New Roman" w:cs="Times New Roman"/>
          <w:b/>
          <w:bCs/>
          <w:i/>
          <w:iCs/>
        </w:rPr>
        <w:t>.</w:t>
      </w:r>
      <w:r w:rsidR="00B90BF8" w:rsidRPr="00864C8D">
        <w:rPr>
          <w:rFonts w:ascii="Times New Roman" w:hAnsi="Times New Roman" w:cs="Times New Roman"/>
          <w:b/>
          <w:bCs/>
        </w:rPr>
        <w:t xml:space="preserve"> </w:t>
      </w:r>
      <w:r w:rsidRPr="00864C8D">
        <w:rPr>
          <w:rFonts w:ascii="Times New Roman" w:hAnsi="Times New Roman" w:cs="Times New Roman"/>
        </w:rPr>
        <w:t xml:space="preserve">The crisis phase reveals how institutional catalyst mechanisms can reverse when governance priorities shift. </w:t>
      </w:r>
      <w:r w:rsidRPr="00864C8D">
        <w:rPr>
          <w:rFonts w:ascii="Times New Roman" w:hAnsi="Times New Roman" w:cs="Times New Roman"/>
          <w:i/>
          <w:iCs/>
        </w:rPr>
        <w:t>Infrastructure Provision</w:t>
      </w:r>
      <w:r w:rsidRPr="00864C8D">
        <w:rPr>
          <w:rFonts w:ascii="Times New Roman" w:hAnsi="Times New Roman" w:cs="Times New Roman"/>
        </w:rPr>
        <w:t xml:space="preserve"> became </w:t>
      </w:r>
      <w:r w:rsidRPr="00864C8D">
        <w:rPr>
          <w:rFonts w:ascii="Times New Roman" w:hAnsi="Times New Roman" w:cs="Times New Roman"/>
          <w:i/>
          <w:iCs/>
        </w:rPr>
        <w:t>Infrastructure Disruption</w:t>
      </w:r>
      <w:r w:rsidRPr="00864C8D">
        <w:rPr>
          <w:rFonts w:ascii="Times New Roman" w:hAnsi="Times New Roman" w:cs="Times New Roman"/>
        </w:rPr>
        <w:t xml:space="preserve"> as platform </w:t>
      </w:r>
      <w:proofErr w:type="gramStart"/>
      <w:r w:rsidRPr="00864C8D">
        <w:rPr>
          <w:rFonts w:ascii="Times New Roman" w:hAnsi="Times New Roman" w:cs="Times New Roman"/>
        </w:rPr>
        <w:t>changes imposed</w:t>
      </w:r>
      <w:proofErr w:type="gramEnd"/>
      <w:r w:rsidRPr="00864C8D">
        <w:rPr>
          <w:rFonts w:ascii="Times New Roman" w:hAnsi="Times New Roman" w:cs="Times New Roman"/>
        </w:rPr>
        <w:t xml:space="preserve"> costs rather than reducing them. </w:t>
      </w:r>
      <w:r w:rsidRPr="00864C8D">
        <w:rPr>
          <w:rFonts w:ascii="Times New Roman" w:hAnsi="Times New Roman" w:cs="Times New Roman"/>
          <w:i/>
          <w:iCs/>
        </w:rPr>
        <w:t>Capability Scaffolding</w:t>
      </w:r>
      <w:r w:rsidRPr="00864C8D">
        <w:rPr>
          <w:rFonts w:ascii="Times New Roman" w:hAnsi="Times New Roman" w:cs="Times New Roman"/>
        </w:rPr>
        <w:t xml:space="preserve"> transformed into </w:t>
      </w:r>
      <w:r w:rsidRPr="00864C8D">
        <w:rPr>
          <w:rFonts w:ascii="Times New Roman" w:hAnsi="Times New Roman" w:cs="Times New Roman"/>
          <w:i/>
          <w:iCs/>
        </w:rPr>
        <w:t>Capability Constraint</w:t>
      </w:r>
      <w:r w:rsidRPr="00864C8D">
        <w:rPr>
          <w:rFonts w:ascii="Times New Roman" w:hAnsi="Times New Roman" w:cs="Times New Roman"/>
        </w:rPr>
        <w:t xml:space="preserve"> as new limitations and requirements reduced venture flexibility.</w:t>
      </w:r>
      <w:r w:rsidR="00B90BF8" w:rsidRPr="00864C8D">
        <w:rPr>
          <w:rFonts w:ascii="Times New Roman" w:hAnsi="Times New Roman" w:cs="Times New Roman"/>
        </w:rPr>
        <w:t xml:space="preserve"> </w:t>
      </w:r>
      <w:r w:rsidRPr="00864C8D">
        <w:rPr>
          <w:rFonts w:ascii="Times New Roman" w:hAnsi="Times New Roman" w:cs="Times New Roman"/>
          <w:i/>
          <w:iCs/>
        </w:rPr>
        <w:t>Market Legitimization</w:t>
      </w:r>
      <w:r w:rsidRPr="00864C8D">
        <w:rPr>
          <w:rFonts w:ascii="Times New Roman" w:hAnsi="Times New Roman" w:cs="Times New Roman"/>
        </w:rPr>
        <w:t xml:space="preserve"> began to erode as platform </w:t>
      </w:r>
      <w:r w:rsidRPr="00864C8D">
        <w:rPr>
          <w:rFonts w:ascii="Times New Roman" w:hAnsi="Times New Roman" w:cs="Times New Roman"/>
        </w:rPr>
        <w:lastRenderedPageBreak/>
        <w:t xml:space="preserve">governance decisions created uncertainty about the sustainability of platform-dependent business models. </w:t>
      </w:r>
      <w:r w:rsidRPr="00864C8D">
        <w:rPr>
          <w:rFonts w:ascii="Times New Roman" w:hAnsi="Times New Roman" w:cs="Times New Roman"/>
          <w:i/>
          <w:iCs/>
        </w:rPr>
        <w:t>Ecosystem Orchestration</w:t>
      </w:r>
      <w:r w:rsidRPr="00864C8D">
        <w:rPr>
          <w:rFonts w:ascii="Times New Roman" w:hAnsi="Times New Roman" w:cs="Times New Roman"/>
        </w:rPr>
        <w:t xml:space="preserve"> shifted toward </w:t>
      </w:r>
      <w:r w:rsidRPr="00864C8D">
        <w:rPr>
          <w:rFonts w:ascii="Times New Roman" w:hAnsi="Times New Roman" w:cs="Times New Roman"/>
          <w:i/>
          <w:iCs/>
        </w:rPr>
        <w:t>Ecosystem Control</w:t>
      </w:r>
      <w:r w:rsidRPr="00864C8D">
        <w:rPr>
          <w:rFonts w:ascii="Times New Roman" w:hAnsi="Times New Roman" w:cs="Times New Roman"/>
        </w:rPr>
        <w:t xml:space="preserve"> as the platform prioritized internal optimization over ecosystem health.</w:t>
      </w:r>
    </w:p>
    <w:p w14:paraId="4A246C35" w14:textId="77777777" w:rsidR="00BF5F33" w:rsidRPr="00864C8D" w:rsidRDefault="004B389B" w:rsidP="00BC496C">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Community Sentiment Deterioration</w:t>
      </w:r>
      <w:r w:rsidR="00B90BF8" w:rsidRPr="00E93C6B">
        <w:rPr>
          <w:rFonts w:ascii="Times New Roman" w:hAnsi="Times New Roman" w:cs="Times New Roman"/>
          <w:b/>
          <w:bCs/>
          <w:i/>
          <w:iCs/>
        </w:rPr>
        <w:t>.</w:t>
      </w:r>
      <w:r w:rsidR="00B90BF8" w:rsidRPr="00864C8D">
        <w:rPr>
          <w:rFonts w:ascii="Times New Roman" w:hAnsi="Times New Roman" w:cs="Times New Roman"/>
          <w:b/>
          <w:bCs/>
        </w:rPr>
        <w:t xml:space="preserve"> </w:t>
      </w:r>
      <w:r w:rsidRPr="00864C8D">
        <w:rPr>
          <w:rFonts w:ascii="Times New Roman" w:hAnsi="Times New Roman" w:cs="Times New Roman"/>
        </w:rPr>
        <w:t>Community sentiment during this phase showed significant deterioration, with mixed to negative reactions (0.1 to 0.4 average) and the emergence of trust concerns in 40% of events. The community discourse shifted from capability excitement to risk management, with increasing discussion of diversification strategies and alternative platforms.</w:t>
      </w:r>
    </w:p>
    <w:p w14:paraId="5971A648" w14:textId="651E10B2" w:rsidR="009603B7" w:rsidRPr="00864C8D" w:rsidRDefault="004B389B" w:rsidP="009603B7">
      <w:pPr>
        <w:spacing w:after="0" w:line="480" w:lineRule="auto"/>
        <w:ind w:firstLine="720"/>
        <w:jc w:val="both"/>
        <w:rPr>
          <w:rFonts w:ascii="Times New Roman" w:hAnsi="Times New Roman" w:cs="Times New Roman"/>
        </w:rPr>
      </w:pPr>
      <w:r w:rsidRPr="00E93C6B">
        <w:rPr>
          <w:rFonts w:ascii="Times New Roman" w:hAnsi="Times New Roman" w:cs="Times New Roman"/>
          <w:b/>
          <w:bCs/>
          <w:i/>
          <w:iCs/>
        </w:rPr>
        <w:t>Governance Overreach and Community Backlash</w:t>
      </w:r>
      <w:r w:rsidR="00BF5F33" w:rsidRPr="00E93C6B">
        <w:rPr>
          <w:rFonts w:ascii="Times New Roman" w:hAnsi="Times New Roman" w:cs="Times New Roman"/>
          <w:b/>
          <w:bCs/>
          <w:i/>
          <w:iCs/>
        </w:rPr>
        <w:t>.</w:t>
      </w:r>
      <w:r w:rsidR="00BF5F33" w:rsidRPr="00864C8D">
        <w:rPr>
          <w:rFonts w:ascii="Times New Roman" w:hAnsi="Times New Roman" w:cs="Times New Roman"/>
          <w:b/>
          <w:bCs/>
        </w:rPr>
        <w:t xml:space="preserve"> </w:t>
      </w:r>
      <w:r w:rsidR="00BF5F33" w:rsidRPr="00864C8D">
        <w:rPr>
          <w:rFonts w:ascii="Times New Roman" w:hAnsi="Times New Roman" w:cs="Times New Roman"/>
        </w:rPr>
        <w:t xml:space="preserve">Phase 5, occurring from the </w:t>
      </w:r>
      <w:r w:rsidRPr="00864C8D">
        <w:rPr>
          <w:rFonts w:ascii="Times New Roman" w:hAnsi="Times New Roman" w:cs="Times New Roman"/>
        </w:rPr>
        <w:t>mid-2025 period</w:t>
      </w:r>
      <w:r w:rsidR="002A56B9">
        <w:rPr>
          <w:rFonts w:ascii="Times New Roman" w:hAnsi="Times New Roman" w:cs="Times New Roman"/>
        </w:rPr>
        <w:t xml:space="preserve"> onwards,</w:t>
      </w:r>
      <w:r w:rsidRPr="00864C8D">
        <w:rPr>
          <w:rFonts w:ascii="Times New Roman" w:hAnsi="Times New Roman" w:cs="Times New Roman"/>
        </w:rPr>
        <w:t xml:space="preserve"> represents a watershed moment in </w:t>
      </w:r>
      <w:r w:rsidR="00BF5F33" w:rsidRPr="00864C8D">
        <w:rPr>
          <w:rFonts w:ascii="Times New Roman" w:hAnsi="Times New Roman" w:cs="Times New Roman"/>
        </w:rPr>
        <w:t>AI-powered PDE</w:t>
      </w:r>
      <w:r w:rsidRPr="00864C8D">
        <w:rPr>
          <w:rFonts w:ascii="Times New Roman" w:hAnsi="Times New Roman" w:cs="Times New Roman"/>
        </w:rPr>
        <w:t>, demonstrating how accumulated governance overreach can trigger rapid trust erosion and</w:t>
      </w:r>
      <w:r w:rsidR="008231B3">
        <w:rPr>
          <w:rFonts w:ascii="Times New Roman" w:hAnsi="Times New Roman" w:cs="Times New Roman"/>
        </w:rPr>
        <w:t xml:space="preserve"> a</w:t>
      </w:r>
      <w:r w:rsidRPr="00864C8D">
        <w:rPr>
          <w:rFonts w:ascii="Times New Roman" w:hAnsi="Times New Roman" w:cs="Times New Roman"/>
        </w:rPr>
        <w:t xml:space="preserve"> fundamental questioning of platform-dependent business models.</w:t>
      </w:r>
    </w:p>
    <w:p w14:paraId="6725B42E" w14:textId="7A7261AC" w:rsidR="004B389B" w:rsidRPr="00864C8D" w:rsidRDefault="004B389B" w:rsidP="00BC496C">
      <w:pPr>
        <w:pStyle w:val="Heading3"/>
        <w:spacing w:line="480" w:lineRule="auto"/>
        <w:rPr>
          <w:rFonts w:cs="Times New Roman"/>
        </w:rPr>
      </w:pPr>
      <w:r w:rsidRPr="00864C8D">
        <w:rPr>
          <w:rFonts w:cs="Times New Roman"/>
        </w:rPr>
        <w:t xml:space="preserve">Governance Overreach </w:t>
      </w:r>
      <w:r w:rsidR="009603B7">
        <w:rPr>
          <w:rFonts w:cs="Times New Roman"/>
        </w:rPr>
        <w:t xml:space="preserve">Mechanisms </w:t>
      </w:r>
    </w:p>
    <w:p w14:paraId="331BC7B3" w14:textId="20F75039" w:rsidR="004B389B" w:rsidRPr="00864C8D" w:rsidRDefault="004B389B" w:rsidP="00BC496C">
      <w:pPr>
        <w:spacing w:after="0" w:line="480" w:lineRule="auto"/>
        <w:ind w:firstLine="720"/>
        <w:jc w:val="both"/>
        <w:rPr>
          <w:rFonts w:ascii="Times New Roman" w:hAnsi="Times New Roman" w:cs="Times New Roman"/>
        </w:rPr>
      </w:pPr>
      <w:r w:rsidRPr="00864C8D">
        <w:rPr>
          <w:rFonts w:ascii="Times New Roman" w:hAnsi="Times New Roman" w:cs="Times New Roman"/>
          <w:i/>
          <w:iCs/>
        </w:rPr>
        <w:t>Choice Removal as Control Mechanism</w:t>
      </w:r>
      <w:r w:rsidRPr="00864C8D">
        <w:rPr>
          <w:rFonts w:ascii="Times New Roman" w:hAnsi="Times New Roman" w:cs="Times New Roman"/>
        </w:rPr>
        <w:t xml:space="preserve"> emerged as a new theoretical construct during </w:t>
      </w:r>
      <w:r w:rsidR="0073515A" w:rsidRPr="00864C8D">
        <w:rPr>
          <w:rFonts w:ascii="Times New Roman" w:hAnsi="Times New Roman" w:cs="Times New Roman"/>
        </w:rPr>
        <w:t>the crisis phases</w:t>
      </w:r>
      <w:r w:rsidRPr="00864C8D">
        <w:rPr>
          <w:rFonts w:ascii="Times New Roman" w:hAnsi="Times New Roman" w:cs="Times New Roman"/>
        </w:rPr>
        <w:t>, exemplified by the forced removal of GPT-4.5 access without user choice or adequate transition support. This represents a qualitatively different form of platform control that exploits switching costs and sunk investments to force adoption of inferior alternatives.</w:t>
      </w:r>
      <w:r w:rsidR="0073515A" w:rsidRPr="00864C8D">
        <w:rPr>
          <w:rFonts w:ascii="Times New Roman" w:hAnsi="Times New Roman" w:cs="Times New Roman"/>
        </w:rPr>
        <w:t xml:space="preserve"> </w:t>
      </w:r>
      <w:r w:rsidRPr="00864C8D">
        <w:rPr>
          <w:rFonts w:ascii="Times New Roman" w:hAnsi="Times New Roman" w:cs="Times New Roman"/>
          <w:i/>
          <w:iCs/>
        </w:rPr>
        <w:t>Quality Regression Tolerance</w:t>
      </w:r>
      <w:r w:rsidRPr="00864C8D">
        <w:rPr>
          <w:rFonts w:ascii="Times New Roman" w:hAnsi="Times New Roman" w:cs="Times New Roman"/>
        </w:rPr>
        <w:t xml:space="preserve"> reflects the platform's assumption that dependent ventures will accept capability degradation due to high switching costs. The GPT-5 release with acknowledged quality regression in creative writing demonstrates how platforms may prioritize internal objectives over ecosystem value creation when dependency relationships are strong.</w:t>
      </w:r>
      <w:r w:rsidR="0073515A" w:rsidRPr="00864C8D">
        <w:rPr>
          <w:rFonts w:ascii="Times New Roman" w:hAnsi="Times New Roman" w:cs="Times New Roman"/>
        </w:rPr>
        <w:t xml:space="preserve"> </w:t>
      </w:r>
      <w:r w:rsidRPr="00864C8D">
        <w:rPr>
          <w:rFonts w:ascii="Times New Roman" w:hAnsi="Times New Roman" w:cs="Times New Roman"/>
          <w:i/>
          <w:iCs/>
        </w:rPr>
        <w:t>Trust Erosion Cascade</w:t>
      </w:r>
      <w:r w:rsidRPr="00864C8D">
        <w:rPr>
          <w:rFonts w:ascii="Times New Roman" w:hAnsi="Times New Roman" w:cs="Times New Roman"/>
        </w:rPr>
        <w:t xml:space="preserve"> describes the rapid deterioration of platform relationships when governance overreach is perceived. Unlike gradual sentiment decline, trust erosion exhibits cascade characteristics where individual incidents trigger broader questioning of platform reliability and long-term viability.</w:t>
      </w:r>
    </w:p>
    <w:p w14:paraId="4BC8E715" w14:textId="77777777" w:rsidR="004B389B" w:rsidRPr="00864C8D" w:rsidRDefault="004B389B" w:rsidP="00BC496C">
      <w:pPr>
        <w:pStyle w:val="Heading3"/>
        <w:spacing w:line="480" w:lineRule="auto"/>
        <w:rPr>
          <w:rFonts w:cs="Times New Roman"/>
        </w:rPr>
      </w:pPr>
      <w:r w:rsidRPr="00864C8D">
        <w:rPr>
          <w:rFonts w:cs="Times New Roman"/>
        </w:rPr>
        <w:lastRenderedPageBreak/>
        <w:t>Community Backlash Dynamics</w:t>
      </w:r>
    </w:p>
    <w:p w14:paraId="7ECB4FD6" w14:textId="7361CAF6" w:rsidR="004B389B" w:rsidRPr="00864C8D" w:rsidRDefault="004B389B" w:rsidP="00BC496C">
      <w:pPr>
        <w:spacing w:after="0" w:line="480" w:lineRule="auto"/>
        <w:ind w:firstLine="720"/>
        <w:jc w:val="both"/>
        <w:rPr>
          <w:rFonts w:ascii="Times New Roman" w:hAnsi="Times New Roman" w:cs="Times New Roman"/>
        </w:rPr>
      </w:pPr>
      <w:r w:rsidRPr="00864C8D">
        <w:rPr>
          <w:rFonts w:ascii="Times New Roman" w:hAnsi="Times New Roman" w:cs="Times New Roman"/>
        </w:rPr>
        <w:t>Community sentiment reached unprecedented negative levels (-0.8 for forced migration events), with reactions characterized by anger, betrayal, and active consideration of platform abandonment. The discourse shifted from capability optimization to survival strategies, with ventures actively seeking alternatives and developing contingency plans.</w:t>
      </w:r>
      <w:r w:rsidR="00713921" w:rsidRPr="00864C8D">
        <w:rPr>
          <w:rFonts w:ascii="Times New Roman" w:hAnsi="Times New Roman" w:cs="Times New Roman"/>
        </w:rPr>
        <w:t xml:space="preserve"> </w:t>
      </w:r>
      <w:r w:rsidRPr="00864C8D">
        <w:rPr>
          <w:rFonts w:ascii="Times New Roman" w:hAnsi="Times New Roman" w:cs="Times New Roman"/>
        </w:rPr>
        <w:t xml:space="preserve">Representative community reactions capture the severity of trust erosion: </w:t>
      </w:r>
      <w:r w:rsidRPr="00864C8D">
        <w:rPr>
          <w:rFonts w:ascii="Times New Roman" w:hAnsi="Times New Roman" w:cs="Times New Roman"/>
          <w:i/>
          <w:iCs/>
        </w:rPr>
        <w:t>"Instead of adding GPT-5 as an option alongside existing models, OpenAI simply removed access to all other models. No warning... No choice."</w:t>
      </w:r>
      <w:r w:rsidRPr="00864C8D">
        <w:rPr>
          <w:rFonts w:ascii="Times New Roman" w:hAnsi="Times New Roman" w:cs="Times New Roman"/>
        </w:rPr>
        <w:t xml:space="preserve"> This quote illustrates how choice removal as a control mechanism generates particularly strong negative reactions that extend beyond specific technical concerns to fundamental questions about platform governance legitimacy.</w:t>
      </w:r>
    </w:p>
    <w:p w14:paraId="2B090AC4" w14:textId="77777777" w:rsidR="004B389B" w:rsidRPr="00864C8D" w:rsidRDefault="004B389B" w:rsidP="00BC496C">
      <w:pPr>
        <w:pStyle w:val="Heading2"/>
        <w:spacing w:before="0" w:after="0" w:line="480" w:lineRule="auto"/>
        <w:rPr>
          <w:rFonts w:cs="Times New Roman"/>
        </w:rPr>
      </w:pPr>
      <w:r w:rsidRPr="00864C8D">
        <w:rPr>
          <w:rFonts w:cs="Times New Roman"/>
        </w:rPr>
        <w:t>Synthesis: Temporal Dynamics and Theoretical Integration</w:t>
      </w:r>
    </w:p>
    <w:p w14:paraId="600F2768" w14:textId="77777777" w:rsidR="0022511F" w:rsidRPr="00864C8D" w:rsidRDefault="004B389B" w:rsidP="00BC496C">
      <w:pPr>
        <w:spacing w:after="0" w:line="480" w:lineRule="auto"/>
        <w:ind w:firstLine="720"/>
        <w:jc w:val="both"/>
        <w:rPr>
          <w:rFonts w:ascii="Times New Roman" w:hAnsi="Times New Roman" w:cs="Times New Roman"/>
        </w:rPr>
      </w:pPr>
      <w:r w:rsidRPr="00864C8D">
        <w:rPr>
          <w:rFonts w:ascii="Times New Roman" w:hAnsi="Times New Roman" w:cs="Times New Roman"/>
        </w:rPr>
        <w:t>Our empirical analysis validates the core propositions of our theoretical framework while revealing new dynamics that extend existing theories of digital entrepreneurship and platform governance. The five-phase evolution demonstrates how platform-dependent entrepreneurship relationships exhibit temporal instability, with enablement benefits dominating early phases while dependence vulnerabilities become apparent during governance crisis periods.</w:t>
      </w:r>
    </w:p>
    <w:p w14:paraId="3EEBAFAD" w14:textId="4C842027" w:rsidR="001374F1" w:rsidRPr="00864C8D" w:rsidRDefault="004B389B" w:rsidP="00BC496C">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Figure </w:t>
      </w:r>
      <w:r w:rsidR="0022511F" w:rsidRPr="00864C8D">
        <w:rPr>
          <w:rFonts w:ascii="Times New Roman" w:hAnsi="Times New Roman" w:cs="Times New Roman"/>
        </w:rPr>
        <w:t>1 above</w:t>
      </w:r>
      <w:r w:rsidRPr="00864C8D">
        <w:rPr>
          <w:rFonts w:ascii="Times New Roman" w:hAnsi="Times New Roman" w:cs="Times New Roman"/>
        </w:rPr>
        <w:t xml:space="preserve"> synthesizes our empirical findings into an integrated theoretical framework that captures the dynamic relationships between institutional catalyst mechanisms, the enablement-dependence paradox, and temporal evolution. The central paradox connects to four institutional mechanisms that operate with varying intensity across the five temporal phases shown at the bottom. This framework provides a comprehensive account of how </w:t>
      </w:r>
      <w:r w:rsidR="000C3AFD">
        <w:rPr>
          <w:rFonts w:ascii="Times New Roman" w:hAnsi="Times New Roman" w:cs="Times New Roman"/>
        </w:rPr>
        <w:t>Gen AI</w:t>
      </w:r>
      <w:r w:rsidRPr="00864C8D">
        <w:rPr>
          <w:rFonts w:ascii="Times New Roman" w:hAnsi="Times New Roman" w:cs="Times New Roman"/>
        </w:rPr>
        <w:t xml:space="preserve"> platforms function as institutional catalysts while creating new forms of entrepreneurial vulnerability.</w:t>
      </w:r>
      <w:r w:rsidR="001374F1" w:rsidRPr="00864C8D">
        <w:rPr>
          <w:rFonts w:ascii="Times New Roman" w:hAnsi="Times New Roman" w:cs="Times New Roman"/>
        </w:rPr>
        <w:t xml:space="preserve"> </w:t>
      </w:r>
      <w:r w:rsidRPr="00864C8D">
        <w:rPr>
          <w:rFonts w:ascii="Times New Roman" w:hAnsi="Times New Roman" w:cs="Times New Roman"/>
        </w:rPr>
        <w:t xml:space="preserve">The enablement-dependence paradox emerges as the central theoretical insight, capturing the fundamental tension between capability access and strategic vulnerability that </w:t>
      </w:r>
      <w:r w:rsidRPr="00864C8D">
        <w:rPr>
          <w:rFonts w:ascii="Times New Roman" w:hAnsi="Times New Roman" w:cs="Times New Roman"/>
        </w:rPr>
        <w:lastRenderedPageBreak/>
        <w:t xml:space="preserve">characterizes </w:t>
      </w:r>
      <w:r w:rsidR="001C2239">
        <w:rPr>
          <w:rFonts w:ascii="Times New Roman" w:hAnsi="Times New Roman" w:cs="Times New Roman"/>
        </w:rPr>
        <w:t>PDE</w:t>
      </w:r>
      <w:r w:rsidRPr="00864C8D">
        <w:rPr>
          <w:rFonts w:ascii="Times New Roman" w:hAnsi="Times New Roman" w:cs="Times New Roman"/>
        </w:rPr>
        <w:t xml:space="preserve">. The temporal asymmetry of this paradox—with benefits realized immediately and costs accumulating over time—helps explain why ventures may rationally </w:t>
      </w:r>
      <w:proofErr w:type="gramStart"/>
      <w:r w:rsidRPr="00864C8D">
        <w:rPr>
          <w:rFonts w:ascii="Times New Roman" w:hAnsi="Times New Roman" w:cs="Times New Roman"/>
        </w:rPr>
        <w:t>enter into</w:t>
      </w:r>
      <w:proofErr w:type="gramEnd"/>
      <w:r w:rsidRPr="00864C8D">
        <w:rPr>
          <w:rFonts w:ascii="Times New Roman" w:hAnsi="Times New Roman" w:cs="Times New Roman"/>
        </w:rPr>
        <w:t xml:space="preserve"> platform-dependent relationships despite long-term vulnerability risks.</w:t>
      </w:r>
    </w:p>
    <w:p w14:paraId="30D9DA4F" w14:textId="23DA8861" w:rsidR="004B389B" w:rsidRDefault="004B389B" w:rsidP="00BC496C">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The institutional catalyst mechanisms provide the specific processes through which platforms enable entrepreneurial activity while creating dependency relationships. The relative impact of these mechanisms varies across temporal phases, with </w:t>
      </w:r>
      <w:r w:rsidRPr="00864C8D">
        <w:rPr>
          <w:rFonts w:ascii="Times New Roman" w:hAnsi="Times New Roman" w:cs="Times New Roman"/>
          <w:i/>
          <w:iCs/>
        </w:rPr>
        <w:t>Infrastructure Provision</w:t>
      </w:r>
      <w:r w:rsidRPr="00864C8D">
        <w:rPr>
          <w:rFonts w:ascii="Times New Roman" w:hAnsi="Times New Roman" w:cs="Times New Roman"/>
        </w:rPr>
        <w:t xml:space="preserve"> dominating foundation phases, </w:t>
      </w:r>
      <w:r w:rsidRPr="00864C8D">
        <w:rPr>
          <w:rFonts w:ascii="Times New Roman" w:hAnsi="Times New Roman" w:cs="Times New Roman"/>
          <w:i/>
          <w:iCs/>
        </w:rPr>
        <w:t>Capability Scaffolding</w:t>
      </w:r>
      <w:r w:rsidRPr="00864C8D">
        <w:rPr>
          <w:rFonts w:ascii="Times New Roman" w:hAnsi="Times New Roman" w:cs="Times New Roman"/>
        </w:rPr>
        <w:t xml:space="preserve"> driving expansion phases, and </w:t>
      </w:r>
      <w:r w:rsidRPr="00864C8D">
        <w:rPr>
          <w:rFonts w:ascii="Times New Roman" w:hAnsi="Times New Roman" w:cs="Times New Roman"/>
          <w:i/>
          <w:iCs/>
        </w:rPr>
        <w:t>Ecosystem Orchestration</w:t>
      </w:r>
      <w:r w:rsidRPr="00864C8D">
        <w:rPr>
          <w:rFonts w:ascii="Times New Roman" w:hAnsi="Times New Roman" w:cs="Times New Roman"/>
        </w:rPr>
        <w:t xml:space="preserve"> characterizing maturation phases.</w:t>
      </w:r>
      <w:r w:rsidR="0045128C" w:rsidRPr="00864C8D">
        <w:rPr>
          <w:rFonts w:ascii="Times New Roman" w:hAnsi="Times New Roman" w:cs="Times New Roman"/>
        </w:rPr>
        <w:t xml:space="preserve"> </w:t>
      </w:r>
      <w:r w:rsidRPr="00864C8D">
        <w:rPr>
          <w:rFonts w:ascii="Times New Roman" w:hAnsi="Times New Roman" w:cs="Times New Roman"/>
        </w:rPr>
        <w:t>The new theoretical constructs that emerge from crisis dynamics—</w:t>
      </w:r>
      <w:r w:rsidRPr="00864C8D">
        <w:rPr>
          <w:rFonts w:ascii="Times New Roman" w:hAnsi="Times New Roman" w:cs="Times New Roman"/>
          <w:b/>
          <w:bCs/>
          <w:i/>
          <w:iCs/>
        </w:rPr>
        <w:t>Platform Governance Overreach</w:t>
      </w:r>
      <w:r w:rsidRPr="00864C8D">
        <w:rPr>
          <w:rFonts w:ascii="Times New Roman" w:hAnsi="Times New Roman" w:cs="Times New Roman"/>
        </w:rPr>
        <w:t xml:space="preserve">, </w:t>
      </w:r>
      <w:r w:rsidRPr="00864C8D">
        <w:rPr>
          <w:rFonts w:ascii="Times New Roman" w:hAnsi="Times New Roman" w:cs="Times New Roman"/>
          <w:b/>
          <w:bCs/>
          <w:i/>
          <w:iCs/>
        </w:rPr>
        <w:t>Trust Erosion Cascade</w:t>
      </w:r>
      <w:r w:rsidRPr="00864C8D">
        <w:rPr>
          <w:rFonts w:ascii="Times New Roman" w:hAnsi="Times New Roman" w:cs="Times New Roman"/>
        </w:rPr>
        <w:t xml:space="preserve">, and </w:t>
      </w:r>
      <w:r w:rsidRPr="00864C8D">
        <w:rPr>
          <w:rFonts w:ascii="Times New Roman" w:hAnsi="Times New Roman" w:cs="Times New Roman"/>
          <w:b/>
          <w:bCs/>
          <w:i/>
          <w:iCs/>
        </w:rPr>
        <w:t>Choice Removal as Control Mechanism</w:t>
      </w:r>
      <w:r w:rsidRPr="00864C8D">
        <w:rPr>
          <w:rFonts w:ascii="Times New Roman" w:hAnsi="Times New Roman" w:cs="Times New Roman"/>
        </w:rPr>
        <w:t>—extend existing platform governance theory by specifying how accumulated dependency relationships can be exploited when platform priorities shift away from ecosystem support.</w:t>
      </w:r>
      <w:r w:rsidR="0045128C" w:rsidRPr="00864C8D">
        <w:rPr>
          <w:rFonts w:ascii="Times New Roman" w:hAnsi="Times New Roman" w:cs="Times New Roman"/>
        </w:rPr>
        <w:t xml:space="preserve"> </w:t>
      </w:r>
      <w:r w:rsidRPr="00864C8D">
        <w:rPr>
          <w:rFonts w:ascii="Times New Roman" w:hAnsi="Times New Roman" w:cs="Times New Roman"/>
        </w:rPr>
        <w:t>This empirical analysis provides comprehensive validation for our theoretical framework</w:t>
      </w:r>
      <w:r w:rsidR="00E73530">
        <w:rPr>
          <w:rFonts w:ascii="Times New Roman" w:hAnsi="Times New Roman" w:cs="Times New Roman"/>
        </w:rPr>
        <w:t xml:space="preserve"> and propositions</w:t>
      </w:r>
      <w:r w:rsidRPr="00864C8D">
        <w:rPr>
          <w:rFonts w:ascii="Times New Roman" w:hAnsi="Times New Roman" w:cs="Times New Roman"/>
        </w:rPr>
        <w:t xml:space="preserve"> while revealing the temporal instability and inherent vulnerabilities of </w:t>
      </w:r>
      <w:r w:rsidR="008114FB" w:rsidRPr="00864C8D">
        <w:rPr>
          <w:rFonts w:ascii="Times New Roman" w:hAnsi="Times New Roman" w:cs="Times New Roman"/>
        </w:rPr>
        <w:t>PDE</w:t>
      </w:r>
      <w:r w:rsidRPr="00864C8D">
        <w:rPr>
          <w:rFonts w:ascii="Times New Roman" w:hAnsi="Times New Roman" w:cs="Times New Roman"/>
        </w:rPr>
        <w:t xml:space="preserve"> relationships. The findings demonstrate that while </w:t>
      </w:r>
      <w:r w:rsidR="008114FB" w:rsidRPr="00864C8D">
        <w:rPr>
          <w:rFonts w:ascii="Times New Roman" w:hAnsi="Times New Roman" w:cs="Times New Roman"/>
        </w:rPr>
        <w:t xml:space="preserve">Gen </w:t>
      </w:r>
      <w:r w:rsidRPr="00864C8D">
        <w:rPr>
          <w:rFonts w:ascii="Times New Roman" w:hAnsi="Times New Roman" w:cs="Times New Roman"/>
        </w:rPr>
        <w:t xml:space="preserve">AI platforms can function as powerful institutional catalysts for </w:t>
      </w:r>
      <w:r w:rsidR="008114FB" w:rsidRPr="00864C8D">
        <w:rPr>
          <w:rFonts w:ascii="Times New Roman" w:hAnsi="Times New Roman" w:cs="Times New Roman"/>
        </w:rPr>
        <w:t>entrepreneurship</w:t>
      </w:r>
      <w:r w:rsidRPr="00864C8D">
        <w:rPr>
          <w:rFonts w:ascii="Times New Roman" w:hAnsi="Times New Roman" w:cs="Times New Roman"/>
        </w:rPr>
        <w:t xml:space="preserve">, they also create new forms of entrepreneurial </w:t>
      </w:r>
      <w:r w:rsidR="00AE110F" w:rsidRPr="00864C8D">
        <w:rPr>
          <w:rFonts w:ascii="Times New Roman" w:hAnsi="Times New Roman" w:cs="Times New Roman"/>
        </w:rPr>
        <w:t xml:space="preserve">uncertainty and </w:t>
      </w:r>
      <w:r w:rsidRPr="00864C8D">
        <w:rPr>
          <w:rFonts w:ascii="Times New Roman" w:hAnsi="Times New Roman" w:cs="Times New Roman"/>
        </w:rPr>
        <w:t>vulnerability that require careful theoretical and practical attention.</w:t>
      </w:r>
      <w:r w:rsidR="00800E38" w:rsidRPr="00864C8D">
        <w:rPr>
          <w:rFonts w:ascii="Times New Roman" w:hAnsi="Times New Roman" w:cs="Times New Roman"/>
        </w:rPr>
        <w:t xml:space="preserve"> The next section </w:t>
      </w:r>
      <w:r w:rsidR="00863C5E" w:rsidRPr="00864C8D">
        <w:rPr>
          <w:rFonts w:ascii="Times New Roman" w:hAnsi="Times New Roman" w:cs="Times New Roman"/>
        </w:rPr>
        <w:t xml:space="preserve">discusses the implications of the findings. </w:t>
      </w:r>
    </w:p>
    <w:p w14:paraId="4496053D" w14:textId="77777777" w:rsidR="001D6A75" w:rsidRPr="001D6A75" w:rsidRDefault="001D6A75" w:rsidP="001D6A75">
      <w:pPr>
        <w:pStyle w:val="Heading1"/>
        <w:rPr>
          <w:lang w:val="en-US"/>
        </w:rPr>
      </w:pPr>
      <w:r w:rsidRPr="001D6A75">
        <w:rPr>
          <w:lang w:val="en-US"/>
        </w:rPr>
        <w:t>DISCUSSION</w:t>
      </w:r>
    </w:p>
    <w:p w14:paraId="4A53C70E" w14:textId="5685D9D7" w:rsidR="001D6A75" w:rsidRDefault="001D6A75" w:rsidP="001D6A75">
      <w:pPr>
        <w:spacing w:after="0" w:line="480" w:lineRule="auto"/>
        <w:ind w:firstLine="720"/>
        <w:jc w:val="both"/>
        <w:rPr>
          <w:rFonts w:ascii="Times New Roman" w:hAnsi="Times New Roman" w:cs="Times New Roman"/>
          <w:lang w:val="en-US"/>
        </w:rPr>
      </w:pPr>
      <w:r w:rsidRPr="001D6A75">
        <w:rPr>
          <w:rFonts w:ascii="Times New Roman" w:hAnsi="Times New Roman" w:cs="Times New Roman"/>
          <w:lang w:val="en-US"/>
        </w:rPr>
        <w:t xml:space="preserve">This empirical study has unraveled the mechanisms through which Gen AI platforms function as institutional catalysts of PDE—the central question of this research. We identified four primary mechanisms that both enable and constrain PDE—Infrastructure Provision, Capability Scaffolding, Market Legitimization, and Ecosystem Orchestration—and traced their temporal dynamics. The analysis surfaces a core enablement–dependence paradox at the heart of capability-dependent PDE: the same mechanisms that enable venture creation also generate dependencies that become vulnerabilities when platform governance priorities shift. </w:t>
      </w:r>
      <w:r w:rsidRPr="001D6A75">
        <w:rPr>
          <w:rFonts w:ascii="Times New Roman" w:hAnsi="Times New Roman" w:cs="Times New Roman"/>
          <w:lang w:val="en-US"/>
        </w:rPr>
        <w:lastRenderedPageBreak/>
        <w:t xml:space="preserve">Enablement benefits dominate during foundation and expansion phases; dependence vulnerabilities crystallize during governance crises. In doing so, we specify Gen AI–powered PDE as an analytically distinct phenomenon that requires assumptions different from distribution-dominant logics of platform dependence and highlight how governance and institutional ordering mediate whether external enablers convert into durable ventures (Davidsson, Recker, &amp; von Briel, 2020; Cutolo &amp; Kenney, 2021; </w:t>
      </w:r>
      <w:proofErr w:type="spellStart"/>
      <w:r w:rsidRPr="001D6A75">
        <w:rPr>
          <w:rFonts w:ascii="Times New Roman" w:hAnsi="Times New Roman" w:cs="Times New Roman"/>
          <w:lang w:val="en-US"/>
        </w:rPr>
        <w:t>Gawer</w:t>
      </w:r>
      <w:proofErr w:type="spellEnd"/>
      <w:r w:rsidRPr="001D6A75">
        <w:rPr>
          <w:rFonts w:ascii="Times New Roman" w:hAnsi="Times New Roman" w:cs="Times New Roman"/>
          <w:lang w:val="en-US"/>
        </w:rPr>
        <w:t xml:space="preserve">, 2014). </w:t>
      </w:r>
      <w:r w:rsidR="008D00A7">
        <w:rPr>
          <w:rFonts w:ascii="Times New Roman" w:hAnsi="Times New Roman" w:cs="Times New Roman"/>
          <w:lang w:val="en-US"/>
        </w:rPr>
        <w:t xml:space="preserve">We develop Figure </w:t>
      </w:r>
      <w:r w:rsidR="00416C65">
        <w:rPr>
          <w:rFonts w:ascii="Times New Roman" w:hAnsi="Times New Roman" w:cs="Times New Roman"/>
          <w:lang w:val="en-US"/>
        </w:rPr>
        <w:t>6</w:t>
      </w:r>
      <w:r w:rsidR="008D00A7">
        <w:rPr>
          <w:rFonts w:ascii="Times New Roman" w:hAnsi="Times New Roman" w:cs="Times New Roman"/>
          <w:lang w:val="en-US"/>
        </w:rPr>
        <w:t xml:space="preserve"> as a conceptual framework that </w:t>
      </w:r>
      <w:r w:rsidR="00383EE4">
        <w:rPr>
          <w:rFonts w:ascii="Times New Roman" w:hAnsi="Times New Roman" w:cs="Times New Roman"/>
          <w:lang w:val="en-US"/>
        </w:rPr>
        <w:t>encapsulates</w:t>
      </w:r>
      <w:r w:rsidR="008D00A7">
        <w:rPr>
          <w:rFonts w:ascii="Times New Roman" w:hAnsi="Times New Roman" w:cs="Times New Roman"/>
          <w:lang w:val="en-US"/>
        </w:rPr>
        <w:t xml:space="preserve"> </w:t>
      </w:r>
      <w:r w:rsidR="00383EE4">
        <w:rPr>
          <w:rFonts w:ascii="Times New Roman" w:hAnsi="Times New Roman" w:cs="Times New Roman"/>
          <w:lang w:val="en-US"/>
        </w:rPr>
        <w:t xml:space="preserve">our theoretical contribution. </w:t>
      </w:r>
    </w:p>
    <w:p w14:paraId="3613CA2E" w14:textId="52C73F0F" w:rsidR="008D00A7" w:rsidRPr="00243A63" w:rsidRDefault="008D00A7" w:rsidP="008D00A7">
      <w:pPr>
        <w:spacing w:after="0" w:line="240" w:lineRule="auto"/>
        <w:jc w:val="center"/>
        <w:rPr>
          <w:rFonts w:ascii="Times New Roman" w:hAnsi="Times New Roman" w:cs="Times New Roman"/>
          <w:sz w:val="22"/>
          <w:szCs w:val="22"/>
          <w:lang w:val="en-US"/>
        </w:rPr>
      </w:pPr>
      <w:r w:rsidRPr="00243A63">
        <w:rPr>
          <w:rFonts w:ascii="Times New Roman" w:hAnsi="Times New Roman" w:cs="Times New Roman"/>
          <w:b/>
          <w:bCs/>
          <w:sz w:val="22"/>
          <w:szCs w:val="22"/>
          <w:lang w:val="en-US"/>
        </w:rPr>
        <w:t xml:space="preserve">Figure </w:t>
      </w:r>
      <w:r w:rsidR="00416C65">
        <w:rPr>
          <w:rFonts w:ascii="Times New Roman" w:hAnsi="Times New Roman" w:cs="Times New Roman"/>
          <w:b/>
          <w:bCs/>
          <w:sz w:val="22"/>
          <w:szCs w:val="22"/>
          <w:lang w:val="en-US"/>
        </w:rPr>
        <w:t>6</w:t>
      </w:r>
      <w:r w:rsidRPr="00243A63">
        <w:rPr>
          <w:rFonts w:ascii="Times New Roman" w:hAnsi="Times New Roman" w:cs="Times New Roman"/>
          <w:b/>
          <w:bCs/>
          <w:sz w:val="22"/>
          <w:szCs w:val="22"/>
          <w:lang w:val="en-US"/>
        </w:rPr>
        <w:t>.</w:t>
      </w:r>
      <w:r w:rsidRPr="00243A63">
        <w:rPr>
          <w:rFonts w:ascii="Times New Roman" w:hAnsi="Times New Roman" w:cs="Times New Roman"/>
          <w:sz w:val="22"/>
          <w:szCs w:val="22"/>
          <w:lang w:val="en-US"/>
        </w:rPr>
        <w:t xml:space="preserve"> Conceptual Framework for Institutional Catalysts of AI-Powered PDE</w:t>
      </w:r>
    </w:p>
    <w:p w14:paraId="30401696" w14:textId="77777777" w:rsidR="008D00A7" w:rsidRPr="001D6A75" w:rsidRDefault="008D00A7" w:rsidP="008D00A7">
      <w:pPr>
        <w:spacing w:after="0" w:line="480" w:lineRule="auto"/>
        <w:jc w:val="both"/>
        <w:rPr>
          <w:rFonts w:ascii="Times New Roman" w:hAnsi="Times New Roman" w:cs="Times New Roman"/>
          <w:lang w:val="en-US"/>
        </w:rPr>
      </w:pPr>
      <w:r>
        <w:rPr>
          <w:rFonts w:ascii="Times New Roman" w:hAnsi="Times New Roman" w:cs="Times New Roman"/>
          <w:noProof/>
          <w:lang w:val="en-US"/>
        </w:rPr>
        <w:drawing>
          <wp:inline distT="0" distB="0" distL="0" distR="0" wp14:anchorId="25AF4F90" wp14:editId="518BFD56">
            <wp:extent cx="5731510" cy="3368000"/>
            <wp:effectExtent l="0" t="0" r="2540" b="4445"/>
            <wp:docPr id="1290200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200262" name="Picture 1"/>
                    <pic:cNvPicPr/>
                  </pic:nvPicPr>
                  <pic:blipFill>
                    <a:blip r:embed="rId13">
                      <a:extLst>
                        <a:ext uri="{28A0092B-C50C-407E-A947-70E740481C1C}">
                          <a14:useLocalDpi xmlns:a14="http://schemas.microsoft.com/office/drawing/2010/main" val="0"/>
                        </a:ext>
                      </a:extLst>
                    </a:blip>
                    <a:stretch>
                      <a:fillRect/>
                    </a:stretch>
                  </pic:blipFill>
                  <pic:spPr>
                    <a:xfrm>
                      <a:off x="0" y="0"/>
                      <a:ext cx="5731510" cy="3368000"/>
                    </a:xfrm>
                    <a:prstGeom prst="rect">
                      <a:avLst/>
                    </a:prstGeom>
                  </pic:spPr>
                </pic:pic>
              </a:graphicData>
            </a:graphic>
          </wp:inline>
        </w:drawing>
      </w:r>
    </w:p>
    <w:p w14:paraId="71CBD5A0" w14:textId="11AE4B8C" w:rsidR="00243A63" w:rsidRDefault="00243A63" w:rsidP="001D6A75">
      <w:pPr>
        <w:spacing w:after="0" w:line="480" w:lineRule="auto"/>
        <w:ind w:firstLine="720"/>
        <w:jc w:val="both"/>
        <w:rPr>
          <w:rFonts w:ascii="Times New Roman" w:hAnsi="Times New Roman" w:cs="Times New Roman"/>
          <w:lang w:val="en-US"/>
        </w:rPr>
      </w:pPr>
      <w:r w:rsidRPr="00243A63">
        <w:rPr>
          <w:rFonts w:ascii="Times New Roman" w:hAnsi="Times New Roman" w:cs="Times New Roman"/>
          <w:lang w:val="en-US"/>
        </w:rPr>
        <w:t xml:space="preserve">Our conceptual framework illustrates how Gen AI platforms function as institutional catalysts of </w:t>
      </w:r>
      <w:r w:rsidR="00223377">
        <w:rPr>
          <w:rFonts w:ascii="Times New Roman" w:hAnsi="Times New Roman" w:cs="Times New Roman"/>
          <w:lang w:val="en-US"/>
        </w:rPr>
        <w:t>PDE</w:t>
      </w:r>
      <w:r w:rsidRPr="00243A63">
        <w:rPr>
          <w:rFonts w:ascii="Times New Roman" w:hAnsi="Times New Roman" w:cs="Times New Roman"/>
          <w:lang w:val="en-US"/>
        </w:rPr>
        <w:t xml:space="preserve"> through an enablement-dependence paradox. The framework demonstrates that Gen AI platforms, equipped with foundation models, cloud infrastructure, and APIs, activate four institutional catalyst mechanisms—Capability Scaffolding, Infrastructure Provision, Market Legitimization, and Ecosystem Orchestration—that collectively enable the formation of AI-powered platform-dependent ventures. However, this catalytic process simultaneously generates two divergent pathways: enablement benefits that accelerate market entry, reduce barriers, and create competitive advantages during early phases; and dependence </w:t>
      </w:r>
      <w:r w:rsidRPr="00243A63">
        <w:rPr>
          <w:rFonts w:ascii="Times New Roman" w:hAnsi="Times New Roman" w:cs="Times New Roman"/>
          <w:lang w:val="en-US"/>
        </w:rPr>
        <w:lastRenderedPageBreak/>
        <w:t>vulnerabilities that accumulate switching costs and governance exposure, leading to mixed-to-negative outcomes in later phases. The framework reveals that while Gen AI platforms democratize access to advanced capabilities and foster rapid entrepreneurial activity, they also create structural dependencies that expose ventures to platform governance risks over time, with macro-level factors (industry structure, regulatory environment) and micro-level factors (entrepreneurial orientation, resource endowment) moderating these dynamics throughout the temporal evolution of the ecosystem.</w:t>
      </w:r>
    </w:p>
    <w:p w14:paraId="1B1A9E6E" w14:textId="63FC0C40" w:rsidR="00561747" w:rsidRPr="007B2A99" w:rsidRDefault="00AC0A82" w:rsidP="001D6A75">
      <w:pPr>
        <w:spacing w:after="0" w:line="480" w:lineRule="auto"/>
        <w:ind w:firstLine="720"/>
        <w:jc w:val="both"/>
        <w:rPr>
          <w:rFonts w:ascii="Times New Roman" w:hAnsi="Times New Roman" w:cs="Times New Roman"/>
          <w:color w:val="FF0000"/>
        </w:rPr>
      </w:pPr>
      <w:r w:rsidRPr="007B2A99">
        <w:rPr>
          <w:rFonts w:ascii="Times New Roman" w:hAnsi="Times New Roman" w:cs="Times New Roman"/>
          <w:color w:val="FF0000"/>
        </w:rPr>
        <w:t xml:space="preserve">Reframing our findings through the </w:t>
      </w:r>
      <w:r w:rsidR="00424502" w:rsidRPr="007B2A99">
        <w:rPr>
          <w:rFonts w:ascii="Times New Roman" w:hAnsi="Times New Roman" w:cs="Times New Roman"/>
          <w:color w:val="FF0000"/>
        </w:rPr>
        <w:t>quartet of</w:t>
      </w:r>
      <w:r w:rsidR="00CE21CE" w:rsidRPr="007B2A99">
        <w:rPr>
          <w:rFonts w:ascii="Times New Roman" w:hAnsi="Times New Roman" w:cs="Times New Roman"/>
          <w:color w:val="FF0000"/>
        </w:rPr>
        <w:t xml:space="preserve"> </w:t>
      </w:r>
      <w:r w:rsidR="00DB482D" w:rsidRPr="007B2A99">
        <w:rPr>
          <w:rFonts w:ascii="Times New Roman" w:hAnsi="Times New Roman" w:cs="Times New Roman"/>
          <w:i/>
          <w:iCs/>
          <w:color w:val="FF0000"/>
        </w:rPr>
        <w:t xml:space="preserve">institutional </w:t>
      </w:r>
      <w:r w:rsidRPr="007B2A99">
        <w:rPr>
          <w:rFonts w:ascii="Times New Roman" w:hAnsi="Times New Roman" w:cs="Times New Roman"/>
          <w:i/>
          <w:iCs/>
          <w:color w:val="FF0000"/>
        </w:rPr>
        <w:t>scaffold</w:t>
      </w:r>
      <w:r w:rsidR="00DB482D" w:rsidRPr="007B2A99">
        <w:rPr>
          <w:rFonts w:ascii="Times New Roman" w:hAnsi="Times New Roman" w:cs="Times New Roman"/>
          <w:i/>
          <w:iCs/>
          <w:color w:val="FF0000"/>
        </w:rPr>
        <w:t>ing</w:t>
      </w:r>
      <w:r w:rsidRPr="007B2A99">
        <w:rPr>
          <w:rFonts w:ascii="Times New Roman" w:hAnsi="Times New Roman" w:cs="Times New Roman"/>
          <w:i/>
          <w:iCs/>
          <w:color w:val="FF0000"/>
        </w:rPr>
        <w:t>–enablement–governance–dependence</w:t>
      </w:r>
      <w:r w:rsidRPr="007B2A99">
        <w:rPr>
          <w:rFonts w:ascii="Times New Roman" w:hAnsi="Times New Roman" w:cs="Times New Roman"/>
          <w:color w:val="FF0000"/>
        </w:rPr>
        <w:t xml:space="preserve"> lens clarifies the </w:t>
      </w:r>
      <w:r w:rsidRPr="007B2A99">
        <w:rPr>
          <w:rFonts w:ascii="Times New Roman" w:hAnsi="Times New Roman" w:cs="Times New Roman"/>
          <w:i/>
          <w:iCs/>
          <w:color w:val="FF0000"/>
        </w:rPr>
        <w:t>mechanism–action–response–outcome</w:t>
      </w:r>
      <w:r w:rsidRPr="007B2A99">
        <w:rPr>
          <w:rFonts w:ascii="Times New Roman" w:hAnsi="Times New Roman" w:cs="Times New Roman"/>
          <w:color w:val="FF0000"/>
        </w:rPr>
        <w:t xml:space="preserve"> chain: (1) </w:t>
      </w:r>
      <w:r w:rsidRPr="007B2A99">
        <w:rPr>
          <w:rFonts w:ascii="Times New Roman" w:hAnsi="Times New Roman" w:cs="Times New Roman"/>
          <w:i/>
          <w:iCs/>
          <w:color w:val="FF0000"/>
        </w:rPr>
        <w:t>Institutional scaffolding</w:t>
      </w:r>
      <w:r w:rsidRPr="007B2A99">
        <w:rPr>
          <w:rFonts w:ascii="Times New Roman" w:hAnsi="Times New Roman" w:cs="Times New Roman"/>
          <w:color w:val="FF0000"/>
        </w:rPr>
        <w:t xml:space="preserve"> via boundary resources (APIs, SDKs, safety/evaluation stacks, policy) prompts adoption of platform toolchains, accelerating legitimation and standardization with enterprise buyers; (2) </w:t>
      </w:r>
      <w:r w:rsidRPr="007B2A99">
        <w:rPr>
          <w:rFonts w:ascii="Times New Roman" w:hAnsi="Times New Roman" w:cs="Times New Roman"/>
          <w:i/>
          <w:iCs/>
          <w:color w:val="FF0000"/>
        </w:rPr>
        <w:t>External enablement</w:t>
      </w:r>
      <w:r w:rsidRPr="007B2A99">
        <w:rPr>
          <w:rFonts w:ascii="Times New Roman" w:hAnsi="Times New Roman" w:cs="Times New Roman"/>
          <w:color w:val="FF0000"/>
        </w:rPr>
        <w:t xml:space="preserve"> via cloud endpoints democratizes frontier capabilities, </w:t>
      </w:r>
      <w:proofErr w:type="spellStart"/>
      <w:r w:rsidRPr="007B2A99">
        <w:rPr>
          <w:rFonts w:ascii="Times New Roman" w:hAnsi="Times New Roman" w:cs="Times New Roman"/>
          <w:color w:val="FF0000"/>
        </w:rPr>
        <w:t>catalyzing</w:t>
      </w:r>
      <w:proofErr w:type="spellEnd"/>
      <w:r w:rsidRPr="007B2A99">
        <w:rPr>
          <w:rFonts w:ascii="Times New Roman" w:hAnsi="Times New Roman" w:cs="Times New Roman"/>
          <w:color w:val="FF0000"/>
        </w:rPr>
        <w:t xml:space="preserve"> rapid experimentation and entry, thereby expanding the entrepreneurial possibility space; (3) </w:t>
      </w:r>
      <w:r w:rsidRPr="007B2A99">
        <w:rPr>
          <w:rFonts w:ascii="Times New Roman" w:hAnsi="Times New Roman" w:cs="Times New Roman"/>
          <w:i/>
          <w:iCs/>
          <w:color w:val="FF0000"/>
        </w:rPr>
        <w:t>Governance mediation</w:t>
      </w:r>
      <w:r w:rsidRPr="007B2A99">
        <w:rPr>
          <w:rFonts w:ascii="Times New Roman" w:hAnsi="Times New Roman" w:cs="Times New Roman"/>
          <w:color w:val="FF0000"/>
        </w:rPr>
        <w:t>—pricing, rate limits, versioning, compliance enforcement—elicits strategic adaptation or resistance (abstraction layers, selective multihoming), consolidating core-</w:t>
      </w:r>
      <w:proofErr w:type="spellStart"/>
      <w:r w:rsidRPr="007B2A99">
        <w:rPr>
          <w:rFonts w:ascii="Times New Roman" w:hAnsi="Times New Roman" w:cs="Times New Roman"/>
          <w:color w:val="FF0000"/>
        </w:rPr>
        <w:t>centered</w:t>
      </w:r>
      <w:proofErr w:type="spellEnd"/>
      <w:r w:rsidRPr="007B2A99">
        <w:rPr>
          <w:rFonts w:ascii="Times New Roman" w:hAnsi="Times New Roman" w:cs="Times New Roman"/>
          <w:color w:val="FF0000"/>
        </w:rPr>
        <w:t xml:space="preserve"> power; (4) </w:t>
      </w:r>
      <w:r w:rsidRPr="007B2A99">
        <w:rPr>
          <w:rFonts w:ascii="Times New Roman" w:hAnsi="Times New Roman" w:cs="Times New Roman"/>
          <w:i/>
          <w:iCs/>
          <w:color w:val="FF0000"/>
        </w:rPr>
        <w:t>Capability dependence</w:t>
      </w:r>
      <w:r w:rsidRPr="007B2A99">
        <w:rPr>
          <w:rFonts w:ascii="Times New Roman" w:hAnsi="Times New Roman" w:cs="Times New Roman"/>
          <w:color w:val="FF0000"/>
        </w:rPr>
        <w:t xml:space="preserve">, where access to non-substitutable functionality is platform-controlled, induces deep integration commitments, heightening lock-in and ecosystem vulnerability. </w:t>
      </w:r>
    </w:p>
    <w:p w14:paraId="47F76394" w14:textId="1629966C" w:rsidR="00AC0A82" w:rsidRPr="001D6A75" w:rsidRDefault="00AC0A82" w:rsidP="001D6A75">
      <w:pPr>
        <w:spacing w:after="0" w:line="480" w:lineRule="auto"/>
        <w:ind w:firstLine="720"/>
        <w:jc w:val="both"/>
        <w:rPr>
          <w:rFonts w:ascii="Times New Roman" w:hAnsi="Times New Roman" w:cs="Times New Roman"/>
          <w:lang w:val="en-US"/>
        </w:rPr>
      </w:pPr>
      <w:r w:rsidRPr="00AC0A82">
        <w:rPr>
          <w:rFonts w:ascii="Times New Roman" w:hAnsi="Times New Roman" w:cs="Times New Roman"/>
        </w:rPr>
        <w:t xml:space="preserve">The </w:t>
      </w:r>
      <w:r w:rsidR="00561747">
        <w:rPr>
          <w:rFonts w:ascii="Times New Roman" w:hAnsi="Times New Roman" w:cs="Times New Roman"/>
        </w:rPr>
        <w:t>findings</w:t>
      </w:r>
      <w:r w:rsidRPr="00AC0A82">
        <w:rPr>
          <w:rFonts w:ascii="Times New Roman" w:hAnsi="Times New Roman" w:cs="Times New Roman"/>
        </w:rPr>
        <w:t xml:space="preserve"> support </w:t>
      </w:r>
      <w:r w:rsidRPr="00A81793">
        <w:rPr>
          <w:rFonts w:ascii="Times New Roman" w:hAnsi="Times New Roman" w:cs="Times New Roman"/>
        </w:rPr>
        <w:t>P1–P4:</w:t>
      </w:r>
      <w:r w:rsidRPr="00AC0A82">
        <w:rPr>
          <w:rFonts w:ascii="Times New Roman" w:hAnsi="Times New Roman" w:cs="Times New Roman"/>
        </w:rPr>
        <w:t xml:space="preserve"> </w:t>
      </w:r>
      <w:r w:rsidRPr="00A81793">
        <w:rPr>
          <w:rFonts w:ascii="Times New Roman" w:hAnsi="Times New Roman" w:cs="Times New Roman"/>
          <w:i/>
          <w:iCs/>
        </w:rPr>
        <w:t>P1</w:t>
      </w:r>
      <w:r w:rsidRPr="00AC0A82">
        <w:rPr>
          <w:rFonts w:ascii="Times New Roman" w:hAnsi="Times New Roman" w:cs="Times New Roman"/>
        </w:rPr>
        <w:t xml:space="preserve">, enablement heightens dependence through legitimation; </w:t>
      </w:r>
      <w:r w:rsidRPr="00A81793">
        <w:rPr>
          <w:rFonts w:ascii="Times New Roman" w:hAnsi="Times New Roman" w:cs="Times New Roman"/>
          <w:i/>
          <w:iCs/>
        </w:rPr>
        <w:t>P2,</w:t>
      </w:r>
      <w:r w:rsidRPr="00AC0A82">
        <w:rPr>
          <w:rFonts w:ascii="Times New Roman" w:hAnsi="Times New Roman" w:cs="Times New Roman"/>
        </w:rPr>
        <w:t xml:space="preserve"> predictable governance induces deep integration, whereas volatility dampens commitment; </w:t>
      </w:r>
      <w:r w:rsidRPr="00A81793">
        <w:rPr>
          <w:rFonts w:ascii="Times New Roman" w:hAnsi="Times New Roman" w:cs="Times New Roman"/>
          <w:i/>
          <w:iCs/>
        </w:rPr>
        <w:t>P3,</w:t>
      </w:r>
      <w:r w:rsidRPr="00AC0A82">
        <w:rPr>
          <w:rFonts w:ascii="Times New Roman" w:hAnsi="Times New Roman" w:cs="Times New Roman"/>
        </w:rPr>
        <w:t xml:space="preserve"> integration depth increases platform bargaining power via switching costs; and </w:t>
      </w:r>
      <w:r w:rsidRPr="00C64147">
        <w:rPr>
          <w:rFonts w:ascii="Times New Roman" w:hAnsi="Times New Roman" w:cs="Times New Roman"/>
          <w:i/>
          <w:iCs/>
        </w:rPr>
        <w:t>P4,</w:t>
      </w:r>
      <w:r w:rsidRPr="00AC0A82">
        <w:rPr>
          <w:rFonts w:ascii="Times New Roman" w:hAnsi="Times New Roman" w:cs="Times New Roman"/>
        </w:rPr>
        <w:t xml:space="preserve"> co-evolution yields a dynamic equilibrium in which complementor adaptation costs bound switching, stabilizing participation amid ongoing recalibration of interfaces and rules.</w:t>
      </w:r>
    </w:p>
    <w:p w14:paraId="0B085262" w14:textId="77777777" w:rsidR="001D6A75" w:rsidRPr="001D6A75" w:rsidRDefault="001D6A75" w:rsidP="001D6A75">
      <w:pPr>
        <w:pStyle w:val="Heading2"/>
        <w:rPr>
          <w:lang w:val="en-US"/>
        </w:rPr>
      </w:pPr>
      <w:r w:rsidRPr="001D6A75">
        <w:rPr>
          <w:lang w:val="en-US"/>
        </w:rPr>
        <w:lastRenderedPageBreak/>
        <w:t>Theoretical Contributions and Framework Extensions</w:t>
      </w:r>
    </w:p>
    <w:p w14:paraId="594D3B76" w14:textId="7DBA58CF" w:rsidR="001D6A75" w:rsidRDefault="00C64147" w:rsidP="001D6A75">
      <w:pPr>
        <w:spacing w:after="0" w:line="480" w:lineRule="auto"/>
        <w:ind w:firstLine="720"/>
        <w:jc w:val="both"/>
        <w:rPr>
          <w:rFonts w:ascii="Times New Roman" w:hAnsi="Times New Roman" w:cs="Times New Roman"/>
          <w:lang w:val="en-US"/>
        </w:rPr>
      </w:pPr>
      <w:r>
        <w:rPr>
          <w:rFonts w:ascii="Times New Roman" w:hAnsi="Times New Roman" w:cs="Times New Roman"/>
          <w:lang w:val="en-US"/>
        </w:rPr>
        <w:t xml:space="preserve">Through this study, we </w:t>
      </w:r>
      <w:r w:rsidR="001D6A75" w:rsidRPr="001D6A75">
        <w:rPr>
          <w:rFonts w:ascii="Times New Roman" w:hAnsi="Times New Roman" w:cs="Times New Roman"/>
          <w:lang w:val="en-US"/>
        </w:rPr>
        <w:t>contribute to</w:t>
      </w:r>
      <w:r w:rsidR="008C0496">
        <w:rPr>
          <w:rFonts w:ascii="Times New Roman" w:hAnsi="Times New Roman" w:cs="Times New Roman"/>
          <w:lang w:val="en-US"/>
        </w:rPr>
        <w:t xml:space="preserve"> institutions and</w:t>
      </w:r>
      <w:r w:rsidR="001D6A75" w:rsidRPr="001D6A75">
        <w:rPr>
          <w:rFonts w:ascii="Times New Roman" w:hAnsi="Times New Roman" w:cs="Times New Roman"/>
          <w:lang w:val="en-US"/>
        </w:rPr>
        <w:t xml:space="preserve"> digital entrepreneurship research as follows: (</w:t>
      </w:r>
      <w:r>
        <w:rPr>
          <w:rFonts w:ascii="Times New Roman" w:hAnsi="Times New Roman" w:cs="Times New Roman"/>
          <w:lang w:val="en-US"/>
        </w:rPr>
        <w:t>1</w:t>
      </w:r>
      <w:r w:rsidR="001D6A75" w:rsidRPr="001D6A75">
        <w:rPr>
          <w:rFonts w:ascii="Times New Roman" w:hAnsi="Times New Roman" w:cs="Times New Roman"/>
          <w:lang w:val="en-US"/>
        </w:rPr>
        <w:t>) we delineate Gen AI–powered PDE as a distinct phenomenon; (</w:t>
      </w:r>
      <w:r>
        <w:rPr>
          <w:rFonts w:ascii="Times New Roman" w:hAnsi="Times New Roman" w:cs="Times New Roman"/>
          <w:lang w:val="en-US"/>
        </w:rPr>
        <w:t>2</w:t>
      </w:r>
      <w:r w:rsidR="001D6A75" w:rsidRPr="001D6A75">
        <w:rPr>
          <w:rFonts w:ascii="Times New Roman" w:hAnsi="Times New Roman" w:cs="Times New Roman"/>
          <w:lang w:val="en-US"/>
        </w:rPr>
        <w:t>) we theorize institutional catalyst mechanisms in a dynamic process model; (</w:t>
      </w:r>
      <w:r>
        <w:rPr>
          <w:rFonts w:ascii="Times New Roman" w:hAnsi="Times New Roman" w:cs="Times New Roman"/>
          <w:lang w:val="en-US"/>
        </w:rPr>
        <w:t>3</w:t>
      </w:r>
      <w:r w:rsidR="001D6A75" w:rsidRPr="001D6A75">
        <w:rPr>
          <w:rFonts w:ascii="Times New Roman" w:hAnsi="Times New Roman" w:cs="Times New Roman"/>
          <w:lang w:val="en-US"/>
        </w:rPr>
        <w:t>) we validate the enablement–dependence paradox as a core construct; (</w:t>
      </w:r>
      <w:r>
        <w:rPr>
          <w:rFonts w:ascii="Times New Roman" w:hAnsi="Times New Roman" w:cs="Times New Roman"/>
          <w:lang w:val="en-US"/>
        </w:rPr>
        <w:t>4</w:t>
      </w:r>
      <w:r w:rsidR="001D6A75" w:rsidRPr="001D6A75">
        <w:rPr>
          <w:rFonts w:ascii="Times New Roman" w:hAnsi="Times New Roman" w:cs="Times New Roman"/>
          <w:lang w:val="en-US"/>
        </w:rPr>
        <w:t>) we extend platform governance and trust constructs to capability-dependent contexts; and (</w:t>
      </w:r>
      <w:r>
        <w:rPr>
          <w:rFonts w:ascii="Times New Roman" w:hAnsi="Times New Roman" w:cs="Times New Roman"/>
          <w:lang w:val="en-US"/>
        </w:rPr>
        <w:t>5</w:t>
      </w:r>
      <w:r w:rsidR="001D6A75" w:rsidRPr="001D6A75">
        <w:rPr>
          <w:rFonts w:ascii="Times New Roman" w:hAnsi="Times New Roman" w:cs="Times New Roman"/>
          <w:lang w:val="en-US"/>
        </w:rPr>
        <w:t xml:space="preserve">) we integrate External Enablement (EE) with governance-mediated institutionalization in Gen AI ecosystems (Urbano et al., 2019; Davidsson et al., 2020; Nzembayie et al., 2024). </w:t>
      </w:r>
    </w:p>
    <w:p w14:paraId="02EF111C" w14:textId="77777777" w:rsidR="001D6A75" w:rsidRPr="001D6A75" w:rsidRDefault="001D6A75" w:rsidP="001D6A75">
      <w:pPr>
        <w:spacing w:after="0" w:line="480" w:lineRule="auto"/>
        <w:ind w:firstLine="720"/>
        <w:jc w:val="both"/>
        <w:rPr>
          <w:rFonts w:ascii="Times New Roman" w:hAnsi="Times New Roman" w:cs="Times New Roman"/>
          <w:lang w:val="en-US"/>
        </w:rPr>
      </w:pPr>
      <w:r w:rsidRPr="00C64147">
        <w:rPr>
          <w:rFonts w:ascii="Times New Roman" w:hAnsi="Times New Roman" w:cs="Times New Roman"/>
          <w:i/>
          <w:iCs/>
          <w:lang w:val="en-US"/>
        </w:rPr>
        <w:t>First,</w:t>
      </w:r>
      <w:r w:rsidRPr="001D6A75">
        <w:rPr>
          <w:rFonts w:ascii="Times New Roman" w:hAnsi="Times New Roman" w:cs="Times New Roman"/>
          <w:lang w:val="en-US"/>
        </w:rPr>
        <w:t xml:space="preserve"> we show that Gen AI–powered PDE is characterized by capability dependence rather than distribution dependence. Whereas classic platform relationships hinge on market access, Gen AI PDE depends on access to non-substitutable, platform-governed capabilities within strategic windows—conditions akin to software innovation platforms where an extensible core and boundary resources shape venture possibilities (</w:t>
      </w:r>
      <w:proofErr w:type="spellStart"/>
      <w:r w:rsidRPr="001D6A75">
        <w:rPr>
          <w:rFonts w:ascii="Times New Roman" w:hAnsi="Times New Roman" w:cs="Times New Roman"/>
          <w:lang w:val="en-US"/>
        </w:rPr>
        <w:t>Gawer</w:t>
      </w:r>
      <w:proofErr w:type="spellEnd"/>
      <w:r w:rsidRPr="001D6A75">
        <w:rPr>
          <w:rFonts w:ascii="Times New Roman" w:hAnsi="Times New Roman" w:cs="Times New Roman"/>
          <w:lang w:val="en-US"/>
        </w:rPr>
        <w:t xml:space="preserve">, 2014; Tiwana et al., 2010; </w:t>
      </w:r>
      <w:proofErr w:type="spellStart"/>
      <w:r w:rsidRPr="001D6A75">
        <w:rPr>
          <w:rFonts w:ascii="Times New Roman" w:hAnsi="Times New Roman" w:cs="Times New Roman"/>
          <w:lang w:val="en-US"/>
        </w:rPr>
        <w:t>Ghazawneh</w:t>
      </w:r>
      <w:proofErr w:type="spellEnd"/>
      <w:r w:rsidRPr="001D6A75">
        <w:rPr>
          <w:rFonts w:ascii="Times New Roman" w:hAnsi="Times New Roman" w:cs="Times New Roman"/>
          <w:lang w:val="en-US"/>
        </w:rPr>
        <w:t xml:space="preserve"> &amp; Henfridsson, 2013). In contrast to transaction settings, acceptable-use policies, rate limits, pricing, software deprecation and iteration of foundation models modulate feasibility and unit economics, rendering governance a first-order determinant of viability. Temporally, capability dependence unfolds in phases: infrastructure democratizes experimentation (foundation), scaffolding enables more complex propositions (expansion), orchestration concentrates control (maturation), and governance overreach can precipitate constraint (crisis). This dynamic aligns with process-oriented views of venture creation and ecosystem evolution calling for temporal granularity. </w:t>
      </w:r>
    </w:p>
    <w:p w14:paraId="28702096" w14:textId="77777777" w:rsidR="001D6A75" w:rsidRPr="001D6A75" w:rsidRDefault="001D6A75" w:rsidP="001D6A75">
      <w:pPr>
        <w:spacing w:after="0" w:line="480" w:lineRule="auto"/>
        <w:ind w:firstLine="720"/>
        <w:jc w:val="both"/>
        <w:rPr>
          <w:rFonts w:ascii="Times New Roman" w:hAnsi="Times New Roman" w:cs="Times New Roman"/>
          <w:lang w:val="en-US"/>
        </w:rPr>
      </w:pPr>
      <w:r w:rsidRPr="00C64147">
        <w:rPr>
          <w:rFonts w:ascii="Times New Roman" w:hAnsi="Times New Roman" w:cs="Times New Roman"/>
          <w:i/>
          <w:iCs/>
          <w:lang w:val="en-US"/>
        </w:rPr>
        <w:t>Second,</w:t>
      </w:r>
      <w:r w:rsidRPr="001D6A75">
        <w:rPr>
          <w:rFonts w:ascii="Times New Roman" w:hAnsi="Times New Roman" w:cs="Times New Roman"/>
          <w:lang w:val="en-US"/>
        </w:rPr>
        <w:t xml:space="preserve"> we extend institutional entrepreneurship by specifying how platforms act as </w:t>
      </w:r>
      <w:r w:rsidRPr="001D6A75">
        <w:rPr>
          <w:rFonts w:ascii="Times New Roman" w:hAnsi="Times New Roman" w:cs="Times New Roman"/>
          <w:i/>
          <w:iCs/>
          <w:lang w:val="en-US"/>
        </w:rPr>
        <w:t>institutional catalysts</w:t>
      </w:r>
      <w:r w:rsidRPr="001D6A75">
        <w:rPr>
          <w:rFonts w:ascii="Times New Roman" w:hAnsi="Times New Roman" w:cs="Times New Roman"/>
          <w:lang w:val="en-US"/>
        </w:rPr>
        <w:t xml:space="preserve"> that both resource and discipline entrepreneurial action through boundary resources and rules (North, 1990; Bruton, Ahlstrom, &amp; Li, 2010; </w:t>
      </w:r>
      <w:proofErr w:type="spellStart"/>
      <w:r w:rsidRPr="001D6A75">
        <w:rPr>
          <w:rFonts w:ascii="Times New Roman" w:hAnsi="Times New Roman" w:cs="Times New Roman"/>
          <w:lang w:val="en-US"/>
        </w:rPr>
        <w:t>Ghazawneh</w:t>
      </w:r>
      <w:proofErr w:type="spellEnd"/>
      <w:r w:rsidRPr="001D6A75">
        <w:rPr>
          <w:rFonts w:ascii="Times New Roman" w:hAnsi="Times New Roman" w:cs="Times New Roman"/>
          <w:lang w:val="en-US"/>
        </w:rPr>
        <w:t xml:space="preserve"> &amp; Henfridsson, 2013). Infrastructure Provision democratizes access to advanced capabilities yet can reverse during crises when architectural changes impose costs (</w:t>
      </w:r>
      <w:proofErr w:type="spellStart"/>
      <w:r w:rsidRPr="001D6A75">
        <w:rPr>
          <w:rFonts w:ascii="Times New Roman" w:hAnsi="Times New Roman" w:cs="Times New Roman"/>
          <w:lang w:val="en-US"/>
        </w:rPr>
        <w:t>Gawer</w:t>
      </w:r>
      <w:proofErr w:type="spellEnd"/>
      <w:r w:rsidRPr="001D6A75">
        <w:rPr>
          <w:rFonts w:ascii="Times New Roman" w:hAnsi="Times New Roman" w:cs="Times New Roman"/>
          <w:lang w:val="en-US"/>
        </w:rPr>
        <w:t xml:space="preserve"> &amp; Phillips, 2013). Capability </w:t>
      </w:r>
      <w:r w:rsidRPr="001D6A75">
        <w:rPr>
          <w:rFonts w:ascii="Times New Roman" w:hAnsi="Times New Roman" w:cs="Times New Roman"/>
          <w:lang w:val="en-US"/>
        </w:rPr>
        <w:lastRenderedPageBreak/>
        <w:t xml:space="preserve">Scaffolding—our most prevalent mechanism—lowers development costs and expands affordances while deepening dependence on platform toolchains (Chalmers et al., 2021; </w:t>
      </w:r>
      <w:proofErr w:type="spellStart"/>
      <w:r w:rsidRPr="001D6A75">
        <w:rPr>
          <w:rFonts w:ascii="Times New Roman" w:hAnsi="Times New Roman" w:cs="Times New Roman"/>
          <w:lang w:val="en-US"/>
        </w:rPr>
        <w:t>Ghazawneh</w:t>
      </w:r>
      <w:proofErr w:type="spellEnd"/>
      <w:r w:rsidRPr="001D6A75">
        <w:rPr>
          <w:rFonts w:ascii="Times New Roman" w:hAnsi="Times New Roman" w:cs="Times New Roman"/>
          <w:lang w:val="en-US"/>
        </w:rPr>
        <w:t xml:space="preserve"> &amp; Henfridsson, 2013). Market Legitimization transfers credibility to AI-powered models, accelerating enterprise adoption but exposing ventures to spillovers from platform controversies. Finally, Ecosystem Orchestration reflects a shift from infrastructure to governance, creating new monetization routes while concentrating direction-setting power (Eisenmann, Parker, &amp; Van Alstyne, 2011; Chen et al., 2022). </w:t>
      </w:r>
    </w:p>
    <w:p w14:paraId="709EE3EC" w14:textId="77777777" w:rsidR="001D6A75" w:rsidRPr="001D6A75" w:rsidRDefault="001D6A75" w:rsidP="001D6A75">
      <w:pPr>
        <w:spacing w:after="0" w:line="480" w:lineRule="auto"/>
        <w:ind w:firstLine="720"/>
        <w:jc w:val="both"/>
        <w:rPr>
          <w:rFonts w:ascii="Times New Roman" w:hAnsi="Times New Roman" w:cs="Times New Roman"/>
          <w:lang w:val="en-US"/>
        </w:rPr>
      </w:pPr>
      <w:r w:rsidRPr="00C64147">
        <w:rPr>
          <w:rFonts w:ascii="Times New Roman" w:hAnsi="Times New Roman" w:cs="Times New Roman"/>
          <w:i/>
          <w:iCs/>
          <w:lang w:val="en-US"/>
        </w:rPr>
        <w:t>Third,</w:t>
      </w:r>
      <w:r w:rsidRPr="001D6A75">
        <w:rPr>
          <w:rFonts w:ascii="Times New Roman" w:hAnsi="Times New Roman" w:cs="Times New Roman"/>
          <w:lang w:val="en-US"/>
        </w:rPr>
        <w:t xml:space="preserve"> our study develops and validates an </w:t>
      </w:r>
      <w:r w:rsidRPr="001D6A75">
        <w:rPr>
          <w:rFonts w:ascii="Times New Roman" w:hAnsi="Times New Roman" w:cs="Times New Roman"/>
          <w:i/>
          <w:iCs/>
          <w:lang w:val="en-US"/>
        </w:rPr>
        <w:t>enablement–dependence paradox</w:t>
      </w:r>
      <w:r w:rsidRPr="001D6A75">
        <w:rPr>
          <w:rFonts w:ascii="Times New Roman" w:hAnsi="Times New Roman" w:cs="Times New Roman"/>
          <w:lang w:val="en-US"/>
        </w:rPr>
        <w:t xml:space="preserve"> distinctive to capability-dependent platforms. </w:t>
      </w:r>
      <w:r w:rsidRPr="001D6A75">
        <w:rPr>
          <w:rFonts w:ascii="Times New Roman" w:hAnsi="Times New Roman" w:cs="Times New Roman"/>
          <w:i/>
          <w:iCs/>
          <w:lang w:val="en-US"/>
        </w:rPr>
        <w:t>Temporal asymmetry</w:t>
      </w:r>
      <w:r w:rsidRPr="001D6A75">
        <w:rPr>
          <w:rFonts w:ascii="Times New Roman" w:hAnsi="Times New Roman" w:cs="Times New Roman"/>
          <w:lang w:val="en-US"/>
        </w:rPr>
        <w:t xml:space="preserve"> explains rational entry: ventures reap immediate benefits (capability access, compressed time-to-market) while dependence costs accumulate and surface when governance shifts—consistent with uncertainty-centric accounts of entrepreneurial action and processual views of new venture creation. </w:t>
      </w:r>
      <w:r w:rsidRPr="001D6A75">
        <w:rPr>
          <w:rFonts w:ascii="Times New Roman" w:hAnsi="Times New Roman" w:cs="Times New Roman"/>
          <w:i/>
          <w:iCs/>
          <w:lang w:val="en-US"/>
        </w:rPr>
        <w:t>Capability intensity</w:t>
      </w:r>
      <w:r w:rsidRPr="001D6A75">
        <w:rPr>
          <w:rFonts w:ascii="Times New Roman" w:hAnsi="Times New Roman" w:cs="Times New Roman"/>
          <w:lang w:val="en-US"/>
        </w:rPr>
        <w:t xml:space="preserve"> moderates this trade-off: deeper integrations yield stronger differentiation and higher exposure to policy and pricing moves (Chalmers et al., 2021).  Our study distills resolution strategies observed among more resilient ventures: (</w:t>
      </w:r>
      <w:proofErr w:type="spellStart"/>
      <w:r w:rsidRPr="001D6A75">
        <w:rPr>
          <w:rFonts w:ascii="Times New Roman" w:hAnsi="Times New Roman" w:cs="Times New Roman"/>
          <w:lang w:val="en-US"/>
        </w:rPr>
        <w:t>i</w:t>
      </w:r>
      <w:proofErr w:type="spellEnd"/>
      <w:r w:rsidRPr="001D6A75">
        <w:rPr>
          <w:rFonts w:ascii="Times New Roman" w:hAnsi="Times New Roman" w:cs="Times New Roman"/>
          <w:lang w:val="en-US"/>
        </w:rPr>
        <w:t xml:space="preserve">) </w:t>
      </w:r>
      <w:r w:rsidRPr="001D6A75">
        <w:rPr>
          <w:rFonts w:ascii="Times New Roman" w:hAnsi="Times New Roman" w:cs="Times New Roman"/>
          <w:i/>
          <w:iCs/>
          <w:lang w:val="en-US"/>
        </w:rPr>
        <w:t>feature-level integration</w:t>
      </w:r>
      <w:r w:rsidRPr="001D6A75">
        <w:rPr>
          <w:rFonts w:ascii="Times New Roman" w:hAnsi="Times New Roman" w:cs="Times New Roman"/>
          <w:lang w:val="en-US"/>
        </w:rPr>
        <w:t xml:space="preserve"> to preserve core product independence; (ii) </w:t>
      </w:r>
      <w:r w:rsidRPr="001D6A75">
        <w:rPr>
          <w:rFonts w:ascii="Times New Roman" w:hAnsi="Times New Roman" w:cs="Times New Roman"/>
          <w:i/>
          <w:iCs/>
          <w:lang w:val="en-US"/>
        </w:rPr>
        <w:t>selective multihoming</w:t>
      </w:r>
      <w:r w:rsidRPr="001D6A75">
        <w:rPr>
          <w:rFonts w:ascii="Times New Roman" w:hAnsi="Times New Roman" w:cs="Times New Roman"/>
          <w:lang w:val="en-US"/>
        </w:rPr>
        <w:t xml:space="preserve"> where quality parity allows (Cennamo, </w:t>
      </w:r>
      <w:proofErr w:type="spellStart"/>
      <w:r w:rsidRPr="001D6A75">
        <w:rPr>
          <w:rFonts w:ascii="Times New Roman" w:hAnsi="Times New Roman" w:cs="Times New Roman"/>
          <w:lang w:val="en-US"/>
        </w:rPr>
        <w:t>Ozalp</w:t>
      </w:r>
      <w:proofErr w:type="spellEnd"/>
      <w:r w:rsidRPr="001D6A75">
        <w:rPr>
          <w:rFonts w:ascii="Times New Roman" w:hAnsi="Times New Roman" w:cs="Times New Roman"/>
          <w:lang w:val="en-US"/>
        </w:rPr>
        <w:t xml:space="preserve">, &amp; Kretschmer, 2018); and (iii) </w:t>
      </w:r>
      <w:r w:rsidRPr="001D6A75">
        <w:rPr>
          <w:rFonts w:ascii="Times New Roman" w:hAnsi="Times New Roman" w:cs="Times New Roman"/>
          <w:i/>
          <w:iCs/>
          <w:lang w:val="en-US"/>
        </w:rPr>
        <w:t>abstraction layers</w:t>
      </w:r>
      <w:r w:rsidRPr="001D6A75">
        <w:rPr>
          <w:rFonts w:ascii="Times New Roman" w:hAnsi="Times New Roman" w:cs="Times New Roman"/>
          <w:lang w:val="en-US"/>
        </w:rPr>
        <w:t xml:space="preserve"> that buffer API/policy changeovers as platforms and complements co-evolve (Eaton et al., 2015; O’Mahony &amp; Karp, 2022). </w:t>
      </w:r>
    </w:p>
    <w:p w14:paraId="1A9AC5E1" w14:textId="77777777" w:rsidR="001D6A75" w:rsidRPr="001D6A75" w:rsidRDefault="001D6A75" w:rsidP="001D6A75">
      <w:pPr>
        <w:spacing w:after="0" w:line="480" w:lineRule="auto"/>
        <w:ind w:firstLine="720"/>
        <w:jc w:val="both"/>
        <w:rPr>
          <w:rFonts w:ascii="Times New Roman" w:hAnsi="Times New Roman" w:cs="Times New Roman"/>
          <w:lang w:val="en-US"/>
        </w:rPr>
      </w:pPr>
      <w:r w:rsidRPr="00C64147">
        <w:rPr>
          <w:rFonts w:ascii="Times New Roman" w:hAnsi="Times New Roman" w:cs="Times New Roman"/>
          <w:i/>
          <w:iCs/>
          <w:lang w:val="en-US"/>
        </w:rPr>
        <w:t>Fourth,</w:t>
      </w:r>
      <w:r w:rsidRPr="001D6A75">
        <w:rPr>
          <w:rFonts w:ascii="Times New Roman" w:hAnsi="Times New Roman" w:cs="Times New Roman"/>
          <w:lang w:val="en-US"/>
        </w:rPr>
        <w:t xml:space="preserve"> we introduce three constructs that extend platform governance theory to capability-dependent contexts. </w:t>
      </w:r>
      <w:r w:rsidRPr="001D6A75">
        <w:rPr>
          <w:rFonts w:ascii="Times New Roman" w:hAnsi="Times New Roman" w:cs="Times New Roman"/>
          <w:i/>
          <w:iCs/>
          <w:lang w:val="en-US"/>
        </w:rPr>
        <w:t>Platform Governance Overreach</w:t>
      </w:r>
      <w:r w:rsidRPr="001D6A75">
        <w:rPr>
          <w:rFonts w:ascii="Times New Roman" w:hAnsi="Times New Roman" w:cs="Times New Roman"/>
          <w:lang w:val="en-US"/>
        </w:rPr>
        <w:t xml:space="preserve"> describes leveraging dependency to enforce platform-benefiting changes—via </w:t>
      </w:r>
      <w:r w:rsidRPr="001D6A75">
        <w:rPr>
          <w:rFonts w:ascii="Times New Roman" w:hAnsi="Times New Roman" w:cs="Times New Roman"/>
          <w:i/>
          <w:iCs/>
          <w:lang w:val="en-US"/>
        </w:rPr>
        <w:t>choice removal</w:t>
      </w:r>
      <w:r w:rsidRPr="001D6A75">
        <w:rPr>
          <w:rFonts w:ascii="Times New Roman" w:hAnsi="Times New Roman" w:cs="Times New Roman"/>
          <w:lang w:val="en-US"/>
        </w:rPr>
        <w:t xml:space="preserve">, </w:t>
      </w:r>
      <w:r w:rsidRPr="001D6A75">
        <w:rPr>
          <w:rFonts w:ascii="Times New Roman" w:hAnsi="Times New Roman" w:cs="Times New Roman"/>
          <w:i/>
          <w:iCs/>
          <w:lang w:val="en-US"/>
        </w:rPr>
        <w:t>switching-cost exploitation</w:t>
      </w:r>
      <w:r w:rsidRPr="001D6A75">
        <w:rPr>
          <w:rFonts w:ascii="Times New Roman" w:hAnsi="Times New Roman" w:cs="Times New Roman"/>
          <w:lang w:val="en-US"/>
        </w:rPr>
        <w:t xml:space="preserve">, and </w:t>
      </w:r>
      <w:r w:rsidRPr="001D6A75">
        <w:rPr>
          <w:rFonts w:ascii="Times New Roman" w:hAnsi="Times New Roman" w:cs="Times New Roman"/>
          <w:i/>
          <w:iCs/>
          <w:lang w:val="en-US"/>
        </w:rPr>
        <w:t>sunk investment leverage</w:t>
      </w:r>
      <w:r w:rsidRPr="001D6A75">
        <w:rPr>
          <w:rFonts w:ascii="Times New Roman" w:hAnsi="Times New Roman" w:cs="Times New Roman"/>
          <w:lang w:val="en-US"/>
        </w:rPr>
        <w:t xml:space="preserve">—shifting value distribution under meta-organizational governance (Chen et al., 2022; O’Mahony &amp; Karp, 2022). </w:t>
      </w:r>
      <w:r w:rsidRPr="001D6A75">
        <w:rPr>
          <w:rFonts w:ascii="Times New Roman" w:hAnsi="Times New Roman" w:cs="Times New Roman"/>
          <w:i/>
          <w:iCs/>
          <w:lang w:val="en-US"/>
        </w:rPr>
        <w:t>Trust-Erosion Cascade</w:t>
      </w:r>
      <w:r w:rsidRPr="001D6A75">
        <w:rPr>
          <w:rFonts w:ascii="Times New Roman" w:hAnsi="Times New Roman" w:cs="Times New Roman"/>
          <w:lang w:val="en-US"/>
        </w:rPr>
        <w:t xml:space="preserve"> captures how perceived overreach triggers incident amplification, collective sensemaking, and identity transformation—from enthusiastic complementor to reluctant </w:t>
      </w:r>
      <w:r w:rsidRPr="001D6A75">
        <w:rPr>
          <w:rFonts w:ascii="Times New Roman" w:hAnsi="Times New Roman" w:cs="Times New Roman"/>
          <w:lang w:val="en-US"/>
        </w:rPr>
        <w:lastRenderedPageBreak/>
        <w:t xml:space="preserve">dependent—echoing concerns about unchecked platform power (Rahman et al., 2024). Finally, </w:t>
      </w:r>
      <w:r w:rsidRPr="001D6A75">
        <w:rPr>
          <w:rFonts w:ascii="Times New Roman" w:hAnsi="Times New Roman" w:cs="Times New Roman"/>
          <w:i/>
          <w:iCs/>
          <w:lang w:val="en-US"/>
        </w:rPr>
        <w:t>Choice Removal as Control Mechanism</w:t>
      </w:r>
      <w:r w:rsidRPr="001D6A75">
        <w:rPr>
          <w:rFonts w:ascii="Times New Roman" w:hAnsi="Times New Roman" w:cs="Times New Roman"/>
          <w:lang w:val="en-US"/>
        </w:rPr>
        <w:t xml:space="preserve"> formalizes how eliminating viable model/version alternatives increases governance leverage in capability-dependent settings (Parker et al., 2017; Hurni et al., 2022). </w:t>
      </w:r>
    </w:p>
    <w:p w14:paraId="3EA60701" w14:textId="77777777" w:rsidR="001D6A75" w:rsidRPr="001D6A75" w:rsidRDefault="001D6A75" w:rsidP="001D6A75">
      <w:pPr>
        <w:spacing w:after="0" w:line="480" w:lineRule="auto"/>
        <w:ind w:firstLine="720"/>
        <w:jc w:val="both"/>
        <w:rPr>
          <w:rFonts w:ascii="Times New Roman" w:hAnsi="Times New Roman" w:cs="Times New Roman"/>
          <w:lang w:val="en-US"/>
        </w:rPr>
      </w:pPr>
      <w:r w:rsidRPr="00C64147">
        <w:rPr>
          <w:rFonts w:ascii="Times New Roman" w:hAnsi="Times New Roman" w:cs="Times New Roman"/>
          <w:i/>
          <w:iCs/>
          <w:lang w:val="en-US"/>
        </w:rPr>
        <w:t>Finally,</w:t>
      </w:r>
      <w:r w:rsidRPr="001D6A75">
        <w:rPr>
          <w:rFonts w:ascii="Times New Roman" w:hAnsi="Times New Roman" w:cs="Times New Roman"/>
          <w:lang w:val="en-US"/>
        </w:rPr>
        <w:t xml:space="preserve"> we extend EE theory by articulating </w:t>
      </w:r>
      <w:r w:rsidRPr="001D6A75">
        <w:rPr>
          <w:rFonts w:ascii="Times New Roman" w:hAnsi="Times New Roman" w:cs="Times New Roman"/>
          <w:i/>
          <w:iCs/>
          <w:lang w:val="en-US"/>
        </w:rPr>
        <w:t>governance-mediated enablement</w:t>
      </w:r>
      <w:r w:rsidRPr="001D6A75">
        <w:rPr>
          <w:rFonts w:ascii="Times New Roman" w:hAnsi="Times New Roman" w:cs="Times New Roman"/>
          <w:lang w:val="en-US"/>
        </w:rPr>
        <w:t xml:space="preserve">: the conversion of environmental shocks (e.g., step-change models, price drops) into sustained opportunities depends on the transparency, stability, and timing of platform governance (Davidsson et al., 2020; </w:t>
      </w:r>
      <w:proofErr w:type="spellStart"/>
      <w:r w:rsidRPr="001D6A75">
        <w:rPr>
          <w:rFonts w:ascii="Times New Roman" w:hAnsi="Times New Roman" w:cs="Times New Roman"/>
          <w:lang w:val="en-US"/>
        </w:rPr>
        <w:t>Kimjeon</w:t>
      </w:r>
      <w:proofErr w:type="spellEnd"/>
      <w:r w:rsidRPr="001D6A75">
        <w:rPr>
          <w:rFonts w:ascii="Times New Roman" w:hAnsi="Times New Roman" w:cs="Times New Roman"/>
          <w:lang w:val="en-US"/>
        </w:rPr>
        <w:t xml:space="preserve"> &amp; Davidsson, 2022). </w:t>
      </w:r>
      <w:r w:rsidRPr="001D6A75">
        <w:rPr>
          <w:rFonts w:ascii="Times New Roman" w:hAnsi="Times New Roman" w:cs="Times New Roman"/>
          <w:i/>
          <w:iCs/>
          <w:lang w:val="en-US"/>
        </w:rPr>
        <w:t>Enablement reversal</w:t>
      </w:r>
      <w:r w:rsidRPr="001D6A75">
        <w:rPr>
          <w:rFonts w:ascii="Times New Roman" w:hAnsi="Times New Roman" w:cs="Times New Roman"/>
          <w:lang w:val="en-US"/>
        </w:rPr>
        <w:t xml:space="preserve"> occurs when the same mechanisms that once reduced barriers (APIs, evaluation/safety stacks) subsequently impose costs (deprecations, policy tightening), in line with our observed crisis dynamics. Boundary resources thus operate as </w:t>
      </w:r>
      <w:r w:rsidRPr="001D6A75">
        <w:rPr>
          <w:rFonts w:ascii="Times New Roman" w:hAnsi="Times New Roman" w:cs="Times New Roman"/>
          <w:i/>
          <w:iCs/>
          <w:lang w:val="en-US"/>
        </w:rPr>
        <w:t>institutional scaffolding</w:t>
      </w:r>
      <w:r w:rsidRPr="001D6A75">
        <w:rPr>
          <w:rFonts w:ascii="Times New Roman" w:hAnsi="Times New Roman" w:cs="Times New Roman"/>
          <w:lang w:val="en-US"/>
        </w:rPr>
        <w:t xml:space="preserve"> that both legitimates and constrains—accelerating enterprise acceptance while embedding ventures in provider-specific rule systems (</w:t>
      </w:r>
      <w:proofErr w:type="spellStart"/>
      <w:r w:rsidRPr="001D6A75">
        <w:rPr>
          <w:rFonts w:ascii="Times New Roman" w:hAnsi="Times New Roman" w:cs="Times New Roman"/>
          <w:lang w:val="en-US"/>
        </w:rPr>
        <w:t>Ghazawneh</w:t>
      </w:r>
      <w:proofErr w:type="spellEnd"/>
      <w:r w:rsidRPr="001D6A75">
        <w:rPr>
          <w:rFonts w:ascii="Times New Roman" w:hAnsi="Times New Roman" w:cs="Times New Roman"/>
          <w:lang w:val="en-US"/>
        </w:rPr>
        <w:t xml:space="preserve"> &amp; Henfridsson, 2013; </w:t>
      </w:r>
      <w:proofErr w:type="spellStart"/>
      <w:r w:rsidRPr="001D6A75">
        <w:rPr>
          <w:rFonts w:ascii="Times New Roman" w:hAnsi="Times New Roman" w:cs="Times New Roman"/>
          <w:lang w:val="en-US"/>
        </w:rPr>
        <w:t>Gawer</w:t>
      </w:r>
      <w:proofErr w:type="spellEnd"/>
      <w:r w:rsidRPr="001D6A75">
        <w:rPr>
          <w:rFonts w:ascii="Times New Roman" w:hAnsi="Times New Roman" w:cs="Times New Roman"/>
          <w:lang w:val="en-US"/>
        </w:rPr>
        <w:t xml:space="preserve"> &amp; Phillips, 2013).</w:t>
      </w:r>
    </w:p>
    <w:p w14:paraId="7DE85645" w14:textId="68EDDA69" w:rsidR="000E09B4" w:rsidRPr="00864C8D" w:rsidRDefault="000E09B4" w:rsidP="00BC496C">
      <w:pPr>
        <w:pStyle w:val="Heading2"/>
        <w:spacing w:line="480" w:lineRule="auto"/>
        <w:rPr>
          <w:rFonts w:cs="Times New Roman"/>
          <w:b w:val="0"/>
          <w:lang w:val="en-US"/>
        </w:rPr>
      </w:pPr>
      <w:r w:rsidRPr="00864C8D">
        <w:rPr>
          <w:rFonts w:cs="Times New Roman"/>
          <w:lang w:val="en-US"/>
        </w:rPr>
        <w:t xml:space="preserve">Practical </w:t>
      </w:r>
      <w:r w:rsidR="00017BB4" w:rsidRPr="00864C8D">
        <w:rPr>
          <w:rFonts w:cs="Times New Roman"/>
          <w:lang w:val="en-US"/>
        </w:rPr>
        <w:t>and Policy</w:t>
      </w:r>
      <w:r w:rsidRPr="00864C8D">
        <w:rPr>
          <w:rFonts w:cs="Times New Roman"/>
          <w:lang w:val="en-US"/>
        </w:rPr>
        <w:t xml:space="preserve"> Implications</w:t>
      </w:r>
    </w:p>
    <w:p w14:paraId="6CEF4E9F" w14:textId="0D832949" w:rsidR="0077593F" w:rsidRPr="00864C8D" w:rsidRDefault="00EF0BF6" w:rsidP="00BC496C">
      <w:pPr>
        <w:spacing w:after="0" w:line="480" w:lineRule="auto"/>
        <w:ind w:firstLine="720"/>
        <w:jc w:val="both"/>
        <w:rPr>
          <w:rFonts w:ascii="Times New Roman" w:hAnsi="Times New Roman" w:cs="Times New Roman"/>
          <w:lang w:val="en-US"/>
        </w:rPr>
      </w:pPr>
      <w:r w:rsidRPr="00864C8D">
        <w:rPr>
          <w:rFonts w:ascii="Times New Roman" w:hAnsi="Times New Roman" w:cs="Times New Roman"/>
          <w:lang w:val="en-US"/>
        </w:rPr>
        <w:t>Our study raises critical impli</w:t>
      </w:r>
      <w:r w:rsidR="00017BB4" w:rsidRPr="00864C8D">
        <w:rPr>
          <w:rFonts w:ascii="Times New Roman" w:hAnsi="Times New Roman" w:cs="Times New Roman"/>
          <w:lang w:val="en-US"/>
        </w:rPr>
        <w:t>cations for policy and practice.</w:t>
      </w:r>
      <w:r w:rsidR="00444B04" w:rsidRPr="00864C8D">
        <w:rPr>
          <w:rFonts w:ascii="Times New Roman" w:hAnsi="Times New Roman" w:cs="Times New Roman"/>
          <w:lang w:val="en-US"/>
        </w:rPr>
        <w:t xml:space="preserve"> </w:t>
      </w:r>
      <w:r w:rsidR="0077593F" w:rsidRPr="00864C8D">
        <w:rPr>
          <w:rFonts w:ascii="Times New Roman" w:hAnsi="Times New Roman" w:cs="Times New Roman"/>
          <w:lang w:val="en-US"/>
        </w:rPr>
        <w:t xml:space="preserve">Practical implications are offered to both aspiring Gen AI-powered PDEs and </w:t>
      </w:r>
      <w:r w:rsidR="00AD7766" w:rsidRPr="00864C8D">
        <w:rPr>
          <w:rFonts w:ascii="Times New Roman" w:hAnsi="Times New Roman" w:cs="Times New Roman"/>
          <w:lang w:val="en-US"/>
        </w:rPr>
        <w:t>platform owners. Policy implications explore how regulatory bodies can nurture a health</w:t>
      </w:r>
      <w:r w:rsidR="001B3EDE">
        <w:rPr>
          <w:rFonts w:ascii="Times New Roman" w:hAnsi="Times New Roman" w:cs="Times New Roman"/>
          <w:lang w:val="en-US"/>
        </w:rPr>
        <w:t>y</w:t>
      </w:r>
      <w:r w:rsidR="00AD7766" w:rsidRPr="00864C8D">
        <w:rPr>
          <w:rFonts w:ascii="Times New Roman" w:hAnsi="Times New Roman" w:cs="Times New Roman"/>
          <w:lang w:val="en-US"/>
        </w:rPr>
        <w:t xml:space="preserve"> ecosystem for Gen AI-powered PDE.</w:t>
      </w:r>
    </w:p>
    <w:p w14:paraId="35DA14F2" w14:textId="3D3C385C" w:rsidR="00D27AE3" w:rsidRPr="00864C8D" w:rsidRDefault="002C1FEC" w:rsidP="00BC496C">
      <w:pPr>
        <w:spacing w:after="0" w:line="480" w:lineRule="auto"/>
        <w:ind w:firstLine="720"/>
        <w:jc w:val="both"/>
        <w:rPr>
          <w:rFonts w:ascii="Times New Roman" w:hAnsi="Times New Roman" w:cs="Times New Roman"/>
          <w:lang w:val="en-US"/>
        </w:rPr>
      </w:pPr>
      <w:r w:rsidRPr="002C1FEC">
        <w:rPr>
          <w:rFonts w:ascii="Times New Roman" w:hAnsi="Times New Roman" w:cs="Times New Roman"/>
          <w:b/>
          <w:bCs/>
          <w:i/>
          <w:iCs/>
          <w:lang w:val="en-US"/>
        </w:rPr>
        <w:t>Aspiring PDEs.</w:t>
      </w:r>
      <w:r>
        <w:rPr>
          <w:rFonts w:ascii="Times New Roman" w:hAnsi="Times New Roman" w:cs="Times New Roman"/>
          <w:lang w:val="en-US"/>
        </w:rPr>
        <w:t xml:space="preserve"> </w:t>
      </w:r>
      <w:r w:rsidR="00444B04" w:rsidRPr="00864C8D">
        <w:rPr>
          <w:rFonts w:ascii="Times New Roman" w:hAnsi="Times New Roman" w:cs="Times New Roman"/>
          <w:lang w:val="en-US"/>
        </w:rPr>
        <w:t xml:space="preserve">For </w:t>
      </w:r>
      <w:r w:rsidR="009C0C36" w:rsidRPr="002C1FEC">
        <w:rPr>
          <w:rFonts w:ascii="Times New Roman" w:hAnsi="Times New Roman" w:cs="Times New Roman"/>
          <w:lang w:val="en-US"/>
        </w:rPr>
        <w:t>aspiring P</w:t>
      </w:r>
      <w:r w:rsidR="0004276D">
        <w:rPr>
          <w:rFonts w:ascii="Times New Roman" w:hAnsi="Times New Roman" w:cs="Times New Roman"/>
          <w:lang w:val="en-US"/>
        </w:rPr>
        <w:t>latform-dependent entrepreneurs (PDEs)</w:t>
      </w:r>
      <w:r w:rsidR="00444B04" w:rsidRPr="002C1FEC">
        <w:rPr>
          <w:rFonts w:ascii="Times New Roman" w:hAnsi="Times New Roman" w:cs="Times New Roman"/>
          <w:lang w:val="en-US"/>
        </w:rPr>
        <w:t>,</w:t>
      </w:r>
      <w:r w:rsidR="00444B04" w:rsidRPr="00864C8D">
        <w:rPr>
          <w:rFonts w:ascii="Times New Roman" w:hAnsi="Times New Roman" w:cs="Times New Roman"/>
          <w:lang w:val="en-US"/>
        </w:rPr>
        <w:t xml:space="preserve"> o</w:t>
      </w:r>
      <w:r w:rsidR="000E09B4" w:rsidRPr="00864C8D">
        <w:rPr>
          <w:rFonts w:ascii="Times New Roman" w:hAnsi="Times New Roman" w:cs="Times New Roman"/>
          <w:lang w:val="en-US"/>
        </w:rPr>
        <w:t xml:space="preserve">ur </w:t>
      </w:r>
      <w:r w:rsidR="00444B04" w:rsidRPr="00864C8D">
        <w:rPr>
          <w:rFonts w:ascii="Times New Roman" w:hAnsi="Times New Roman" w:cs="Times New Roman"/>
          <w:lang w:val="en-US"/>
        </w:rPr>
        <w:t>study</w:t>
      </w:r>
      <w:r w:rsidR="000E09B4" w:rsidRPr="00864C8D">
        <w:rPr>
          <w:rFonts w:ascii="Times New Roman" w:hAnsi="Times New Roman" w:cs="Times New Roman"/>
          <w:lang w:val="en-US"/>
        </w:rPr>
        <w:t xml:space="preserve"> provides actionable </w:t>
      </w:r>
      <w:r w:rsidR="003C22AB" w:rsidRPr="00864C8D">
        <w:rPr>
          <w:rFonts w:ascii="Times New Roman" w:hAnsi="Times New Roman" w:cs="Times New Roman"/>
          <w:lang w:val="en-US"/>
        </w:rPr>
        <w:t xml:space="preserve">strategic </w:t>
      </w:r>
      <w:r w:rsidR="000E09B4" w:rsidRPr="00864C8D">
        <w:rPr>
          <w:rFonts w:ascii="Times New Roman" w:hAnsi="Times New Roman" w:cs="Times New Roman"/>
          <w:lang w:val="en-US"/>
        </w:rPr>
        <w:t>insights for entrepreneurs navigating platform-dependent business models. The identification of four distinct enablement patterns—Early Access Advantage, Simultaneous Launch, Deep Integration, and Feature Integration—offers strategic frameworks for managing the enablement-dependence paradox.</w:t>
      </w:r>
      <w:r w:rsidR="00D27AE3" w:rsidRPr="00864C8D">
        <w:rPr>
          <w:rFonts w:ascii="Times New Roman" w:hAnsi="Times New Roman" w:cs="Times New Roman"/>
          <w:lang w:val="en-US"/>
        </w:rPr>
        <w:t xml:space="preserve"> </w:t>
      </w:r>
      <w:r w:rsidR="000E09B4" w:rsidRPr="00864C8D">
        <w:rPr>
          <w:rFonts w:ascii="Times New Roman" w:hAnsi="Times New Roman" w:cs="Times New Roman"/>
          <w:i/>
          <w:iCs/>
          <w:lang w:val="en-US"/>
        </w:rPr>
        <w:t>Portfolio Dependency Management</w:t>
      </w:r>
      <w:r w:rsidR="000E09B4" w:rsidRPr="00864C8D">
        <w:rPr>
          <w:rFonts w:ascii="Times New Roman" w:hAnsi="Times New Roman" w:cs="Times New Roman"/>
          <w:lang w:val="en-US"/>
        </w:rPr>
        <w:t xml:space="preserve"> emerges as a critical capability for platform-dependent entrepreneurs. Ventures that successfully navigate platform relationships develop diversified approaches that balance platform optimization with risk mitigation (Nzembayie et al., 2024). This includes maintaining </w:t>
      </w:r>
      <w:r w:rsidR="000E09B4" w:rsidRPr="00864C8D">
        <w:rPr>
          <w:rFonts w:ascii="Times New Roman" w:hAnsi="Times New Roman" w:cs="Times New Roman"/>
          <w:lang w:val="en-US"/>
        </w:rPr>
        <w:lastRenderedPageBreak/>
        <w:t>relationships with multiple platform providers (multi-homing) where feasible (Cennamo et al., 2018), developing abstraction layers that reduce switching costs, and preserving core capabilities that can function independently of platform access.</w:t>
      </w:r>
      <w:r w:rsidR="000C5E01" w:rsidRPr="00864C8D">
        <w:rPr>
          <w:rFonts w:ascii="Times New Roman" w:hAnsi="Times New Roman" w:cs="Times New Roman"/>
          <w:lang w:val="en-US"/>
        </w:rPr>
        <w:t xml:space="preserve"> </w:t>
      </w:r>
    </w:p>
    <w:p w14:paraId="1405288E" w14:textId="77777777" w:rsidR="00AD7766" w:rsidRPr="00864C8D" w:rsidRDefault="004D55CD" w:rsidP="00BC496C">
      <w:pPr>
        <w:spacing w:after="0" w:line="480" w:lineRule="auto"/>
        <w:ind w:firstLine="720"/>
        <w:jc w:val="both"/>
        <w:rPr>
          <w:rFonts w:ascii="Times New Roman" w:hAnsi="Times New Roman" w:cs="Times New Roman"/>
          <w:lang w:val="en-US"/>
        </w:rPr>
      </w:pPr>
      <w:r w:rsidRPr="00864C8D">
        <w:rPr>
          <w:rFonts w:ascii="Times New Roman" w:hAnsi="Times New Roman" w:cs="Times New Roman"/>
          <w:lang w:val="en-US"/>
        </w:rPr>
        <w:t xml:space="preserve">Likewise, </w:t>
      </w:r>
      <w:r w:rsidR="000E09B4" w:rsidRPr="00864C8D">
        <w:rPr>
          <w:rFonts w:ascii="Times New Roman" w:hAnsi="Times New Roman" w:cs="Times New Roman"/>
          <w:i/>
          <w:iCs/>
          <w:lang w:val="en-US"/>
        </w:rPr>
        <w:t>Temporal Strategy Alignment</w:t>
      </w:r>
      <w:r w:rsidR="000E09B4" w:rsidRPr="00864C8D">
        <w:rPr>
          <w:rFonts w:ascii="Times New Roman" w:hAnsi="Times New Roman" w:cs="Times New Roman"/>
          <w:lang w:val="en-US"/>
        </w:rPr>
        <w:t xml:space="preserve"> </w:t>
      </w:r>
      <w:r w:rsidRPr="00864C8D">
        <w:rPr>
          <w:rFonts w:ascii="Times New Roman" w:hAnsi="Times New Roman" w:cs="Times New Roman"/>
          <w:lang w:val="en-US"/>
        </w:rPr>
        <w:t>must involve</w:t>
      </w:r>
      <w:r w:rsidR="000E09B4" w:rsidRPr="00864C8D">
        <w:rPr>
          <w:rFonts w:ascii="Times New Roman" w:hAnsi="Times New Roman" w:cs="Times New Roman"/>
          <w:lang w:val="en-US"/>
        </w:rPr>
        <w:t xml:space="preserve"> matching venture strategies to platform lifecycle phases. During foundation and expansion phases, aggressive platform integration strategies may be optimal for capturing competitive advantages. During orchestration and crisis phases, defensive strategies that prioritize independence and flexibility become more important</w:t>
      </w:r>
      <w:r w:rsidR="000511D8" w:rsidRPr="00864C8D">
        <w:rPr>
          <w:rFonts w:ascii="Times New Roman" w:hAnsi="Times New Roman" w:cs="Times New Roman"/>
          <w:lang w:val="en-US"/>
        </w:rPr>
        <w:t xml:space="preserve"> (Nzembayie et al., 2024)</w:t>
      </w:r>
      <w:r w:rsidR="000E09B4" w:rsidRPr="00864C8D">
        <w:rPr>
          <w:rFonts w:ascii="Times New Roman" w:hAnsi="Times New Roman" w:cs="Times New Roman"/>
          <w:lang w:val="en-US"/>
        </w:rPr>
        <w:t>.</w:t>
      </w:r>
      <w:r w:rsidR="009C0C36" w:rsidRPr="00864C8D">
        <w:rPr>
          <w:rFonts w:ascii="Times New Roman" w:hAnsi="Times New Roman" w:cs="Times New Roman"/>
          <w:lang w:val="en-US"/>
        </w:rPr>
        <w:t xml:space="preserve"> Furthermore, </w:t>
      </w:r>
      <w:r w:rsidR="000E09B4" w:rsidRPr="00864C8D">
        <w:rPr>
          <w:rFonts w:ascii="Times New Roman" w:hAnsi="Times New Roman" w:cs="Times New Roman"/>
          <w:i/>
          <w:iCs/>
          <w:lang w:val="en-US"/>
        </w:rPr>
        <w:t>Governance Risk Assessment</w:t>
      </w:r>
      <w:r w:rsidR="000E09B4" w:rsidRPr="00864C8D">
        <w:rPr>
          <w:rFonts w:ascii="Times New Roman" w:hAnsi="Times New Roman" w:cs="Times New Roman"/>
          <w:lang w:val="en-US"/>
        </w:rPr>
        <w:t xml:space="preserve"> requires systematic evaluation of platform governance patterns, communication practices, and historical treatment of dependent ventures. </w:t>
      </w:r>
      <w:r w:rsidR="0077593F" w:rsidRPr="00864C8D">
        <w:rPr>
          <w:rFonts w:ascii="Times New Roman" w:hAnsi="Times New Roman" w:cs="Times New Roman"/>
          <w:lang w:val="en-US"/>
        </w:rPr>
        <w:t>This study</w:t>
      </w:r>
      <w:r w:rsidR="000E09B4" w:rsidRPr="00864C8D">
        <w:rPr>
          <w:rFonts w:ascii="Times New Roman" w:hAnsi="Times New Roman" w:cs="Times New Roman"/>
          <w:lang w:val="en-US"/>
        </w:rPr>
        <w:t xml:space="preserve"> reveals warning signs of potential governance overreach, including unilateral policy changes, inadequate consultation processes, and exploitation of dependency relationships for platform benefit.</w:t>
      </w:r>
    </w:p>
    <w:p w14:paraId="4097B1F1" w14:textId="34FA7644" w:rsidR="000C5E01" w:rsidRPr="00864C8D" w:rsidRDefault="0004276D" w:rsidP="00BC496C">
      <w:pPr>
        <w:spacing w:after="0" w:line="480" w:lineRule="auto"/>
        <w:ind w:firstLine="720"/>
        <w:jc w:val="both"/>
        <w:rPr>
          <w:rFonts w:ascii="Times New Roman" w:hAnsi="Times New Roman" w:cs="Times New Roman"/>
          <w:lang w:val="en-US"/>
        </w:rPr>
      </w:pPr>
      <w:r w:rsidRPr="0004276D">
        <w:rPr>
          <w:rFonts w:ascii="Times New Roman" w:hAnsi="Times New Roman" w:cs="Times New Roman"/>
          <w:b/>
          <w:bCs/>
          <w:i/>
          <w:iCs/>
          <w:lang w:val="en-US"/>
        </w:rPr>
        <w:t>Platform Owners.</w:t>
      </w:r>
      <w:r>
        <w:rPr>
          <w:rFonts w:ascii="Times New Roman" w:hAnsi="Times New Roman" w:cs="Times New Roman"/>
          <w:lang w:val="en-US"/>
        </w:rPr>
        <w:t xml:space="preserve"> </w:t>
      </w:r>
      <w:r w:rsidR="000E09B4" w:rsidRPr="00864C8D">
        <w:rPr>
          <w:rFonts w:ascii="Times New Roman" w:hAnsi="Times New Roman" w:cs="Times New Roman"/>
          <w:lang w:val="en-US"/>
        </w:rPr>
        <w:t xml:space="preserve">Our findings offer insights for </w:t>
      </w:r>
      <w:r w:rsidR="000E09B4" w:rsidRPr="0004276D">
        <w:rPr>
          <w:rFonts w:ascii="Times New Roman" w:hAnsi="Times New Roman" w:cs="Times New Roman"/>
          <w:lang w:val="en-US"/>
        </w:rPr>
        <w:t xml:space="preserve">platform </w:t>
      </w:r>
      <w:r w:rsidR="00AD7766" w:rsidRPr="0004276D">
        <w:rPr>
          <w:rFonts w:ascii="Times New Roman" w:hAnsi="Times New Roman" w:cs="Times New Roman"/>
          <w:lang w:val="en-US"/>
        </w:rPr>
        <w:t>owners</w:t>
      </w:r>
      <w:r w:rsidR="000E09B4" w:rsidRPr="00864C8D">
        <w:rPr>
          <w:rFonts w:ascii="Times New Roman" w:hAnsi="Times New Roman" w:cs="Times New Roman"/>
          <w:lang w:val="en-US"/>
        </w:rPr>
        <w:t xml:space="preserve"> seeking to build sustainable ecosystems while maintaining necessary control over platform evolution. The crisis dynamics observed in 2025 demonstrate how governance overreach can rapidly undermine ecosystem health and platform legitimacy. This confirms assertions by </w:t>
      </w:r>
      <w:proofErr w:type="spellStart"/>
      <w:r w:rsidR="000E09B4" w:rsidRPr="00864C8D">
        <w:rPr>
          <w:rFonts w:ascii="Times New Roman" w:hAnsi="Times New Roman" w:cs="Times New Roman"/>
          <w:lang w:val="en-US"/>
        </w:rPr>
        <w:t>Jacobides</w:t>
      </w:r>
      <w:proofErr w:type="spellEnd"/>
      <w:r w:rsidR="000E09B4" w:rsidRPr="00864C8D">
        <w:rPr>
          <w:rFonts w:ascii="Times New Roman" w:hAnsi="Times New Roman" w:cs="Times New Roman"/>
          <w:lang w:val="en-US"/>
        </w:rPr>
        <w:t xml:space="preserve"> et al. (2024) that structural governance failures can undermine platform power in the long term. </w:t>
      </w:r>
      <w:r w:rsidR="000E09B4" w:rsidRPr="00864C8D">
        <w:rPr>
          <w:rFonts w:ascii="Times New Roman" w:hAnsi="Times New Roman" w:cs="Times New Roman"/>
          <w:i/>
          <w:iCs/>
          <w:lang w:val="en-US"/>
        </w:rPr>
        <w:t>Governance Transparency</w:t>
      </w:r>
      <w:r w:rsidR="000E09B4" w:rsidRPr="00864C8D">
        <w:rPr>
          <w:rFonts w:ascii="Times New Roman" w:hAnsi="Times New Roman" w:cs="Times New Roman"/>
          <w:lang w:val="en-US"/>
        </w:rPr>
        <w:t xml:space="preserve"> emerges as critical for maintaining ecosystem trust and preventing crisis cascades. Platforms that provide clear communication about governance changes, adequate transition periods, and consultation processes are more likely to maintain positive ecosystem relationships even during difficult transitions.</w:t>
      </w:r>
      <w:r w:rsidR="002A67F7" w:rsidRPr="00864C8D">
        <w:rPr>
          <w:rFonts w:ascii="Times New Roman" w:hAnsi="Times New Roman" w:cs="Times New Roman"/>
          <w:lang w:val="en-US"/>
        </w:rPr>
        <w:t xml:space="preserve"> </w:t>
      </w:r>
    </w:p>
    <w:p w14:paraId="19EAFBFA" w14:textId="7099351E" w:rsidR="000E09B4" w:rsidRPr="00864C8D" w:rsidRDefault="000E09B4" w:rsidP="00BC496C">
      <w:pPr>
        <w:spacing w:after="0" w:line="480" w:lineRule="auto"/>
        <w:ind w:firstLine="720"/>
        <w:jc w:val="both"/>
        <w:rPr>
          <w:rFonts w:ascii="Times New Roman" w:hAnsi="Times New Roman" w:cs="Times New Roman"/>
          <w:lang w:val="en-US"/>
        </w:rPr>
      </w:pPr>
      <w:r w:rsidRPr="00864C8D">
        <w:rPr>
          <w:rFonts w:ascii="Times New Roman" w:hAnsi="Times New Roman" w:cs="Times New Roman"/>
          <w:i/>
          <w:iCs/>
          <w:lang w:val="en-US"/>
        </w:rPr>
        <w:t>Dependency Risk Mitigation</w:t>
      </w:r>
      <w:r w:rsidRPr="00864C8D">
        <w:rPr>
          <w:rFonts w:ascii="Times New Roman" w:hAnsi="Times New Roman" w:cs="Times New Roman"/>
          <w:lang w:val="en-US"/>
        </w:rPr>
        <w:t xml:space="preserve"> involves platform design choices that reduce venture vulnerability while maintaining platform control. This includes providing migration tools, maintaining backward compatibility, and offering choice in platform evolution rather than forcing adoption of new capabilities.</w:t>
      </w:r>
      <w:r w:rsidR="000C5E01" w:rsidRPr="00864C8D">
        <w:rPr>
          <w:rFonts w:ascii="Times New Roman" w:hAnsi="Times New Roman" w:cs="Times New Roman"/>
          <w:lang w:val="en-US"/>
        </w:rPr>
        <w:t xml:space="preserve"> </w:t>
      </w:r>
      <w:r w:rsidRPr="00864C8D">
        <w:rPr>
          <w:rFonts w:ascii="Times New Roman" w:hAnsi="Times New Roman" w:cs="Times New Roman"/>
          <w:i/>
          <w:iCs/>
          <w:lang w:val="en-US"/>
        </w:rPr>
        <w:t>Ecosystem Health Monitoring</w:t>
      </w:r>
      <w:r w:rsidRPr="00864C8D">
        <w:rPr>
          <w:rFonts w:ascii="Times New Roman" w:hAnsi="Times New Roman" w:cs="Times New Roman"/>
          <w:lang w:val="en-US"/>
        </w:rPr>
        <w:t xml:space="preserve"> requires systematic </w:t>
      </w:r>
      <w:r w:rsidRPr="00864C8D">
        <w:rPr>
          <w:rFonts w:ascii="Times New Roman" w:hAnsi="Times New Roman" w:cs="Times New Roman"/>
          <w:lang w:val="en-US"/>
        </w:rPr>
        <w:lastRenderedPageBreak/>
        <w:t>attention to community sentiment, venture adaptation costs, and ecosystem vitality indicators. Our sentiment analysis methodology provides a framework for platforms to monitor ecosystem health and identify potential crisis points before they escalate.</w:t>
      </w:r>
    </w:p>
    <w:p w14:paraId="239053CE" w14:textId="0189C621" w:rsidR="002E5C74" w:rsidRPr="00864C8D" w:rsidRDefault="0004276D" w:rsidP="00BC496C">
      <w:pPr>
        <w:spacing w:after="0" w:line="480" w:lineRule="auto"/>
        <w:ind w:firstLine="720"/>
        <w:jc w:val="both"/>
        <w:rPr>
          <w:rFonts w:ascii="Times New Roman" w:hAnsi="Times New Roman" w:cs="Times New Roman"/>
          <w:lang w:val="en-US"/>
        </w:rPr>
      </w:pPr>
      <w:r w:rsidRPr="00244677">
        <w:rPr>
          <w:rFonts w:ascii="Times New Roman" w:hAnsi="Times New Roman" w:cs="Times New Roman"/>
          <w:b/>
          <w:bCs/>
          <w:i/>
          <w:iCs/>
          <w:lang w:val="en-US"/>
        </w:rPr>
        <w:t>Polic</w:t>
      </w:r>
      <w:r w:rsidR="00244677" w:rsidRPr="00244677">
        <w:rPr>
          <w:rFonts w:ascii="Times New Roman" w:hAnsi="Times New Roman" w:cs="Times New Roman"/>
          <w:b/>
          <w:bCs/>
          <w:i/>
          <w:iCs/>
          <w:lang w:val="en-US"/>
        </w:rPr>
        <w:t>ymakers &amp; Regulators.</w:t>
      </w:r>
      <w:r w:rsidR="00244677">
        <w:rPr>
          <w:rFonts w:ascii="Times New Roman" w:hAnsi="Times New Roman" w:cs="Times New Roman"/>
          <w:lang w:val="en-US"/>
        </w:rPr>
        <w:t xml:space="preserve"> </w:t>
      </w:r>
      <w:r w:rsidR="001B0D75" w:rsidRPr="00864C8D">
        <w:rPr>
          <w:rFonts w:ascii="Times New Roman" w:hAnsi="Times New Roman" w:cs="Times New Roman"/>
          <w:lang w:val="en-US"/>
        </w:rPr>
        <w:t xml:space="preserve">For </w:t>
      </w:r>
      <w:r w:rsidR="001B0D75" w:rsidRPr="00244677">
        <w:rPr>
          <w:rFonts w:ascii="Times New Roman" w:hAnsi="Times New Roman" w:cs="Times New Roman"/>
          <w:lang w:val="en-US"/>
        </w:rPr>
        <w:t>regulators and policymakers</w:t>
      </w:r>
      <w:r w:rsidR="001B0D75" w:rsidRPr="00864C8D">
        <w:rPr>
          <w:rFonts w:ascii="Times New Roman" w:hAnsi="Times New Roman" w:cs="Times New Roman"/>
          <w:lang w:val="en-US"/>
        </w:rPr>
        <w:t>, t</w:t>
      </w:r>
      <w:r w:rsidR="000E09B4" w:rsidRPr="00864C8D">
        <w:rPr>
          <w:rFonts w:ascii="Times New Roman" w:hAnsi="Times New Roman" w:cs="Times New Roman"/>
          <w:lang w:val="en-US"/>
        </w:rPr>
        <w:t xml:space="preserve">he concentration of capability control in generative AI platforms raises important questions about market structure, competition policy, and the governance of critical digital infrastructure. Our analysis reveals how platform governance decisions can have far-reaching effects on dependent ventures and broader innovation ecosystems. </w:t>
      </w:r>
      <w:r w:rsidR="000E09B4" w:rsidRPr="00864C8D">
        <w:rPr>
          <w:rFonts w:ascii="Times New Roman" w:hAnsi="Times New Roman" w:cs="Times New Roman"/>
          <w:i/>
          <w:iCs/>
          <w:lang w:val="en-US"/>
        </w:rPr>
        <w:t>Platform Governance Accountability</w:t>
      </w:r>
      <w:r w:rsidR="000E09B4" w:rsidRPr="00864C8D">
        <w:rPr>
          <w:rFonts w:ascii="Times New Roman" w:hAnsi="Times New Roman" w:cs="Times New Roman"/>
          <w:lang w:val="en-US"/>
        </w:rPr>
        <w:t xml:space="preserve"> emerges as a policy priority given the significant impact of platform decisions on dependent entrepreneurs. Traditional competition policy frameworks may be insufficient for addressing the unique dynamics of capability-dependent platform relationships, where switching costs and technical dependencies </w:t>
      </w:r>
      <w:r w:rsidR="002E5C74" w:rsidRPr="00864C8D">
        <w:rPr>
          <w:rFonts w:ascii="Times New Roman" w:hAnsi="Times New Roman" w:cs="Times New Roman"/>
          <w:lang w:val="en-US"/>
        </w:rPr>
        <w:t>erect formidable</w:t>
      </w:r>
      <w:r w:rsidR="000E09B4" w:rsidRPr="00864C8D">
        <w:rPr>
          <w:rFonts w:ascii="Times New Roman" w:hAnsi="Times New Roman" w:cs="Times New Roman"/>
          <w:lang w:val="en-US"/>
        </w:rPr>
        <w:t xml:space="preserve"> barriers to competition.</w:t>
      </w:r>
    </w:p>
    <w:p w14:paraId="0BA6AD94" w14:textId="1826141D" w:rsidR="000E09B4" w:rsidRPr="00864C8D" w:rsidRDefault="000E09B4" w:rsidP="00BC496C">
      <w:pPr>
        <w:spacing w:after="0" w:line="480" w:lineRule="auto"/>
        <w:ind w:firstLine="720"/>
        <w:jc w:val="both"/>
        <w:rPr>
          <w:rFonts w:ascii="Times New Roman" w:hAnsi="Times New Roman" w:cs="Times New Roman"/>
          <w:lang w:val="en-US"/>
        </w:rPr>
      </w:pPr>
      <w:r w:rsidRPr="00864C8D">
        <w:rPr>
          <w:rFonts w:ascii="Times New Roman" w:hAnsi="Times New Roman" w:cs="Times New Roman"/>
          <w:i/>
          <w:iCs/>
          <w:lang w:val="en-US"/>
        </w:rPr>
        <w:t>Innovation Ecosystem Protection</w:t>
      </w:r>
      <w:r w:rsidRPr="00864C8D">
        <w:rPr>
          <w:rFonts w:ascii="Times New Roman" w:hAnsi="Times New Roman" w:cs="Times New Roman"/>
          <w:lang w:val="en-US"/>
        </w:rPr>
        <w:t xml:space="preserve"> requires policy frameworks that balance platform innovation incentives with protection for dependent entrepreneurs. This includes consideration of governance standards, transition requirements, and mechanisms for addressing platform overreach.</w:t>
      </w:r>
      <w:r w:rsidR="001E21B9" w:rsidRPr="00864C8D">
        <w:rPr>
          <w:rFonts w:ascii="Times New Roman" w:hAnsi="Times New Roman" w:cs="Times New Roman"/>
          <w:lang w:val="en-US"/>
        </w:rPr>
        <w:t xml:space="preserve"> </w:t>
      </w:r>
      <w:r w:rsidRPr="00864C8D">
        <w:rPr>
          <w:rFonts w:ascii="Times New Roman" w:hAnsi="Times New Roman" w:cs="Times New Roman"/>
          <w:i/>
          <w:iCs/>
          <w:lang w:val="en-US"/>
        </w:rPr>
        <w:t>Digital Infrastructure Governance</w:t>
      </w:r>
      <w:r w:rsidRPr="00864C8D">
        <w:rPr>
          <w:rFonts w:ascii="Times New Roman" w:hAnsi="Times New Roman" w:cs="Times New Roman"/>
          <w:lang w:val="en-US"/>
        </w:rPr>
        <w:t xml:space="preserve"> involves recognizing </w:t>
      </w:r>
      <w:r w:rsidR="001E21B9" w:rsidRPr="00864C8D">
        <w:rPr>
          <w:rFonts w:ascii="Times New Roman" w:hAnsi="Times New Roman" w:cs="Times New Roman"/>
          <w:lang w:val="en-US"/>
        </w:rPr>
        <w:t>Gen</w:t>
      </w:r>
      <w:r w:rsidRPr="00864C8D">
        <w:rPr>
          <w:rFonts w:ascii="Times New Roman" w:hAnsi="Times New Roman" w:cs="Times New Roman"/>
          <w:lang w:val="en-US"/>
        </w:rPr>
        <w:t xml:space="preserve"> AI platforms as critical digital infrastructure that requires appropriate governance frameworks. The capability-dependent nature of these platforms creates systemic risks that may require regulatory attention to ensure ecosystem stability and innovation continuity.</w:t>
      </w:r>
    </w:p>
    <w:p w14:paraId="498F0616" w14:textId="77777777" w:rsidR="00A17D81" w:rsidRPr="00864C8D" w:rsidRDefault="00A17D81" w:rsidP="00BC496C">
      <w:pPr>
        <w:pStyle w:val="Heading1"/>
        <w:spacing w:before="0" w:after="0" w:line="480" w:lineRule="auto"/>
        <w:rPr>
          <w:rFonts w:cs="Times New Roman"/>
        </w:rPr>
      </w:pPr>
      <w:r w:rsidRPr="00864C8D">
        <w:rPr>
          <w:rFonts w:cs="Times New Roman"/>
        </w:rPr>
        <w:t>Conclusion</w:t>
      </w:r>
    </w:p>
    <w:p w14:paraId="0EE945BF" w14:textId="77777777" w:rsidR="00A17D81" w:rsidRPr="00A17D81" w:rsidRDefault="00A17D81" w:rsidP="00BC496C">
      <w:pPr>
        <w:spacing w:after="0" w:line="480" w:lineRule="auto"/>
        <w:ind w:firstLine="720"/>
        <w:jc w:val="both"/>
        <w:rPr>
          <w:rFonts w:ascii="Times New Roman" w:hAnsi="Times New Roman" w:cs="Times New Roman"/>
        </w:rPr>
      </w:pPr>
      <w:r w:rsidRPr="00A17D81">
        <w:rPr>
          <w:rFonts w:ascii="Times New Roman" w:hAnsi="Times New Roman" w:cs="Times New Roman"/>
        </w:rPr>
        <w:t xml:space="preserve">This study theorizes how generative-AI platforms operate as institutional catalysts of platform-dependent entrepreneurship (PDE). Tracing the OpenAI ecosystem from 2020 to 2025, we show that platforms simultaneously enable and constrain venturing through capability-dependent ties. We distinguish PDE from distribution-dependent relationships and specify a dynamic process in which Infrastructure Provision, Capability Scaffolding, Market </w:t>
      </w:r>
      <w:r w:rsidRPr="00A17D81">
        <w:rPr>
          <w:rFonts w:ascii="Times New Roman" w:hAnsi="Times New Roman" w:cs="Times New Roman"/>
        </w:rPr>
        <w:lastRenderedPageBreak/>
        <w:t xml:space="preserve">Legitimization, and Ecosystem Orchestration vary in salience across phases, producing a pronounced asymmetry between early enablement and later exposure to governance shocks. The core insight is the enablement–dependence paradox: immediate access to frontier capabilities compresses development and accelerates market entry, while dependence costs accumulate and surface when rules, pricing, or model </w:t>
      </w:r>
      <w:proofErr w:type="spellStart"/>
      <w:r w:rsidRPr="00A17D81">
        <w:rPr>
          <w:rFonts w:ascii="Times New Roman" w:hAnsi="Times New Roman" w:cs="Times New Roman"/>
        </w:rPr>
        <w:t>behavior</w:t>
      </w:r>
      <w:proofErr w:type="spellEnd"/>
      <w:r w:rsidRPr="00A17D81">
        <w:rPr>
          <w:rFonts w:ascii="Times New Roman" w:hAnsi="Times New Roman" w:cs="Times New Roman"/>
        </w:rPr>
        <w:t xml:space="preserve"> shift. Capability intensity amplifies this trade-off, explaining both rapid scaling in foundation/expansion and sudden distress during orchestration/crisis. We extend platform governance with constructs of governance overreach, trust-erosion cascades, and choice removal as control, and integrate institutional, external enablement, and innovation-platform perspectives to show that governance can reverse enablement without any decline in technical frontier. Practically, we foreground portfolio dependency management for entrepreneurs, credible choice and transparency for platform owners, and accountability standards where platforms act as critical digital infrastructure.</w:t>
      </w:r>
    </w:p>
    <w:p w14:paraId="26257C5E" w14:textId="7BD3AC6E" w:rsidR="00A17D81" w:rsidRPr="00864C8D" w:rsidRDefault="00A17D81" w:rsidP="00BC496C">
      <w:pPr>
        <w:pStyle w:val="Heading2"/>
        <w:spacing w:before="0" w:after="0" w:line="480" w:lineRule="auto"/>
        <w:rPr>
          <w:rFonts w:cs="Times New Roman"/>
        </w:rPr>
      </w:pPr>
      <w:r w:rsidRPr="00864C8D">
        <w:rPr>
          <w:rFonts w:cs="Times New Roman"/>
        </w:rPr>
        <w:t>Limitations</w:t>
      </w:r>
      <w:r w:rsidR="00D82FB3" w:rsidRPr="00864C8D">
        <w:rPr>
          <w:rFonts w:cs="Times New Roman"/>
        </w:rPr>
        <w:t>, Boundary Conditions</w:t>
      </w:r>
      <w:r w:rsidR="00453ABA" w:rsidRPr="00864C8D">
        <w:rPr>
          <w:rFonts w:cs="Times New Roman"/>
        </w:rPr>
        <w:t xml:space="preserve"> &amp; Future Research </w:t>
      </w:r>
    </w:p>
    <w:p w14:paraId="0720DCAC" w14:textId="306CF537" w:rsidR="00A17D81" w:rsidRPr="00864C8D" w:rsidRDefault="00485080" w:rsidP="00BC496C">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This </w:t>
      </w:r>
      <w:r w:rsidR="00BB4985" w:rsidRPr="00864C8D">
        <w:rPr>
          <w:rFonts w:ascii="Times New Roman" w:hAnsi="Times New Roman" w:cs="Times New Roman"/>
        </w:rPr>
        <w:t xml:space="preserve">study is not without </w:t>
      </w:r>
      <w:r w:rsidRPr="00864C8D">
        <w:rPr>
          <w:rFonts w:ascii="Times New Roman" w:hAnsi="Times New Roman" w:cs="Times New Roman"/>
        </w:rPr>
        <w:t xml:space="preserve">its </w:t>
      </w:r>
      <w:r w:rsidR="00BB4985" w:rsidRPr="00864C8D">
        <w:rPr>
          <w:rFonts w:ascii="Times New Roman" w:hAnsi="Times New Roman" w:cs="Times New Roman"/>
        </w:rPr>
        <w:t xml:space="preserve">limitations. First, </w:t>
      </w:r>
      <w:r w:rsidRPr="00864C8D">
        <w:rPr>
          <w:rFonts w:ascii="Times New Roman" w:hAnsi="Times New Roman" w:cs="Times New Roman"/>
        </w:rPr>
        <w:t>o</w:t>
      </w:r>
      <w:r w:rsidR="00A17D81" w:rsidRPr="00A17D81">
        <w:rPr>
          <w:rFonts w:ascii="Times New Roman" w:hAnsi="Times New Roman" w:cs="Times New Roman"/>
        </w:rPr>
        <w:t xml:space="preserve">ur evidence </w:t>
      </w:r>
      <w:proofErr w:type="spellStart"/>
      <w:r w:rsidR="00A17D81" w:rsidRPr="00A17D81">
        <w:rPr>
          <w:rFonts w:ascii="Times New Roman" w:hAnsi="Times New Roman" w:cs="Times New Roman"/>
        </w:rPr>
        <w:t>centers</w:t>
      </w:r>
      <w:proofErr w:type="spellEnd"/>
      <w:r w:rsidR="00A17D81" w:rsidRPr="00A17D81">
        <w:rPr>
          <w:rFonts w:ascii="Times New Roman" w:hAnsi="Times New Roman" w:cs="Times New Roman"/>
        </w:rPr>
        <w:t xml:space="preserve"> on a single, leading Gen</w:t>
      </w:r>
      <w:r w:rsidRPr="00864C8D">
        <w:rPr>
          <w:rFonts w:ascii="Times New Roman" w:hAnsi="Times New Roman" w:cs="Times New Roman"/>
        </w:rPr>
        <w:t xml:space="preserve"> </w:t>
      </w:r>
      <w:r w:rsidR="00A17D81" w:rsidRPr="00A17D81">
        <w:rPr>
          <w:rFonts w:ascii="Times New Roman" w:hAnsi="Times New Roman" w:cs="Times New Roman"/>
        </w:rPr>
        <w:t>AI ecosystem</w:t>
      </w:r>
      <w:r w:rsidRPr="00864C8D">
        <w:rPr>
          <w:rFonts w:ascii="Times New Roman" w:hAnsi="Times New Roman" w:cs="Times New Roman"/>
        </w:rPr>
        <w:t xml:space="preserve"> (OpenAI)</w:t>
      </w:r>
      <w:r w:rsidR="00A17D81" w:rsidRPr="00A17D81">
        <w:rPr>
          <w:rFonts w:ascii="Times New Roman" w:hAnsi="Times New Roman" w:cs="Times New Roman"/>
        </w:rPr>
        <w:t xml:space="preserve"> over a compressed period, which conditions generalizability to other platforms and more mature settings. </w:t>
      </w:r>
      <w:r w:rsidR="00EF300F">
        <w:rPr>
          <w:rFonts w:ascii="Times New Roman" w:hAnsi="Times New Roman" w:cs="Times New Roman"/>
        </w:rPr>
        <w:t xml:space="preserve">For instance, our case features </w:t>
      </w:r>
      <w:r w:rsidR="005C4AD8">
        <w:rPr>
          <w:rFonts w:ascii="Times New Roman" w:hAnsi="Times New Roman" w:cs="Times New Roman"/>
        </w:rPr>
        <w:t xml:space="preserve">a Gen AI platform with closed governance structures, challenging the </w:t>
      </w:r>
      <w:r w:rsidR="00CA4A7D">
        <w:rPr>
          <w:rFonts w:ascii="Times New Roman" w:hAnsi="Times New Roman" w:cs="Times New Roman"/>
        </w:rPr>
        <w:t>extension</w:t>
      </w:r>
      <w:r w:rsidR="005C4AD8">
        <w:rPr>
          <w:rFonts w:ascii="Times New Roman" w:hAnsi="Times New Roman" w:cs="Times New Roman"/>
        </w:rPr>
        <w:t xml:space="preserve"> of our findings to </w:t>
      </w:r>
      <w:r w:rsidR="00CA4A7D">
        <w:rPr>
          <w:rFonts w:ascii="Times New Roman" w:hAnsi="Times New Roman" w:cs="Times New Roman"/>
        </w:rPr>
        <w:t xml:space="preserve">open platforms (e.g., Llama). </w:t>
      </w:r>
      <w:r w:rsidRPr="00864C8D">
        <w:rPr>
          <w:rFonts w:ascii="Times New Roman" w:hAnsi="Times New Roman" w:cs="Times New Roman"/>
        </w:rPr>
        <w:t>Second, t</w:t>
      </w:r>
      <w:r w:rsidR="00A17D81" w:rsidRPr="00A17D81">
        <w:rPr>
          <w:rFonts w:ascii="Times New Roman" w:hAnsi="Times New Roman" w:cs="Times New Roman"/>
        </w:rPr>
        <w:t>he event-based</w:t>
      </w:r>
      <w:r w:rsidR="0035375B" w:rsidRPr="00864C8D">
        <w:rPr>
          <w:rFonts w:ascii="Times New Roman" w:hAnsi="Times New Roman" w:cs="Times New Roman"/>
        </w:rPr>
        <w:t xml:space="preserve"> process research</w:t>
      </w:r>
      <w:r w:rsidR="00A17D81" w:rsidRPr="00A17D81">
        <w:rPr>
          <w:rFonts w:ascii="Times New Roman" w:hAnsi="Times New Roman" w:cs="Times New Roman"/>
        </w:rPr>
        <w:t xml:space="preserve"> approach relies primarily on public trace data and archival materials; voices absent from public forums and ventures under confidentiality may be underrepresented. </w:t>
      </w:r>
      <w:r w:rsidR="0035375B" w:rsidRPr="00864C8D">
        <w:rPr>
          <w:rFonts w:ascii="Times New Roman" w:hAnsi="Times New Roman" w:cs="Times New Roman"/>
        </w:rPr>
        <w:t>Third, v</w:t>
      </w:r>
      <w:r w:rsidR="00A17D81" w:rsidRPr="00A17D81">
        <w:rPr>
          <w:rFonts w:ascii="Times New Roman" w:hAnsi="Times New Roman" w:cs="Times New Roman"/>
        </w:rPr>
        <w:t xml:space="preserve">enture-level integration depth, switching costs, and adaptation expenditures are approximated from available sources rather than audited internal data. Finally, although the </w:t>
      </w:r>
      <w:r w:rsidR="002917E1">
        <w:rPr>
          <w:rFonts w:ascii="Times New Roman" w:hAnsi="Times New Roman" w:cs="Times New Roman"/>
        </w:rPr>
        <w:t>research</w:t>
      </w:r>
      <w:r w:rsidR="00A17D81" w:rsidRPr="00A17D81">
        <w:rPr>
          <w:rFonts w:ascii="Times New Roman" w:hAnsi="Times New Roman" w:cs="Times New Roman"/>
        </w:rPr>
        <w:t xml:space="preserve"> design supports process inference, causal identification around specific governance shocks remains limited.</w:t>
      </w:r>
    </w:p>
    <w:p w14:paraId="2C8E4939" w14:textId="4F6BD0E2" w:rsidR="00A17D81" w:rsidRPr="00A17D81" w:rsidRDefault="00453ABA" w:rsidP="00BC496C">
      <w:pPr>
        <w:spacing w:after="0" w:line="480" w:lineRule="auto"/>
        <w:ind w:firstLine="720"/>
        <w:jc w:val="both"/>
        <w:rPr>
          <w:rFonts w:ascii="Times New Roman" w:hAnsi="Times New Roman" w:cs="Times New Roman"/>
        </w:rPr>
      </w:pPr>
      <w:r w:rsidRPr="00864C8D">
        <w:rPr>
          <w:rFonts w:ascii="Times New Roman" w:hAnsi="Times New Roman" w:cs="Times New Roman"/>
        </w:rPr>
        <w:lastRenderedPageBreak/>
        <w:t>These limitations present opportunities for future research. First, c</w:t>
      </w:r>
      <w:r w:rsidR="00A17D81" w:rsidRPr="00A17D81">
        <w:rPr>
          <w:rFonts w:ascii="Times New Roman" w:hAnsi="Times New Roman" w:cs="Times New Roman"/>
        </w:rPr>
        <w:t xml:space="preserve">omparative studies across multiple AI platforms can test boundary conditions and assess how architecture and governance designs modulate PDE dynamics. Longer-horizon panel work should track whether enablement reversals persist or attenuate as ecosystems stabilize. </w:t>
      </w:r>
      <w:r w:rsidR="00E36F96" w:rsidRPr="00864C8D">
        <w:rPr>
          <w:rFonts w:ascii="Times New Roman" w:hAnsi="Times New Roman" w:cs="Times New Roman"/>
        </w:rPr>
        <w:t>Second, m</w:t>
      </w:r>
      <w:r w:rsidR="00A17D81" w:rsidRPr="00A17D81">
        <w:rPr>
          <w:rFonts w:ascii="Times New Roman" w:hAnsi="Times New Roman" w:cs="Times New Roman"/>
        </w:rPr>
        <w:t xml:space="preserve">icro-foundational inquiries could model how founders price dependency risk and when abstraction layers or multihoming deliver net performance gains; quasi-experimental tests around policy changes would sharpen causal claims. </w:t>
      </w:r>
      <w:r w:rsidR="00E560CA" w:rsidRPr="00864C8D">
        <w:rPr>
          <w:rFonts w:ascii="Times New Roman" w:hAnsi="Times New Roman" w:cs="Times New Roman"/>
        </w:rPr>
        <w:t>Third, m</w:t>
      </w:r>
      <w:r w:rsidR="00A17D81" w:rsidRPr="00A17D81">
        <w:rPr>
          <w:rFonts w:ascii="Times New Roman" w:hAnsi="Times New Roman" w:cs="Times New Roman"/>
        </w:rPr>
        <w:t xml:space="preserve">easurement work is needed to operationalize capability intensity, quantify reversal thresholds, and develop ecosystem health indices that combine sentiment, migration debt, and venture outcomes. Finally, cross-domain investigations—in cloud, payments, and regulated verticals—can examine whether capability-dependent governance produces similar </w:t>
      </w:r>
      <w:proofErr w:type="gramStart"/>
      <w:r w:rsidR="00A17D81" w:rsidRPr="00A17D81">
        <w:rPr>
          <w:rFonts w:ascii="Times New Roman" w:hAnsi="Times New Roman" w:cs="Times New Roman"/>
        </w:rPr>
        <w:t>paradoxes</w:t>
      </w:r>
      <w:proofErr w:type="gramEnd"/>
      <w:r w:rsidR="00A17D81" w:rsidRPr="00A17D81">
        <w:rPr>
          <w:rFonts w:ascii="Times New Roman" w:hAnsi="Times New Roman" w:cs="Times New Roman"/>
        </w:rPr>
        <w:t xml:space="preserve"> and which regulatory guardrails best preserve innovation while curbing exploitative dependency.</w:t>
      </w:r>
    </w:p>
    <w:p w14:paraId="432001E5" w14:textId="2FF272EB" w:rsidR="00BB4985" w:rsidRPr="00864C8D" w:rsidRDefault="00BB4985" w:rsidP="00BC496C">
      <w:pPr>
        <w:pStyle w:val="Heading2"/>
        <w:spacing w:before="0" w:after="0" w:line="480" w:lineRule="auto"/>
        <w:rPr>
          <w:rFonts w:cs="Times New Roman"/>
        </w:rPr>
      </w:pPr>
      <w:r w:rsidRPr="00864C8D">
        <w:rPr>
          <w:rFonts w:cs="Times New Roman"/>
        </w:rPr>
        <w:t xml:space="preserve">Concluding </w:t>
      </w:r>
      <w:r w:rsidR="0070441D" w:rsidRPr="00864C8D">
        <w:rPr>
          <w:rFonts w:cs="Times New Roman"/>
        </w:rPr>
        <w:t>S</w:t>
      </w:r>
      <w:r w:rsidRPr="00864C8D">
        <w:rPr>
          <w:rFonts w:cs="Times New Roman"/>
        </w:rPr>
        <w:t xml:space="preserve">tatement </w:t>
      </w:r>
    </w:p>
    <w:p w14:paraId="5D1C7594" w14:textId="36873DE1" w:rsidR="004B389B" w:rsidRPr="00864C8D" w:rsidRDefault="00BB4985" w:rsidP="00BC496C">
      <w:pPr>
        <w:spacing w:after="0" w:line="480" w:lineRule="auto"/>
        <w:ind w:firstLine="720"/>
        <w:jc w:val="both"/>
        <w:rPr>
          <w:rFonts w:ascii="Times New Roman" w:hAnsi="Times New Roman" w:cs="Times New Roman"/>
        </w:rPr>
      </w:pPr>
      <w:r w:rsidRPr="00864C8D">
        <w:rPr>
          <w:rFonts w:ascii="Times New Roman" w:hAnsi="Times New Roman" w:cs="Times New Roman"/>
        </w:rPr>
        <w:t xml:space="preserve">Taken together, our analysis suggests that the next phase of digital entrepreneurship will be shaped as much by the governance of capability platforms as by advances in </w:t>
      </w:r>
      <w:r w:rsidR="00EC08E8" w:rsidRPr="00864C8D">
        <w:rPr>
          <w:rFonts w:ascii="Times New Roman" w:hAnsi="Times New Roman" w:cs="Times New Roman"/>
        </w:rPr>
        <w:t xml:space="preserve">AI </w:t>
      </w:r>
      <w:r w:rsidRPr="00864C8D">
        <w:rPr>
          <w:rFonts w:ascii="Times New Roman" w:hAnsi="Times New Roman" w:cs="Times New Roman"/>
        </w:rPr>
        <w:t xml:space="preserve">capability itself. By </w:t>
      </w:r>
      <w:proofErr w:type="spellStart"/>
      <w:r w:rsidRPr="00864C8D">
        <w:rPr>
          <w:rFonts w:ascii="Times New Roman" w:hAnsi="Times New Roman" w:cs="Times New Roman"/>
        </w:rPr>
        <w:t>centering</w:t>
      </w:r>
      <w:proofErr w:type="spellEnd"/>
      <w:r w:rsidRPr="00864C8D">
        <w:rPr>
          <w:rFonts w:ascii="Times New Roman" w:hAnsi="Times New Roman" w:cs="Times New Roman"/>
        </w:rPr>
        <w:t xml:space="preserve"> the enablement–dependence paradox and specifying levers for entrepreneurs, platform owners, and regulators, we offer a practical blueprint for building ventures</w:t>
      </w:r>
      <w:r w:rsidR="00EC08E8" w:rsidRPr="00864C8D">
        <w:rPr>
          <w:rFonts w:ascii="Times New Roman" w:hAnsi="Times New Roman" w:cs="Times New Roman"/>
        </w:rPr>
        <w:t xml:space="preserve"> </w:t>
      </w:r>
      <w:r w:rsidRPr="00864C8D">
        <w:rPr>
          <w:rFonts w:ascii="Times New Roman" w:hAnsi="Times New Roman" w:cs="Times New Roman"/>
        </w:rPr>
        <w:t>and ecosystems</w:t>
      </w:r>
      <w:r w:rsidR="00EC08E8" w:rsidRPr="00864C8D">
        <w:rPr>
          <w:rFonts w:ascii="Times New Roman" w:hAnsi="Times New Roman" w:cs="Times New Roman"/>
        </w:rPr>
        <w:t xml:space="preserve"> </w:t>
      </w:r>
      <w:r w:rsidRPr="00864C8D">
        <w:rPr>
          <w:rFonts w:ascii="Times New Roman" w:hAnsi="Times New Roman" w:cs="Times New Roman"/>
        </w:rPr>
        <w:t>that remain innovative by design and resilient by default.</w:t>
      </w:r>
    </w:p>
    <w:p w14:paraId="773867B4" w14:textId="24C077D7" w:rsidR="00EC08E8" w:rsidRPr="00864C8D" w:rsidRDefault="00EC08E8" w:rsidP="00EC08E8">
      <w:pPr>
        <w:pStyle w:val="Heading1"/>
        <w:rPr>
          <w:rFonts w:cs="Times New Roman"/>
        </w:rPr>
      </w:pPr>
      <w:r w:rsidRPr="00864C8D">
        <w:rPr>
          <w:rFonts w:cs="Times New Roman"/>
        </w:rPr>
        <w:t xml:space="preserve">References </w:t>
      </w:r>
    </w:p>
    <w:p w14:paraId="19EB46DA"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 Baumol, W. J. (1993). Formal entrepreneurship theory in economics: Existence and bounds. </w:t>
      </w:r>
      <w:r w:rsidRPr="003A70E1">
        <w:rPr>
          <w:rFonts w:ascii="Times New Roman" w:hAnsi="Times New Roman" w:cs="Times New Roman"/>
          <w:i/>
          <w:iCs/>
          <w:lang w:val="en-US"/>
        </w:rPr>
        <w:t>Journal of business venturing</w:t>
      </w:r>
      <w:r w:rsidRPr="003A70E1">
        <w:rPr>
          <w:rFonts w:ascii="Times New Roman" w:hAnsi="Times New Roman" w:cs="Times New Roman"/>
          <w:lang w:val="en-US"/>
        </w:rPr>
        <w:t>, </w:t>
      </w:r>
      <w:r w:rsidRPr="003A70E1">
        <w:rPr>
          <w:rFonts w:ascii="Times New Roman" w:hAnsi="Times New Roman" w:cs="Times New Roman"/>
          <w:i/>
          <w:iCs/>
          <w:lang w:val="en-US"/>
        </w:rPr>
        <w:t>8</w:t>
      </w:r>
      <w:r w:rsidRPr="003A70E1">
        <w:rPr>
          <w:rFonts w:ascii="Times New Roman" w:hAnsi="Times New Roman" w:cs="Times New Roman"/>
          <w:lang w:val="en-US"/>
        </w:rPr>
        <w:t>(3), 197-210.</w:t>
      </w:r>
    </w:p>
    <w:p w14:paraId="7209D6DC" w14:textId="77777777" w:rsidR="00FA5C48" w:rsidRPr="003A70E1" w:rsidRDefault="00FA5C48" w:rsidP="003A70E1">
      <w:pPr>
        <w:spacing w:after="0" w:line="240" w:lineRule="auto"/>
        <w:ind w:left="720" w:hanging="720"/>
        <w:jc w:val="both"/>
        <w:rPr>
          <w:rFonts w:ascii="Times New Roman" w:hAnsi="Times New Roman" w:cs="Times New Roman"/>
        </w:rPr>
      </w:pPr>
      <w:r w:rsidRPr="003A70E1">
        <w:rPr>
          <w:rFonts w:ascii="Times New Roman" w:hAnsi="Times New Roman" w:cs="Times New Roman"/>
          <w:lang w:val="en-US"/>
        </w:rPr>
        <w:t>Baumol, W. J., &amp; Strom, R. J. (2007). Entrepreneurship and economic growth. </w:t>
      </w:r>
      <w:r w:rsidRPr="003A70E1">
        <w:rPr>
          <w:rFonts w:ascii="Times New Roman" w:hAnsi="Times New Roman" w:cs="Times New Roman"/>
          <w:i/>
          <w:iCs/>
          <w:lang w:val="en-US"/>
        </w:rPr>
        <w:t>Strategic entrepreneurship journal</w:t>
      </w:r>
      <w:r w:rsidRPr="003A70E1">
        <w:rPr>
          <w:rFonts w:ascii="Times New Roman" w:hAnsi="Times New Roman" w:cs="Times New Roman"/>
          <w:lang w:val="en-US"/>
        </w:rPr>
        <w:t>, </w:t>
      </w:r>
      <w:r w:rsidRPr="003A70E1">
        <w:rPr>
          <w:rFonts w:ascii="Times New Roman" w:hAnsi="Times New Roman" w:cs="Times New Roman"/>
          <w:i/>
          <w:iCs/>
          <w:lang w:val="en-US"/>
        </w:rPr>
        <w:t>1</w:t>
      </w:r>
      <w:r w:rsidRPr="003A70E1">
        <w:rPr>
          <w:rFonts w:ascii="Times New Roman" w:hAnsi="Times New Roman" w:cs="Times New Roman"/>
          <w:lang w:val="en-US"/>
        </w:rPr>
        <w:t>(3‐4), 233-237.</w:t>
      </w:r>
    </w:p>
    <w:p w14:paraId="7E84A290"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Bruton, G. D., Ahlstrom, D., &amp; Li, H. L. (2010). Institutional theory and entrepreneurship: where are we now and where do we need to move in the </w:t>
      </w:r>
      <w:proofErr w:type="gramStart"/>
      <w:r w:rsidRPr="003A70E1">
        <w:rPr>
          <w:rFonts w:ascii="Times New Roman" w:hAnsi="Times New Roman" w:cs="Times New Roman"/>
          <w:lang w:val="en-US"/>
        </w:rPr>
        <w:t>future?.</w:t>
      </w:r>
      <w:proofErr w:type="gramEnd"/>
      <w:r w:rsidRPr="003A70E1">
        <w:rPr>
          <w:rFonts w:ascii="Times New Roman" w:hAnsi="Times New Roman" w:cs="Times New Roman"/>
          <w:lang w:val="en-US"/>
        </w:rPr>
        <w:t> </w:t>
      </w:r>
      <w:r w:rsidRPr="003A70E1">
        <w:rPr>
          <w:rFonts w:ascii="Times New Roman" w:hAnsi="Times New Roman" w:cs="Times New Roman"/>
          <w:i/>
          <w:iCs/>
          <w:lang w:val="en-US"/>
        </w:rPr>
        <w:t>Entrepreneurship theory and practice</w:t>
      </w:r>
      <w:r w:rsidRPr="003A70E1">
        <w:rPr>
          <w:rFonts w:ascii="Times New Roman" w:hAnsi="Times New Roman" w:cs="Times New Roman"/>
          <w:lang w:val="en-US"/>
        </w:rPr>
        <w:t>, </w:t>
      </w:r>
      <w:r w:rsidRPr="003A70E1">
        <w:rPr>
          <w:rFonts w:ascii="Times New Roman" w:hAnsi="Times New Roman" w:cs="Times New Roman"/>
          <w:i/>
          <w:iCs/>
          <w:lang w:val="en-US"/>
        </w:rPr>
        <w:t>34</w:t>
      </w:r>
      <w:r w:rsidRPr="003A70E1">
        <w:rPr>
          <w:rFonts w:ascii="Times New Roman" w:hAnsi="Times New Roman" w:cs="Times New Roman"/>
          <w:lang w:val="en-US"/>
        </w:rPr>
        <w:t>(3), 421-440.</w:t>
      </w:r>
    </w:p>
    <w:p w14:paraId="415D7D33"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color w:val="222222"/>
          <w:shd w:val="clear" w:color="auto" w:fill="FFFFFF"/>
        </w:rPr>
        <w:t xml:space="preserve">Cennamo, C., </w:t>
      </w:r>
      <w:proofErr w:type="spellStart"/>
      <w:r w:rsidRPr="003A70E1">
        <w:rPr>
          <w:rFonts w:ascii="Times New Roman" w:hAnsi="Times New Roman" w:cs="Times New Roman"/>
          <w:color w:val="222222"/>
          <w:shd w:val="clear" w:color="auto" w:fill="FFFFFF"/>
        </w:rPr>
        <w:t>Ozalp</w:t>
      </w:r>
      <w:proofErr w:type="spellEnd"/>
      <w:r w:rsidRPr="003A70E1">
        <w:rPr>
          <w:rFonts w:ascii="Times New Roman" w:hAnsi="Times New Roman" w:cs="Times New Roman"/>
          <w:color w:val="222222"/>
          <w:shd w:val="clear" w:color="auto" w:fill="FFFFFF"/>
        </w:rPr>
        <w:t>, H., &amp; Kretschmer, T. (2018). Platform architecture and quality trade-offs of multihoming complements. </w:t>
      </w:r>
      <w:r w:rsidRPr="003A70E1">
        <w:rPr>
          <w:rFonts w:ascii="Times New Roman" w:hAnsi="Times New Roman" w:cs="Times New Roman"/>
          <w:i/>
          <w:iCs/>
          <w:color w:val="222222"/>
          <w:shd w:val="clear" w:color="auto" w:fill="FFFFFF"/>
        </w:rPr>
        <w:t>Information Systems Research</w:t>
      </w:r>
      <w:r w:rsidRPr="003A70E1">
        <w:rPr>
          <w:rFonts w:ascii="Times New Roman" w:hAnsi="Times New Roman" w:cs="Times New Roman"/>
          <w:color w:val="222222"/>
          <w:shd w:val="clear" w:color="auto" w:fill="FFFFFF"/>
        </w:rPr>
        <w:t>, </w:t>
      </w:r>
      <w:r w:rsidRPr="003A70E1">
        <w:rPr>
          <w:rFonts w:ascii="Times New Roman" w:hAnsi="Times New Roman" w:cs="Times New Roman"/>
          <w:i/>
          <w:iCs/>
          <w:color w:val="222222"/>
          <w:shd w:val="clear" w:color="auto" w:fill="FFFFFF"/>
        </w:rPr>
        <w:t>29</w:t>
      </w:r>
      <w:r w:rsidRPr="003A70E1">
        <w:rPr>
          <w:rFonts w:ascii="Times New Roman" w:hAnsi="Times New Roman" w:cs="Times New Roman"/>
          <w:color w:val="222222"/>
          <w:shd w:val="clear" w:color="auto" w:fill="FFFFFF"/>
        </w:rPr>
        <w:t>(2), 461-478.</w:t>
      </w:r>
    </w:p>
    <w:p w14:paraId="3A98F65A"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lastRenderedPageBreak/>
        <w:t xml:space="preserve">Chalmers, D., </w:t>
      </w:r>
      <w:proofErr w:type="spellStart"/>
      <w:r w:rsidRPr="003A70E1">
        <w:rPr>
          <w:rFonts w:ascii="Times New Roman" w:hAnsi="Times New Roman" w:cs="Times New Roman"/>
          <w:lang w:val="en-US"/>
        </w:rPr>
        <w:t>MacKenzie</w:t>
      </w:r>
      <w:proofErr w:type="spellEnd"/>
      <w:r w:rsidRPr="003A70E1">
        <w:rPr>
          <w:rFonts w:ascii="Times New Roman" w:hAnsi="Times New Roman" w:cs="Times New Roman"/>
          <w:lang w:val="en-US"/>
        </w:rPr>
        <w:t>, N. G., &amp; Carter, S. (2021). Artificial intelligence and entrepreneurship: Implications for venture creation in the fourth industrial revolution. </w:t>
      </w:r>
      <w:r w:rsidRPr="003A70E1">
        <w:rPr>
          <w:rFonts w:ascii="Times New Roman" w:hAnsi="Times New Roman" w:cs="Times New Roman"/>
          <w:i/>
          <w:iCs/>
          <w:lang w:val="en-US"/>
        </w:rPr>
        <w:t>Entrepreneurship Theory and Practice</w:t>
      </w:r>
      <w:r w:rsidRPr="003A70E1">
        <w:rPr>
          <w:rFonts w:ascii="Times New Roman" w:hAnsi="Times New Roman" w:cs="Times New Roman"/>
          <w:lang w:val="en-US"/>
        </w:rPr>
        <w:t>, </w:t>
      </w:r>
      <w:r w:rsidRPr="003A70E1">
        <w:rPr>
          <w:rFonts w:ascii="Times New Roman" w:hAnsi="Times New Roman" w:cs="Times New Roman"/>
          <w:i/>
          <w:iCs/>
          <w:lang w:val="en-US"/>
        </w:rPr>
        <w:t>45</w:t>
      </w:r>
      <w:r w:rsidRPr="003A70E1">
        <w:rPr>
          <w:rFonts w:ascii="Times New Roman" w:hAnsi="Times New Roman" w:cs="Times New Roman"/>
          <w:lang w:val="en-US"/>
        </w:rPr>
        <w:t>(5), 1028-1053.</w:t>
      </w:r>
    </w:p>
    <w:p w14:paraId="192FB8F5"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Chen, L., Tong, T. W., Tang, S., &amp; Han, N. (2022). Governance and design of digital platforms: a review and future research directions on a meta-organization. </w:t>
      </w:r>
      <w:r w:rsidRPr="003A70E1">
        <w:rPr>
          <w:rFonts w:ascii="Times New Roman" w:hAnsi="Times New Roman" w:cs="Times New Roman"/>
          <w:i/>
          <w:iCs/>
          <w:lang w:val="en-US"/>
        </w:rPr>
        <w:t>Journal of management</w:t>
      </w:r>
      <w:r w:rsidRPr="003A70E1">
        <w:rPr>
          <w:rFonts w:ascii="Times New Roman" w:hAnsi="Times New Roman" w:cs="Times New Roman"/>
          <w:lang w:val="en-US"/>
        </w:rPr>
        <w:t>, </w:t>
      </w:r>
      <w:r w:rsidRPr="003A70E1">
        <w:rPr>
          <w:rFonts w:ascii="Times New Roman" w:hAnsi="Times New Roman" w:cs="Times New Roman"/>
          <w:i/>
          <w:iCs/>
          <w:lang w:val="en-US"/>
        </w:rPr>
        <w:t>48</w:t>
      </w:r>
      <w:r w:rsidRPr="003A70E1">
        <w:rPr>
          <w:rFonts w:ascii="Times New Roman" w:hAnsi="Times New Roman" w:cs="Times New Roman"/>
          <w:lang w:val="en-US"/>
        </w:rPr>
        <w:t>(1), 147-184.</w:t>
      </w:r>
    </w:p>
    <w:p w14:paraId="56D755CF" w14:textId="77777777" w:rsidR="00FA5C48" w:rsidRPr="003A70E1" w:rsidRDefault="00FA5C48" w:rsidP="003A70E1">
      <w:pPr>
        <w:spacing w:after="0" w:line="240" w:lineRule="auto"/>
        <w:ind w:left="720" w:hanging="720"/>
        <w:jc w:val="both"/>
        <w:rPr>
          <w:rFonts w:ascii="Times New Roman" w:hAnsi="Times New Roman" w:cs="Times New Roman"/>
        </w:rPr>
      </w:pPr>
      <w:r w:rsidRPr="003A70E1">
        <w:rPr>
          <w:rFonts w:ascii="Times New Roman" w:hAnsi="Times New Roman" w:cs="Times New Roman"/>
        </w:rPr>
        <w:t>Creswell, J. W., Plano Clark, V. L., Gutmann, M. L., &amp; Hanson, W. E. (2003). Advanced mixed methods research designs. </w:t>
      </w:r>
      <w:r w:rsidRPr="003A70E1">
        <w:rPr>
          <w:rFonts w:ascii="Times New Roman" w:hAnsi="Times New Roman" w:cs="Times New Roman"/>
          <w:i/>
          <w:iCs/>
        </w:rPr>
        <w:t xml:space="preserve">Handbook of mixed methods in social and </w:t>
      </w:r>
      <w:proofErr w:type="spellStart"/>
      <w:r w:rsidRPr="003A70E1">
        <w:rPr>
          <w:rFonts w:ascii="Times New Roman" w:hAnsi="Times New Roman" w:cs="Times New Roman"/>
          <w:i/>
          <w:iCs/>
        </w:rPr>
        <w:t>behavioral</w:t>
      </w:r>
      <w:proofErr w:type="spellEnd"/>
      <w:r w:rsidRPr="003A70E1">
        <w:rPr>
          <w:rFonts w:ascii="Times New Roman" w:hAnsi="Times New Roman" w:cs="Times New Roman"/>
          <w:i/>
          <w:iCs/>
        </w:rPr>
        <w:t xml:space="preserve"> research</w:t>
      </w:r>
      <w:r w:rsidRPr="003A70E1">
        <w:rPr>
          <w:rFonts w:ascii="Times New Roman" w:hAnsi="Times New Roman" w:cs="Times New Roman"/>
        </w:rPr>
        <w:t>, </w:t>
      </w:r>
      <w:r w:rsidRPr="003A70E1">
        <w:rPr>
          <w:rFonts w:ascii="Times New Roman" w:hAnsi="Times New Roman" w:cs="Times New Roman"/>
          <w:i/>
          <w:iCs/>
        </w:rPr>
        <w:t>209</w:t>
      </w:r>
      <w:r w:rsidRPr="003A70E1">
        <w:rPr>
          <w:rFonts w:ascii="Times New Roman" w:hAnsi="Times New Roman" w:cs="Times New Roman"/>
        </w:rPr>
        <w:t>(240), 209-240.</w:t>
      </w:r>
    </w:p>
    <w:p w14:paraId="1E03D8FE"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color w:val="222222"/>
          <w:shd w:val="clear" w:color="auto" w:fill="FFFFFF"/>
        </w:rPr>
        <w:t xml:space="preserve">Cusumano, M. A., </w:t>
      </w:r>
      <w:proofErr w:type="spellStart"/>
      <w:r w:rsidRPr="003A70E1">
        <w:rPr>
          <w:rFonts w:ascii="Times New Roman" w:hAnsi="Times New Roman" w:cs="Times New Roman"/>
          <w:color w:val="222222"/>
          <w:shd w:val="clear" w:color="auto" w:fill="FFFFFF"/>
        </w:rPr>
        <w:t>Gawer</w:t>
      </w:r>
      <w:proofErr w:type="spellEnd"/>
      <w:r w:rsidRPr="003A70E1">
        <w:rPr>
          <w:rFonts w:ascii="Times New Roman" w:hAnsi="Times New Roman" w:cs="Times New Roman"/>
          <w:color w:val="222222"/>
          <w:shd w:val="clear" w:color="auto" w:fill="FFFFFF"/>
        </w:rPr>
        <w:t xml:space="preserve">, A., &amp; </w:t>
      </w:r>
      <w:proofErr w:type="spellStart"/>
      <w:r w:rsidRPr="003A70E1">
        <w:rPr>
          <w:rFonts w:ascii="Times New Roman" w:hAnsi="Times New Roman" w:cs="Times New Roman"/>
          <w:color w:val="222222"/>
          <w:shd w:val="clear" w:color="auto" w:fill="FFFFFF"/>
        </w:rPr>
        <w:t>Yoffie</w:t>
      </w:r>
      <w:proofErr w:type="spellEnd"/>
      <w:r w:rsidRPr="003A70E1">
        <w:rPr>
          <w:rFonts w:ascii="Times New Roman" w:hAnsi="Times New Roman" w:cs="Times New Roman"/>
          <w:color w:val="222222"/>
          <w:shd w:val="clear" w:color="auto" w:fill="FFFFFF"/>
        </w:rPr>
        <w:t>, D. B. (2019). </w:t>
      </w:r>
      <w:r w:rsidRPr="003A70E1">
        <w:rPr>
          <w:rFonts w:ascii="Times New Roman" w:hAnsi="Times New Roman" w:cs="Times New Roman"/>
          <w:i/>
          <w:iCs/>
          <w:color w:val="222222"/>
          <w:shd w:val="clear" w:color="auto" w:fill="FFFFFF"/>
        </w:rPr>
        <w:t>The business of platforms: Strategy in the age of digital competition, innovation, and power</w:t>
      </w:r>
      <w:r w:rsidRPr="003A70E1">
        <w:rPr>
          <w:rFonts w:ascii="Times New Roman" w:hAnsi="Times New Roman" w:cs="Times New Roman"/>
          <w:color w:val="222222"/>
          <w:shd w:val="clear" w:color="auto" w:fill="FFFFFF"/>
        </w:rPr>
        <w:t> (Vol. 320, pp. 1-5). New York: Harper Business.</w:t>
      </w:r>
    </w:p>
    <w:p w14:paraId="14A8463E"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Cutolo, D., &amp; Kenney, M. (2021). Platform-dependent entrepreneurs: Power asymmetries, risks, and strategies in the platform economy. </w:t>
      </w:r>
      <w:r w:rsidRPr="003A70E1">
        <w:rPr>
          <w:rFonts w:ascii="Times New Roman" w:hAnsi="Times New Roman" w:cs="Times New Roman"/>
          <w:i/>
          <w:iCs/>
          <w:lang w:val="en-US"/>
        </w:rPr>
        <w:t>Academy of Management Perspectives</w:t>
      </w:r>
      <w:r w:rsidRPr="003A70E1">
        <w:rPr>
          <w:rFonts w:ascii="Times New Roman" w:hAnsi="Times New Roman" w:cs="Times New Roman"/>
          <w:lang w:val="en-US"/>
        </w:rPr>
        <w:t>, </w:t>
      </w:r>
      <w:r w:rsidRPr="003A70E1">
        <w:rPr>
          <w:rFonts w:ascii="Times New Roman" w:hAnsi="Times New Roman" w:cs="Times New Roman"/>
          <w:i/>
          <w:iCs/>
          <w:lang w:val="en-US"/>
        </w:rPr>
        <w:t>35</w:t>
      </w:r>
      <w:r w:rsidRPr="003A70E1">
        <w:rPr>
          <w:rFonts w:ascii="Times New Roman" w:hAnsi="Times New Roman" w:cs="Times New Roman"/>
          <w:lang w:val="en-US"/>
        </w:rPr>
        <w:t>(4), 584-605.</w:t>
      </w:r>
    </w:p>
    <w:p w14:paraId="169B7452"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de-DE"/>
        </w:rPr>
        <w:t xml:space="preserve">Davidsson, P., Recker, J., &amp; Von Briel, F. (2020). </w:t>
      </w:r>
      <w:r w:rsidRPr="003A70E1">
        <w:rPr>
          <w:rFonts w:ascii="Times New Roman" w:hAnsi="Times New Roman" w:cs="Times New Roman"/>
          <w:lang w:val="en-US"/>
        </w:rPr>
        <w:t>External enablement of new venture creation: A framework. </w:t>
      </w:r>
      <w:r w:rsidRPr="003A70E1">
        <w:rPr>
          <w:rFonts w:ascii="Times New Roman" w:hAnsi="Times New Roman" w:cs="Times New Roman"/>
          <w:i/>
          <w:iCs/>
          <w:lang w:val="en-US"/>
        </w:rPr>
        <w:t>Academy of Management Perspectives</w:t>
      </w:r>
      <w:r w:rsidRPr="003A70E1">
        <w:rPr>
          <w:rFonts w:ascii="Times New Roman" w:hAnsi="Times New Roman" w:cs="Times New Roman"/>
          <w:lang w:val="en-US"/>
        </w:rPr>
        <w:t>, </w:t>
      </w:r>
      <w:r w:rsidRPr="003A70E1">
        <w:rPr>
          <w:rFonts w:ascii="Times New Roman" w:hAnsi="Times New Roman" w:cs="Times New Roman"/>
          <w:i/>
          <w:iCs/>
          <w:lang w:val="en-US"/>
        </w:rPr>
        <w:t>34</w:t>
      </w:r>
      <w:r w:rsidRPr="003A70E1">
        <w:rPr>
          <w:rFonts w:ascii="Times New Roman" w:hAnsi="Times New Roman" w:cs="Times New Roman"/>
          <w:lang w:val="en-US"/>
        </w:rPr>
        <w:t>(3), 311-332.</w:t>
      </w:r>
    </w:p>
    <w:p w14:paraId="64CA1F51"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Diao, M., Kong, H., &amp; Zhao, J. (2021). Impacts of transportation network companies on urban mobility. </w:t>
      </w:r>
      <w:r w:rsidRPr="003A70E1">
        <w:rPr>
          <w:rFonts w:ascii="Times New Roman" w:hAnsi="Times New Roman" w:cs="Times New Roman"/>
          <w:i/>
          <w:iCs/>
          <w:lang w:val="en-US"/>
        </w:rPr>
        <w:t>Nature Sustainability</w:t>
      </w:r>
      <w:r w:rsidRPr="003A70E1">
        <w:rPr>
          <w:rFonts w:ascii="Times New Roman" w:hAnsi="Times New Roman" w:cs="Times New Roman"/>
          <w:lang w:val="en-US"/>
        </w:rPr>
        <w:t>, </w:t>
      </w:r>
      <w:r w:rsidRPr="003A70E1">
        <w:rPr>
          <w:rFonts w:ascii="Times New Roman" w:hAnsi="Times New Roman" w:cs="Times New Roman"/>
          <w:i/>
          <w:iCs/>
          <w:lang w:val="en-US"/>
        </w:rPr>
        <w:t>4</w:t>
      </w:r>
      <w:r w:rsidRPr="003A70E1">
        <w:rPr>
          <w:rFonts w:ascii="Times New Roman" w:hAnsi="Times New Roman" w:cs="Times New Roman"/>
          <w:lang w:val="en-US"/>
        </w:rPr>
        <w:t>(6), 494-500.</w:t>
      </w:r>
    </w:p>
    <w:p w14:paraId="392042BD"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DiMaggio, P. J. (1988). Interest and agency in institutional theory. In L. Zucker (Ed.), </w:t>
      </w:r>
      <w:r w:rsidRPr="003A70E1">
        <w:rPr>
          <w:rFonts w:ascii="Times New Roman" w:hAnsi="Times New Roman" w:cs="Times New Roman"/>
          <w:i/>
          <w:iCs/>
          <w:lang w:val="en-US"/>
        </w:rPr>
        <w:t>Institutional patterns and organizations: Culture and environment</w:t>
      </w:r>
      <w:r w:rsidRPr="003A70E1">
        <w:rPr>
          <w:rFonts w:ascii="Times New Roman" w:hAnsi="Times New Roman" w:cs="Times New Roman"/>
          <w:lang w:val="en-US"/>
        </w:rPr>
        <w:t xml:space="preserve"> (pp. 3–21). Cambridge: Ballinger.</w:t>
      </w:r>
    </w:p>
    <w:p w14:paraId="25AD1E1C"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color w:val="222222"/>
          <w:shd w:val="clear" w:color="auto" w:fill="FFFFFF"/>
        </w:rPr>
        <w:t xml:space="preserve">Eaton, B., </w:t>
      </w:r>
      <w:proofErr w:type="spellStart"/>
      <w:r w:rsidRPr="003A70E1">
        <w:rPr>
          <w:rFonts w:ascii="Times New Roman" w:hAnsi="Times New Roman" w:cs="Times New Roman"/>
          <w:color w:val="222222"/>
          <w:shd w:val="clear" w:color="auto" w:fill="FFFFFF"/>
        </w:rPr>
        <w:t>Elaluf</w:t>
      </w:r>
      <w:proofErr w:type="spellEnd"/>
      <w:r w:rsidRPr="003A70E1">
        <w:rPr>
          <w:rFonts w:ascii="Times New Roman" w:hAnsi="Times New Roman" w:cs="Times New Roman"/>
          <w:color w:val="222222"/>
          <w:shd w:val="clear" w:color="auto" w:fill="FFFFFF"/>
        </w:rPr>
        <w:t>-Calderwood, S., Sørensen, C., &amp; Yoo, Y. (2015). Distributed tuning of boundary resources. </w:t>
      </w:r>
      <w:r w:rsidRPr="003A70E1">
        <w:rPr>
          <w:rFonts w:ascii="Times New Roman" w:hAnsi="Times New Roman" w:cs="Times New Roman"/>
          <w:i/>
          <w:iCs/>
          <w:color w:val="222222"/>
          <w:shd w:val="clear" w:color="auto" w:fill="FFFFFF"/>
        </w:rPr>
        <w:t>MIS quarterly</w:t>
      </w:r>
      <w:r w:rsidRPr="003A70E1">
        <w:rPr>
          <w:rFonts w:ascii="Times New Roman" w:hAnsi="Times New Roman" w:cs="Times New Roman"/>
          <w:color w:val="222222"/>
          <w:shd w:val="clear" w:color="auto" w:fill="FFFFFF"/>
        </w:rPr>
        <w:t>, </w:t>
      </w:r>
      <w:r w:rsidRPr="003A70E1">
        <w:rPr>
          <w:rFonts w:ascii="Times New Roman" w:hAnsi="Times New Roman" w:cs="Times New Roman"/>
          <w:i/>
          <w:iCs/>
          <w:color w:val="222222"/>
          <w:shd w:val="clear" w:color="auto" w:fill="FFFFFF"/>
        </w:rPr>
        <w:t>39</w:t>
      </w:r>
      <w:r w:rsidRPr="003A70E1">
        <w:rPr>
          <w:rFonts w:ascii="Times New Roman" w:hAnsi="Times New Roman" w:cs="Times New Roman"/>
          <w:color w:val="222222"/>
          <w:shd w:val="clear" w:color="auto" w:fill="FFFFFF"/>
        </w:rPr>
        <w:t>(1), 217-244.</w:t>
      </w:r>
    </w:p>
    <w:p w14:paraId="7D68DCA7"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Eisenmann, T., Parker, G., &amp; Van Alstyne, M. (2011). Platform envelopment. </w:t>
      </w:r>
      <w:r w:rsidRPr="003A70E1">
        <w:rPr>
          <w:rFonts w:ascii="Times New Roman" w:hAnsi="Times New Roman" w:cs="Times New Roman"/>
          <w:i/>
          <w:iCs/>
          <w:lang w:val="en-US"/>
        </w:rPr>
        <w:t>Strategic management journal</w:t>
      </w:r>
      <w:r w:rsidRPr="003A70E1">
        <w:rPr>
          <w:rFonts w:ascii="Times New Roman" w:hAnsi="Times New Roman" w:cs="Times New Roman"/>
          <w:lang w:val="en-US"/>
        </w:rPr>
        <w:t>, </w:t>
      </w:r>
      <w:r w:rsidRPr="003A70E1">
        <w:rPr>
          <w:rFonts w:ascii="Times New Roman" w:hAnsi="Times New Roman" w:cs="Times New Roman"/>
          <w:i/>
          <w:iCs/>
          <w:lang w:val="en-US"/>
        </w:rPr>
        <w:t>32</w:t>
      </w:r>
      <w:r w:rsidRPr="003A70E1">
        <w:rPr>
          <w:rFonts w:ascii="Times New Roman" w:hAnsi="Times New Roman" w:cs="Times New Roman"/>
          <w:lang w:val="en-US"/>
        </w:rPr>
        <w:t>(12), 1270-1285.</w:t>
      </w:r>
    </w:p>
    <w:p w14:paraId="3AE5F39F"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Elert, N., &amp; Henrekson, M. (2017). Entrepreneurship and institutions: a bidirectional relationship. </w:t>
      </w:r>
      <w:r w:rsidRPr="003A70E1">
        <w:rPr>
          <w:rFonts w:ascii="Times New Roman" w:hAnsi="Times New Roman" w:cs="Times New Roman"/>
          <w:i/>
          <w:iCs/>
          <w:lang w:val="en-US"/>
        </w:rPr>
        <w:t>Foundations and Trends® in Entrepreneurship</w:t>
      </w:r>
      <w:r w:rsidRPr="003A70E1">
        <w:rPr>
          <w:rFonts w:ascii="Times New Roman" w:hAnsi="Times New Roman" w:cs="Times New Roman"/>
          <w:lang w:val="en-US"/>
        </w:rPr>
        <w:t>, </w:t>
      </w:r>
      <w:r w:rsidRPr="003A70E1">
        <w:rPr>
          <w:rFonts w:ascii="Times New Roman" w:hAnsi="Times New Roman" w:cs="Times New Roman"/>
          <w:i/>
          <w:iCs/>
          <w:lang w:val="en-US"/>
        </w:rPr>
        <w:t>13</w:t>
      </w:r>
      <w:r w:rsidRPr="003A70E1">
        <w:rPr>
          <w:rFonts w:ascii="Times New Roman" w:hAnsi="Times New Roman" w:cs="Times New Roman"/>
          <w:lang w:val="en-US"/>
        </w:rPr>
        <w:t>(3), 191-263.</w:t>
      </w:r>
    </w:p>
    <w:p w14:paraId="22BFE578"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Fernandes, C., Ferreira, J. J., Veiga, P. M., Kraus, S., &amp; </w:t>
      </w:r>
      <w:proofErr w:type="spellStart"/>
      <w:r w:rsidRPr="003A70E1">
        <w:rPr>
          <w:rFonts w:ascii="Times New Roman" w:hAnsi="Times New Roman" w:cs="Times New Roman"/>
          <w:lang w:val="en-US"/>
        </w:rPr>
        <w:t>Dabić</w:t>
      </w:r>
      <w:proofErr w:type="spellEnd"/>
      <w:r w:rsidRPr="003A70E1">
        <w:rPr>
          <w:rFonts w:ascii="Times New Roman" w:hAnsi="Times New Roman" w:cs="Times New Roman"/>
          <w:lang w:val="en-US"/>
        </w:rPr>
        <w:t>, M. (2022). Digital entrepreneurship platforms: Mapping the field and looking towards a holistic approach. </w:t>
      </w:r>
      <w:r w:rsidRPr="003A70E1">
        <w:rPr>
          <w:rFonts w:ascii="Times New Roman" w:hAnsi="Times New Roman" w:cs="Times New Roman"/>
          <w:i/>
          <w:iCs/>
          <w:lang w:val="en-US"/>
        </w:rPr>
        <w:t>Technology in Society</w:t>
      </w:r>
      <w:r w:rsidRPr="003A70E1">
        <w:rPr>
          <w:rFonts w:ascii="Times New Roman" w:hAnsi="Times New Roman" w:cs="Times New Roman"/>
          <w:lang w:val="en-US"/>
        </w:rPr>
        <w:t>, </w:t>
      </w:r>
      <w:r w:rsidRPr="003A70E1">
        <w:rPr>
          <w:rFonts w:ascii="Times New Roman" w:hAnsi="Times New Roman" w:cs="Times New Roman"/>
          <w:i/>
          <w:iCs/>
          <w:lang w:val="en-US"/>
        </w:rPr>
        <w:t>70</w:t>
      </w:r>
      <w:r w:rsidRPr="003A70E1">
        <w:rPr>
          <w:rFonts w:ascii="Times New Roman" w:hAnsi="Times New Roman" w:cs="Times New Roman"/>
          <w:lang w:val="en-US"/>
        </w:rPr>
        <w:t>, 101979.</w:t>
      </w:r>
    </w:p>
    <w:p w14:paraId="36D2E3BE"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Garud, R., Hardy, C., &amp; Maguire, S. (2007). Institutional entrepreneurship as embedded agency: An introduction to the special issue. </w:t>
      </w:r>
      <w:r w:rsidRPr="003A70E1">
        <w:rPr>
          <w:rFonts w:ascii="Times New Roman" w:hAnsi="Times New Roman" w:cs="Times New Roman"/>
          <w:i/>
          <w:iCs/>
          <w:lang w:val="en-US"/>
        </w:rPr>
        <w:t>Organization studies</w:t>
      </w:r>
      <w:r w:rsidRPr="003A70E1">
        <w:rPr>
          <w:rFonts w:ascii="Times New Roman" w:hAnsi="Times New Roman" w:cs="Times New Roman"/>
          <w:lang w:val="en-US"/>
        </w:rPr>
        <w:t>, </w:t>
      </w:r>
      <w:r w:rsidRPr="003A70E1">
        <w:rPr>
          <w:rFonts w:ascii="Times New Roman" w:hAnsi="Times New Roman" w:cs="Times New Roman"/>
          <w:i/>
          <w:iCs/>
          <w:lang w:val="en-US"/>
        </w:rPr>
        <w:t>28</w:t>
      </w:r>
      <w:r w:rsidRPr="003A70E1">
        <w:rPr>
          <w:rFonts w:ascii="Times New Roman" w:hAnsi="Times New Roman" w:cs="Times New Roman"/>
          <w:lang w:val="en-US"/>
        </w:rPr>
        <w:t>(7), 957-969.</w:t>
      </w:r>
    </w:p>
    <w:p w14:paraId="5377BDE0"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Gawer</w:t>
      </w:r>
      <w:proofErr w:type="spellEnd"/>
      <w:r w:rsidRPr="003A70E1">
        <w:rPr>
          <w:rFonts w:ascii="Times New Roman" w:hAnsi="Times New Roman" w:cs="Times New Roman"/>
          <w:lang w:val="en-US"/>
        </w:rPr>
        <w:t>, A. (2014). Bridging differing perspectives on technological platforms: Toward an integrative framework. </w:t>
      </w:r>
      <w:r w:rsidRPr="003A70E1">
        <w:rPr>
          <w:rFonts w:ascii="Times New Roman" w:hAnsi="Times New Roman" w:cs="Times New Roman"/>
          <w:i/>
          <w:iCs/>
          <w:lang w:val="en-US"/>
        </w:rPr>
        <w:t>Research policy</w:t>
      </w:r>
      <w:r w:rsidRPr="003A70E1">
        <w:rPr>
          <w:rFonts w:ascii="Times New Roman" w:hAnsi="Times New Roman" w:cs="Times New Roman"/>
          <w:lang w:val="en-US"/>
        </w:rPr>
        <w:t>, </w:t>
      </w:r>
      <w:r w:rsidRPr="003A70E1">
        <w:rPr>
          <w:rFonts w:ascii="Times New Roman" w:hAnsi="Times New Roman" w:cs="Times New Roman"/>
          <w:i/>
          <w:iCs/>
          <w:lang w:val="en-US"/>
        </w:rPr>
        <w:t>43</w:t>
      </w:r>
      <w:r w:rsidRPr="003A70E1">
        <w:rPr>
          <w:rFonts w:ascii="Times New Roman" w:hAnsi="Times New Roman" w:cs="Times New Roman"/>
          <w:lang w:val="en-US"/>
        </w:rPr>
        <w:t>(7), 1239-1249.</w:t>
      </w:r>
    </w:p>
    <w:p w14:paraId="33BC09A6"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Gawer</w:t>
      </w:r>
      <w:proofErr w:type="spellEnd"/>
      <w:r w:rsidRPr="003A70E1">
        <w:rPr>
          <w:rFonts w:ascii="Times New Roman" w:hAnsi="Times New Roman" w:cs="Times New Roman"/>
          <w:lang w:val="en-US"/>
        </w:rPr>
        <w:t>, A. (2022). Digital platforms and ecosystems: remarks on the dominant organizational forms of the digital age. </w:t>
      </w:r>
      <w:r w:rsidRPr="003A70E1">
        <w:rPr>
          <w:rFonts w:ascii="Times New Roman" w:hAnsi="Times New Roman" w:cs="Times New Roman"/>
          <w:i/>
          <w:iCs/>
          <w:lang w:val="en-US"/>
        </w:rPr>
        <w:t>Innovation</w:t>
      </w:r>
      <w:r w:rsidRPr="003A70E1">
        <w:rPr>
          <w:rFonts w:ascii="Times New Roman" w:hAnsi="Times New Roman" w:cs="Times New Roman"/>
          <w:lang w:val="en-US"/>
        </w:rPr>
        <w:t>, </w:t>
      </w:r>
      <w:r w:rsidRPr="003A70E1">
        <w:rPr>
          <w:rFonts w:ascii="Times New Roman" w:hAnsi="Times New Roman" w:cs="Times New Roman"/>
          <w:i/>
          <w:iCs/>
          <w:lang w:val="en-US"/>
        </w:rPr>
        <w:t>24</w:t>
      </w:r>
      <w:r w:rsidRPr="003A70E1">
        <w:rPr>
          <w:rFonts w:ascii="Times New Roman" w:hAnsi="Times New Roman" w:cs="Times New Roman"/>
          <w:lang w:val="en-US"/>
        </w:rPr>
        <w:t>(1), 110-124.</w:t>
      </w:r>
    </w:p>
    <w:p w14:paraId="4FCB05E3"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Gawer</w:t>
      </w:r>
      <w:proofErr w:type="spellEnd"/>
      <w:r w:rsidRPr="003A70E1">
        <w:rPr>
          <w:rFonts w:ascii="Times New Roman" w:hAnsi="Times New Roman" w:cs="Times New Roman"/>
          <w:lang w:val="en-US"/>
        </w:rPr>
        <w:t xml:space="preserve">, A., &amp; Phillips, N. (2013). Institutional work as logics </w:t>
      </w:r>
      <w:proofErr w:type="gramStart"/>
      <w:r w:rsidRPr="003A70E1">
        <w:rPr>
          <w:rFonts w:ascii="Times New Roman" w:hAnsi="Times New Roman" w:cs="Times New Roman"/>
          <w:lang w:val="en-US"/>
        </w:rPr>
        <w:t>shift</w:t>
      </w:r>
      <w:proofErr w:type="gramEnd"/>
      <w:r w:rsidRPr="003A70E1">
        <w:rPr>
          <w:rFonts w:ascii="Times New Roman" w:hAnsi="Times New Roman" w:cs="Times New Roman"/>
          <w:lang w:val="en-US"/>
        </w:rPr>
        <w:t>: The case of Intel’s transformation to platform leader. </w:t>
      </w:r>
      <w:r w:rsidRPr="003A70E1">
        <w:rPr>
          <w:rFonts w:ascii="Times New Roman" w:hAnsi="Times New Roman" w:cs="Times New Roman"/>
          <w:i/>
          <w:iCs/>
          <w:lang w:val="en-US"/>
        </w:rPr>
        <w:t>Organization studies</w:t>
      </w:r>
      <w:r w:rsidRPr="003A70E1">
        <w:rPr>
          <w:rFonts w:ascii="Times New Roman" w:hAnsi="Times New Roman" w:cs="Times New Roman"/>
          <w:lang w:val="en-US"/>
        </w:rPr>
        <w:t>, </w:t>
      </w:r>
      <w:r w:rsidRPr="003A70E1">
        <w:rPr>
          <w:rFonts w:ascii="Times New Roman" w:hAnsi="Times New Roman" w:cs="Times New Roman"/>
          <w:i/>
          <w:iCs/>
          <w:lang w:val="en-US"/>
        </w:rPr>
        <w:t>34</w:t>
      </w:r>
      <w:r w:rsidRPr="003A70E1">
        <w:rPr>
          <w:rFonts w:ascii="Times New Roman" w:hAnsi="Times New Roman" w:cs="Times New Roman"/>
          <w:lang w:val="en-US"/>
        </w:rPr>
        <w:t>(8), 1035-1071.</w:t>
      </w:r>
    </w:p>
    <w:p w14:paraId="3AADB479"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Ghazawneh</w:t>
      </w:r>
      <w:proofErr w:type="spellEnd"/>
      <w:r w:rsidRPr="003A70E1">
        <w:rPr>
          <w:rFonts w:ascii="Times New Roman" w:hAnsi="Times New Roman" w:cs="Times New Roman"/>
          <w:lang w:val="en-US"/>
        </w:rPr>
        <w:t>, A., &amp; Henfridsson, O. (2013). Balancing platform control and external contribution in third‐party development: the boundary resources model. </w:t>
      </w:r>
      <w:r w:rsidRPr="003A70E1">
        <w:rPr>
          <w:rFonts w:ascii="Times New Roman" w:hAnsi="Times New Roman" w:cs="Times New Roman"/>
          <w:i/>
          <w:iCs/>
          <w:lang w:val="en-US"/>
        </w:rPr>
        <w:t>Information systems journal</w:t>
      </w:r>
      <w:r w:rsidRPr="003A70E1">
        <w:rPr>
          <w:rFonts w:ascii="Times New Roman" w:hAnsi="Times New Roman" w:cs="Times New Roman"/>
          <w:lang w:val="en-US"/>
        </w:rPr>
        <w:t>, </w:t>
      </w:r>
      <w:r w:rsidRPr="003A70E1">
        <w:rPr>
          <w:rFonts w:ascii="Times New Roman" w:hAnsi="Times New Roman" w:cs="Times New Roman"/>
          <w:i/>
          <w:iCs/>
          <w:lang w:val="en-US"/>
        </w:rPr>
        <w:t>23</w:t>
      </w:r>
      <w:r w:rsidRPr="003A70E1">
        <w:rPr>
          <w:rFonts w:ascii="Times New Roman" w:hAnsi="Times New Roman" w:cs="Times New Roman"/>
          <w:lang w:val="en-US"/>
        </w:rPr>
        <w:t>(2), 173-192.</w:t>
      </w:r>
    </w:p>
    <w:p w14:paraId="34F16C16"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Gioia, D. (2021). A systematic methodology for doing qualitative research. </w:t>
      </w:r>
      <w:r w:rsidRPr="003A70E1">
        <w:rPr>
          <w:rFonts w:ascii="Times New Roman" w:hAnsi="Times New Roman" w:cs="Times New Roman"/>
          <w:i/>
          <w:iCs/>
          <w:lang w:val="en-US"/>
        </w:rPr>
        <w:t>The Journal of Applied Behavioral Science</w:t>
      </w:r>
      <w:r w:rsidRPr="003A70E1">
        <w:rPr>
          <w:rFonts w:ascii="Times New Roman" w:hAnsi="Times New Roman" w:cs="Times New Roman"/>
          <w:lang w:val="en-US"/>
        </w:rPr>
        <w:t>, </w:t>
      </w:r>
      <w:r w:rsidRPr="003A70E1">
        <w:rPr>
          <w:rFonts w:ascii="Times New Roman" w:hAnsi="Times New Roman" w:cs="Times New Roman"/>
          <w:i/>
          <w:iCs/>
          <w:lang w:val="en-US"/>
        </w:rPr>
        <w:t>57</w:t>
      </w:r>
      <w:r w:rsidRPr="003A70E1">
        <w:rPr>
          <w:rFonts w:ascii="Times New Roman" w:hAnsi="Times New Roman" w:cs="Times New Roman"/>
          <w:lang w:val="en-US"/>
        </w:rPr>
        <w:t>(1), 20-29.</w:t>
      </w:r>
    </w:p>
    <w:p w14:paraId="2CCC5193"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Gioia, D. A., Corley, K. G., &amp; Hamilton, A. L. (2013). Seeking qualitative rigor in inductive research: Notes on the Gioia methodology. </w:t>
      </w:r>
      <w:r w:rsidRPr="003A70E1">
        <w:rPr>
          <w:rFonts w:ascii="Times New Roman" w:hAnsi="Times New Roman" w:cs="Times New Roman"/>
          <w:i/>
          <w:iCs/>
          <w:lang w:val="en-US"/>
        </w:rPr>
        <w:t>Organizational research methods</w:t>
      </w:r>
      <w:r w:rsidRPr="003A70E1">
        <w:rPr>
          <w:rFonts w:ascii="Times New Roman" w:hAnsi="Times New Roman" w:cs="Times New Roman"/>
          <w:lang w:val="en-US"/>
        </w:rPr>
        <w:t>, </w:t>
      </w:r>
      <w:r w:rsidRPr="003A70E1">
        <w:rPr>
          <w:rFonts w:ascii="Times New Roman" w:hAnsi="Times New Roman" w:cs="Times New Roman"/>
          <w:i/>
          <w:iCs/>
          <w:lang w:val="en-US"/>
        </w:rPr>
        <w:t>16</w:t>
      </w:r>
      <w:r w:rsidRPr="003A70E1">
        <w:rPr>
          <w:rFonts w:ascii="Times New Roman" w:hAnsi="Times New Roman" w:cs="Times New Roman"/>
          <w:lang w:val="en-US"/>
        </w:rPr>
        <w:t>(1), 15-31.</w:t>
      </w:r>
    </w:p>
    <w:p w14:paraId="3562361E"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Giuggioli</w:t>
      </w:r>
      <w:proofErr w:type="spellEnd"/>
      <w:r w:rsidRPr="003A70E1">
        <w:rPr>
          <w:rFonts w:ascii="Times New Roman" w:hAnsi="Times New Roman" w:cs="Times New Roman"/>
          <w:lang w:val="en-US"/>
        </w:rPr>
        <w:t>, G., &amp; Pellegrini, M. M. (2023). Artificial intelligence as an enabler for entrepreneurs: a systematic literature review and an agenda for future research. </w:t>
      </w:r>
      <w:r w:rsidRPr="003A70E1">
        <w:rPr>
          <w:rFonts w:ascii="Times New Roman" w:hAnsi="Times New Roman" w:cs="Times New Roman"/>
          <w:i/>
          <w:iCs/>
          <w:lang w:val="en-US"/>
        </w:rPr>
        <w:t>International Journal of Entrepreneurial Behavior &amp; Research</w:t>
      </w:r>
      <w:r w:rsidRPr="003A70E1">
        <w:rPr>
          <w:rFonts w:ascii="Times New Roman" w:hAnsi="Times New Roman" w:cs="Times New Roman"/>
          <w:lang w:val="en-US"/>
        </w:rPr>
        <w:t>, </w:t>
      </w:r>
      <w:r w:rsidRPr="003A70E1">
        <w:rPr>
          <w:rFonts w:ascii="Times New Roman" w:hAnsi="Times New Roman" w:cs="Times New Roman"/>
          <w:i/>
          <w:iCs/>
          <w:lang w:val="en-US"/>
        </w:rPr>
        <w:t>29</w:t>
      </w:r>
      <w:r w:rsidRPr="003A70E1">
        <w:rPr>
          <w:rFonts w:ascii="Times New Roman" w:hAnsi="Times New Roman" w:cs="Times New Roman"/>
          <w:lang w:val="en-US"/>
        </w:rPr>
        <w:t>(4), 816-837.</w:t>
      </w:r>
    </w:p>
    <w:p w14:paraId="13C2DBD7"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lastRenderedPageBreak/>
        <w:t xml:space="preserve">Hu, K. (2023) </w:t>
      </w:r>
      <w:r w:rsidRPr="003A70E1">
        <w:rPr>
          <w:rFonts w:ascii="Times New Roman" w:hAnsi="Times New Roman" w:cs="Times New Roman"/>
          <w:i/>
          <w:iCs/>
          <w:lang w:val="en-US"/>
        </w:rPr>
        <w:t xml:space="preserve">CHATGPT sets record for fastest-growing user base - analyst note | </w:t>
      </w:r>
      <w:proofErr w:type="spellStart"/>
      <w:r w:rsidRPr="003A70E1">
        <w:rPr>
          <w:rFonts w:ascii="Times New Roman" w:hAnsi="Times New Roman" w:cs="Times New Roman"/>
          <w:i/>
          <w:iCs/>
          <w:lang w:val="en-US"/>
        </w:rPr>
        <w:t>reuters</w:t>
      </w:r>
      <w:proofErr w:type="spellEnd"/>
      <w:r w:rsidRPr="003A70E1">
        <w:rPr>
          <w:rFonts w:ascii="Times New Roman" w:hAnsi="Times New Roman" w:cs="Times New Roman"/>
          <w:lang w:val="en-US"/>
        </w:rPr>
        <w:t xml:space="preserve">. Available at: https://www.reuters.com/technology/chatgpt-sets-record-fastest-growing-user-base-analyst-note-2023-02-01/ (Accessed: 26 December 2024). </w:t>
      </w:r>
    </w:p>
    <w:p w14:paraId="357890C3"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Hurni, T., Huber, T. L., &amp; Dibbern, J. (2022). Power dynamics in software platform ecosystems. </w:t>
      </w:r>
      <w:r w:rsidRPr="003A70E1">
        <w:rPr>
          <w:rFonts w:ascii="Times New Roman" w:hAnsi="Times New Roman" w:cs="Times New Roman"/>
          <w:i/>
          <w:iCs/>
          <w:lang w:val="en-US"/>
        </w:rPr>
        <w:t>Information systems journal</w:t>
      </w:r>
      <w:r w:rsidRPr="003A70E1">
        <w:rPr>
          <w:rFonts w:ascii="Times New Roman" w:hAnsi="Times New Roman" w:cs="Times New Roman"/>
          <w:lang w:val="en-US"/>
        </w:rPr>
        <w:t>, </w:t>
      </w:r>
      <w:r w:rsidRPr="003A70E1">
        <w:rPr>
          <w:rFonts w:ascii="Times New Roman" w:hAnsi="Times New Roman" w:cs="Times New Roman"/>
          <w:i/>
          <w:iCs/>
          <w:lang w:val="en-US"/>
        </w:rPr>
        <w:t>32</w:t>
      </w:r>
      <w:r w:rsidRPr="003A70E1">
        <w:rPr>
          <w:rFonts w:ascii="Times New Roman" w:hAnsi="Times New Roman" w:cs="Times New Roman"/>
          <w:lang w:val="en-US"/>
        </w:rPr>
        <w:t>(2), 310-343.</w:t>
      </w:r>
    </w:p>
    <w:p w14:paraId="6D565185"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Jacobides</w:t>
      </w:r>
      <w:proofErr w:type="spellEnd"/>
      <w:r w:rsidRPr="003A70E1">
        <w:rPr>
          <w:rFonts w:ascii="Times New Roman" w:hAnsi="Times New Roman" w:cs="Times New Roman"/>
          <w:lang w:val="en-US"/>
        </w:rPr>
        <w:t xml:space="preserve">, M. G., Cennamo, C., &amp; </w:t>
      </w:r>
      <w:proofErr w:type="spellStart"/>
      <w:r w:rsidRPr="003A70E1">
        <w:rPr>
          <w:rFonts w:ascii="Times New Roman" w:hAnsi="Times New Roman" w:cs="Times New Roman"/>
          <w:lang w:val="en-US"/>
        </w:rPr>
        <w:t>Gawer</w:t>
      </w:r>
      <w:proofErr w:type="spellEnd"/>
      <w:r w:rsidRPr="003A70E1">
        <w:rPr>
          <w:rFonts w:ascii="Times New Roman" w:hAnsi="Times New Roman" w:cs="Times New Roman"/>
          <w:lang w:val="en-US"/>
        </w:rPr>
        <w:t>, A. (2018). Towards a theory of ecosystems. </w:t>
      </w:r>
      <w:r w:rsidRPr="003A70E1">
        <w:rPr>
          <w:rFonts w:ascii="Times New Roman" w:hAnsi="Times New Roman" w:cs="Times New Roman"/>
          <w:i/>
          <w:iCs/>
          <w:lang w:val="en-US"/>
        </w:rPr>
        <w:t>Strategic management journal</w:t>
      </w:r>
      <w:r w:rsidRPr="003A70E1">
        <w:rPr>
          <w:rFonts w:ascii="Times New Roman" w:hAnsi="Times New Roman" w:cs="Times New Roman"/>
          <w:lang w:val="en-US"/>
        </w:rPr>
        <w:t>, </w:t>
      </w:r>
      <w:r w:rsidRPr="003A70E1">
        <w:rPr>
          <w:rFonts w:ascii="Times New Roman" w:hAnsi="Times New Roman" w:cs="Times New Roman"/>
          <w:i/>
          <w:iCs/>
          <w:lang w:val="en-US"/>
        </w:rPr>
        <w:t>39</w:t>
      </w:r>
      <w:r w:rsidRPr="003A70E1">
        <w:rPr>
          <w:rFonts w:ascii="Times New Roman" w:hAnsi="Times New Roman" w:cs="Times New Roman"/>
          <w:lang w:val="en-US"/>
        </w:rPr>
        <w:t>(8), 2255-2276.</w:t>
      </w:r>
    </w:p>
    <w:p w14:paraId="23823C80"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Jacobides</w:t>
      </w:r>
      <w:proofErr w:type="spellEnd"/>
      <w:r w:rsidRPr="003A70E1">
        <w:rPr>
          <w:rFonts w:ascii="Times New Roman" w:hAnsi="Times New Roman" w:cs="Times New Roman"/>
          <w:lang w:val="en-US"/>
        </w:rPr>
        <w:t xml:space="preserve">, M. G., Cennamo, C., &amp; </w:t>
      </w:r>
      <w:proofErr w:type="spellStart"/>
      <w:r w:rsidRPr="003A70E1">
        <w:rPr>
          <w:rFonts w:ascii="Times New Roman" w:hAnsi="Times New Roman" w:cs="Times New Roman"/>
          <w:lang w:val="en-US"/>
        </w:rPr>
        <w:t>Gawer</w:t>
      </w:r>
      <w:proofErr w:type="spellEnd"/>
      <w:r w:rsidRPr="003A70E1">
        <w:rPr>
          <w:rFonts w:ascii="Times New Roman" w:hAnsi="Times New Roman" w:cs="Times New Roman"/>
          <w:lang w:val="en-US"/>
        </w:rPr>
        <w:t>, A. (2024). Externalities and complementarities in platforms and ecosystems: From structural solutions to endogenous failures. </w:t>
      </w:r>
      <w:r w:rsidRPr="003A70E1">
        <w:rPr>
          <w:rFonts w:ascii="Times New Roman" w:hAnsi="Times New Roman" w:cs="Times New Roman"/>
          <w:i/>
          <w:iCs/>
          <w:lang w:val="en-US"/>
        </w:rPr>
        <w:t>Research Policy</w:t>
      </w:r>
      <w:r w:rsidRPr="003A70E1">
        <w:rPr>
          <w:rFonts w:ascii="Times New Roman" w:hAnsi="Times New Roman" w:cs="Times New Roman"/>
          <w:lang w:val="en-US"/>
        </w:rPr>
        <w:t>, </w:t>
      </w:r>
      <w:r w:rsidRPr="003A70E1">
        <w:rPr>
          <w:rFonts w:ascii="Times New Roman" w:hAnsi="Times New Roman" w:cs="Times New Roman"/>
          <w:i/>
          <w:iCs/>
          <w:lang w:val="en-US"/>
        </w:rPr>
        <w:t>53</w:t>
      </w:r>
      <w:r w:rsidRPr="003A70E1">
        <w:rPr>
          <w:rFonts w:ascii="Times New Roman" w:hAnsi="Times New Roman" w:cs="Times New Roman"/>
          <w:lang w:val="en-US"/>
        </w:rPr>
        <w:t>(1), 104906.</w:t>
      </w:r>
    </w:p>
    <w:p w14:paraId="5657C49A"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Kimjeon</w:t>
      </w:r>
      <w:proofErr w:type="spellEnd"/>
      <w:r w:rsidRPr="003A70E1">
        <w:rPr>
          <w:rFonts w:ascii="Times New Roman" w:hAnsi="Times New Roman" w:cs="Times New Roman"/>
          <w:lang w:val="en-US"/>
        </w:rPr>
        <w:t>, J., &amp; Davidsson, P. (2022). External enablers of entrepreneurship: A review and agenda for accumulation of strategically actionable knowledge. </w:t>
      </w:r>
      <w:r w:rsidRPr="003A70E1">
        <w:rPr>
          <w:rFonts w:ascii="Times New Roman" w:hAnsi="Times New Roman" w:cs="Times New Roman"/>
          <w:i/>
          <w:iCs/>
          <w:lang w:val="en-US"/>
        </w:rPr>
        <w:t>Entrepreneurship theory and practice</w:t>
      </w:r>
      <w:r w:rsidRPr="003A70E1">
        <w:rPr>
          <w:rFonts w:ascii="Times New Roman" w:hAnsi="Times New Roman" w:cs="Times New Roman"/>
          <w:lang w:val="en-US"/>
        </w:rPr>
        <w:t>, </w:t>
      </w:r>
      <w:r w:rsidRPr="003A70E1">
        <w:rPr>
          <w:rFonts w:ascii="Times New Roman" w:hAnsi="Times New Roman" w:cs="Times New Roman"/>
          <w:i/>
          <w:iCs/>
          <w:lang w:val="en-US"/>
        </w:rPr>
        <w:t>46</w:t>
      </w:r>
      <w:r w:rsidRPr="003A70E1">
        <w:rPr>
          <w:rFonts w:ascii="Times New Roman" w:hAnsi="Times New Roman" w:cs="Times New Roman"/>
          <w:lang w:val="en-US"/>
        </w:rPr>
        <w:t>(3), 643-687.</w:t>
      </w:r>
    </w:p>
    <w:p w14:paraId="001E3A71"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Langley, A. (1999). Strategies for theorizing from process data. </w:t>
      </w:r>
      <w:r w:rsidRPr="003A70E1">
        <w:rPr>
          <w:rFonts w:ascii="Times New Roman" w:hAnsi="Times New Roman" w:cs="Times New Roman"/>
          <w:i/>
          <w:iCs/>
          <w:lang w:val="en-US"/>
        </w:rPr>
        <w:t>Academy of Management review</w:t>
      </w:r>
      <w:r w:rsidRPr="003A70E1">
        <w:rPr>
          <w:rFonts w:ascii="Times New Roman" w:hAnsi="Times New Roman" w:cs="Times New Roman"/>
          <w:lang w:val="en-US"/>
        </w:rPr>
        <w:t>, </w:t>
      </w:r>
      <w:r w:rsidRPr="003A70E1">
        <w:rPr>
          <w:rFonts w:ascii="Times New Roman" w:hAnsi="Times New Roman" w:cs="Times New Roman"/>
          <w:i/>
          <w:iCs/>
          <w:lang w:val="en-US"/>
        </w:rPr>
        <w:t>24</w:t>
      </w:r>
      <w:r w:rsidRPr="003A70E1">
        <w:rPr>
          <w:rFonts w:ascii="Times New Roman" w:hAnsi="Times New Roman" w:cs="Times New Roman"/>
          <w:lang w:val="en-US"/>
        </w:rPr>
        <w:t>(4), 691-710.</w:t>
      </w:r>
    </w:p>
    <w:p w14:paraId="22B4A325"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Liguori, E. W., Muldoon, J., </w:t>
      </w:r>
      <w:proofErr w:type="spellStart"/>
      <w:r w:rsidRPr="003A70E1">
        <w:rPr>
          <w:rFonts w:ascii="Times New Roman" w:hAnsi="Times New Roman" w:cs="Times New Roman"/>
          <w:lang w:val="en-US"/>
        </w:rPr>
        <w:t>Ogundana</w:t>
      </w:r>
      <w:proofErr w:type="spellEnd"/>
      <w:r w:rsidRPr="003A70E1">
        <w:rPr>
          <w:rFonts w:ascii="Times New Roman" w:hAnsi="Times New Roman" w:cs="Times New Roman"/>
          <w:lang w:val="en-US"/>
        </w:rPr>
        <w:t>, O. M., Lee, Y., &amp; Wilson, G. A. (2024). Charting the future of entrepreneurship: a roadmap for interdisciplinary research and societal impact. </w:t>
      </w:r>
      <w:r w:rsidRPr="003A70E1">
        <w:rPr>
          <w:rFonts w:ascii="Times New Roman" w:hAnsi="Times New Roman" w:cs="Times New Roman"/>
          <w:i/>
          <w:iCs/>
          <w:lang w:val="en-US"/>
        </w:rPr>
        <w:t>Cogent Business &amp; Management</w:t>
      </w:r>
      <w:r w:rsidRPr="003A70E1">
        <w:rPr>
          <w:rFonts w:ascii="Times New Roman" w:hAnsi="Times New Roman" w:cs="Times New Roman"/>
          <w:lang w:val="en-US"/>
        </w:rPr>
        <w:t>, </w:t>
      </w:r>
      <w:r w:rsidRPr="003A70E1">
        <w:rPr>
          <w:rFonts w:ascii="Times New Roman" w:hAnsi="Times New Roman" w:cs="Times New Roman"/>
          <w:i/>
          <w:iCs/>
          <w:lang w:val="en-US"/>
        </w:rPr>
        <w:t>11</w:t>
      </w:r>
      <w:r w:rsidRPr="003A70E1">
        <w:rPr>
          <w:rFonts w:ascii="Times New Roman" w:hAnsi="Times New Roman" w:cs="Times New Roman"/>
          <w:lang w:val="en-US"/>
        </w:rPr>
        <w:t>(1), 2314218.</w:t>
      </w:r>
    </w:p>
    <w:p w14:paraId="06E38EB9" w14:textId="77777777" w:rsidR="00FA5C48" w:rsidRPr="003A70E1" w:rsidRDefault="00FA5C48" w:rsidP="003A70E1">
      <w:pPr>
        <w:spacing w:after="0" w:line="240" w:lineRule="auto"/>
        <w:ind w:left="720" w:hanging="720"/>
        <w:jc w:val="both"/>
        <w:rPr>
          <w:rFonts w:ascii="Times New Roman" w:hAnsi="Times New Roman" w:cs="Times New Roman"/>
        </w:rPr>
      </w:pPr>
      <w:r w:rsidRPr="003A70E1">
        <w:rPr>
          <w:rFonts w:ascii="Times New Roman" w:hAnsi="Times New Roman" w:cs="Times New Roman"/>
          <w:lang w:val="en-US"/>
        </w:rPr>
        <w:t>Mair, J., &amp; Marti, I. (2009). Entrepreneurship in and around institutional voids: A case study from Bangladesh. </w:t>
      </w:r>
      <w:r w:rsidRPr="003A70E1">
        <w:rPr>
          <w:rFonts w:ascii="Times New Roman" w:hAnsi="Times New Roman" w:cs="Times New Roman"/>
          <w:i/>
          <w:iCs/>
          <w:lang w:val="en-US"/>
        </w:rPr>
        <w:t>Journal of business venturing</w:t>
      </w:r>
      <w:r w:rsidRPr="003A70E1">
        <w:rPr>
          <w:rFonts w:ascii="Times New Roman" w:hAnsi="Times New Roman" w:cs="Times New Roman"/>
          <w:lang w:val="en-US"/>
        </w:rPr>
        <w:t>, </w:t>
      </w:r>
      <w:r w:rsidRPr="003A70E1">
        <w:rPr>
          <w:rFonts w:ascii="Times New Roman" w:hAnsi="Times New Roman" w:cs="Times New Roman"/>
          <w:i/>
          <w:iCs/>
          <w:lang w:val="en-US"/>
        </w:rPr>
        <w:t>24</w:t>
      </w:r>
      <w:r w:rsidRPr="003A70E1">
        <w:rPr>
          <w:rFonts w:ascii="Times New Roman" w:hAnsi="Times New Roman" w:cs="Times New Roman"/>
          <w:lang w:val="en-US"/>
        </w:rPr>
        <w:t>(5), 419-435.</w:t>
      </w:r>
    </w:p>
    <w:p w14:paraId="62E70D9F"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Majchrzak, A., &amp; Markus, M. L. (2012). Technology affordances and constraints in management information systems (MIS). </w:t>
      </w:r>
      <w:r w:rsidRPr="003A70E1">
        <w:rPr>
          <w:rFonts w:ascii="Times New Roman" w:hAnsi="Times New Roman" w:cs="Times New Roman"/>
          <w:i/>
          <w:iCs/>
          <w:lang w:val="en-US"/>
        </w:rPr>
        <w:t xml:space="preserve">Encyclopedia of Management </w:t>
      </w:r>
      <w:proofErr w:type="gramStart"/>
      <w:r w:rsidRPr="003A70E1">
        <w:rPr>
          <w:rFonts w:ascii="Times New Roman" w:hAnsi="Times New Roman" w:cs="Times New Roman"/>
          <w:i/>
          <w:iCs/>
          <w:lang w:val="en-US"/>
        </w:rPr>
        <w:t>Theory,(</w:t>
      </w:r>
      <w:proofErr w:type="gramEnd"/>
      <w:r w:rsidRPr="003A70E1">
        <w:rPr>
          <w:rFonts w:ascii="Times New Roman" w:hAnsi="Times New Roman" w:cs="Times New Roman"/>
          <w:i/>
          <w:iCs/>
          <w:lang w:val="en-US"/>
        </w:rPr>
        <w:t>Ed: E. Kessler), Sage Publications.</w:t>
      </w:r>
    </w:p>
    <w:p w14:paraId="5502725D"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Maslej</w:t>
      </w:r>
      <w:proofErr w:type="spellEnd"/>
      <w:r w:rsidRPr="003A70E1">
        <w:rPr>
          <w:rFonts w:ascii="Times New Roman" w:hAnsi="Times New Roman" w:cs="Times New Roman"/>
          <w:lang w:val="en-US"/>
        </w:rPr>
        <w:t>, N. </w:t>
      </w:r>
      <w:r w:rsidRPr="003A70E1">
        <w:rPr>
          <w:rFonts w:ascii="Times New Roman" w:hAnsi="Times New Roman" w:cs="Times New Roman"/>
          <w:i/>
          <w:iCs/>
          <w:lang w:val="en-US"/>
        </w:rPr>
        <w:t>et al.</w:t>
      </w:r>
      <w:r w:rsidRPr="003A70E1">
        <w:rPr>
          <w:rFonts w:ascii="Times New Roman" w:hAnsi="Times New Roman" w:cs="Times New Roman"/>
          <w:lang w:val="en-US"/>
        </w:rPr>
        <w:t> (2024) </w:t>
      </w:r>
      <w:r w:rsidRPr="003A70E1">
        <w:rPr>
          <w:rFonts w:ascii="Times New Roman" w:hAnsi="Times New Roman" w:cs="Times New Roman"/>
          <w:i/>
          <w:iCs/>
          <w:lang w:val="en-US"/>
        </w:rPr>
        <w:t>Artificial Intelligence Index Report 2024</w:t>
      </w:r>
      <w:r w:rsidRPr="003A70E1">
        <w:rPr>
          <w:rFonts w:ascii="Times New Roman" w:hAnsi="Times New Roman" w:cs="Times New Roman"/>
          <w:lang w:val="en-US"/>
        </w:rPr>
        <w:t>, </w:t>
      </w:r>
      <w:r w:rsidRPr="003A70E1">
        <w:rPr>
          <w:rFonts w:ascii="Times New Roman" w:hAnsi="Times New Roman" w:cs="Times New Roman"/>
          <w:i/>
          <w:iCs/>
          <w:lang w:val="en-US"/>
        </w:rPr>
        <w:t>arXiv.org</w:t>
      </w:r>
      <w:r w:rsidRPr="003A70E1">
        <w:rPr>
          <w:rFonts w:ascii="Times New Roman" w:hAnsi="Times New Roman" w:cs="Times New Roman"/>
          <w:lang w:val="en-US"/>
        </w:rPr>
        <w:t xml:space="preserve">. Available at: </w:t>
      </w:r>
      <w:hyperlink r:id="rId14" w:history="1">
        <w:r w:rsidRPr="003A70E1">
          <w:rPr>
            <w:rStyle w:val="Hyperlink"/>
            <w:rFonts w:ascii="Times New Roman" w:hAnsi="Times New Roman" w:cs="Times New Roman"/>
            <w:lang w:val="en-US"/>
          </w:rPr>
          <w:t>https://doi.org/10.48550/arXiv.2405.19522</w:t>
        </w:r>
      </w:hyperlink>
      <w:r w:rsidRPr="003A70E1">
        <w:rPr>
          <w:rFonts w:ascii="Times New Roman" w:hAnsi="Times New Roman" w:cs="Times New Roman"/>
          <w:lang w:val="en-US"/>
        </w:rPr>
        <w:t>.</w:t>
      </w:r>
    </w:p>
    <w:p w14:paraId="59EA3F50"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McDermott, G. A., </w:t>
      </w:r>
      <w:proofErr w:type="spellStart"/>
      <w:r w:rsidRPr="003A70E1">
        <w:rPr>
          <w:rFonts w:ascii="Times New Roman" w:hAnsi="Times New Roman" w:cs="Times New Roman"/>
          <w:lang w:val="en-US"/>
        </w:rPr>
        <w:t>Corredoira</w:t>
      </w:r>
      <w:proofErr w:type="spellEnd"/>
      <w:r w:rsidRPr="003A70E1">
        <w:rPr>
          <w:rFonts w:ascii="Times New Roman" w:hAnsi="Times New Roman" w:cs="Times New Roman"/>
          <w:lang w:val="en-US"/>
        </w:rPr>
        <w:t>, R. A., &amp; Kruse, G. (2009). Public-private institutions as catalysts of upgrading in emerging market societies. </w:t>
      </w:r>
      <w:r w:rsidRPr="003A70E1">
        <w:rPr>
          <w:rFonts w:ascii="Times New Roman" w:hAnsi="Times New Roman" w:cs="Times New Roman"/>
          <w:i/>
          <w:iCs/>
          <w:lang w:val="en-US"/>
        </w:rPr>
        <w:t>Academy of Management Journal</w:t>
      </w:r>
      <w:r w:rsidRPr="003A70E1">
        <w:rPr>
          <w:rFonts w:ascii="Times New Roman" w:hAnsi="Times New Roman" w:cs="Times New Roman"/>
          <w:lang w:val="en-US"/>
        </w:rPr>
        <w:t>, </w:t>
      </w:r>
      <w:r w:rsidRPr="003A70E1">
        <w:rPr>
          <w:rFonts w:ascii="Times New Roman" w:hAnsi="Times New Roman" w:cs="Times New Roman"/>
          <w:i/>
          <w:iCs/>
          <w:lang w:val="en-US"/>
        </w:rPr>
        <w:t>52</w:t>
      </w:r>
      <w:r w:rsidRPr="003A70E1">
        <w:rPr>
          <w:rFonts w:ascii="Times New Roman" w:hAnsi="Times New Roman" w:cs="Times New Roman"/>
          <w:lang w:val="en-US"/>
        </w:rPr>
        <w:t>(6), 1270-1296.</w:t>
      </w:r>
    </w:p>
    <w:p w14:paraId="0A8BBEA0"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Mitchell, M. (2019). </w:t>
      </w:r>
      <w:r w:rsidRPr="003A70E1">
        <w:rPr>
          <w:rFonts w:ascii="Times New Roman" w:hAnsi="Times New Roman" w:cs="Times New Roman"/>
          <w:i/>
          <w:iCs/>
          <w:lang w:val="en-US"/>
        </w:rPr>
        <w:t>Artificial intelligence: A guide for thinking humans</w:t>
      </w:r>
      <w:r w:rsidRPr="003A70E1">
        <w:rPr>
          <w:rFonts w:ascii="Times New Roman" w:hAnsi="Times New Roman" w:cs="Times New Roman"/>
          <w:lang w:val="en-US"/>
        </w:rPr>
        <w:t>. Penguin UK.</w:t>
      </w:r>
    </w:p>
    <w:p w14:paraId="2E1CBC72"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Mitchell, M. (2021). Why AI is harder than we think. </w:t>
      </w:r>
      <w:proofErr w:type="spellStart"/>
      <w:r w:rsidRPr="003A70E1">
        <w:rPr>
          <w:rFonts w:ascii="Times New Roman" w:hAnsi="Times New Roman" w:cs="Times New Roman"/>
          <w:i/>
          <w:iCs/>
          <w:lang w:val="en-US"/>
        </w:rPr>
        <w:t>arXiv</w:t>
      </w:r>
      <w:proofErr w:type="spellEnd"/>
      <w:r w:rsidRPr="003A70E1">
        <w:rPr>
          <w:rFonts w:ascii="Times New Roman" w:hAnsi="Times New Roman" w:cs="Times New Roman"/>
          <w:i/>
          <w:iCs/>
          <w:lang w:val="en-US"/>
        </w:rPr>
        <w:t xml:space="preserve"> preprint arXiv:2104.12871</w:t>
      </w:r>
      <w:r w:rsidRPr="003A70E1">
        <w:rPr>
          <w:rFonts w:ascii="Times New Roman" w:hAnsi="Times New Roman" w:cs="Times New Roman"/>
          <w:lang w:val="en-US"/>
        </w:rPr>
        <w:t>.</w:t>
      </w:r>
    </w:p>
    <w:p w14:paraId="1F761D5C"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Mollick, E. (2024) </w:t>
      </w:r>
      <w:r w:rsidRPr="003A70E1">
        <w:rPr>
          <w:rFonts w:ascii="Times New Roman" w:hAnsi="Times New Roman" w:cs="Times New Roman"/>
          <w:i/>
          <w:iCs/>
          <w:lang w:val="en-US"/>
        </w:rPr>
        <w:t>Co-Intelligence: Living and Working with AI</w:t>
      </w:r>
      <w:r w:rsidRPr="003A70E1">
        <w:rPr>
          <w:rFonts w:ascii="Times New Roman" w:hAnsi="Times New Roman" w:cs="Times New Roman"/>
          <w:lang w:val="en-US"/>
        </w:rPr>
        <w:t>. Penguin.</w:t>
      </w:r>
    </w:p>
    <w:p w14:paraId="115111E4"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Morgan, D. L. (2023). Exploring the use of artificial intelligence for qualitative data analysis: The case of ChatGPT. </w:t>
      </w:r>
      <w:r w:rsidRPr="003A70E1">
        <w:rPr>
          <w:rFonts w:ascii="Times New Roman" w:hAnsi="Times New Roman" w:cs="Times New Roman"/>
          <w:i/>
          <w:iCs/>
          <w:lang w:val="en-US"/>
        </w:rPr>
        <w:t>International journal of qualitative methods</w:t>
      </w:r>
      <w:r w:rsidRPr="003A70E1">
        <w:rPr>
          <w:rFonts w:ascii="Times New Roman" w:hAnsi="Times New Roman" w:cs="Times New Roman"/>
          <w:lang w:val="en-US"/>
        </w:rPr>
        <w:t>, </w:t>
      </w:r>
      <w:r w:rsidRPr="003A70E1">
        <w:rPr>
          <w:rFonts w:ascii="Times New Roman" w:hAnsi="Times New Roman" w:cs="Times New Roman"/>
          <w:i/>
          <w:iCs/>
          <w:lang w:val="en-US"/>
        </w:rPr>
        <w:t>22</w:t>
      </w:r>
      <w:r w:rsidRPr="003A70E1">
        <w:rPr>
          <w:rFonts w:ascii="Times New Roman" w:hAnsi="Times New Roman" w:cs="Times New Roman"/>
          <w:lang w:val="en-US"/>
        </w:rPr>
        <w:t>, 16094069231211248.</w:t>
      </w:r>
    </w:p>
    <w:p w14:paraId="6E280588"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color w:val="222222"/>
          <w:shd w:val="clear" w:color="auto" w:fill="FFFFFF"/>
        </w:rPr>
        <w:t>Nambisan, S. (2017). Digital entrepreneurship: Toward a digital technology perspective of entrepreneurship. </w:t>
      </w:r>
      <w:r w:rsidRPr="003A70E1">
        <w:rPr>
          <w:rFonts w:ascii="Times New Roman" w:hAnsi="Times New Roman" w:cs="Times New Roman"/>
          <w:i/>
          <w:iCs/>
          <w:color w:val="222222"/>
          <w:shd w:val="clear" w:color="auto" w:fill="FFFFFF"/>
        </w:rPr>
        <w:t>Entrepreneurship theory and practice</w:t>
      </w:r>
      <w:r w:rsidRPr="003A70E1">
        <w:rPr>
          <w:rFonts w:ascii="Times New Roman" w:hAnsi="Times New Roman" w:cs="Times New Roman"/>
          <w:color w:val="222222"/>
          <w:shd w:val="clear" w:color="auto" w:fill="FFFFFF"/>
        </w:rPr>
        <w:t>, </w:t>
      </w:r>
      <w:r w:rsidRPr="003A70E1">
        <w:rPr>
          <w:rFonts w:ascii="Times New Roman" w:hAnsi="Times New Roman" w:cs="Times New Roman"/>
          <w:i/>
          <w:iCs/>
          <w:color w:val="222222"/>
          <w:shd w:val="clear" w:color="auto" w:fill="FFFFFF"/>
        </w:rPr>
        <w:t>41</w:t>
      </w:r>
      <w:r w:rsidRPr="003A70E1">
        <w:rPr>
          <w:rFonts w:ascii="Times New Roman" w:hAnsi="Times New Roman" w:cs="Times New Roman"/>
          <w:color w:val="222222"/>
          <w:shd w:val="clear" w:color="auto" w:fill="FFFFFF"/>
        </w:rPr>
        <w:t>(6), 1029-1055.</w:t>
      </w:r>
    </w:p>
    <w:p w14:paraId="10692AF8"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North, D. C. (1990). </w:t>
      </w:r>
      <w:r w:rsidRPr="003A70E1">
        <w:rPr>
          <w:rFonts w:ascii="Times New Roman" w:hAnsi="Times New Roman" w:cs="Times New Roman"/>
          <w:i/>
          <w:iCs/>
          <w:lang w:val="en-US"/>
        </w:rPr>
        <w:t>Institutions, institutional change and economic performance</w:t>
      </w:r>
      <w:r w:rsidRPr="003A70E1">
        <w:rPr>
          <w:rFonts w:ascii="Times New Roman" w:hAnsi="Times New Roman" w:cs="Times New Roman"/>
          <w:lang w:val="en-US"/>
        </w:rPr>
        <w:t>. Cambridge: Cambridge University Press.</w:t>
      </w:r>
    </w:p>
    <w:p w14:paraId="2DA2299C"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Nzembayie, K. F., &amp; Buckley, A. (2022). </w:t>
      </w:r>
      <w:r w:rsidRPr="003A70E1">
        <w:rPr>
          <w:rFonts w:ascii="Times New Roman" w:hAnsi="Times New Roman" w:cs="Times New Roman"/>
          <w:i/>
          <w:iCs/>
          <w:lang w:val="en-US"/>
        </w:rPr>
        <w:t>Digital entrepreneurship: Disruption and new venture creation</w:t>
      </w:r>
      <w:r w:rsidRPr="003A70E1">
        <w:rPr>
          <w:rFonts w:ascii="Times New Roman" w:hAnsi="Times New Roman" w:cs="Times New Roman"/>
          <w:lang w:val="en-US"/>
        </w:rPr>
        <w:t>. Edward Elgar Publishing.</w:t>
      </w:r>
    </w:p>
    <w:p w14:paraId="41232462"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Nzembayie, K. F., Evers, N., &amp; Urbano, D. (2024). Power dynamics in transaction platforms: Adaptive strategies of platform-dependent entrepreneurs. </w:t>
      </w:r>
      <w:proofErr w:type="spellStart"/>
      <w:r w:rsidRPr="003A70E1">
        <w:rPr>
          <w:rFonts w:ascii="Times New Roman" w:hAnsi="Times New Roman" w:cs="Times New Roman"/>
          <w:i/>
          <w:iCs/>
          <w:lang w:val="en-US"/>
        </w:rPr>
        <w:t>Technovation</w:t>
      </w:r>
      <w:proofErr w:type="spellEnd"/>
      <w:r w:rsidRPr="003A70E1">
        <w:rPr>
          <w:rFonts w:ascii="Times New Roman" w:hAnsi="Times New Roman" w:cs="Times New Roman"/>
          <w:lang w:val="en-US"/>
        </w:rPr>
        <w:t>, </w:t>
      </w:r>
      <w:r w:rsidRPr="003A70E1">
        <w:rPr>
          <w:rFonts w:ascii="Times New Roman" w:hAnsi="Times New Roman" w:cs="Times New Roman"/>
          <w:i/>
          <w:iCs/>
          <w:lang w:val="en-US"/>
        </w:rPr>
        <w:t>138</w:t>
      </w:r>
      <w:r w:rsidRPr="003A70E1">
        <w:rPr>
          <w:rFonts w:ascii="Times New Roman" w:hAnsi="Times New Roman" w:cs="Times New Roman"/>
          <w:lang w:val="en-US"/>
        </w:rPr>
        <w:t>, 103114.</w:t>
      </w:r>
    </w:p>
    <w:p w14:paraId="7C378DDA"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Obschonka</w:t>
      </w:r>
      <w:proofErr w:type="spellEnd"/>
      <w:r w:rsidRPr="003A70E1">
        <w:rPr>
          <w:rFonts w:ascii="Times New Roman" w:hAnsi="Times New Roman" w:cs="Times New Roman"/>
          <w:lang w:val="en-US"/>
        </w:rPr>
        <w:t xml:space="preserve">, M., &amp; </w:t>
      </w:r>
      <w:proofErr w:type="spellStart"/>
      <w:r w:rsidRPr="003A70E1">
        <w:rPr>
          <w:rFonts w:ascii="Times New Roman" w:hAnsi="Times New Roman" w:cs="Times New Roman"/>
          <w:lang w:val="en-US"/>
        </w:rPr>
        <w:t>Audretsch</w:t>
      </w:r>
      <w:proofErr w:type="spellEnd"/>
      <w:r w:rsidRPr="003A70E1">
        <w:rPr>
          <w:rFonts w:ascii="Times New Roman" w:hAnsi="Times New Roman" w:cs="Times New Roman"/>
          <w:lang w:val="en-US"/>
        </w:rPr>
        <w:t>, D. B. (2020). Artificial intelligence and big data in entrepreneurship: a new era has begun. </w:t>
      </w:r>
      <w:r w:rsidRPr="003A70E1">
        <w:rPr>
          <w:rFonts w:ascii="Times New Roman" w:hAnsi="Times New Roman" w:cs="Times New Roman"/>
          <w:i/>
          <w:iCs/>
          <w:lang w:val="en-US"/>
        </w:rPr>
        <w:t>Small Business Economics</w:t>
      </w:r>
      <w:r w:rsidRPr="003A70E1">
        <w:rPr>
          <w:rFonts w:ascii="Times New Roman" w:hAnsi="Times New Roman" w:cs="Times New Roman"/>
          <w:lang w:val="en-US"/>
        </w:rPr>
        <w:t>, </w:t>
      </w:r>
      <w:r w:rsidRPr="003A70E1">
        <w:rPr>
          <w:rFonts w:ascii="Times New Roman" w:hAnsi="Times New Roman" w:cs="Times New Roman"/>
          <w:i/>
          <w:iCs/>
          <w:lang w:val="en-US"/>
        </w:rPr>
        <w:t>55</w:t>
      </w:r>
      <w:r w:rsidRPr="003A70E1">
        <w:rPr>
          <w:rFonts w:ascii="Times New Roman" w:hAnsi="Times New Roman" w:cs="Times New Roman"/>
          <w:lang w:val="en-US"/>
        </w:rPr>
        <w:t>, 529-539.</w:t>
      </w:r>
    </w:p>
    <w:p w14:paraId="7A49E49F"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color w:val="222222"/>
          <w:shd w:val="clear" w:color="auto" w:fill="FFFFFF"/>
        </w:rPr>
        <w:t>Obschonka</w:t>
      </w:r>
      <w:proofErr w:type="spellEnd"/>
      <w:r w:rsidRPr="003A70E1">
        <w:rPr>
          <w:rFonts w:ascii="Times New Roman" w:hAnsi="Times New Roman" w:cs="Times New Roman"/>
          <w:color w:val="222222"/>
          <w:shd w:val="clear" w:color="auto" w:fill="FFFFFF"/>
        </w:rPr>
        <w:t>, M., Gregoire, D. A., Nikolaev, B., Ooms, F., Lévesque, M., Pollack, J. M., &amp; Behrend, T. S. (2025). Artificial intelligence and entrepreneurship: a call for research to prospect and establish the scholarly AI frontiers. </w:t>
      </w:r>
      <w:r w:rsidRPr="003A70E1">
        <w:rPr>
          <w:rFonts w:ascii="Times New Roman" w:hAnsi="Times New Roman" w:cs="Times New Roman"/>
          <w:i/>
          <w:iCs/>
          <w:color w:val="222222"/>
          <w:shd w:val="clear" w:color="auto" w:fill="FFFFFF"/>
        </w:rPr>
        <w:t>Entrepreneurship Theory and Practice</w:t>
      </w:r>
      <w:r w:rsidRPr="003A70E1">
        <w:rPr>
          <w:rFonts w:ascii="Times New Roman" w:hAnsi="Times New Roman" w:cs="Times New Roman"/>
          <w:color w:val="222222"/>
          <w:shd w:val="clear" w:color="auto" w:fill="FFFFFF"/>
        </w:rPr>
        <w:t>, </w:t>
      </w:r>
      <w:r w:rsidRPr="003A70E1">
        <w:rPr>
          <w:rFonts w:ascii="Times New Roman" w:hAnsi="Times New Roman" w:cs="Times New Roman"/>
          <w:i/>
          <w:iCs/>
          <w:color w:val="222222"/>
          <w:shd w:val="clear" w:color="auto" w:fill="FFFFFF"/>
        </w:rPr>
        <w:t>49</w:t>
      </w:r>
      <w:r w:rsidRPr="003A70E1">
        <w:rPr>
          <w:rFonts w:ascii="Times New Roman" w:hAnsi="Times New Roman" w:cs="Times New Roman"/>
          <w:color w:val="222222"/>
          <w:shd w:val="clear" w:color="auto" w:fill="FFFFFF"/>
        </w:rPr>
        <w:t>(3), 620-641.</w:t>
      </w:r>
    </w:p>
    <w:p w14:paraId="7FD48E7C"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O'Mahony, S., &amp; Karp, R. (2022). From proprietary to collective governance: How do platform participation strategies </w:t>
      </w:r>
      <w:proofErr w:type="gramStart"/>
      <w:r w:rsidRPr="003A70E1">
        <w:rPr>
          <w:rFonts w:ascii="Times New Roman" w:hAnsi="Times New Roman" w:cs="Times New Roman"/>
          <w:lang w:val="en-US"/>
        </w:rPr>
        <w:t>evolve?.</w:t>
      </w:r>
      <w:proofErr w:type="gramEnd"/>
      <w:r w:rsidRPr="003A70E1">
        <w:rPr>
          <w:rFonts w:ascii="Times New Roman" w:hAnsi="Times New Roman" w:cs="Times New Roman"/>
          <w:lang w:val="en-US"/>
        </w:rPr>
        <w:t> </w:t>
      </w:r>
      <w:r w:rsidRPr="003A70E1">
        <w:rPr>
          <w:rFonts w:ascii="Times New Roman" w:hAnsi="Times New Roman" w:cs="Times New Roman"/>
          <w:i/>
          <w:iCs/>
          <w:lang w:val="en-US"/>
        </w:rPr>
        <w:t>Strategic Management Journal</w:t>
      </w:r>
      <w:r w:rsidRPr="003A70E1">
        <w:rPr>
          <w:rFonts w:ascii="Times New Roman" w:hAnsi="Times New Roman" w:cs="Times New Roman"/>
          <w:lang w:val="en-US"/>
        </w:rPr>
        <w:t>, </w:t>
      </w:r>
      <w:r w:rsidRPr="003A70E1">
        <w:rPr>
          <w:rFonts w:ascii="Times New Roman" w:hAnsi="Times New Roman" w:cs="Times New Roman"/>
          <w:i/>
          <w:iCs/>
          <w:lang w:val="en-US"/>
        </w:rPr>
        <w:t>43</w:t>
      </w:r>
      <w:r w:rsidRPr="003A70E1">
        <w:rPr>
          <w:rFonts w:ascii="Times New Roman" w:hAnsi="Times New Roman" w:cs="Times New Roman"/>
          <w:lang w:val="en-US"/>
        </w:rPr>
        <w:t>(3), 530-562.</w:t>
      </w:r>
    </w:p>
    <w:p w14:paraId="186B2C73"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lastRenderedPageBreak/>
        <w:t>Parker, G., Van Alstyne, M., &amp; Jiang, X. (2017). Platform ecosystems. </w:t>
      </w:r>
      <w:r w:rsidRPr="003A70E1">
        <w:rPr>
          <w:rFonts w:ascii="Times New Roman" w:hAnsi="Times New Roman" w:cs="Times New Roman"/>
          <w:i/>
          <w:iCs/>
          <w:lang w:val="en-US"/>
        </w:rPr>
        <w:t>MIS quarterly</w:t>
      </w:r>
      <w:r w:rsidRPr="003A70E1">
        <w:rPr>
          <w:rFonts w:ascii="Times New Roman" w:hAnsi="Times New Roman" w:cs="Times New Roman"/>
          <w:lang w:val="en-US"/>
        </w:rPr>
        <w:t>, </w:t>
      </w:r>
      <w:r w:rsidRPr="003A70E1">
        <w:rPr>
          <w:rFonts w:ascii="Times New Roman" w:hAnsi="Times New Roman" w:cs="Times New Roman"/>
          <w:i/>
          <w:iCs/>
          <w:lang w:val="en-US"/>
        </w:rPr>
        <w:t>41</w:t>
      </w:r>
      <w:r w:rsidRPr="003A70E1">
        <w:rPr>
          <w:rFonts w:ascii="Times New Roman" w:hAnsi="Times New Roman" w:cs="Times New Roman"/>
          <w:lang w:val="en-US"/>
        </w:rPr>
        <w:t>(1), 255-266.</w:t>
      </w:r>
    </w:p>
    <w:p w14:paraId="629505ED" w14:textId="77777777" w:rsidR="00FA5C48" w:rsidRPr="003A70E1" w:rsidRDefault="00FA5C48" w:rsidP="003A70E1">
      <w:pPr>
        <w:spacing w:after="0" w:line="240" w:lineRule="auto"/>
        <w:ind w:left="720" w:hanging="720"/>
        <w:jc w:val="both"/>
        <w:rPr>
          <w:rFonts w:ascii="Times New Roman" w:hAnsi="Times New Roman" w:cs="Times New Roman"/>
        </w:rPr>
      </w:pPr>
      <w:r w:rsidRPr="003A70E1">
        <w:rPr>
          <w:rFonts w:ascii="Times New Roman" w:hAnsi="Times New Roman" w:cs="Times New Roman"/>
          <w:lang w:val="en-US"/>
        </w:rPr>
        <w:t>Rahman, H. A., Karunakaran, A., &amp; Cameron, L. D. (2024). Taming platform power: Taking accountability into account in the management of platforms. </w:t>
      </w:r>
      <w:r w:rsidRPr="003A70E1">
        <w:rPr>
          <w:rFonts w:ascii="Times New Roman" w:hAnsi="Times New Roman" w:cs="Times New Roman"/>
          <w:i/>
          <w:iCs/>
          <w:lang w:val="en-US"/>
        </w:rPr>
        <w:t>Academy of Management Annals</w:t>
      </w:r>
      <w:r w:rsidRPr="003A70E1">
        <w:rPr>
          <w:rFonts w:ascii="Times New Roman" w:hAnsi="Times New Roman" w:cs="Times New Roman"/>
          <w:lang w:val="en-US"/>
        </w:rPr>
        <w:t>, </w:t>
      </w:r>
      <w:r w:rsidRPr="003A70E1">
        <w:rPr>
          <w:rFonts w:ascii="Times New Roman" w:hAnsi="Times New Roman" w:cs="Times New Roman"/>
          <w:i/>
          <w:iCs/>
          <w:lang w:val="en-US"/>
        </w:rPr>
        <w:t>18</w:t>
      </w:r>
      <w:r w:rsidRPr="003A70E1">
        <w:rPr>
          <w:rFonts w:ascii="Times New Roman" w:hAnsi="Times New Roman" w:cs="Times New Roman"/>
          <w:lang w:val="en-US"/>
        </w:rPr>
        <w:t>(1), 251-294.</w:t>
      </w:r>
    </w:p>
    <w:p w14:paraId="0A114040"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Riessman</w:t>
      </w:r>
      <w:proofErr w:type="spellEnd"/>
      <w:r w:rsidRPr="003A70E1">
        <w:rPr>
          <w:rFonts w:ascii="Times New Roman" w:hAnsi="Times New Roman" w:cs="Times New Roman"/>
          <w:lang w:val="en-US"/>
        </w:rPr>
        <w:t>, C. K. (2008). </w:t>
      </w:r>
      <w:r w:rsidRPr="003A70E1">
        <w:rPr>
          <w:rFonts w:ascii="Times New Roman" w:hAnsi="Times New Roman" w:cs="Times New Roman"/>
          <w:i/>
          <w:iCs/>
          <w:lang w:val="en-US"/>
        </w:rPr>
        <w:t>Narrative methods for the human sciences</w:t>
      </w:r>
      <w:r w:rsidRPr="003A70E1">
        <w:rPr>
          <w:rFonts w:ascii="Times New Roman" w:hAnsi="Times New Roman" w:cs="Times New Roman"/>
          <w:lang w:val="en-US"/>
        </w:rPr>
        <w:t>. Sage.</w:t>
      </w:r>
    </w:p>
    <w:p w14:paraId="52DA80FC"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Shepherd, D. A., &amp; Majchrzak, A. (2022). Machines augmenting entrepreneurs: Opportunities (and threats) at the Nexus of artificial intelligence and entrepreneurship. </w:t>
      </w:r>
      <w:r w:rsidRPr="003A70E1">
        <w:rPr>
          <w:rFonts w:ascii="Times New Roman" w:hAnsi="Times New Roman" w:cs="Times New Roman"/>
          <w:i/>
          <w:iCs/>
          <w:lang w:val="en-US"/>
        </w:rPr>
        <w:t>Journal of Business Venturing</w:t>
      </w:r>
      <w:r w:rsidRPr="003A70E1">
        <w:rPr>
          <w:rFonts w:ascii="Times New Roman" w:hAnsi="Times New Roman" w:cs="Times New Roman"/>
          <w:lang w:val="en-US"/>
        </w:rPr>
        <w:t>, </w:t>
      </w:r>
      <w:r w:rsidRPr="003A70E1">
        <w:rPr>
          <w:rFonts w:ascii="Times New Roman" w:hAnsi="Times New Roman" w:cs="Times New Roman"/>
          <w:i/>
          <w:iCs/>
          <w:lang w:val="en-US"/>
        </w:rPr>
        <w:t>37</w:t>
      </w:r>
      <w:r w:rsidRPr="003A70E1">
        <w:rPr>
          <w:rFonts w:ascii="Times New Roman" w:hAnsi="Times New Roman" w:cs="Times New Roman"/>
          <w:lang w:val="en-US"/>
        </w:rPr>
        <w:t>(4), 106227.</w:t>
      </w:r>
    </w:p>
    <w:p w14:paraId="2393240E"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Timmermans, S., &amp; </w:t>
      </w:r>
      <w:proofErr w:type="spellStart"/>
      <w:r w:rsidRPr="003A70E1">
        <w:rPr>
          <w:rFonts w:ascii="Times New Roman" w:hAnsi="Times New Roman" w:cs="Times New Roman"/>
          <w:lang w:val="en-US"/>
        </w:rPr>
        <w:t>Tavory</w:t>
      </w:r>
      <w:proofErr w:type="spellEnd"/>
      <w:r w:rsidRPr="003A70E1">
        <w:rPr>
          <w:rFonts w:ascii="Times New Roman" w:hAnsi="Times New Roman" w:cs="Times New Roman"/>
          <w:lang w:val="en-US"/>
        </w:rPr>
        <w:t>, I. (2012). Theory construction in qualitative research: From grounded theory to abductive analysis. </w:t>
      </w:r>
      <w:r w:rsidRPr="003A70E1">
        <w:rPr>
          <w:rFonts w:ascii="Times New Roman" w:hAnsi="Times New Roman" w:cs="Times New Roman"/>
          <w:i/>
          <w:iCs/>
          <w:lang w:val="en-US"/>
        </w:rPr>
        <w:t>Sociological theory</w:t>
      </w:r>
      <w:r w:rsidRPr="003A70E1">
        <w:rPr>
          <w:rFonts w:ascii="Times New Roman" w:hAnsi="Times New Roman" w:cs="Times New Roman"/>
          <w:lang w:val="en-US"/>
        </w:rPr>
        <w:t>, </w:t>
      </w:r>
      <w:r w:rsidRPr="003A70E1">
        <w:rPr>
          <w:rFonts w:ascii="Times New Roman" w:hAnsi="Times New Roman" w:cs="Times New Roman"/>
          <w:i/>
          <w:iCs/>
          <w:lang w:val="en-US"/>
        </w:rPr>
        <w:t>30</w:t>
      </w:r>
      <w:r w:rsidRPr="003A70E1">
        <w:rPr>
          <w:rFonts w:ascii="Times New Roman" w:hAnsi="Times New Roman" w:cs="Times New Roman"/>
          <w:lang w:val="en-US"/>
        </w:rPr>
        <w:t>(3), 167-186.</w:t>
      </w:r>
    </w:p>
    <w:p w14:paraId="5EDB0520"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Tiwana, A., </w:t>
      </w:r>
      <w:proofErr w:type="spellStart"/>
      <w:r w:rsidRPr="003A70E1">
        <w:rPr>
          <w:rFonts w:ascii="Times New Roman" w:hAnsi="Times New Roman" w:cs="Times New Roman"/>
          <w:lang w:val="en-US"/>
        </w:rPr>
        <w:t>Konsynski</w:t>
      </w:r>
      <w:proofErr w:type="spellEnd"/>
      <w:r w:rsidRPr="003A70E1">
        <w:rPr>
          <w:rFonts w:ascii="Times New Roman" w:hAnsi="Times New Roman" w:cs="Times New Roman"/>
          <w:lang w:val="en-US"/>
        </w:rPr>
        <w:t>, B., &amp; Bush, A. A. (2010). Research commentary—Platform evolution: Coevolution of platform architecture, governance, and environmental dynamics. </w:t>
      </w:r>
      <w:r w:rsidRPr="003A70E1">
        <w:rPr>
          <w:rFonts w:ascii="Times New Roman" w:hAnsi="Times New Roman" w:cs="Times New Roman"/>
          <w:i/>
          <w:iCs/>
          <w:lang w:val="en-US"/>
        </w:rPr>
        <w:t>Information systems research</w:t>
      </w:r>
      <w:r w:rsidRPr="003A70E1">
        <w:rPr>
          <w:rFonts w:ascii="Times New Roman" w:hAnsi="Times New Roman" w:cs="Times New Roman"/>
          <w:lang w:val="en-US"/>
        </w:rPr>
        <w:t>, </w:t>
      </w:r>
      <w:r w:rsidRPr="003A70E1">
        <w:rPr>
          <w:rFonts w:ascii="Times New Roman" w:hAnsi="Times New Roman" w:cs="Times New Roman"/>
          <w:i/>
          <w:iCs/>
          <w:lang w:val="en-US"/>
        </w:rPr>
        <w:t>21</w:t>
      </w:r>
      <w:r w:rsidRPr="003A70E1">
        <w:rPr>
          <w:rFonts w:ascii="Times New Roman" w:hAnsi="Times New Roman" w:cs="Times New Roman"/>
          <w:lang w:val="en-US"/>
        </w:rPr>
        <w:t>(4), 675-687.</w:t>
      </w:r>
    </w:p>
    <w:p w14:paraId="136086E0"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Townsend, D. M., &amp; Hunt, R. A. (2019). Entrepreneurial action, creativity, &amp; judgment in the age of artificial intelligence. </w:t>
      </w:r>
      <w:r w:rsidRPr="003A70E1">
        <w:rPr>
          <w:rFonts w:ascii="Times New Roman" w:hAnsi="Times New Roman" w:cs="Times New Roman"/>
          <w:i/>
          <w:iCs/>
          <w:lang w:val="en-US"/>
        </w:rPr>
        <w:t>Journal of Business Venturing Insights</w:t>
      </w:r>
      <w:r w:rsidRPr="003A70E1">
        <w:rPr>
          <w:rFonts w:ascii="Times New Roman" w:hAnsi="Times New Roman" w:cs="Times New Roman"/>
          <w:lang w:val="en-US"/>
        </w:rPr>
        <w:t>, </w:t>
      </w:r>
      <w:r w:rsidRPr="003A70E1">
        <w:rPr>
          <w:rFonts w:ascii="Times New Roman" w:hAnsi="Times New Roman" w:cs="Times New Roman"/>
          <w:i/>
          <w:iCs/>
          <w:lang w:val="en-US"/>
        </w:rPr>
        <w:t>11</w:t>
      </w:r>
      <w:r w:rsidRPr="003A70E1">
        <w:rPr>
          <w:rFonts w:ascii="Times New Roman" w:hAnsi="Times New Roman" w:cs="Times New Roman"/>
          <w:lang w:val="en-US"/>
        </w:rPr>
        <w:t>, e00126.</w:t>
      </w:r>
    </w:p>
    <w:p w14:paraId="79230894"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Troise, C., </w:t>
      </w:r>
      <w:proofErr w:type="spellStart"/>
      <w:r w:rsidRPr="003A70E1">
        <w:rPr>
          <w:rFonts w:ascii="Times New Roman" w:hAnsi="Times New Roman" w:cs="Times New Roman"/>
          <w:lang w:val="en-US"/>
        </w:rPr>
        <w:t>Matricano</w:t>
      </w:r>
      <w:proofErr w:type="spellEnd"/>
      <w:r w:rsidRPr="003A70E1">
        <w:rPr>
          <w:rFonts w:ascii="Times New Roman" w:hAnsi="Times New Roman" w:cs="Times New Roman"/>
          <w:lang w:val="en-US"/>
        </w:rPr>
        <w:t>, D., &amp; Sorrentino, M. (2021). Open innovation platforms: Exploring the importance of knowledge in supporting online initiatives. </w:t>
      </w:r>
      <w:r w:rsidRPr="003A70E1">
        <w:rPr>
          <w:rFonts w:ascii="Times New Roman" w:hAnsi="Times New Roman" w:cs="Times New Roman"/>
          <w:i/>
          <w:iCs/>
          <w:lang w:val="en-US"/>
        </w:rPr>
        <w:t>Knowledge Management Research &amp; Practice</w:t>
      </w:r>
      <w:r w:rsidRPr="003A70E1">
        <w:rPr>
          <w:rFonts w:ascii="Times New Roman" w:hAnsi="Times New Roman" w:cs="Times New Roman"/>
          <w:lang w:val="en-US"/>
        </w:rPr>
        <w:t>, </w:t>
      </w:r>
      <w:r w:rsidRPr="003A70E1">
        <w:rPr>
          <w:rFonts w:ascii="Times New Roman" w:hAnsi="Times New Roman" w:cs="Times New Roman"/>
          <w:i/>
          <w:iCs/>
          <w:lang w:val="en-US"/>
        </w:rPr>
        <w:t>19</w:t>
      </w:r>
      <w:r w:rsidRPr="003A70E1">
        <w:rPr>
          <w:rFonts w:ascii="Times New Roman" w:hAnsi="Times New Roman" w:cs="Times New Roman"/>
          <w:lang w:val="en-US"/>
        </w:rPr>
        <w:t>(2), 208-216.</w:t>
      </w:r>
    </w:p>
    <w:p w14:paraId="500D015D"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Truong, Y., </w:t>
      </w:r>
      <w:proofErr w:type="spellStart"/>
      <w:r w:rsidRPr="003A70E1">
        <w:rPr>
          <w:rFonts w:ascii="Times New Roman" w:hAnsi="Times New Roman" w:cs="Times New Roman"/>
          <w:lang w:val="en-US"/>
        </w:rPr>
        <w:t>Schneckenberg</w:t>
      </w:r>
      <w:proofErr w:type="spellEnd"/>
      <w:r w:rsidRPr="003A70E1">
        <w:rPr>
          <w:rFonts w:ascii="Times New Roman" w:hAnsi="Times New Roman" w:cs="Times New Roman"/>
          <w:lang w:val="en-US"/>
        </w:rPr>
        <w:t xml:space="preserve">, D., Battisti, M., &amp; </w:t>
      </w:r>
      <w:proofErr w:type="spellStart"/>
      <w:r w:rsidRPr="003A70E1">
        <w:rPr>
          <w:rFonts w:ascii="Times New Roman" w:hAnsi="Times New Roman" w:cs="Times New Roman"/>
          <w:lang w:val="en-US"/>
        </w:rPr>
        <w:t>Jabbouri</w:t>
      </w:r>
      <w:proofErr w:type="spellEnd"/>
      <w:r w:rsidRPr="003A70E1">
        <w:rPr>
          <w:rFonts w:ascii="Times New Roman" w:hAnsi="Times New Roman" w:cs="Times New Roman"/>
          <w:lang w:val="en-US"/>
        </w:rPr>
        <w:t>, R. (2023). Guest editorial: Artificial intelligence as an enabler for entrepreneurs: an integrative perspective and future research directions. </w:t>
      </w:r>
      <w:r w:rsidRPr="003A70E1">
        <w:rPr>
          <w:rFonts w:ascii="Times New Roman" w:hAnsi="Times New Roman" w:cs="Times New Roman"/>
          <w:i/>
          <w:iCs/>
          <w:lang w:val="en-US"/>
        </w:rPr>
        <w:t>International Journal of Entrepreneurial Behavior &amp; Research</w:t>
      </w:r>
      <w:r w:rsidRPr="003A70E1">
        <w:rPr>
          <w:rFonts w:ascii="Times New Roman" w:hAnsi="Times New Roman" w:cs="Times New Roman"/>
          <w:lang w:val="en-US"/>
        </w:rPr>
        <w:t>, </w:t>
      </w:r>
      <w:r w:rsidRPr="003A70E1">
        <w:rPr>
          <w:rFonts w:ascii="Times New Roman" w:hAnsi="Times New Roman" w:cs="Times New Roman"/>
          <w:i/>
          <w:iCs/>
          <w:lang w:val="en-US"/>
        </w:rPr>
        <w:t>29</w:t>
      </w:r>
      <w:r w:rsidRPr="003A70E1">
        <w:rPr>
          <w:rFonts w:ascii="Times New Roman" w:hAnsi="Times New Roman" w:cs="Times New Roman"/>
          <w:lang w:val="en-US"/>
        </w:rPr>
        <w:t>(4), 801-815.</w:t>
      </w:r>
    </w:p>
    <w:p w14:paraId="1DFA2055" w14:textId="77777777" w:rsidR="00FA5C48"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Urbano, D., Aparicio, S., &amp; </w:t>
      </w:r>
      <w:proofErr w:type="spellStart"/>
      <w:r w:rsidRPr="003A70E1">
        <w:rPr>
          <w:rFonts w:ascii="Times New Roman" w:hAnsi="Times New Roman" w:cs="Times New Roman"/>
          <w:lang w:val="en-US"/>
        </w:rPr>
        <w:t>Audretsch</w:t>
      </w:r>
      <w:proofErr w:type="spellEnd"/>
      <w:r w:rsidRPr="003A70E1">
        <w:rPr>
          <w:rFonts w:ascii="Times New Roman" w:hAnsi="Times New Roman" w:cs="Times New Roman"/>
          <w:lang w:val="en-US"/>
        </w:rPr>
        <w:t xml:space="preserve">, D. (2019). Twenty-five years of research on institutions, entrepreneurship, and economic growth: what has been </w:t>
      </w:r>
      <w:proofErr w:type="gramStart"/>
      <w:r w:rsidRPr="003A70E1">
        <w:rPr>
          <w:rFonts w:ascii="Times New Roman" w:hAnsi="Times New Roman" w:cs="Times New Roman"/>
          <w:lang w:val="en-US"/>
        </w:rPr>
        <w:t>learned?.</w:t>
      </w:r>
      <w:proofErr w:type="gramEnd"/>
      <w:r w:rsidRPr="003A70E1">
        <w:rPr>
          <w:rFonts w:ascii="Times New Roman" w:hAnsi="Times New Roman" w:cs="Times New Roman"/>
          <w:lang w:val="en-US"/>
        </w:rPr>
        <w:t> </w:t>
      </w:r>
      <w:r w:rsidRPr="003A70E1">
        <w:rPr>
          <w:rFonts w:ascii="Times New Roman" w:hAnsi="Times New Roman" w:cs="Times New Roman"/>
          <w:i/>
          <w:iCs/>
          <w:lang w:val="en-US"/>
        </w:rPr>
        <w:t>Small business economics</w:t>
      </w:r>
      <w:r w:rsidRPr="003A70E1">
        <w:rPr>
          <w:rFonts w:ascii="Times New Roman" w:hAnsi="Times New Roman" w:cs="Times New Roman"/>
          <w:lang w:val="en-US"/>
        </w:rPr>
        <w:t>, </w:t>
      </w:r>
      <w:r w:rsidRPr="003A70E1">
        <w:rPr>
          <w:rFonts w:ascii="Times New Roman" w:hAnsi="Times New Roman" w:cs="Times New Roman"/>
          <w:i/>
          <w:iCs/>
          <w:lang w:val="en-US"/>
        </w:rPr>
        <w:t>53</w:t>
      </w:r>
      <w:r w:rsidRPr="003A70E1">
        <w:rPr>
          <w:rFonts w:ascii="Times New Roman" w:hAnsi="Times New Roman" w:cs="Times New Roman"/>
          <w:lang w:val="en-US"/>
        </w:rPr>
        <w:t>, 21-49.</w:t>
      </w:r>
    </w:p>
    <w:p w14:paraId="7BD16EAC" w14:textId="13447666" w:rsidR="003815AC" w:rsidRPr="003A70E1" w:rsidRDefault="003815AC" w:rsidP="003A70E1">
      <w:pPr>
        <w:spacing w:after="0" w:line="240" w:lineRule="auto"/>
        <w:ind w:left="720" w:hanging="720"/>
        <w:jc w:val="both"/>
        <w:rPr>
          <w:rFonts w:ascii="Times New Roman" w:hAnsi="Times New Roman" w:cs="Times New Roman"/>
          <w:lang w:val="en-US"/>
        </w:rPr>
      </w:pPr>
      <w:r w:rsidRPr="003815AC">
        <w:rPr>
          <w:rFonts w:ascii="Times New Roman" w:hAnsi="Times New Roman" w:cs="Times New Roman"/>
        </w:rPr>
        <w:t>Van de Ven, A. H., &amp; Engleman, R. M. (2004). Event-and outcome-driven explanations of entrepreneurship. </w:t>
      </w:r>
      <w:r w:rsidRPr="003815AC">
        <w:rPr>
          <w:rFonts w:ascii="Times New Roman" w:hAnsi="Times New Roman" w:cs="Times New Roman"/>
          <w:i/>
          <w:iCs/>
        </w:rPr>
        <w:t>Journal of business venturing</w:t>
      </w:r>
      <w:r w:rsidRPr="003815AC">
        <w:rPr>
          <w:rFonts w:ascii="Times New Roman" w:hAnsi="Times New Roman" w:cs="Times New Roman"/>
        </w:rPr>
        <w:t>, </w:t>
      </w:r>
      <w:r w:rsidRPr="003815AC">
        <w:rPr>
          <w:rFonts w:ascii="Times New Roman" w:hAnsi="Times New Roman" w:cs="Times New Roman"/>
          <w:i/>
          <w:iCs/>
        </w:rPr>
        <w:t>19</w:t>
      </w:r>
      <w:r w:rsidRPr="003815AC">
        <w:rPr>
          <w:rFonts w:ascii="Times New Roman" w:hAnsi="Times New Roman" w:cs="Times New Roman"/>
        </w:rPr>
        <w:t>(3), 343-358.</w:t>
      </w:r>
    </w:p>
    <w:p w14:paraId="1FB724AA"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color w:val="222222"/>
          <w:shd w:val="clear" w:color="auto" w:fill="FFFFFF"/>
        </w:rPr>
        <w:t xml:space="preserve">Vaswani, A., </w:t>
      </w:r>
      <w:proofErr w:type="spellStart"/>
      <w:r w:rsidRPr="003A70E1">
        <w:rPr>
          <w:rFonts w:ascii="Times New Roman" w:hAnsi="Times New Roman" w:cs="Times New Roman"/>
          <w:color w:val="222222"/>
          <w:shd w:val="clear" w:color="auto" w:fill="FFFFFF"/>
        </w:rPr>
        <w:t>Shazeer</w:t>
      </w:r>
      <w:proofErr w:type="spellEnd"/>
      <w:r w:rsidRPr="003A70E1">
        <w:rPr>
          <w:rFonts w:ascii="Times New Roman" w:hAnsi="Times New Roman" w:cs="Times New Roman"/>
          <w:color w:val="222222"/>
          <w:shd w:val="clear" w:color="auto" w:fill="FFFFFF"/>
        </w:rPr>
        <w:t xml:space="preserve">, N., Parmar, N., </w:t>
      </w:r>
      <w:proofErr w:type="spellStart"/>
      <w:r w:rsidRPr="003A70E1">
        <w:rPr>
          <w:rFonts w:ascii="Times New Roman" w:hAnsi="Times New Roman" w:cs="Times New Roman"/>
          <w:color w:val="222222"/>
          <w:shd w:val="clear" w:color="auto" w:fill="FFFFFF"/>
        </w:rPr>
        <w:t>Uszkoreit</w:t>
      </w:r>
      <w:proofErr w:type="spellEnd"/>
      <w:r w:rsidRPr="003A70E1">
        <w:rPr>
          <w:rFonts w:ascii="Times New Roman" w:hAnsi="Times New Roman" w:cs="Times New Roman"/>
          <w:color w:val="222222"/>
          <w:shd w:val="clear" w:color="auto" w:fill="FFFFFF"/>
        </w:rPr>
        <w:t xml:space="preserve">, J., Jones, L., Gomez, A. N., ... &amp; </w:t>
      </w:r>
      <w:proofErr w:type="spellStart"/>
      <w:r w:rsidRPr="003A70E1">
        <w:rPr>
          <w:rFonts w:ascii="Times New Roman" w:hAnsi="Times New Roman" w:cs="Times New Roman"/>
          <w:color w:val="222222"/>
          <w:shd w:val="clear" w:color="auto" w:fill="FFFFFF"/>
        </w:rPr>
        <w:t>Polosukhin</w:t>
      </w:r>
      <w:proofErr w:type="spellEnd"/>
      <w:r w:rsidRPr="003A70E1">
        <w:rPr>
          <w:rFonts w:ascii="Times New Roman" w:hAnsi="Times New Roman" w:cs="Times New Roman"/>
          <w:color w:val="222222"/>
          <w:shd w:val="clear" w:color="auto" w:fill="FFFFFF"/>
        </w:rPr>
        <w:t>, I. (2017). Attention is all you need. </w:t>
      </w:r>
      <w:r w:rsidRPr="003A70E1">
        <w:rPr>
          <w:rFonts w:ascii="Times New Roman" w:hAnsi="Times New Roman" w:cs="Times New Roman"/>
          <w:i/>
          <w:iCs/>
          <w:color w:val="222222"/>
          <w:shd w:val="clear" w:color="auto" w:fill="FFFFFF"/>
        </w:rPr>
        <w:t>Advances in neural information processing systems</w:t>
      </w:r>
      <w:r w:rsidRPr="003A70E1">
        <w:rPr>
          <w:rFonts w:ascii="Times New Roman" w:hAnsi="Times New Roman" w:cs="Times New Roman"/>
          <w:color w:val="222222"/>
          <w:shd w:val="clear" w:color="auto" w:fill="FFFFFF"/>
        </w:rPr>
        <w:t>, </w:t>
      </w:r>
      <w:r w:rsidRPr="003A70E1">
        <w:rPr>
          <w:rFonts w:ascii="Times New Roman" w:hAnsi="Times New Roman" w:cs="Times New Roman"/>
          <w:i/>
          <w:iCs/>
          <w:color w:val="222222"/>
          <w:shd w:val="clear" w:color="auto" w:fill="FFFFFF"/>
        </w:rPr>
        <w:t>30</w:t>
      </w:r>
      <w:r w:rsidRPr="003A70E1">
        <w:rPr>
          <w:rFonts w:ascii="Times New Roman" w:hAnsi="Times New Roman" w:cs="Times New Roman"/>
          <w:color w:val="222222"/>
          <w:shd w:val="clear" w:color="auto" w:fill="FFFFFF"/>
        </w:rPr>
        <w:t>.</w:t>
      </w:r>
    </w:p>
    <w:p w14:paraId="500641AF"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Ventresca, M. J., &amp; Mohr, J. W. (2017). Archival research methods. </w:t>
      </w:r>
      <w:r w:rsidRPr="003A70E1">
        <w:rPr>
          <w:rFonts w:ascii="Times New Roman" w:hAnsi="Times New Roman" w:cs="Times New Roman"/>
          <w:i/>
          <w:iCs/>
          <w:lang w:val="en-US"/>
        </w:rPr>
        <w:t>The Blackwell companion to organizations</w:t>
      </w:r>
      <w:r w:rsidRPr="003A70E1">
        <w:rPr>
          <w:rFonts w:ascii="Times New Roman" w:hAnsi="Times New Roman" w:cs="Times New Roman"/>
          <w:lang w:val="en-US"/>
        </w:rPr>
        <w:t>, 805-828.</w:t>
      </w:r>
    </w:p>
    <w:p w14:paraId="1B12ABB2"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Vigoda-Gadot, E., &amp; Mizrahi, S. (2024). The digital governance puzzle: Towards integrative theory of humans, machines, and organizations in public management. </w:t>
      </w:r>
      <w:r w:rsidRPr="003A70E1">
        <w:rPr>
          <w:rFonts w:ascii="Times New Roman" w:hAnsi="Times New Roman" w:cs="Times New Roman"/>
          <w:i/>
          <w:iCs/>
          <w:lang w:val="en-US"/>
        </w:rPr>
        <w:t>Technology in Society</w:t>
      </w:r>
      <w:r w:rsidRPr="003A70E1">
        <w:rPr>
          <w:rFonts w:ascii="Times New Roman" w:hAnsi="Times New Roman" w:cs="Times New Roman"/>
          <w:lang w:val="en-US"/>
        </w:rPr>
        <w:t>, </w:t>
      </w:r>
      <w:r w:rsidRPr="003A70E1">
        <w:rPr>
          <w:rFonts w:ascii="Times New Roman" w:hAnsi="Times New Roman" w:cs="Times New Roman"/>
          <w:i/>
          <w:iCs/>
          <w:lang w:val="en-US"/>
        </w:rPr>
        <w:t>77</w:t>
      </w:r>
      <w:r w:rsidRPr="003A70E1">
        <w:rPr>
          <w:rFonts w:ascii="Times New Roman" w:hAnsi="Times New Roman" w:cs="Times New Roman"/>
          <w:lang w:val="en-US"/>
        </w:rPr>
        <w:t>, 102530.</w:t>
      </w:r>
    </w:p>
    <w:p w14:paraId="36518C54"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Von Hippel, E. (2009). Democratizing innovation: the evolving phenomenon of user innovation. </w:t>
      </w:r>
      <w:r w:rsidRPr="003A70E1">
        <w:rPr>
          <w:rFonts w:ascii="Times New Roman" w:hAnsi="Times New Roman" w:cs="Times New Roman"/>
          <w:i/>
          <w:iCs/>
          <w:lang w:val="en-US"/>
        </w:rPr>
        <w:t>International Journal of Innovation Science</w:t>
      </w:r>
      <w:r w:rsidRPr="003A70E1">
        <w:rPr>
          <w:rFonts w:ascii="Times New Roman" w:hAnsi="Times New Roman" w:cs="Times New Roman"/>
          <w:lang w:val="en-US"/>
        </w:rPr>
        <w:t>, </w:t>
      </w:r>
      <w:r w:rsidRPr="003A70E1">
        <w:rPr>
          <w:rFonts w:ascii="Times New Roman" w:hAnsi="Times New Roman" w:cs="Times New Roman"/>
          <w:i/>
          <w:iCs/>
          <w:lang w:val="en-US"/>
        </w:rPr>
        <w:t>1</w:t>
      </w:r>
      <w:r w:rsidRPr="003A70E1">
        <w:rPr>
          <w:rFonts w:ascii="Times New Roman" w:hAnsi="Times New Roman" w:cs="Times New Roman"/>
          <w:lang w:val="en-US"/>
        </w:rPr>
        <w:t>(1), 29-40.</w:t>
      </w:r>
    </w:p>
    <w:p w14:paraId="718142FC"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 xml:space="preserve">Wen, Y. (2023). Rightful resistance: How do digital platforms achieve policy </w:t>
      </w:r>
      <w:proofErr w:type="gramStart"/>
      <w:r w:rsidRPr="003A70E1">
        <w:rPr>
          <w:rFonts w:ascii="Times New Roman" w:hAnsi="Times New Roman" w:cs="Times New Roman"/>
          <w:lang w:val="en-US"/>
        </w:rPr>
        <w:t>change?.</w:t>
      </w:r>
      <w:proofErr w:type="gramEnd"/>
      <w:r w:rsidRPr="003A70E1">
        <w:rPr>
          <w:rFonts w:ascii="Times New Roman" w:hAnsi="Times New Roman" w:cs="Times New Roman"/>
          <w:lang w:val="en-US"/>
        </w:rPr>
        <w:t> </w:t>
      </w:r>
      <w:r w:rsidRPr="003A70E1">
        <w:rPr>
          <w:rFonts w:ascii="Times New Roman" w:hAnsi="Times New Roman" w:cs="Times New Roman"/>
          <w:i/>
          <w:iCs/>
          <w:lang w:val="en-US"/>
        </w:rPr>
        <w:t>Technology in Society</w:t>
      </w:r>
      <w:r w:rsidRPr="003A70E1">
        <w:rPr>
          <w:rFonts w:ascii="Times New Roman" w:hAnsi="Times New Roman" w:cs="Times New Roman"/>
          <w:lang w:val="en-US"/>
        </w:rPr>
        <w:t>, </w:t>
      </w:r>
      <w:r w:rsidRPr="003A70E1">
        <w:rPr>
          <w:rFonts w:ascii="Times New Roman" w:hAnsi="Times New Roman" w:cs="Times New Roman"/>
          <w:i/>
          <w:iCs/>
          <w:lang w:val="en-US"/>
        </w:rPr>
        <w:t>74</w:t>
      </w:r>
      <w:r w:rsidRPr="003A70E1">
        <w:rPr>
          <w:rFonts w:ascii="Times New Roman" w:hAnsi="Times New Roman" w:cs="Times New Roman"/>
          <w:lang w:val="en-US"/>
        </w:rPr>
        <w:t>, 102266.</w:t>
      </w:r>
    </w:p>
    <w:p w14:paraId="06F3C0E6"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Yin, R. K. (2009). </w:t>
      </w:r>
      <w:r w:rsidRPr="003A70E1">
        <w:rPr>
          <w:rFonts w:ascii="Times New Roman" w:hAnsi="Times New Roman" w:cs="Times New Roman"/>
          <w:i/>
          <w:iCs/>
          <w:lang w:val="en-US"/>
        </w:rPr>
        <w:t>Case study research: Design and methods</w:t>
      </w:r>
      <w:r w:rsidRPr="003A70E1">
        <w:rPr>
          <w:rFonts w:ascii="Times New Roman" w:hAnsi="Times New Roman" w:cs="Times New Roman"/>
          <w:lang w:val="en-US"/>
        </w:rPr>
        <w:t> (Vol. 5). sage.</w:t>
      </w:r>
    </w:p>
    <w:p w14:paraId="503BFB10"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lang w:val="en-US"/>
        </w:rPr>
        <w:t>Yoo, Y., Boland Jr, R. J., Lyytinen, K., &amp; Majchrzak, A. (2012). Organizing for innovation in the digitized world. </w:t>
      </w:r>
      <w:r w:rsidRPr="003A70E1">
        <w:rPr>
          <w:rFonts w:ascii="Times New Roman" w:hAnsi="Times New Roman" w:cs="Times New Roman"/>
          <w:i/>
          <w:iCs/>
          <w:lang w:val="en-US"/>
        </w:rPr>
        <w:t>Organization science</w:t>
      </w:r>
      <w:r w:rsidRPr="003A70E1">
        <w:rPr>
          <w:rFonts w:ascii="Times New Roman" w:hAnsi="Times New Roman" w:cs="Times New Roman"/>
          <w:lang w:val="en-US"/>
        </w:rPr>
        <w:t>, </w:t>
      </w:r>
      <w:r w:rsidRPr="003A70E1">
        <w:rPr>
          <w:rFonts w:ascii="Times New Roman" w:hAnsi="Times New Roman" w:cs="Times New Roman"/>
          <w:i/>
          <w:iCs/>
          <w:lang w:val="en-US"/>
        </w:rPr>
        <w:t>23</w:t>
      </w:r>
      <w:r w:rsidRPr="003A70E1">
        <w:rPr>
          <w:rFonts w:ascii="Times New Roman" w:hAnsi="Times New Roman" w:cs="Times New Roman"/>
          <w:lang w:val="en-US"/>
        </w:rPr>
        <w:t xml:space="preserve">(5), 1398-1408. </w:t>
      </w:r>
    </w:p>
    <w:p w14:paraId="281B87E7" w14:textId="77777777" w:rsidR="00FA5C48" w:rsidRPr="003A70E1" w:rsidRDefault="00FA5C48" w:rsidP="003A70E1">
      <w:pPr>
        <w:spacing w:after="0" w:line="240" w:lineRule="auto"/>
        <w:ind w:left="720" w:hanging="720"/>
        <w:jc w:val="both"/>
        <w:rPr>
          <w:rFonts w:ascii="Times New Roman" w:hAnsi="Times New Roman" w:cs="Times New Roman"/>
          <w:lang w:val="en-US"/>
        </w:rPr>
      </w:pPr>
      <w:r w:rsidRPr="003A70E1">
        <w:rPr>
          <w:rFonts w:ascii="Times New Roman" w:hAnsi="Times New Roman" w:cs="Times New Roman"/>
          <w:color w:val="222222"/>
          <w:shd w:val="clear" w:color="auto" w:fill="FFFFFF"/>
        </w:rPr>
        <w:t>Zimmerman, M. A., &amp; Zeitz, G. J. (2002). Beyond survival: Achieving new venture growth by building legitimacy. </w:t>
      </w:r>
      <w:r w:rsidRPr="003A70E1">
        <w:rPr>
          <w:rFonts w:ascii="Times New Roman" w:hAnsi="Times New Roman" w:cs="Times New Roman"/>
          <w:i/>
          <w:iCs/>
          <w:color w:val="222222"/>
          <w:shd w:val="clear" w:color="auto" w:fill="FFFFFF"/>
        </w:rPr>
        <w:t>Academy of management review</w:t>
      </w:r>
      <w:r w:rsidRPr="003A70E1">
        <w:rPr>
          <w:rFonts w:ascii="Times New Roman" w:hAnsi="Times New Roman" w:cs="Times New Roman"/>
          <w:color w:val="222222"/>
          <w:shd w:val="clear" w:color="auto" w:fill="FFFFFF"/>
        </w:rPr>
        <w:t>, </w:t>
      </w:r>
      <w:r w:rsidRPr="003A70E1">
        <w:rPr>
          <w:rFonts w:ascii="Times New Roman" w:hAnsi="Times New Roman" w:cs="Times New Roman"/>
          <w:i/>
          <w:iCs/>
          <w:color w:val="222222"/>
          <w:shd w:val="clear" w:color="auto" w:fill="FFFFFF"/>
        </w:rPr>
        <w:t>27</w:t>
      </w:r>
      <w:r w:rsidRPr="003A70E1">
        <w:rPr>
          <w:rFonts w:ascii="Times New Roman" w:hAnsi="Times New Roman" w:cs="Times New Roman"/>
          <w:color w:val="222222"/>
          <w:shd w:val="clear" w:color="auto" w:fill="FFFFFF"/>
        </w:rPr>
        <w:t>(3), 414-431.</w:t>
      </w:r>
    </w:p>
    <w:p w14:paraId="433982C2" w14:textId="77777777" w:rsidR="00FA5C48" w:rsidRPr="003A70E1" w:rsidRDefault="00FA5C48" w:rsidP="003A70E1">
      <w:pPr>
        <w:spacing w:after="0" w:line="240" w:lineRule="auto"/>
        <w:ind w:left="720" w:hanging="720"/>
        <w:jc w:val="both"/>
        <w:rPr>
          <w:rFonts w:ascii="Times New Roman" w:hAnsi="Times New Roman" w:cs="Times New Roman"/>
          <w:lang w:val="en-US"/>
        </w:rPr>
      </w:pPr>
      <w:proofErr w:type="spellStart"/>
      <w:r w:rsidRPr="003A70E1">
        <w:rPr>
          <w:rFonts w:ascii="Times New Roman" w:hAnsi="Times New Roman" w:cs="Times New Roman"/>
          <w:lang w:val="en-US"/>
        </w:rPr>
        <w:t>Zittrain</w:t>
      </w:r>
      <w:proofErr w:type="spellEnd"/>
      <w:r w:rsidRPr="003A70E1">
        <w:rPr>
          <w:rFonts w:ascii="Times New Roman" w:hAnsi="Times New Roman" w:cs="Times New Roman"/>
          <w:lang w:val="en-US"/>
        </w:rPr>
        <w:t xml:space="preserve">, J. (2006). The generative Internet. </w:t>
      </w:r>
      <w:r w:rsidRPr="003A70E1">
        <w:rPr>
          <w:rFonts w:ascii="Times New Roman" w:hAnsi="Times New Roman" w:cs="Times New Roman"/>
          <w:i/>
          <w:iCs/>
          <w:lang w:val="en-US"/>
        </w:rPr>
        <w:t>Harvard Law Review</w:t>
      </w:r>
      <w:r w:rsidRPr="003A70E1">
        <w:rPr>
          <w:rFonts w:ascii="Times New Roman" w:hAnsi="Times New Roman" w:cs="Times New Roman"/>
          <w:lang w:val="en-US"/>
        </w:rPr>
        <w:t>, 119(7), 1975–2040.</w:t>
      </w:r>
    </w:p>
    <w:p w14:paraId="751B38B4" w14:textId="68730B14" w:rsidR="002344B7" w:rsidRDefault="00F37383" w:rsidP="00F37383">
      <w:pPr>
        <w:pStyle w:val="Heading1"/>
        <w:rPr>
          <w:lang w:val="en-US"/>
        </w:rPr>
      </w:pPr>
      <w:r>
        <w:rPr>
          <w:lang w:val="en-US"/>
        </w:rPr>
        <w:lastRenderedPageBreak/>
        <w:t xml:space="preserve">Appendices </w:t>
      </w:r>
    </w:p>
    <w:p w14:paraId="386F082A" w14:textId="0076758F" w:rsidR="00F37383" w:rsidRPr="00864C8D" w:rsidRDefault="00F37383" w:rsidP="003C3C5B">
      <w:pPr>
        <w:pStyle w:val="Heading2"/>
      </w:pPr>
      <w:r>
        <w:rPr>
          <w:bCs/>
        </w:rPr>
        <w:t>Appendix A</w:t>
      </w:r>
      <w:r w:rsidR="00AE4D7B">
        <w:rPr>
          <w:bCs/>
        </w:rPr>
        <w:t xml:space="preserve">. </w:t>
      </w:r>
      <w:r w:rsidR="003C3C5B">
        <w:rPr>
          <w:b w:val="0"/>
          <w:bCs/>
        </w:rPr>
        <w:t>Key Events Across Time</w:t>
      </w:r>
    </w:p>
    <w:p w14:paraId="719228EF" w14:textId="00BFEB31" w:rsidR="00F37383" w:rsidRDefault="005D2125" w:rsidP="00F37383">
      <w:pPr>
        <w:spacing w:after="0" w:line="360" w:lineRule="auto"/>
        <w:jc w:val="both"/>
        <w:rPr>
          <w:rFonts w:ascii="Times New Roman" w:hAnsi="Times New Roman" w:cs="Times New Roman"/>
          <w:lang w:val="en-US"/>
        </w:rPr>
      </w:pPr>
      <w:r>
        <w:rPr>
          <w:rFonts w:ascii="Times New Roman" w:hAnsi="Times New Roman" w:cs="Times New Roman"/>
          <w:noProof/>
          <w:lang w:val="en-US"/>
        </w:rPr>
        <w:drawing>
          <wp:inline distT="0" distB="0" distL="0" distR="0" wp14:anchorId="5DAE63E8" wp14:editId="37746074">
            <wp:extent cx="5731510" cy="8153400"/>
            <wp:effectExtent l="0" t="0" r="2540" b="0"/>
            <wp:docPr id="856371734" name="Picture 2"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371734" name="Picture 2" descr="A diagram of a company&#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5731510" cy="8153400"/>
                    </a:xfrm>
                    <a:prstGeom prst="rect">
                      <a:avLst/>
                    </a:prstGeom>
                  </pic:spPr>
                </pic:pic>
              </a:graphicData>
            </a:graphic>
          </wp:inline>
        </w:drawing>
      </w:r>
    </w:p>
    <w:p w14:paraId="0A5C02CF" w14:textId="732974CD" w:rsidR="00AE4D7B" w:rsidRDefault="00023883" w:rsidP="00023883">
      <w:pPr>
        <w:pStyle w:val="Heading2"/>
        <w:rPr>
          <w:b w:val="0"/>
          <w:bCs/>
        </w:rPr>
      </w:pPr>
      <w:r>
        <w:lastRenderedPageBreak/>
        <w:t xml:space="preserve">Appendix </w:t>
      </w:r>
      <w:r w:rsidR="003C3C5B">
        <w:t>B</w:t>
      </w:r>
      <w:r>
        <w:t xml:space="preserve">. </w:t>
      </w:r>
      <w:r w:rsidR="000953E6" w:rsidRPr="000953E6">
        <w:rPr>
          <w:b w:val="0"/>
          <w:bCs/>
        </w:rPr>
        <w:t xml:space="preserve">24 </w:t>
      </w:r>
      <w:r w:rsidRPr="000953E6">
        <w:rPr>
          <w:b w:val="0"/>
          <w:bCs/>
        </w:rPr>
        <w:t>Pl</w:t>
      </w:r>
      <w:r>
        <w:rPr>
          <w:b w:val="0"/>
          <w:bCs/>
        </w:rPr>
        <w:t xml:space="preserve">atform-Enabled Ventures </w:t>
      </w:r>
      <w:proofErr w:type="spellStart"/>
      <w:r>
        <w:rPr>
          <w:b w:val="0"/>
          <w:bCs/>
        </w:rPr>
        <w:t>Analyzed</w:t>
      </w:r>
      <w:proofErr w:type="spellEnd"/>
      <w:r>
        <w:rPr>
          <w:b w:val="0"/>
          <w:bCs/>
        </w:rPr>
        <w:t xml:space="preserve"> </w:t>
      </w:r>
    </w:p>
    <w:tbl>
      <w:tblPr>
        <w:tblStyle w:val="TableGrid1"/>
        <w:tblW w:w="0" w:type="auto"/>
        <w:tblLayout w:type="fixed"/>
        <w:tblLook w:val="04A0" w:firstRow="1" w:lastRow="0" w:firstColumn="1" w:lastColumn="0" w:noHBand="0" w:noVBand="1"/>
      </w:tblPr>
      <w:tblGrid>
        <w:gridCol w:w="704"/>
        <w:gridCol w:w="1276"/>
        <w:gridCol w:w="2551"/>
        <w:gridCol w:w="993"/>
        <w:gridCol w:w="1134"/>
        <w:gridCol w:w="1070"/>
        <w:gridCol w:w="1288"/>
      </w:tblGrid>
      <w:tr w:rsidR="00347324" w:rsidRPr="00347324" w14:paraId="0349265F" w14:textId="77777777" w:rsidTr="00AE6A55">
        <w:tc>
          <w:tcPr>
            <w:tcW w:w="704" w:type="dxa"/>
            <w:shd w:val="clear" w:color="auto" w:fill="000000"/>
          </w:tcPr>
          <w:p w14:paraId="24B47B0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w:t>
            </w:r>
          </w:p>
        </w:tc>
        <w:tc>
          <w:tcPr>
            <w:tcW w:w="1276" w:type="dxa"/>
            <w:shd w:val="clear" w:color="auto" w:fill="000000"/>
          </w:tcPr>
          <w:p w14:paraId="3AE1991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Venture Name</w:t>
            </w:r>
          </w:p>
        </w:tc>
        <w:tc>
          <w:tcPr>
            <w:tcW w:w="2551" w:type="dxa"/>
            <w:shd w:val="clear" w:color="auto" w:fill="000000"/>
          </w:tcPr>
          <w:p w14:paraId="7BBAA20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Core Value Proposition</w:t>
            </w:r>
          </w:p>
        </w:tc>
        <w:tc>
          <w:tcPr>
            <w:tcW w:w="993" w:type="dxa"/>
            <w:shd w:val="clear" w:color="auto" w:fill="000000"/>
          </w:tcPr>
          <w:p w14:paraId="41E6D9D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Industry</w:t>
            </w:r>
          </w:p>
        </w:tc>
        <w:tc>
          <w:tcPr>
            <w:tcW w:w="1134" w:type="dxa"/>
            <w:shd w:val="clear" w:color="auto" w:fill="000000"/>
          </w:tcPr>
          <w:p w14:paraId="5040956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Primary Platform Tech</w:t>
            </w:r>
          </w:p>
        </w:tc>
        <w:tc>
          <w:tcPr>
            <w:tcW w:w="1070" w:type="dxa"/>
            <w:shd w:val="clear" w:color="auto" w:fill="000000"/>
          </w:tcPr>
          <w:p w14:paraId="58AF7684"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Founding/Integration Period</w:t>
            </w:r>
          </w:p>
        </w:tc>
        <w:tc>
          <w:tcPr>
            <w:tcW w:w="1288" w:type="dxa"/>
            <w:shd w:val="clear" w:color="auto" w:fill="000000"/>
          </w:tcPr>
          <w:p w14:paraId="5E627C5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Venture Adoption Pattern</w:t>
            </w:r>
          </w:p>
        </w:tc>
      </w:tr>
      <w:tr w:rsidR="00347324" w:rsidRPr="00347324" w14:paraId="06C094FE" w14:textId="77777777" w:rsidTr="00AE6A55">
        <w:tc>
          <w:tcPr>
            <w:tcW w:w="704" w:type="dxa"/>
          </w:tcPr>
          <w:p w14:paraId="2851BB4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w:t>
            </w:r>
          </w:p>
        </w:tc>
        <w:tc>
          <w:tcPr>
            <w:tcW w:w="1276" w:type="dxa"/>
          </w:tcPr>
          <w:p w14:paraId="628AE93D" w14:textId="7DE41DA5"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Harvey </w:t>
            </w:r>
            <w:r w:rsidR="000C459A">
              <w:rPr>
                <w:rFonts w:ascii="Times New Roman" w:hAnsi="Times New Roman" w:cs="Times New Roman"/>
                <w:sz w:val="20"/>
                <w:szCs w:val="20"/>
              </w:rPr>
              <w:t>AI</w:t>
            </w:r>
          </w:p>
        </w:tc>
        <w:tc>
          <w:tcPr>
            <w:tcW w:w="2551" w:type="dxa"/>
          </w:tcPr>
          <w:p w14:paraId="0622B47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AI assistant for legal professionals, automating tasks like legal research, contract analysis, and due diligence.</w:t>
            </w:r>
          </w:p>
        </w:tc>
        <w:tc>
          <w:tcPr>
            <w:tcW w:w="993" w:type="dxa"/>
          </w:tcPr>
          <w:p w14:paraId="7C71CA8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Legal Tech</w:t>
            </w:r>
          </w:p>
        </w:tc>
        <w:tc>
          <w:tcPr>
            <w:tcW w:w="1134" w:type="dxa"/>
          </w:tcPr>
          <w:p w14:paraId="3473E86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 Fine-Tuning, Custom Models</w:t>
            </w:r>
          </w:p>
        </w:tc>
        <w:tc>
          <w:tcPr>
            <w:tcW w:w="1070" w:type="dxa"/>
          </w:tcPr>
          <w:p w14:paraId="5DA769F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2022</w:t>
            </w:r>
          </w:p>
        </w:tc>
        <w:tc>
          <w:tcPr>
            <w:tcW w:w="1288" w:type="dxa"/>
          </w:tcPr>
          <w:p w14:paraId="7A9A266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5065029C" w14:textId="77777777" w:rsidTr="00AE6A55">
        <w:tc>
          <w:tcPr>
            <w:tcW w:w="704" w:type="dxa"/>
          </w:tcPr>
          <w:p w14:paraId="252077B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w:t>
            </w:r>
          </w:p>
        </w:tc>
        <w:tc>
          <w:tcPr>
            <w:tcW w:w="1276" w:type="dxa"/>
          </w:tcPr>
          <w:p w14:paraId="699D7E18" w14:textId="3B68A59A"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Copy.ai </w:t>
            </w:r>
          </w:p>
        </w:tc>
        <w:tc>
          <w:tcPr>
            <w:tcW w:w="2551" w:type="dxa"/>
          </w:tcPr>
          <w:p w14:paraId="59FB5E0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AI-powered copywriter that generates marketing copy, blog posts, social media content, and emails.</w:t>
            </w:r>
          </w:p>
        </w:tc>
        <w:tc>
          <w:tcPr>
            <w:tcW w:w="993" w:type="dxa"/>
          </w:tcPr>
          <w:p w14:paraId="1B52D6F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Marketing Tech, Content Creation</w:t>
            </w:r>
          </w:p>
        </w:tc>
        <w:tc>
          <w:tcPr>
            <w:tcW w:w="1134" w:type="dxa"/>
          </w:tcPr>
          <w:p w14:paraId="540D597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 GPT-4</w:t>
            </w:r>
          </w:p>
        </w:tc>
        <w:tc>
          <w:tcPr>
            <w:tcW w:w="1070" w:type="dxa"/>
          </w:tcPr>
          <w:p w14:paraId="1F2EB3C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2020</w:t>
            </w:r>
          </w:p>
        </w:tc>
        <w:tc>
          <w:tcPr>
            <w:tcW w:w="1288" w:type="dxa"/>
          </w:tcPr>
          <w:p w14:paraId="5DB3A8F1"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Early Access Advantage</w:t>
            </w:r>
          </w:p>
        </w:tc>
      </w:tr>
      <w:tr w:rsidR="00347324" w:rsidRPr="00347324" w14:paraId="342397C5" w14:textId="77777777" w:rsidTr="00AE6A55">
        <w:tc>
          <w:tcPr>
            <w:tcW w:w="704" w:type="dxa"/>
          </w:tcPr>
          <w:p w14:paraId="4E220B7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3.</w:t>
            </w:r>
          </w:p>
        </w:tc>
        <w:tc>
          <w:tcPr>
            <w:tcW w:w="1276" w:type="dxa"/>
          </w:tcPr>
          <w:p w14:paraId="0B1DAFB1" w14:textId="29083868"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Descript </w:t>
            </w:r>
          </w:p>
        </w:tc>
        <w:tc>
          <w:tcPr>
            <w:tcW w:w="2551" w:type="dxa"/>
          </w:tcPr>
          <w:p w14:paraId="0CE9D14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All-in-one audio and video editing platform that allows editing via a text transcript, powered by AI features.</w:t>
            </w:r>
          </w:p>
        </w:tc>
        <w:tc>
          <w:tcPr>
            <w:tcW w:w="993" w:type="dxa"/>
          </w:tcPr>
          <w:p w14:paraId="010E383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Creator Economy, Media Tech</w:t>
            </w:r>
          </w:p>
        </w:tc>
        <w:tc>
          <w:tcPr>
            <w:tcW w:w="1134" w:type="dxa"/>
          </w:tcPr>
          <w:p w14:paraId="198F119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Whisper, GPT models for summarization</w:t>
            </w:r>
          </w:p>
        </w:tc>
        <w:tc>
          <w:tcPr>
            <w:tcW w:w="1070" w:type="dxa"/>
          </w:tcPr>
          <w:p w14:paraId="20A17FA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2017 (AI integration post-2020)</w:t>
            </w:r>
          </w:p>
        </w:tc>
        <w:tc>
          <w:tcPr>
            <w:tcW w:w="1288" w:type="dxa"/>
          </w:tcPr>
          <w:p w14:paraId="6EAB13C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Feature Integration</w:t>
            </w:r>
          </w:p>
        </w:tc>
      </w:tr>
      <w:tr w:rsidR="00347324" w:rsidRPr="00347324" w14:paraId="57042765" w14:textId="77777777" w:rsidTr="00AE6A55">
        <w:tc>
          <w:tcPr>
            <w:tcW w:w="704" w:type="dxa"/>
          </w:tcPr>
          <w:p w14:paraId="54823F3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4.</w:t>
            </w:r>
          </w:p>
        </w:tc>
        <w:tc>
          <w:tcPr>
            <w:tcW w:w="1276" w:type="dxa"/>
          </w:tcPr>
          <w:p w14:paraId="23BF712E" w14:textId="1F1FFBB6"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Mem </w:t>
            </w:r>
          </w:p>
        </w:tc>
        <w:tc>
          <w:tcPr>
            <w:tcW w:w="2551" w:type="dxa"/>
          </w:tcPr>
          <w:p w14:paraId="0265A98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AI-powered self-organizing workspace and note-taking app that acts as a "second brain."</w:t>
            </w:r>
          </w:p>
        </w:tc>
        <w:tc>
          <w:tcPr>
            <w:tcW w:w="993" w:type="dxa"/>
          </w:tcPr>
          <w:p w14:paraId="1125AC9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Productivity Software, SaaS</w:t>
            </w:r>
          </w:p>
        </w:tc>
        <w:tc>
          <w:tcPr>
            <w:tcW w:w="1134" w:type="dxa"/>
          </w:tcPr>
          <w:p w14:paraId="6D5BAD3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 Embeddings</w:t>
            </w:r>
          </w:p>
        </w:tc>
        <w:tc>
          <w:tcPr>
            <w:tcW w:w="1070" w:type="dxa"/>
          </w:tcPr>
          <w:p w14:paraId="7111384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2019</w:t>
            </w:r>
          </w:p>
        </w:tc>
        <w:tc>
          <w:tcPr>
            <w:tcW w:w="1288" w:type="dxa"/>
          </w:tcPr>
          <w:p w14:paraId="3CA9BEA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Early Access Advantage</w:t>
            </w:r>
          </w:p>
        </w:tc>
      </w:tr>
      <w:tr w:rsidR="00347324" w:rsidRPr="00347324" w14:paraId="3D6FC91A" w14:textId="77777777" w:rsidTr="00AE6A55">
        <w:tc>
          <w:tcPr>
            <w:tcW w:w="704" w:type="dxa"/>
          </w:tcPr>
          <w:p w14:paraId="55682AE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5.</w:t>
            </w:r>
          </w:p>
        </w:tc>
        <w:tc>
          <w:tcPr>
            <w:tcW w:w="1276" w:type="dxa"/>
          </w:tcPr>
          <w:p w14:paraId="1842B843" w14:textId="1D173A30"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Speak </w:t>
            </w:r>
          </w:p>
        </w:tc>
        <w:tc>
          <w:tcPr>
            <w:tcW w:w="2551" w:type="dxa"/>
          </w:tcPr>
          <w:p w14:paraId="52A39BB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AI-powered language learning application that provides real-time conversational practice and feedback.</w:t>
            </w:r>
          </w:p>
        </w:tc>
        <w:tc>
          <w:tcPr>
            <w:tcW w:w="993" w:type="dxa"/>
          </w:tcPr>
          <w:p w14:paraId="699A5A61"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EdTech, Language Learning</w:t>
            </w:r>
          </w:p>
        </w:tc>
        <w:tc>
          <w:tcPr>
            <w:tcW w:w="1134" w:type="dxa"/>
          </w:tcPr>
          <w:p w14:paraId="618A285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Whisper, GPT models</w:t>
            </w:r>
          </w:p>
        </w:tc>
        <w:tc>
          <w:tcPr>
            <w:tcW w:w="1070" w:type="dxa"/>
          </w:tcPr>
          <w:p w14:paraId="0C3A30B4"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2016 (AI integration post-2021)</w:t>
            </w:r>
          </w:p>
        </w:tc>
        <w:tc>
          <w:tcPr>
            <w:tcW w:w="1288" w:type="dxa"/>
          </w:tcPr>
          <w:p w14:paraId="2F6B2B7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Simultaneous Launch</w:t>
            </w:r>
          </w:p>
        </w:tc>
      </w:tr>
      <w:tr w:rsidR="00347324" w:rsidRPr="00347324" w14:paraId="1108DDBA" w14:textId="77777777" w:rsidTr="00AE6A55">
        <w:tc>
          <w:tcPr>
            <w:tcW w:w="704" w:type="dxa"/>
          </w:tcPr>
          <w:p w14:paraId="0482C5D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6.</w:t>
            </w:r>
          </w:p>
        </w:tc>
        <w:tc>
          <w:tcPr>
            <w:tcW w:w="1276" w:type="dxa"/>
          </w:tcPr>
          <w:p w14:paraId="27ED537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Duolingo (Max)</w:t>
            </w:r>
          </w:p>
        </w:tc>
        <w:tc>
          <w:tcPr>
            <w:tcW w:w="2551" w:type="dxa"/>
          </w:tcPr>
          <w:p w14:paraId="56A83EE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Language learning platform using GPT-4 for features like "Explain my Answer" and "Role Play."</w:t>
            </w:r>
          </w:p>
        </w:tc>
        <w:tc>
          <w:tcPr>
            <w:tcW w:w="993" w:type="dxa"/>
          </w:tcPr>
          <w:p w14:paraId="0F81AD4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EdTech, Language Learning</w:t>
            </w:r>
          </w:p>
        </w:tc>
        <w:tc>
          <w:tcPr>
            <w:tcW w:w="1134" w:type="dxa"/>
          </w:tcPr>
          <w:p w14:paraId="7CE1980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w:t>
            </w:r>
          </w:p>
        </w:tc>
        <w:tc>
          <w:tcPr>
            <w:tcW w:w="1070" w:type="dxa"/>
          </w:tcPr>
          <w:p w14:paraId="7592C59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2011 (GPT-4 integration 2023)</w:t>
            </w:r>
          </w:p>
        </w:tc>
        <w:tc>
          <w:tcPr>
            <w:tcW w:w="1288" w:type="dxa"/>
          </w:tcPr>
          <w:p w14:paraId="1AB446B2"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Simultaneous Launch</w:t>
            </w:r>
          </w:p>
        </w:tc>
      </w:tr>
      <w:tr w:rsidR="00347324" w:rsidRPr="00347324" w14:paraId="64817F03" w14:textId="77777777" w:rsidTr="00AE6A55">
        <w:tc>
          <w:tcPr>
            <w:tcW w:w="704" w:type="dxa"/>
          </w:tcPr>
          <w:p w14:paraId="1C2EF1D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7.</w:t>
            </w:r>
          </w:p>
        </w:tc>
        <w:tc>
          <w:tcPr>
            <w:tcW w:w="1276" w:type="dxa"/>
          </w:tcPr>
          <w:p w14:paraId="5001046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Khan Academy (</w:t>
            </w:r>
            <w:proofErr w:type="spellStart"/>
            <w:r w:rsidRPr="00347324">
              <w:rPr>
                <w:rFonts w:ascii="Times New Roman" w:hAnsi="Times New Roman" w:cs="Times New Roman"/>
                <w:sz w:val="20"/>
                <w:szCs w:val="20"/>
              </w:rPr>
              <w:t>Khanmigo</w:t>
            </w:r>
            <w:proofErr w:type="spellEnd"/>
            <w:r w:rsidRPr="00347324">
              <w:rPr>
                <w:rFonts w:ascii="Times New Roman" w:hAnsi="Times New Roman" w:cs="Times New Roman"/>
                <w:sz w:val="20"/>
                <w:szCs w:val="20"/>
              </w:rPr>
              <w:t>)</w:t>
            </w:r>
          </w:p>
        </w:tc>
        <w:tc>
          <w:tcPr>
            <w:tcW w:w="2551" w:type="dxa"/>
          </w:tcPr>
          <w:p w14:paraId="52128C7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Educational non-profit using GPT-4 as an AI-powered tutor and teaching assistant.</w:t>
            </w:r>
          </w:p>
        </w:tc>
        <w:tc>
          <w:tcPr>
            <w:tcW w:w="993" w:type="dxa"/>
          </w:tcPr>
          <w:p w14:paraId="2CA412D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EdTech, Non-Profit</w:t>
            </w:r>
          </w:p>
        </w:tc>
        <w:tc>
          <w:tcPr>
            <w:tcW w:w="1134" w:type="dxa"/>
          </w:tcPr>
          <w:p w14:paraId="2D7398E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w:t>
            </w:r>
          </w:p>
        </w:tc>
        <w:tc>
          <w:tcPr>
            <w:tcW w:w="1070" w:type="dxa"/>
          </w:tcPr>
          <w:p w14:paraId="46BC89E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2008 (GPT-4 integration 2023)</w:t>
            </w:r>
          </w:p>
        </w:tc>
        <w:tc>
          <w:tcPr>
            <w:tcW w:w="1288" w:type="dxa"/>
          </w:tcPr>
          <w:p w14:paraId="4A02B25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Simultaneous Launch</w:t>
            </w:r>
          </w:p>
        </w:tc>
      </w:tr>
      <w:tr w:rsidR="00347324" w:rsidRPr="00347324" w14:paraId="4358C11A" w14:textId="77777777" w:rsidTr="00AE6A55">
        <w:tc>
          <w:tcPr>
            <w:tcW w:w="704" w:type="dxa"/>
          </w:tcPr>
          <w:p w14:paraId="56F27F2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8.</w:t>
            </w:r>
          </w:p>
        </w:tc>
        <w:tc>
          <w:tcPr>
            <w:tcW w:w="1276" w:type="dxa"/>
          </w:tcPr>
          <w:p w14:paraId="300454E2" w14:textId="61C9FDB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Stripe </w:t>
            </w:r>
          </w:p>
        </w:tc>
        <w:tc>
          <w:tcPr>
            <w:tcW w:w="2551" w:type="dxa"/>
          </w:tcPr>
          <w:p w14:paraId="31391C8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Financial infrastructure company using GPT-4 to enhance user support, parse documentation, and combat fraud.</w:t>
            </w:r>
          </w:p>
        </w:tc>
        <w:tc>
          <w:tcPr>
            <w:tcW w:w="993" w:type="dxa"/>
          </w:tcPr>
          <w:p w14:paraId="7708F46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FinTech</w:t>
            </w:r>
          </w:p>
        </w:tc>
        <w:tc>
          <w:tcPr>
            <w:tcW w:w="1134" w:type="dxa"/>
          </w:tcPr>
          <w:p w14:paraId="2D9539E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w:t>
            </w:r>
          </w:p>
        </w:tc>
        <w:tc>
          <w:tcPr>
            <w:tcW w:w="1070" w:type="dxa"/>
          </w:tcPr>
          <w:p w14:paraId="50DB6A7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2010 (GPT-4 integration 2023)</w:t>
            </w:r>
          </w:p>
        </w:tc>
        <w:tc>
          <w:tcPr>
            <w:tcW w:w="1288" w:type="dxa"/>
          </w:tcPr>
          <w:p w14:paraId="0C91759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Feature Integration</w:t>
            </w:r>
          </w:p>
        </w:tc>
      </w:tr>
      <w:tr w:rsidR="00347324" w:rsidRPr="00347324" w14:paraId="007B4979" w14:textId="77777777" w:rsidTr="00AE6A55">
        <w:tc>
          <w:tcPr>
            <w:tcW w:w="704" w:type="dxa"/>
          </w:tcPr>
          <w:p w14:paraId="3EF4D27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9.</w:t>
            </w:r>
          </w:p>
        </w:tc>
        <w:tc>
          <w:tcPr>
            <w:tcW w:w="1276" w:type="dxa"/>
          </w:tcPr>
          <w:p w14:paraId="513B1F22" w14:textId="0678C27E"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Morgan Stanley </w:t>
            </w:r>
          </w:p>
        </w:tc>
        <w:tc>
          <w:tcPr>
            <w:tcW w:w="2551" w:type="dxa"/>
          </w:tcPr>
          <w:p w14:paraId="6426378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Wealth management firm using a custom GPT-4 model to access and synthesize its vast internal knowledge base for financial advisors.</w:t>
            </w:r>
          </w:p>
        </w:tc>
        <w:tc>
          <w:tcPr>
            <w:tcW w:w="993" w:type="dxa"/>
          </w:tcPr>
          <w:p w14:paraId="292C867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FinTech, Wealth Management</w:t>
            </w:r>
          </w:p>
        </w:tc>
        <w:tc>
          <w:tcPr>
            <w:tcW w:w="1134" w:type="dxa"/>
          </w:tcPr>
          <w:p w14:paraId="2C2F4FF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 Custom Models</w:t>
            </w:r>
          </w:p>
        </w:tc>
        <w:tc>
          <w:tcPr>
            <w:tcW w:w="1070" w:type="dxa"/>
          </w:tcPr>
          <w:p w14:paraId="2E1B43D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1935 (GPT-4 integration 2023)</w:t>
            </w:r>
          </w:p>
        </w:tc>
        <w:tc>
          <w:tcPr>
            <w:tcW w:w="1288" w:type="dxa"/>
          </w:tcPr>
          <w:p w14:paraId="6706872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3D78D8E3" w14:textId="77777777" w:rsidTr="00AE6A55">
        <w:tc>
          <w:tcPr>
            <w:tcW w:w="704" w:type="dxa"/>
          </w:tcPr>
          <w:p w14:paraId="14BE4ED2"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10.</w:t>
            </w:r>
          </w:p>
        </w:tc>
        <w:tc>
          <w:tcPr>
            <w:tcW w:w="1276" w:type="dxa"/>
          </w:tcPr>
          <w:p w14:paraId="63E29A0A" w14:textId="1688502E"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Be My Eyes </w:t>
            </w:r>
          </w:p>
        </w:tc>
        <w:tc>
          <w:tcPr>
            <w:tcW w:w="2551" w:type="dxa"/>
          </w:tcPr>
          <w:p w14:paraId="073C6F7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Mobile app connecting blind and low-vision individuals with volunteers and an AI visual assistant powered by GPT-4.</w:t>
            </w:r>
          </w:p>
        </w:tc>
        <w:tc>
          <w:tcPr>
            <w:tcW w:w="993" w:type="dxa"/>
          </w:tcPr>
          <w:p w14:paraId="348D6474"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Accessibility Tech, Social Impact</w:t>
            </w:r>
          </w:p>
        </w:tc>
        <w:tc>
          <w:tcPr>
            <w:tcW w:w="1134" w:type="dxa"/>
          </w:tcPr>
          <w:p w14:paraId="2F53746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 (Vision)</w:t>
            </w:r>
          </w:p>
        </w:tc>
        <w:tc>
          <w:tcPr>
            <w:tcW w:w="1070" w:type="dxa"/>
          </w:tcPr>
          <w:p w14:paraId="2FA5917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2015 (GPT-4 integration 2023)</w:t>
            </w:r>
          </w:p>
        </w:tc>
        <w:tc>
          <w:tcPr>
            <w:tcW w:w="1288" w:type="dxa"/>
          </w:tcPr>
          <w:p w14:paraId="7DC9B02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Simultaneous Launch</w:t>
            </w:r>
          </w:p>
        </w:tc>
      </w:tr>
      <w:tr w:rsidR="00347324" w:rsidRPr="00347324" w14:paraId="7143AEDF" w14:textId="77777777" w:rsidTr="00AE6A55">
        <w:tc>
          <w:tcPr>
            <w:tcW w:w="704" w:type="dxa"/>
          </w:tcPr>
          <w:p w14:paraId="60253FD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11.</w:t>
            </w:r>
          </w:p>
        </w:tc>
        <w:tc>
          <w:tcPr>
            <w:tcW w:w="1276" w:type="dxa"/>
          </w:tcPr>
          <w:p w14:paraId="100E66CF" w14:textId="55436BB8"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Viable </w:t>
            </w:r>
          </w:p>
        </w:tc>
        <w:tc>
          <w:tcPr>
            <w:tcW w:w="2551" w:type="dxa"/>
          </w:tcPr>
          <w:p w14:paraId="138ACEE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AI analytics platform that aggregates and analyzes qualitative customer feedback using fine-tuned models.</w:t>
            </w:r>
          </w:p>
        </w:tc>
        <w:tc>
          <w:tcPr>
            <w:tcW w:w="993" w:type="dxa"/>
          </w:tcPr>
          <w:p w14:paraId="4F30DE4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Data Analytics, SaaS</w:t>
            </w:r>
          </w:p>
        </w:tc>
        <w:tc>
          <w:tcPr>
            <w:tcW w:w="1134" w:type="dxa"/>
          </w:tcPr>
          <w:p w14:paraId="20CCC3A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 GPT-4, Fine-Tuning</w:t>
            </w:r>
          </w:p>
        </w:tc>
        <w:tc>
          <w:tcPr>
            <w:tcW w:w="1070" w:type="dxa"/>
          </w:tcPr>
          <w:p w14:paraId="6A7BBB4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2020</w:t>
            </w:r>
          </w:p>
        </w:tc>
        <w:tc>
          <w:tcPr>
            <w:tcW w:w="1288" w:type="dxa"/>
          </w:tcPr>
          <w:p w14:paraId="27CCA78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Early Access Advantage</w:t>
            </w:r>
          </w:p>
        </w:tc>
      </w:tr>
      <w:tr w:rsidR="00347324" w:rsidRPr="00347324" w14:paraId="47D41DC1" w14:textId="77777777" w:rsidTr="00AE6A55">
        <w:tc>
          <w:tcPr>
            <w:tcW w:w="704" w:type="dxa"/>
          </w:tcPr>
          <w:p w14:paraId="4C989021"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12.</w:t>
            </w:r>
          </w:p>
        </w:tc>
        <w:tc>
          <w:tcPr>
            <w:tcW w:w="1276" w:type="dxa"/>
          </w:tcPr>
          <w:p w14:paraId="13DE2A37" w14:textId="6C46053A"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Elicit </w:t>
            </w:r>
          </w:p>
        </w:tc>
        <w:tc>
          <w:tcPr>
            <w:tcW w:w="2551" w:type="dxa"/>
          </w:tcPr>
          <w:p w14:paraId="4D064CD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AI research assistant that automates literature reviews by finding relevant papers </w:t>
            </w:r>
            <w:r w:rsidRPr="00347324">
              <w:rPr>
                <w:rFonts w:ascii="Times New Roman" w:hAnsi="Times New Roman" w:cs="Times New Roman"/>
                <w:sz w:val="20"/>
                <w:szCs w:val="20"/>
              </w:rPr>
              <w:lastRenderedPageBreak/>
              <w:t>and summarizing key findings.</w:t>
            </w:r>
          </w:p>
        </w:tc>
        <w:tc>
          <w:tcPr>
            <w:tcW w:w="993" w:type="dxa"/>
          </w:tcPr>
          <w:p w14:paraId="05BF555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lastRenderedPageBreak/>
              <w:t>Research Tech, EdTech</w:t>
            </w:r>
          </w:p>
        </w:tc>
        <w:tc>
          <w:tcPr>
            <w:tcW w:w="1134" w:type="dxa"/>
          </w:tcPr>
          <w:p w14:paraId="18398DA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w:t>
            </w:r>
          </w:p>
        </w:tc>
        <w:tc>
          <w:tcPr>
            <w:tcW w:w="1070" w:type="dxa"/>
          </w:tcPr>
          <w:p w14:paraId="72FCD99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2021</w:t>
            </w:r>
          </w:p>
        </w:tc>
        <w:tc>
          <w:tcPr>
            <w:tcW w:w="1288" w:type="dxa"/>
          </w:tcPr>
          <w:p w14:paraId="6935964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Early Access Advantage</w:t>
            </w:r>
          </w:p>
        </w:tc>
      </w:tr>
      <w:tr w:rsidR="00347324" w:rsidRPr="00347324" w14:paraId="37BDC234" w14:textId="77777777" w:rsidTr="00AE6A55">
        <w:tc>
          <w:tcPr>
            <w:tcW w:w="704" w:type="dxa"/>
          </w:tcPr>
          <w:p w14:paraId="2F8652C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13.</w:t>
            </w:r>
          </w:p>
        </w:tc>
        <w:tc>
          <w:tcPr>
            <w:tcW w:w="1276" w:type="dxa"/>
          </w:tcPr>
          <w:p w14:paraId="4F2251B7" w14:textId="77777777" w:rsidR="00347324" w:rsidRPr="00347324" w:rsidRDefault="00347324" w:rsidP="00347324">
            <w:pPr>
              <w:rPr>
                <w:rFonts w:ascii="Times New Roman" w:hAnsi="Times New Roman" w:cs="Times New Roman"/>
                <w:sz w:val="20"/>
                <w:szCs w:val="20"/>
              </w:rPr>
            </w:pPr>
            <w:proofErr w:type="spellStart"/>
            <w:r w:rsidRPr="00347324">
              <w:rPr>
                <w:rFonts w:ascii="Times New Roman" w:hAnsi="Times New Roman" w:cs="Times New Roman"/>
                <w:sz w:val="20"/>
                <w:szCs w:val="20"/>
              </w:rPr>
              <w:t>Replit</w:t>
            </w:r>
            <w:proofErr w:type="spellEnd"/>
            <w:r w:rsidRPr="00347324">
              <w:rPr>
                <w:rFonts w:ascii="Times New Roman" w:hAnsi="Times New Roman" w:cs="Times New Roman"/>
                <w:sz w:val="20"/>
                <w:szCs w:val="20"/>
              </w:rPr>
              <w:t xml:space="preserve"> (Ghostwriter)</w:t>
            </w:r>
          </w:p>
        </w:tc>
        <w:tc>
          <w:tcPr>
            <w:tcW w:w="2551" w:type="dxa"/>
          </w:tcPr>
          <w:p w14:paraId="72A5C6D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Browser-based IDE with an AI-powered coding assistant for code generation, explanation, and debugging.</w:t>
            </w:r>
          </w:p>
        </w:tc>
        <w:tc>
          <w:tcPr>
            <w:tcW w:w="993" w:type="dxa"/>
          </w:tcPr>
          <w:p w14:paraId="5CCB60B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Developer Tools, Cloud IDE</w:t>
            </w:r>
          </w:p>
        </w:tc>
        <w:tc>
          <w:tcPr>
            <w:tcW w:w="1134" w:type="dxa"/>
          </w:tcPr>
          <w:p w14:paraId="0149D7C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Codex, GPT models</w:t>
            </w:r>
          </w:p>
        </w:tc>
        <w:tc>
          <w:tcPr>
            <w:tcW w:w="1070" w:type="dxa"/>
          </w:tcPr>
          <w:p w14:paraId="08E8710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2016 (AI integration post-2021)</w:t>
            </w:r>
          </w:p>
        </w:tc>
        <w:tc>
          <w:tcPr>
            <w:tcW w:w="1288" w:type="dxa"/>
          </w:tcPr>
          <w:p w14:paraId="5843AFD7"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Feature Integration</w:t>
            </w:r>
          </w:p>
        </w:tc>
      </w:tr>
      <w:tr w:rsidR="00347324" w:rsidRPr="00347324" w14:paraId="6D16B269" w14:textId="77777777" w:rsidTr="00AE6A55">
        <w:tc>
          <w:tcPr>
            <w:tcW w:w="704" w:type="dxa"/>
          </w:tcPr>
          <w:p w14:paraId="05D0270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14.</w:t>
            </w:r>
          </w:p>
        </w:tc>
        <w:tc>
          <w:tcPr>
            <w:tcW w:w="1276" w:type="dxa"/>
          </w:tcPr>
          <w:p w14:paraId="1D76CF41" w14:textId="33524EFC"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Warp </w:t>
            </w:r>
          </w:p>
        </w:tc>
        <w:tc>
          <w:tcPr>
            <w:tcW w:w="2551" w:type="dxa"/>
          </w:tcPr>
          <w:p w14:paraId="71F9A68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Modern terminal with an integrated AI assistant for command search, debugging, and workflow automation.</w:t>
            </w:r>
          </w:p>
        </w:tc>
        <w:tc>
          <w:tcPr>
            <w:tcW w:w="993" w:type="dxa"/>
          </w:tcPr>
          <w:p w14:paraId="1177B3C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Developer Tools</w:t>
            </w:r>
          </w:p>
        </w:tc>
        <w:tc>
          <w:tcPr>
            <w:tcW w:w="1134" w:type="dxa"/>
          </w:tcPr>
          <w:p w14:paraId="3838046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Codex, GPT models</w:t>
            </w:r>
          </w:p>
        </w:tc>
        <w:tc>
          <w:tcPr>
            <w:tcW w:w="1070" w:type="dxa"/>
          </w:tcPr>
          <w:p w14:paraId="580D9E9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2020</w:t>
            </w:r>
          </w:p>
        </w:tc>
        <w:tc>
          <w:tcPr>
            <w:tcW w:w="1288" w:type="dxa"/>
          </w:tcPr>
          <w:p w14:paraId="1D8AB38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Feature Integration</w:t>
            </w:r>
          </w:p>
        </w:tc>
      </w:tr>
      <w:tr w:rsidR="00347324" w:rsidRPr="00347324" w14:paraId="7968CC49" w14:textId="77777777" w:rsidTr="00AE6A55">
        <w:tc>
          <w:tcPr>
            <w:tcW w:w="704" w:type="dxa"/>
          </w:tcPr>
          <w:p w14:paraId="1AC75AF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15.</w:t>
            </w:r>
          </w:p>
        </w:tc>
        <w:tc>
          <w:tcPr>
            <w:tcW w:w="1276" w:type="dxa"/>
          </w:tcPr>
          <w:p w14:paraId="6CF949BC" w14:textId="77ACDFC0"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Shutterstock </w:t>
            </w:r>
          </w:p>
        </w:tc>
        <w:tc>
          <w:tcPr>
            <w:tcW w:w="2551" w:type="dxa"/>
          </w:tcPr>
          <w:p w14:paraId="328E9E3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Stock media provider integrating DALL-E to allow users to generate custom images on its platform.</w:t>
            </w:r>
          </w:p>
        </w:tc>
        <w:tc>
          <w:tcPr>
            <w:tcW w:w="993" w:type="dxa"/>
          </w:tcPr>
          <w:p w14:paraId="24598E8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Media, Creator Economy</w:t>
            </w:r>
          </w:p>
        </w:tc>
        <w:tc>
          <w:tcPr>
            <w:tcW w:w="1134" w:type="dxa"/>
          </w:tcPr>
          <w:p w14:paraId="1ABEDC3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DALL-E 2, DALL-E 3</w:t>
            </w:r>
          </w:p>
        </w:tc>
        <w:tc>
          <w:tcPr>
            <w:tcW w:w="1070" w:type="dxa"/>
          </w:tcPr>
          <w:p w14:paraId="271302C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2003 (DALL-E integration 2022)</w:t>
            </w:r>
          </w:p>
        </w:tc>
        <w:tc>
          <w:tcPr>
            <w:tcW w:w="1288" w:type="dxa"/>
          </w:tcPr>
          <w:p w14:paraId="1F5E22C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Feature Integration</w:t>
            </w:r>
          </w:p>
        </w:tc>
      </w:tr>
      <w:tr w:rsidR="00347324" w:rsidRPr="00347324" w14:paraId="27672466" w14:textId="77777777" w:rsidTr="00AE6A55">
        <w:tc>
          <w:tcPr>
            <w:tcW w:w="704" w:type="dxa"/>
          </w:tcPr>
          <w:p w14:paraId="4471FBD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16.</w:t>
            </w:r>
          </w:p>
        </w:tc>
        <w:tc>
          <w:tcPr>
            <w:tcW w:w="1276" w:type="dxa"/>
          </w:tcPr>
          <w:p w14:paraId="63D8242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Salesforce (Einstein GPT)</w:t>
            </w:r>
          </w:p>
        </w:tc>
        <w:tc>
          <w:tcPr>
            <w:tcW w:w="2551" w:type="dxa"/>
          </w:tcPr>
          <w:p w14:paraId="75EECD7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CRM platform integrating OpenAI models into its products, including Slack, for summarization and content generation.</w:t>
            </w:r>
          </w:p>
        </w:tc>
        <w:tc>
          <w:tcPr>
            <w:tcW w:w="993" w:type="dxa"/>
          </w:tcPr>
          <w:p w14:paraId="654D595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Enterprise Software, CRM</w:t>
            </w:r>
          </w:p>
        </w:tc>
        <w:tc>
          <w:tcPr>
            <w:tcW w:w="1134" w:type="dxa"/>
          </w:tcPr>
          <w:p w14:paraId="636A773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GPT-3.5, GPT-4</w:t>
            </w:r>
          </w:p>
        </w:tc>
        <w:tc>
          <w:tcPr>
            <w:tcW w:w="1070" w:type="dxa"/>
          </w:tcPr>
          <w:p w14:paraId="066B58F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1999 (AI integration 2023)</w:t>
            </w:r>
          </w:p>
        </w:tc>
        <w:tc>
          <w:tcPr>
            <w:tcW w:w="1288" w:type="dxa"/>
          </w:tcPr>
          <w:p w14:paraId="5F3FA34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6E7223DF" w14:textId="77777777" w:rsidTr="00AE6A55">
        <w:tc>
          <w:tcPr>
            <w:tcW w:w="704" w:type="dxa"/>
          </w:tcPr>
          <w:p w14:paraId="3AEC157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17.</w:t>
            </w:r>
          </w:p>
        </w:tc>
        <w:tc>
          <w:tcPr>
            <w:tcW w:w="1276" w:type="dxa"/>
          </w:tcPr>
          <w:p w14:paraId="0E00BA8C" w14:textId="3E10D085"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Keeper Tax </w:t>
            </w:r>
          </w:p>
        </w:tc>
        <w:tc>
          <w:tcPr>
            <w:tcW w:w="2551" w:type="dxa"/>
          </w:tcPr>
          <w:p w14:paraId="4D013C7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Financial app for freelancers that uses AI to identify tax-deductible expenses from bank statements.</w:t>
            </w:r>
          </w:p>
        </w:tc>
        <w:tc>
          <w:tcPr>
            <w:tcW w:w="993" w:type="dxa"/>
          </w:tcPr>
          <w:p w14:paraId="43787BA4"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FinTech, Tax Software</w:t>
            </w:r>
          </w:p>
        </w:tc>
        <w:tc>
          <w:tcPr>
            <w:tcW w:w="1134" w:type="dxa"/>
          </w:tcPr>
          <w:p w14:paraId="002C0C16"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w:t>
            </w:r>
          </w:p>
        </w:tc>
        <w:tc>
          <w:tcPr>
            <w:tcW w:w="1070" w:type="dxa"/>
          </w:tcPr>
          <w:p w14:paraId="34D862B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2017</w:t>
            </w:r>
          </w:p>
        </w:tc>
        <w:tc>
          <w:tcPr>
            <w:tcW w:w="1288" w:type="dxa"/>
          </w:tcPr>
          <w:p w14:paraId="6C50AFB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Early Access Advantage</w:t>
            </w:r>
          </w:p>
        </w:tc>
      </w:tr>
      <w:tr w:rsidR="00347324" w:rsidRPr="00347324" w14:paraId="3E0A9293" w14:textId="77777777" w:rsidTr="00AE6A55">
        <w:tc>
          <w:tcPr>
            <w:tcW w:w="704" w:type="dxa"/>
          </w:tcPr>
          <w:p w14:paraId="2BD70FE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18.</w:t>
            </w:r>
          </w:p>
        </w:tc>
        <w:tc>
          <w:tcPr>
            <w:tcW w:w="1276" w:type="dxa"/>
          </w:tcPr>
          <w:p w14:paraId="748B0948" w14:textId="07B76CD9" w:rsidR="00347324" w:rsidRPr="00347324" w:rsidRDefault="00347324" w:rsidP="00347324">
            <w:pPr>
              <w:rPr>
                <w:rFonts w:ascii="Times New Roman" w:hAnsi="Times New Roman" w:cs="Times New Roman"/>
                <w:sz w:val="20"/>
                <w:szCs w:val="20"/>
              </w:rPr>
            </w:pPr>
            <w:proofErr w:type="spellStart"/>
            <w:r w:rsidRPr="00347324">
              <w:rPr>
                <w:rFonts w:ascii="Times New Roman" w:hAnsi="Times New Roman" w:cs="Times New Roman"/>
                <w:sz w:val="20"/>
                <w:szCs w:val="20"/>
              </w:rPr>
              <w:t>Algolia</w:t>
            </w:r>
            <w:proofErr w:type="spellEnd"/>
            <w:r w:rsidRPr="00347324">
              <w:rPr>
                <w:rFonts w:ascii="Times New Roman" w:hAnsi="Times New Roman" w:cs="Times New Roman"/>
                <w:sz w:val="20"/>
                <w:szCs w:val="20"/>
              </w:rPr>
              <w:t xml:space="preserve"> </w:t>
            </w:r>
          </w:p>
        </w:tc>
        <w:tc>
          <w:tcPr>
            <w:tcW w:w="2551" w:type="dxa"/>
          </w:tcPr>
          <w:p w14:paraId="14EFF79C"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Search-as-a-service provider using GPT models to power semantic search and natural language query understanding.</w:t>
            </w:r>
          </w:p>
        </w:tc>
        <w:tc>
          <w:tcPr>
            <w:tcW w:w="993" w:type="dxa"/>
          </w:tcPr>
          <w:p w14:paraId="54FAD73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Enterprise Search, SaaS</w:t>
            </w:r>
          </w:p>
        </w:tc>
        <w:tc>
          <w:tcPr>
            <w:tcW w:w="1134" w:type="dxa"/>
          </w:tcPr>
          <w:p w14:paraId="3620288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w:t>
            </w:r>
          </w:p>
        </w:tc>
        <w:tc>
          <w:tcPr>
            <w:tcW w:w="1070" w:type="dxa"/>
          </w:tcPr>
          <w:p w14:paraId="0ABEEBE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2012 (AI integration 2021)</w:t>
            </w:r>
          </w:p>
        </w:tc>
        <w:tc>
          <w:tcPr>
            <w:tcW w:w="1288" w:type="dxa"/>
          </w:tcPr>
          <w:p w14:paraId="596CCD3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2B94D0F9" w14:textId="77777777" w:rsidTr="00AE6A55">
        <w:tc>
          <w:tcPr>
            <w:tcW w:w="704" w:type="dxa"/>
          </w:tcPr>
          <w:p w14:paraId="36A5DD1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19.</w:t>
            </w:r>
          </w:p>
        </w:tc>
        <w:tc>
          <w:tcPr>
            <w:tcW w:w="1276" w:type="dxa"/>
          </w:tcPr>
          <w:p w14:paraId="141F33A4"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Notion (AI)</w:t>
            </w:r>
          </w:p>
        </w:tc>
        <w:tc>
          <w:tcPr>
            <w:tcW w:w="2551" w:type="dxa"/>
          </w:tcPr>
          <w:p w14:paraId="0C0CD93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All-in-one workspace platform that integrated AI features for writing, summarizing, and brainstorming.</w:t>
            </w:r>
          </w:p>
        </w:tc>
        <w:tc>
          <w:tcPr>
            <w:tcW w:w="993" w:type="dxa"/>
          </w:tcPr>
          <w:p w14:paraId="63F60D7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Productivity Software, SaaS</w:t>
            </w:r>
          </w:p>
        </w:tc>
        <w:tc>
          <w:tcPr>
            <w:tcW w:w="1134" w:type="dxa"/>
          </w:tcPr>
          <w:p w14:paraId="71704D92"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 GPT-4</w:t>
            </w:r>
          </w:p>
        </w:tc>
        <w:tc>
          <w:tcPr>
            <w:tcW w:w="1070" w:type="dxa"/>
          </w:tcPr>
          <w:p w14:paraId="7C5CE01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2016 (AI integration 2023)</w:t>
            </w:r>
          </w:p>
        </w:tc>
        <w:tc>
          <w:tcPr>
            <w:tcW w:w="1288" w:type="dxa"/>
          </w:tcPr>
          <w:p w14:paraId="120D843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Feature Integration</w:t>
            </w:r>
          </w:p>
        </w:tc>
      </w:tr>
      <w:tr w:rsidR="00347324" w:rsidRPr="00347324" w14:paraId="168F7905" w14:textId="77777777" w:rsidTr="00AE6A55">
        <w:tc>
          <w:tcPr>
            <w:tcW w:w="704" w:type="dxa"/>
          </w:tcPr>
          <w:p w14:paraId="0721A864"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w:t>
            </w:r>
          </w:p>
        </w:tc>
        <w:tc>
          <w:tcPr>
            <w:tcW w:w="1276" w:type="dxa"/>
          </w:tcPr>
          <w:p w14:paraId="3145C631" w14:textId="44B0B7AD"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Consensus </w:t>
            </w:r>
          </w:p>
        </w:tc>
        <w:tc>
          <w:tcPr>
            <w:tcW w:w="2551" w:type="dxa"/>
          </w:tcPr>
          <w:p w14:paraId="5CD112A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AI-powered search engine for scientific research that extracts and synthesizes findings from academic papers.</w:t>
            </w:r>
          </w:p>
        </w:tc>
        <w:tc>
          <w:tcPr>
            <w:tcW w:w="993" w:type="dxa"/>
          </w:tcPr>
          <w:p w14:paraId="5BC65E9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Research Tech, Search</w:t>
            </w:r>
          </w:p>
        </w:tc>
        <w:tc>
          <w:tcPr>
            <w:tcW w:w="1134" w:type="dxa"/>
          </w:tcPr>
          <w:p w14:paraId="6428E98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w:t>
            </w:r>
          </w:p>
        </w:tc>
        <w:tc>
          <w:tcPr>
            <w:tcW w:w="1070" w:type="dxa"/>
          </w:tcPr>
          <w:p w14:paraId="1094C6B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2022</w:t>
            </w:r>
          </w:p>
        </w:tc>
        <w:tc>
          <w:tcPr>
            <w:tcW w:w="1288" w:type="dxa"/>
          </w:tcPr>
          <w:p w14:paraId="369894C1"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3A8A6884" w14:textId="77777777" w:rsidTr="00AE6A55">
        <w:tc>
          <w:tcPr>
            <w:tcW w:w="704" w:type="dxa"/>
          </w:tcPr>
          <w:p w14:paraId="1922848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21.</w:t>
            </w:r>
          </w:p>
        </w:tc>
        <w:tc>
          <w:tcPr>
            <w:tcW w:w="1276" w:type="dxa"/>
          </w:tcPr>
          <w:p w14:paraId="5C438629" w14:textId="64DB6E1E"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 xml:space="preserve">Klarna </w:t>
            </w:r>
          </w:p>
        </w:tc>
        <w:tc>
          <w:tcPr>
            <w:tcW w:w="2551" w:type="dxa"/>
          </w:tcPr>
          <w:p w14:paraId="257EBF8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Global payments and shopping service using OpenAI models to power its AI assistant for customer service.</w:t>
            </w:r>
          </w:p>
        </w:tc>
        <w:tc>
          <w:tcPr>
            <w:tcW w:w="993" w:type="dxa"/>
          </w:tcPr>
          <w:p w14:paraId="0A86F98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FinTech, E-commerce</w:t>
            </w:r>
          </w:p>
        </w:tc>
        <w:tc>
          <w:tcPr>
            <w:tcW w:w="1134" w:type="dxa"/>
          </w:tcPr>
          <w:p w14:paraId="771ECB0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 Assistants API</w:t>
            </w:r>
          </w:p>
        </w:tc>
        <w:tc>
          <w:tcPr>
            <w:tcW w:w="1070" w:type="dxa"/>
          </w:tcPr>
          <w:p w14:paraId="73601E2A"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2005 (AI integration 2023)</w:t>
            </w:r>
          </w:p>
        </w:tc>
        <w:tc>
          <w:tcPr>
            <w:tcW w:w="1288" w:type="dxa"/>
          </w:tcPr>
          <w:p w14:paraId="497221E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1724C056" w14:textId="77777777" w:rsidTr="00AE6A55">
        <w:tc>
          <w:tcPr>
            <w:tcW w:w="704" w:type="dxa"/>
          </w:tcPr>
          <w:p w14:paraId="6AD85722"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22.</w:t>
            </w:r>
          </w:p>
        </w:tc>
        <w:tc>
          <w:tcPr>
            <w:tcW w:w="1276" w:type="dxa"/>
          </w:tcPr>
          <w:p w14:paraId="0893A2A0" w14:textId="6AE9403F" w:rsidR="00347324" w:rsidRPr="00347324" w:rsidRDefault="00347324" w:rsidP="00347324">
            <w:pPr>
              <w:rPr>
                <w:rFonts w:ascii="Times New Roman" w:hAnsi="Times New Roman" w:cs="Times New Roman"/>
                <w:sz w:val="20"/>
                <w:szCs w:val="20"/>
              </w:rPr>
            </w:pPr>
            <w:proofErr w:type="spellStart"/>
            <w:r w:rsidRPr="00347324">
              <w:rPr>
                <w:rFonts w:ascii="Times New Roman" w:hAnsi="Times New Roman" w:cs="Times New Roman"/>
                <w:sz w:val="20"/>
                <w:szCs w:val="20"/>
              </w:rPr>
              <w:t>Casetext</w:t>
            </w:r>
            <w:proofErr w:type="spellEnd"/>
            <w:r w:rsidRPr="00347324">
              <w:rPr>
                <w:rFonts w:ascii="Times New Roman" w:hAnsi="Times New Roman" w:cs="Times New Roman"/>
                <w:sz w:val="20"/>
                <w:szCs w:val="20"/>
              </w:rPr>
              <w:t xml:space="preserve"> </w:t>
            </w:r>
          </w:p>
        </w:tc>
        <w:tc>
          <w:tcPr>
            <w:tcW w:w="2551" w:type="dxa"/>
          </w:tcPr>
          <w:p w14:paraId="22D27D9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AI legal research technology that uses LLMs to help lawyers find relevant authorities faster.</w:t>
            </w:r>
          </w:p>
        </w:tc>
        <w:tc>
          <w:tcPr>
            <w:tcW w:w="993" w:type="dxa"/>
          </w:tcPr>
          <w:p w14:paraId="0027C1F3"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Legal Tech</w:t>
            </w:r>
          </w:p>
        </w:tc>
        <w:tc>
          <w:tcPr>
            <w:tcW w:w="1134" w:type="dxa"/>
          </w:tcPr>
          <w:p w14:paraId="10484971"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w:t>
            </w:r>
          </w:p>
        </w:tc>
        <w:tc>
          <w:tcPr>
            <w:tcW w:w="1070" w:type="dxa"/>
          </w:tcPr>
          <w:p w14:paraId="4036367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2013</w:t>
            </w:r>
          </w:p>
        </w:tc>
        <w:tc>
          <w:tcPr>
            <w:tcW w:w="1288" w:type="dxa"/>
          </w:tcPr>
          <w:p w14:paraId="7AD34C58"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07C08EDB" w14:textId="77777777" w:rsidTr="00AE6A55">
        <w:tc>
          <w:tcPr>
            <w:tcW w:w="704" w:type="dxa"/>
          </w:tcPr>
          <w:p w14:paraId="77F35A29"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23.</w:t>
            </w:r>
          </w:p>
        </w:tc>
        <w:tc>
          <w:tcPr>
            <w:tcW w:w="1276" w:type="dxa"/>
          </w:tcPr>
          <w:p w14:paraId="4DD6DC91" w14:textId="77777777" w:rsidR="00347324" w:rsidRPr="00347324" w:rsidRDefault="00347324" w:rsidP="00347324">
            <w:pPr>
              <w:rPr>
                <w:rFonts w:ascii="Times New Roman" w:hAnsi="Times New Roman" w:cs="Times New Roman"/>
                <w:sz w:val="20"/>
                <w:szCs w:val="20"/>
              </w:rPr>
            </w:pPr>
            <w:proofErr w:type="spellStart"/>
            <w:r w:rsidRPr="00347324">
              <w:rPr>
                <w:rFonts w:ascii="Times New Roman" w:hAnsi="Times New Roman" w:cs="Times New Roman"/>
                <w:sz w:val="20"/>
                <w:szCs w:val="20"/>
              </w:rPr>
              <w:t>Nabla</w:t>
            </w:r>
            <w:proofErr w:type="spellEnd"/>
            <w:r w:rsidRPr="00347324">
              <w:rPr>
                <w:rFonts w:ascii="Times New Roman" w:hAnsi="Times New Roman" w:cs="Times New Roman"/>
                <w:sz w:val="20"/>
                <w:szCs w:val="20"/>
              </w:rPr>
              <w:t xml:space="preserve"> (Copilot)</w:t>
            </w:r>
          </w:p>
        </w:tc>
        <w:tc>
          <w:tcPr>
            <w:tcW w:w="2551" w:type="dxa"/>
          </w:tcPr>
          <w:p w14:paraId="46D8825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Digital health startup using AI to turn patient conversations into clinical documentation.</w:t>
            </w:r>
          </w:p>
        </w:tc>
        <w:tc>
          <w:tcPr>
            <w:tcW w:w="993" w:type="dxa"/>
          </w:tcPr>
          <w:p w14:paraId="7B0C168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Health Tech</w:t>
            </w:r>
          </w:p>
        </w:tc>
        <w:tc>
          <w:tcPr>
            <w:tcW w:w="1134" w:type="dxa"/>
          </w:tcPr>
          <w:p w14:paraId="19C8D5E5"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GPT-3</w:t>
            </w:r>
          </w:p>
        </w:tc>
        <w:tc>
          <w:tcPr>
            <w:tcW w:w="1070" w:type="dxa"/>
          </w:tcPr>
          <w:p w14:paraId="48C2631F"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2018</w:t>
            </w:r>
          </w:p>
        </w:tc>
        <w:tc>
          <w:tcPr>
            <w:tcW w:w="1288" w:type="dxa"/>
          </w:tcPr>
          <w:p w14:paraId="6461673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Deep Integration</w:t>
            </w:r>
          </w:p>
        </w:tc>
      </w:tr>
      <w:tr w:rsidR="00347324" w:rsidRPr="00347324" w14:paraId="1D580B98" w14:textId="77777777" w:rsidTr="00AE6A55">
        <w:tc>
          <w:tcPr>
            <w:tcW w:w="704" w:type="dxa"/>
          </w:tcPr>
          <w:p w14:paraId="0135290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24.</w:t>
            </w:r>
          </w:p>
        </w:tc>
        <w:tc>
          <w:tcPr>
            <w:tcW w:w="1276" w:type="dxa"/>
          </w:tcPr>
          <w:p w14:paraId="6F7481C1" w14:textId="5075C9A9"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Atlassian</w:t>
            </w:r>
          </w:p>
        </w:tc>
        <w:tc>
          <w:tcPr>
            <w:tcW w:w="2551" w:type="dxa"/>
          </w:tcPr>
          <w:p w14:paraId="63A2C57E"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Enterprise software company integrating OpenAI models into products like Jira for intelligent filtering and Confluence for automated definitions.</w:t>
            </w:r>
          </w:p>
        </w:tc>
        <w:tc>
          <w:tcPr>
            <w:tcW w:w="993" w:type="dxa"/>
          </w:tcPr>
          <w:p w14:paraId="767F6C3B"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Enterprise Software, Collaboration</w:t>
            </w:r>
          </w:p>
        </w:tc>
        <w:tc>
          <w:tcPr>
            <w:tcW w:w="1134" w:type="dxa"/>
          </w:tcPr>
          <w:p w14:paraId="1167FE22"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GPT-4</w:t>
            </w:r>
          </w:p>
        </w:tc>
        <w:tc>
          <w:tcPr>
            <w:tcW w:w="1070" w:type="dxa"/>
          </w:tcPr>
          <w:p w14:paraId="5D8D2B00"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sz w:val="20"/>
                <w:szCs w:val="20"/>
              </w:rPr>
              <w:t>2002 (AI integration 2023)</w:t>
            </w:r>
          </w:p>
        </w:tc>
        <w:tc>
          <w:tcPr>
            <w:tcW w:w="1288" w:type="dxa"/>
          </w:tcPr>
          <w:p w14:paraId="0BB7983D" w14:textId="77777777" w:rsidR="00347324" w:rsidRPr="00347324" w:rsidRDefault="00347324" w:rsidP="00347324">
            <w:pPr>
              <w:rPr>
                <w:rFonts w:ascii="Times New Roman" w:hAnsi="Times New Roman" w:cs="Times New Roman"/>
                <w:sz w:val="20"/>
                <w:szCs w:val="20"/>
              </w:rPr>
            </w:pPr>
            <w:r w:rsidRPr="00347324">
              <w:rPr>
                <w:rFonts w:ascii="Times New Roman" w:hAnsi="Times New Roman" w:cs="Times New Roman"/>
                <w:b/>
                <w:sz w:val="20"/>
                <w:szCs w:val="20"/>
              </w:rPr>
              <w:t>Feature Integration</w:t>
            </w:r>
          </w:p>
        </w:tc>
      </w:tr>
    </w:tbl>
    <w:p w14:paraId="586AEC66" w14:textId="26B731D8" w:rsidR="00023883" w:rsidRDefault="004F1FC9" w:rsidP="00BD2446">
      <w:pPr>
        <w:pStyle w:val="Heading2"/>
      </w:pPr>
      <w:r>
        <w:lastRenderedPageBreak/>
        <w:t xml:space="preserve">Appendix C </w:t>
      </w:r>
      <w:r w:rsidR="003C4CEF">
        <w:t xml:space="preserve">– </w:t>
      </w:r>
      <w:r w:rsidR="003C4CEF" w:rsidRPr="00662DF1">
        <w:rPr>
          <w:b w:val="0"/>
          <w:bCs/>
        </w:rPr>
        <w:t xml:space="preserve">Descriptive </w:t>
      </w:r>
      <w:r w:rsidR="004100BB" w:rsidRPr="00662DF1">
        <w:rPr>
          <w:b w:val="0"/>
          <w:bCs/>
        </w:rPr>
        <w:t>Quantitative Data</w:t>
      </w:r>
      <w:r w:rsidR="004100BB">
        <w:t xml:space="preserve"> </w:t>
      </w:r>
    </w:p>
    <w:tbl>
      <w:tblPr>
        <w:tblStyle w:val="TableGrid"/>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4988"/>
        <w:gridCol w:w="4008"/>
      </w:tblGrid>
      <w:tr w:rsidR="00BD2446" w:rsidRPr="000E7035" w14:paraId="47151E73" w14:textId="77777777" w:rsidTr="00662DF1">
        <w:tc>
          <w:tcPr>
            <w:tcW w:w="5087" w:type="dxa"/>
          </w:tcPr>
          <w:p w14:paraId="5B374C82" w14:textId="1C91D7E3" w:rsidR="003C4CEF" w:rsidRPr="000E7035" w:rsidRDefault="00A6039A" w:rsidP="009363F4">
            <w:pPr>
              <w:spacing w:line="360" w:lineRule="auto"/>
              <w:jc w:val="center"/>
              <w:rPr>
                <w:rFonts w:ascii="Times New Roman" w:hAnsi="Times New Roman" w:cs="Times New Roman"/>
                <w:b/>
                <w:bCs/>
                <w:sz w:val="20"/>
                <w:szCs w:val="20"/>
              </w:rPr>
            </w:pPr>
            <w:r w:rsidRPr="000E7035">
              <w:rPr>
                <w:rFonts w:ascii="Times New Roman" w:hAnsi="Times New Roman" w:cs="Times New Roman"/>
                <w:b/>
                <w:bCs/>
                <w:sz w:val="20"/>
                <w:szCs w:val="20"/>
              </w:rPr>
              <w:t>Graph 1</w:t>
            </w:r>
            <w:r w:rsidR="003C4CEF" w:rsidRPr="000E7035">
              <w:rPr>
                <w:rFonts w:ascii="Times New Roman" w:hAnsi="Times New Roman" w:cs="Times New Roman"/>
                <w:b/>
                <w:bCs/>
                <w:noProof/>
                <w:sz w:val="20"/>
                <w:szCs w:val="20"/>
              </w:rPr>
              <w:drawing>
                <wp:inline distT="0" distB="0" distL="0" distR="0" wp14:anchorId="737EFAF4" wp14:editId="1FA5F6DD">
                  <wp:extent cx="2976798" cy="1770380"/>
                  <wp:effectExtent l="0" t="0" r="0" b="1270"/>
                  <wp:docPr id="8802911" name="Picture 2" descr="A graph of a number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305844" name="Picture 2" descr="A graph of a number of different colored bars&#10;&#10;AI-generated content may be incorrec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985093" cy="1775313"/>
                          </a:xfrm>
                          <a:prstGeom prst="rect">
                            <a:avLst/>
                          </a:prstGeom>
                        </pic:spPr>
                      </pic:pic>
                    </a:graphicData>
                  </a:graphic>
                </wp:inline>
              </w:drawing>
            </w:r>
          </w:p>
          <w:p w14:paraId="1BD0ED2E" w14:textId="77777777" w:rsidR="003C4CEF" w:rsidRPr="000E7035" w:rsidRDefault="003C4CEF" w:rsidP="00023883">
            <w:pPr>
              <w:rPr>
                <w:rFonts w:ascii="Times New Roman" w:hAnsi="Times New Roman" w:cs="Times New Roman"/>
                <w:b/>
                <w:bCs/>
                <w:sz w:val="20"/>
                <w:szCs w:val="20"/>
              </w:rPr>
            </w:pPr>
          </w:p>
        </w:tc>
        <w:tc>
          <w:tcPr>
            <w:tcW w:w="3929" w:type="dxa"/>
          </w:tcPr>
          <w:p w14:paraId="433825E6" w14:textId="6D935FEB" w:rsidR="00BD2446" w:rsidRPr="00BD2446" w:rsidRDefault="00A6039A" w:rsidP="00BD2446">
            <w:pPr>
              <w:rPr>
                <w:rFonts w:ascii="Times New Roman" w:hAnsi="Times New Roman" w:cs="Times New Roman"/>
                <w:b/>
                <w:bCs/>
                <w:sz w:val="20"/>
                <w:szCs w:val="20"/>
              </w:rPr>
            </w:pPr>
            <w:r w:rsidRPr="000E7035">
              <w:rPr>
                <w:rFonts w:ascii="Times New Roman" w:hAnsi="Times New Roman" w:cs="Times New Roman"/>
                <w:b/>
                <w:bCs/>
                <w:sz w:val="20"/>
                <w:szCs w:val="20"/>
              </w:rPr>
              <w:t>Graph 2</w:t>
            </w:r>
            <w:r w:rsidR="00BD2446" w:rsidRPr="00BD2446">
              <w:rPr>
                <w:rFonts w:ascii="Times New Roman" w:hAnsi="Times New Roman" w:cs="Times New Roman"/>
                <w:b/>
                <w:bCs/>
                <w:noProof/>
                <w:sz w:val="20"/>
                <w:szCs w:val="20"/>
              </w:rPr>
              <w:drawing>
                <wp:inline distT="0" distB="0" distL="0" distR="0" wp14:anchorId="5C12B714" wp14:editId="31413A78">
                  <wp:extent cx="2456990" cy="2482850"/>
                  <wp:effectExtent l="0" t="0" r="635" b="0"/>
                  <wp:docPr id="86511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947842" name="Picture 2"/>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476125" cy="2502187"/>
                          </a:xfrm>
                          <a:prstGeom prst="rect">
                            <a:avLst/>
                          </a:prstGeom>
                        </pic:spPr>
                      </pic:pic>
                    </a:graphicData>
                  </a:graphic>
                </wp:inline>
              </w:drawing>
            </w:r>
          </w:p>
          <w:p w14:paraId="3927CDF6" w14:textId="77777777" w:rsidR="003C4CEF" w:rsidRPr="000E7035" w:rsidRDefault="003C4CEF" w:rsidP="00023883">
            <w:pPr>
              <w:rPr>
                <w:rFonts w:ascii="Times New Roman" w:hAnsi="Times New Roman" w:cs="Times New Roman"/>
                <w:b/>
                <w:bCs/>
                <w:sz w:val="20"/>
                <w:szCs w:val="20"/>
              </w:rPr>
            </w:pPr>
          </w:p>
        </w:tc>
      </w:tr>
      <w:tr w:rsidR="00BD2446" w:rsidRPr="000E7035" w14:paraId="71495494" w14:textId="77777777" w:rsidTr="00662DF1">
        <w:tc>
          <w:tcPr>
            <w:tcW w:w="5087" w:type="dxa"/>
          </w:tcPr>
          <w:p w14:paraId="4A18E686" w14:textId="0AF2D7E5" w:rsidR="003C4CEF" w:rsidRPr="000E7035" w:rsidRDefault="00A6039A" w:rsidP="00023883">
            <w:pPr>
              <w:rPr>
                <w:rFonts w:ascii="Times New Roman" w:hAnsi="Times New Roman" w:cs="Times New Roman"/>
                <w:b/>
                <w:bCs/>
                <w:sz w:val="20"/>
                <w:szCs w:val="20"/>
              </w:rPr>
            </w:pPr>
            <w:r w:rsidRPr="000E7035">
              <w:rPr>
                <w:rFonts w:ascii="Times New Roman" w:hAnsi="Times New Roman" w:cs="Times New Roman"/>
                <w:b/>
                <w:bCs/>
                <w:sz w:val="20"/>
                <w:szCs w:val="20"/>
              </w:rPr>
              <w:t>Graph 3</w:t>
            </w:r>
          </w:p>
          <w:p w14:paraId="103DF194" w14:textId="38506DC2" w:rsidR="00BD2446" w:rsidRPr="000E7035" w:rsidRDefault="00BD2446" w:rsidP="00023883">
            <w:pPr>
              <w:rPr>
                <w:rFonts w:ascii="Times New Roman" w:hAnsi="Times New Roman" w:cs="Times New Roman"/>
                <w:b/>
                <w:bCs/>
                <w:sz w:val="20"/>
                <w:szCs w:val="20"/>
              </w:rPr>
            </w:pPr>
            <w:r w:rsidRPr="000E7035">
              <w:rPr>
                <w:rFonts w:ascii="Times New Roman" w:hAnsi="Times New Roman" w:cs="Times New Roman"/>
                <w:b/>
                <w:bCs/>
                <w:noProof/>
                <w:sz w:val="20"/>
                <w:szCs w:val="20"/>
              </w:rPr>
              <w:drawing>
                <wp:inline distT="0" distB="0" distL="0" distR="0" wp14:anchorId="008F8578" wp14:editId="43353AA9">
                  <wp:extent cx="3093686" cy="1839897"/>
                  <wp:effectExtent l="0" t="0" r="0" b="8255"/>
                  <wp:docPr id="2097029352" name="Picture 6" descr="A graph of different colored rectangular shap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108036" name="Picture 6" descr="A graph of different colored rectangular shapes&#10;&#10;AI-generated content may be incorrect."/>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10745" cy="1850043"/>
                          </a:xfrm>
                          <a:prstGeom prst="rect">
                            <a:avLst/>
                          </a:prstGeom>
                        </pic:spPr>
                      </pic:pic>
                    </a:graphicData>
                  </a:graphic>
                </wp:inline>
              </w:drawing>
            </w:r>
          </w:p>
        </w:tc>
        <w:tc>
          <w:tcPr>
            <w:tcW w:w="3929" w:type="dxa"/>
          </w:tcPr>
          <w:p w14:paraId="33697F67" w14:textId="77777777" w:rsidR="003C4CEF" w:rsidRPr="000E7035" w:rsidRDefault="003C4CEF" w:rsidP="00023883">
            <w:pPr>
              <w:rPr>
                <w:rFonts w:ascii="Times New Roman" w:hAnsi="Times New Roman" w:cs="Times New Roman"/>
                <w:b/>
                <w:bCs/>
                <w:sz w:val="20"/>
                <w:szCs w:val="20"/>
              </w:rPr>
            </w:pPr>
          </w:p>
        </w:tc>
      </w:tr>
    </w:tbl>
    <w:p w14:paraId="648017B1" w14:textId="77777777" w:rsidR="003C4CEF" w:rsidRPr="00023883" w:rsidRDefault="003C4CEF" w:rsidP="00023883"/>
    <w:sectPr w:rsidR="003C4CEF" w:rsidRPr="00023883">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65535" w14:textId="77777777" w:rsidR="00492025" w:rsidRDefault="00492025" w:rsidP="009D408E">
      <w:pPr>
        <w:spacing w:after="0" w:line="240" w:lineRule="auto"/>
      </w:pPr>
      <w:r>
        <w:separator/>
      </w:r>
    </w:p>
  </w:endnote>
  <w:endnote w:type="continuationSeparator" w:id="0">
    <w:p w14:paraId="709607AF" w14:textId="77777777" w:rsidR="00492025" w:rsidRDefault="00492025" w:rsidP="009D40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1633346"/>
      <w:docPartObj>
        <w:docPartGallery w:val="Page Numbers (Bottom of Page)"/>
        <w:docPartUnique/>
      </w:docPartObj>
    </w:sdtPr>
    <w:sdtEndPr>
      <w:rPr>
        <w:noProof/>
      </w:rPr>
    </w:sdtEndPr>
    <w:sdtContent>
      <w:p w14:paraId="7A252AF0" w14:textId="3001543F" w:rsidR="00F61973" w:rsidRDefault="00F6197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73A76FF" w14:textId="77777777" w:rsidR="00F61973" w:rsidRDefault="00F619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442BDD" w14:textId="77777777" w:rsidR="00492025" w:rsidRDefault="00492025" w:rsidP="009D408E">
      <w:pPr>
        <w:spacing w:after="0" w:line="240" w:lineRule="auto"/>
      </w:pPr>
      <w:r>
        <w:separator/>
      </w:r>
    </w:p>
  </w:footnote>
  <w:footnote w:type="continuationSeparator" w:id="0">
    <w:p w14:paraId="18B8A93A" w14:textId="77777777" w:rsidR="00492025" w:rsidRDefault="00492025" w:rsidP="009D408E">
      <w:pPr>
        <w:spacing w:after="0" w:line="240" w:lineRule="auto"/>
      </w:pPr>
      <w:r>
        <w:continuationSeparator/>
      </w:r>
    </w:p>
  </w:footnote>
  <w:footnote w:id="1">
    <w:p w14:paraId="6D4B66E0" w14:textId="7F27AC99" w:rsidR="00594840" w:rsidRDefault="00594840">
      <w:pPr>
        <w:pStyle w:val="FootnoteText"/>
      </w:pPr>
      <w:r>
        <w:rPr>
          <w:rStyle w:val="FootnoteReference"/>
        </w:rPr>
        <w:footnoteRef/>
      </w:r>
      <w:r>
        <w:t xml:space="preserve"> </w:t>
      </w:r>
      <w:r w:rsidRPr="00594840">
        <w:t>Self-attention helps the model focus on the most relevant parts of the input for each word, creating a better, context-aware understanding.</w:t>
      </w:r>
    </w:p>
  </w:footnote>
  <w:footnote w:id="2">
    <w:p w14:paraId="411BA288" w14:textId="77777777" w:rsidR="00B457FC" w:rsidRDefault="00B457FC" w:rsidP="00B457FC">
      <w:pPr>
        <w:pStyle w:val="FootnoteText"/>
      </w:pPr>
      <w:r>
        <w:rPr>
          <w:rStyle w:val="FootnoteReference"/>
        </w:rPr>
        <w:footnoteRef/>
      </w:r>
      <w:r>
        <w:t xml:space="preserve"> APIs (Application Programming Interfaces) enable software systems to talk to each other and share resources. </w:t>
      </w:r>
    </w:p>
  </w:footnote>
  <w:footnote w:id="3">
    <w:p w14:paraId="5C3716AB" w14:textId="77777777" w:rsidR="00B457FC" w:rsidRDefault="00B457FC" w:rsidP="00B457FC">
      <w:pPr>
        <w:pStyle w:val="FootnoteText"/>
      </w:pPr>
      <w:r>
        <w:rPr>
          <w:rStyle w:val="FootnoteReference"/>
        </w:rPr>
        <w:footnoteRef/>
      </w:r>
      <w:r>
        <w:t xml:space="preserve"> SDKs (Software Development Kits) provide developers the tools to build complementary platform offerings. </w:t>
      </w:r>
    </w:p>
  </w:footnote>
  <w:footnote w:id="4">
    <w:p w14:paraId="486D811A" w14:textId="77777777" w:rsidR="00B457FC" w:rsidRDefault="00B457FC" w:rsidP="00B457FC">
      <w:pPr>
        <w:pStyle w:val="FootnoteText"/>
      </w:pPr>
      <w:r>
        <w:rPr>
          <w:rStyle w:val="FootnoteReference"/>
        </w:rPr>
        <w:footnoteRef/>
      </w:r>
      <w:r>
        <w:t xml:space="preserve"> </w:t>
      </w:r>
      <w:r w:rsidRPr="00D37447">
        <w:t xml:space="preserve">Software deprecation is when a feature is marked as outdated, </w:t>
      </w:r>
      <w:r>
        <w:t xml:space="preserve">but </w:t>
      </w:r>
      <w:r w:rsidRPr="00D37447">
        <w:t xml:space="preserve">still usable for </w:t>
      </w:r>
      <w:r>
        <w:t>the moment</w:t>
      </w:r>
      <w:r w:rsidRPr="00D37447">
        <w:t xml:space="preserve">, </w:t>
      </w:r>
      <w:r>
        <w:t xml:space="preserve">and </w:t>
      </w:r>
      <w:r w:rsidRPr="00D37447">
        <w:t>scheduled to be removed in the future.</w:t>
      </w:r>
    </w:p>
  </w:footnote>
  <w:footnote w:id="5">
    <w:p w14:paraId="67BF5C78" w14:textId="0990BE85" w:rsidR="000E2C3F" w:rsidRDefault="000E2C3F">
      <w:pPr>
        <w:pStyle w:val="FootnoteText"/>
      </w:pPr>
      <w:r>
        <w:rPr>
          <w:rStyle w:val="FootnoteReference"/>
        </w:rPr>
        <w:footnoteRef/>
      </w:r>
      <w:r>
        <w:t xml:space="preserve"> </w:t>
      </w:r>
      <w:r w:rsidRPr="000E2C3F">
        <w:t>By an abstraction layer, we mean a stable, venture-owned interface that standardizes how core functions (e.g., generation, retrieval, moderation) are invoked and logged while translating to multiple platform APIs. This architectural decoupling reduces switching costs, enables selective multihoming, and buffers the venture from governance or pricing shocks at the provider level.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66192"/>
    <w:multiLevelType w:val="hybridMultilevel"/>
    <w:tmpl w:val="F07A2A9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207D02F4"/>
    <w:multiLevelType w:val="hybridMultilevel"/>
    <w:tmpl w:val="F2206904"/>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 w15:restartNumberingAfterBreak="0">
    <w:nsid w:val="4B455BBF"/>
    <w:multiLevelType w:val="multilevel"/>
    <w:tmpl w:val="1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15:restartNumberingAfterBreak="0">
    <w:nsid w:val="6AC719BA"/>
    <w:multiLevelType w:val="hybridMultilevel"/>
    <w:tmpl w:val="BE7C3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08438905">
    <w:abstractNumId w:val="0"/>
  </w:num>
  <w:num w:numId="2" w16cid:durableId="1873036426">
    <w:abstractNumId w:val="1"/>
  </w:num>
  <w:num w:numId="3" w16cid:durableId="2127039627">
    <w:abstractNumId w:val="3"/>
  </w:num>
  <w:num w:numId="4" w16cid:durableId="3170748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8D7"/>
    <w:rsid w:val="000006B8"/>
    <w:rsid w:val="0000486A"/>
    <w:rsid w:val="000055ED"/>
    <w:rsid w:val="00005EF0"/>
    <w:rsid w:val="0000725C"/>
    <w:rsid w:val="000128DF"/>
    <w:rsid w:val="00013879"/>
    <w:rsid w:val="000144EC"/>
    <w:rsid w:val="00017787"/>
    <w:rsid w:val="00017BB4"/>
    <w:rsid w:val="00021D75"/>
    <w:rsid w:val="00023883"/>
    <w:rsid w:val="00025EF1"/>
    <w:rsid w:val="0002638A"/>
    <w:rsid w:val="00031879"/>
    <w:rsid w:val="00031A87"/>
    <w:rsid w:val="00032C44"/>
    <w:rsid w:val="000340E1"/>
    <w:rsid w:val="00037124"/>
    <w:rsid w:val="00037CFE"/>
    <w:rsid w:val="00041768"/>
    <w:rsid w:val="00041A61"/>
    <w:rsid w:val="00041D77"/>
    <w:rsid w:val="0004276D"/>
    <w:rsid w:val="00050D10"/>
    <w:rsid w:val="000511D8"/>
    <w:rsid w:val="000522FC"/>
    <w:rsid w:val="00053A08"/>
    <w:rsid w:val="000551E6"/>
    <w:rsid w:val="00055BAE"/>
    <w:rsid w:val="00060D08"/>
    <w:rsid w:val="0006128D"/>
    <w:rsid w:val="00065A6A"/>
    <w:rsid w:val="0007006E"/>
    <w:rsid w:val="00071316"/>
    <w:rsid w:val="00072C7A"/>
    <w:rsid w:val="00073133"/>
    <w:rsid w:val="000809D0"/>
    <w:rsid w:val="00080FEC"/>
    <w:rsid w:val="00082AAC"/>
    <w:rsid w:val="00082E20"/>
    <w:rsid w:val="000864D3"/>
    <w:rsid w:val="000868E4"/>
    <w:rsid w:val="000871F1"/>
    <w:rsid w:val="00090983"/>
    <w:rsid w:val="000953E6"/>
    <w:rsid w:val="0009587E"/>
    <w:rsid w:val="00096386"/>
    <w:rsid w:val="000A5954"/>
    <w:rsid w:val="000A5AAA"/>
    <w:rsid w:val="000A73B3"/>
    <w:rsid w:val="000B10EE"/>
    <w:rsid w:val="000B2DEC"/>
    <w:rsid w:val="000B4537"/>
    <w:rsid w:val="000C3AFD"/>
    <w:rsid w:val="000C459A"/>
    <w:rsid w:val="000C474F"/>
    <w:rsid w:val="000C4921"/>
    <w:rsid w:val="000C5E01"/>
    <w:rsid w:val="000D08D6"/>
    <w:rsid w:val="000D4743"/>
    <w:rsid w:val="000E0133"/>
    <w:rsid w:val="000E09B4"/>
    <w:rsid w:val="000E15C7"/>
    <w:rsid w:val="000E2A62"/>
    <w:rsid w:val="000E2C3F"/>
    <w:rsid w:val="000E2CD5"/>
    <w:rsid w:val="000E7035"/>
    <w:rsid w:val="000F41E6"/>
    <w:rsid w:val="000F56CB"/>
    <w:rsid w:val="000F7F6D"/>
    <w:rsid w:val="001016EA"/>
    <w:rsid w:val="00102477"/>
    <w:rsid w:val="001032E8"/>
    <w:rsid w:val="001127CD"/>
    <w:rsid w:val="00113A2B"/>
    <w:rsid w:val="00117222"/>
    <w:rsid w:val="001258CF"/>
    <w:rsid w:val="00126EEA"/>
    <w:rsid w:val="001313A7"/>
    <w:rsid w:val="00134D53"/>
    <w:rsid w:val="001373C9"/>
    <w:rsid w:val="001374F1"/>
    <w:rsid w:val="00137932"/>
    <w:rsid w:val="00146820"/>
    <w:rsid w:val="00146B3C"/>
    <w:rsid w:val="0015292A"/>
    <w:rsid w:val="0015422F"/>
    <w:rsid w:val="00157637"/>
    <w:rsid w:val="00163621"/>
    <w:rsid w:val="00166785"/>
    <w:rsid w:val="001709E4"/>
    <w:rsid w:val="001733C5"/>
    <w:rsid w:val="00175CB9"/>
    <w:rsid w:val="0018010A"/>
    <w:rsid w:val="001819E7"/>
    <w:rsid w:val="00185D90"/>
    <w:rsid w:val="0019102A"/>
    <w:rsid w:val="001942CA"/>
    <w:rsid w:val="001A0E84"/>
    <w:rsid w:val="001A1694"/>
    <w:rsid w:val="001A3C67"/>
    <w:rsid w:val="001A711E"/>
    <w:rsid w:val="001A73AA"/>
    <w:rsid w:val="001B0D75"/>
    <w:rsid w:val="001B2884"/>
    <w:rsid w:val="001B3EDE"/>
    <w:rsid w:val="001C2239"/>
    <w:rsid w:val="001C2348"/>
    <w:rsid w:val="001C5ADA"/>
    <w:rsid w:val="001C7F38"/>
    <w:rsid w:val="001D3483"/>
    <w:rsid w:val="001D5A11"/>
    <w:rsid w:val="001D661E"/>
    <w:rsid w:val="001D69C8"/>
    <w:rsid w:val="001D6A75"/>
    <w:rsid w:val="001E02DD"/>
    <w:rsid w:val="001E21B9"/>
    <w:rsid w:val="001E2A3E"/>
    <w:rsid w:val="001E56A0"/>
    <w:rsid w:val="001F3167"/>
    <w:rsid w:val="0020445A"/>
    <w:rsid w:val="00205CEE"/>
    <w:rsid w:val="00205E55"/>
    <w:rsid w:val="0022065A"/>
    <w:rsid w:val="00223377"/>
    <w:rsid w:val="0022511F"/>
    <w:rsid w:val="00227EBD"/>
    <w:rsid w:val="002314E5"/>
    <w:rsid w:val="002331F3"/>
    <w:rsid w:val="002344B7"/>
    <w:rsid w:val="00235EED"/>
    <w:rsid w:val="0024193F"/>
    <w:rsid w:val="00243A63"/>
    <w:rsid w:val="00244677"/>
    <w:rsid w:val="00244F74"/>
    <w:rsid w:val="0024574F"/>
    <w:rsid w:val="00245C8B"/>
    <w:rsid w:val="002465E6"/>
    <w:rsid w:val="00246A4F"/>
    <w:rsid w:val="00250C7C"/>
    <w:rsid w:val="002512B6"/>
    <w:rsid w:val="0025799D"/>
    <w:rsid w:val="00261567"/>
    <w:rsid w:val="002637CA"/>
    <w:rsid w:val="002650AD"/>
    <w:rsid w:val="00270713"/>
    <w:rsid w:val="002712C9"/>
    <w:rsid w:val="00272CF8"/>
    <w:rsid w:val="0027407C"/>
    <w:rsid w:val="00274D9E"/>
    <w:rsid w:val="00275381"/>
    <w:rsid w:val="00275833"/>
    <w:rsid w:val="0027590C"/>
    <w:rsid w:val="00277791"/>
    <w:rsid w:val="00280A57"/>
    <w:rsid w:val="00281AD6"/>
    <w:rsid w:val="002842EE"/>
    <w:rsid w:val="00286FBE"/>
    <w:rsid w:val="002876AB"/>
    <w:rsid w:val="002913EB"/>
    <w:rsid w:val="002917E1"/>
    <w:rsid w:val="002A1172"/>
    <w:rsid w:val="002A1D65"/>
    <w:rsid w:val="002A243A"/>
    <w:rsid w:val="002A270D"/>
    <w:rsid w:val="002A56B9"/>
    <w:rsid w:val="002A6576"/>
    <w:rsid w:val="002A67F7"/>
    <w:rsid w:val="002A70B6"/>
    <w:rsid w:val="002A70B7"/>
    <w:rsid w:val="002B24A9"/>
    <w:rsid w:val="002B348F"/>
    <w:rsid w:val="002C07A7"/>
    <w:rsid w:val="002C1FEC"/>
    <w:rsid w:val="002C2FD9"/>
    <w:rsid w:val="002D0C67"/>
    <w:rsid w:val="002D30FF"/>
    <w:rsid w:val="002D4FC7"/>
    <w:rsid w:val="002D5CB6"/>
    <w:rsid w:val="002E28F9"/>
    <w:rsid w:val="002E5C74"/>
    <w:rsid w:val="002E764C"/>
    <w:rsid w:val="002F0718"/>
    <w:rsid w:val="002F2201"/>
    <w:rsid w:val="002F5069"/>
    <w:rsid w:val="003021AA"/>
    <w:rsid w:val="00303EAF"/>
    <w:rsid w:val="003048DA"/>
    <w:rsid w:val="003067EB"/>
    <w:rsid w:val="00314FD2"/>
    <w:rsid w:val="00322D7D"/>
    <w:rsid w:val="00324E6E"/>
    <w:rsid w:val="0033383B"/>
    <w:rsid w:val="00333DB0"/>
    <w:rsid w:val="00340923"/>
    <w:rsid w:val="00340BD2"/>
    <w:rsid w:val="00342EF9"/>
    <w:rsid w:val="00344E1B"/>
    <w:rsid w:val="00347324"/>
    <w:rsid w:val="003501E8"/>
    <w:rsid w:val="00350A25"/>
    <w:rsid w:val="003522F0"/>
    <w:rsid w:val="0035375B"/>
    <w:rsid w:val="00354763"/>
    <w:rsid w:val="0035706C"/>
    <w:rsid w:val="003571EC"/>
    <w:rsid w:val="00360008"/>
    <w:rsid w:val="003661B5"/>
    <w:rsid w:val="003669E8"/>
    <w:rsid w:val="003676DA"/>
    <w:rsid w:val="00371282"/>
    <w:rsid w:val="00372613"/>
    <w:rsid w:val="003814EF"/>
    <w:rsid w:val="003815AC"/>
    <w:rsid w:val="00383EE4"/>
    <w:rsid w:val="00385EE6"/>
    <w:rsid w:val="00386D90"/>
    <w:rsid w:val="003906B4"/>
    <w:rsid w:val="00391525"/>
    <w:rsid w:val="00393608"/>
    <w:rsid w:val="003A1652"/>
    <w:rsid w:val="003A5C1B"/>
    <w:rsid w:val="003A70E1"/>
    <w:rsid w:val="003B019A"/>
    <w:rsid w:val="003B21E6"/>
    <w:rsid w:val="003B2EB9"/>
    <w:rsid w:val="003B6CD8"/>
    <w:rsid w:val="003B6CE3"/>
    <w:rsid w:val="003C22AB"/>
    <w:rsid w:val="003C2967"/>
    <w:rsid w:val="003C3C5B"/>
    <w:rsid w:val="003C4CEF"/>
    <w:rsid w:val="003C54CA"/>
    <w:rsid w:val="003C6D9D"/>
    <w:rsid w:val="003D109B"/>
    <w:rsid w:val="003D3AA9"/>
    <w:rsid w:val="003E5B09"/>
    <w:rsid w:val="003E6CD2"/>
    <w:rsid w:val="003F1B59"/>
    <w:rsid w:val="00402611"/>
    <w:rsid w:val="004100BB"/>
    <w:rsid w:val="00410DA4"/>
    <w:rsid w:val="00411E84"/>
    <w:rsid w:val="004121D0"/>
    <w:rsid w:val="00416C65"/>
    <w:rsid w:val="004221A5"/>
    <w:rsid w:val="00424502"/>
    <w:rsid w:val="004307A6"/>
    <w:rsid w:val="004308C2"/>
    <w:rsid w:val="00431A1F"/>
    <w:rsid w:val="00431D1A"/>
    <w:rsid w:val="004363F4"/>
    <w:rsid w:val="004415D8"/>
    <w:rsid w:val="00442F1F"/>
    <w:rsid w:val="0044400A"/>
    <w:rsid w:val="00444B04"/>
    <w:rsid w:val="0045128C"/>
    <w:rsid w:val="00451D7B"/>
    <w:rsid w:val="00453470"/>
    <w:rsid w:val="00453ABA"/>
    <w:rsid w:val="0045433D"/>
    <w:rsid w:val="00454524"/>
    <w:rsid w:val="0045479D"/>
    <w:rsid w:val="00461D30"/>
    <w:rsid w:val="00463850"/>
    <w:rsid w:val="00467C76"/>
    <w:rsid w:val="0047349E"/>
    <w:rsid w:val="00477652"/>
    <w:rsid w:val="00480744"/>
    <w:rsid w:val="004809F8"/>
    <w:rsid w:val="00485080"/>
    <w:rsid w:val="00485BC6"/>
    <w:rsid w:val="00486C04"/>
    <w:rsid w:val="0048702D"/>
    <w:rsid w:val="00487FE3"/>
    <w:rsid w:val="00491357"/>
    <w:rsid w:val="00492025"/>
    <w:rsid w:val="004958BF"/>
    <w:rsid w:val="00495C8A"/>
    <w:rsid w:val="00496C18"/>
    <w:rsid w:val="004A2601"/>
    <w:rsid w:val="004B389B"/>
    <w:rsid w:val="004B3B4F"/>
    <w:rsid w:val="004B3CAF"/>
    <w:rsid w:val="004B4A80"/>
    <w:rsid w:val="004C1D3C"/>
    <w:rsid w:val="004C6303"/>
    <w:rsid w:val="004D09ED"/>
    <w:rsid w:val="004D1B70"/>
    <w:rsid w:val="004D55CD"/>
    <w:rsid w:val="004E13E9"/>
    <w:rsid w:val="004E1E0E"/>
    <w:rsid w:val="004E6B53"/>
    <w:rsid w:val="004F1CF3"/>
    <w:rsid w:val="004F1FC9"/>
    <w:rsid w:val="004F58DE"/>
    <w:rsid w:val="0050314D"/>
    <w:rsid w:val="00503486"/>
    <w:rsid w:val="00506E59"/>
    <w:rsid w:val="005078EE"/>
    <w:rsid w:val="00510CA8"/>
    <w:rsid w:val="00513AB3"/>
    <w:rsid w:val="00517701"/>
    <w:rsid w:val="005210BC"/>
    <w:rsid w:val="00522C32"/>
    <w:rsid w:val="005251B9"/>
    <w:rsid w:val="005277BD"/>
    <w:rsid w:val="00527F27"/>
    <w:rsid w:val="00530275"/>
    <w:rsid w:val="00532A69"/>
    <w:rsid w:val="00541CB3"/>
    <w:rsid w:val="00547D01"/>
    <w:rsid w:val="0055083B"/>
    <w:rsid w:val="00551805"/>
    <w:rsid w:val="00552FE5"/>
    <w:rsid w:val="00554006"/>
    <w:rsid w:val="00557EDB"/>
    <w:rsid w:val="00561747"/>
    <w:rsid w:val="00561CB3"/>
    <w:rsid w:val="0056439A"/>
    <w:rsid w:val="00567169"/>
    <w:rsid w:val="00572F7D"/>
    <w:rsid w:val="00574255"/>
    <w:rsid w:val="005763A9"/>
    <w:rsid w:val="0057775A"/>
    <w:rsid w:val="005777EB"/>
    <w:rsid w:val="00581AC2"/>
    <w:rsid w:val="00582732"/>
    <w:rsid w:val="0058698A"/>
    <w:rsid w:val="00590E25"/>
    <w:rsid w:val="0059218A"/>
    <w:rsid w:val="00594840"/>
    <w:rsid w:val="005955BB"/>
    <w:rsid w:val="005A25CA"/>
    <w:rsid w:val="005A4280"/>
    <w:rsid w:val="005A5CCD"/>
    <w:rsid w:val="005A7E55"/>
    <w:rsid w:val="005B11B8"/>
    <w:rsid w:val="005B1E11"/>
    <w:rsid w:val="005B1E1A"/>
    <w:rsid w:val="005B3CF8"/>
    <w:rsid w:val="005B4376"/>
    <w:rsid w:val="005C01F4"/>
    <w:rsid w:val="005C2523"/>
    <w:rsid w:val="005C2BF6"/>
    <w:rsid w:val="005C4AD8"/>
    <w:rsid w:val="005C4DD5"/>
    <w:rsid w:val="005C5D20"/>
    <w:rsid w:val="005D00E6"/>
    <w:rsid w:val="005D2125"/>
    <w:rsid w:val="005D3FB9"/>
    <w:rsid w:val="005D6E32"/>
    <w:rsid w:val="005E1309"/>
    <w:rsid w:val="005E484A"/>
    <w:rsid w:val="005E4FA7"/>
    <w:rsid w:val="005F5269"/>
    <w:rsid w:val="005F7958"/>
    <w:rsid w:val="006000D6"/>
    <w:rsid w:val="006002A8"/>
    <w:rsid w:val="00602558"/>
    <w:rsid w:val="00604599"/>
    <w:rsid w:val="0060519E"/>
    <w:rsid w:val="006109AD"/>
    <w:rsid w:val="006207A4"/>
    <w:rsid w:val="00626985"/>
    <w:rsid w:val="00627434"/>
    <w:rsid w:val="0063236D"/>
    <w:rsid w:val="006325C5"/>
    <w:rsid w:val="00633449"/>
    <w:rsid w:val="0063363A"/>
    <w:rsid w:val="00640B6F"/>
    <w:rsid w:val="00641CF1"/>
    <w:rsid w:val="00643EFA"/>
    <w:rsid w:val="0065054C"/>
    <w:rsid w:val="00650FDA"/>
    <w:rsid w:val="00651F30"/>
    <w:rsid w:val="00655CA0"/>
    <w:rsid w:val="00661EE5"/>
    <w:rsid w:val="00662D74"/>
    <w:rsid w:val="00662DF1"/>
    <w:rsid w:val="0066336E"/>
    <w:rsid w:val="00663864"/>
    <w:rsid w:val="00667146"/>
    <w:rsid w:val="00671E81"/>
    <w:rsid w:val="00673CBC"/>
    <w:rsid w:val="006762A3"/>
    <w:rsid w:val="006764C7"/>
    <w:rsid w:val="00676CD5"/>
    <w:rsid w:val="00677D62"/>
    <w:rsid w:val="00684A75"/>
    <w:rsid w:val="00690079"/>
    <w:rsid w:val="0069016F"/>
    <w:rsid w:val="00690947"/>
    <w:rsid w:val="006940EA"/>
    <w:rsid w:val="0069463B"/>
    <w:rsid w:val="006948FB"/>
    <w:rsid w:val="006950F4"/>
    <w:rsid w:val="0069670B"/>
    <w:rsid w:val="006A1619"/>
    <w:rsid w:val="006A5638"/>
    <w:rsid w:val="006A6EEB"/>
    <w:rsid w:val="006A7818"/>
    <w:rsid w:val="006B114A"/>
    <w:rsid w:val="006B2057"/>
    <w:rsid w:val="006B3075"/>
    <w:rsid w:val="006C1210"/>
    <w:rsid w:val="006D2010"/>
    <w:rsid w:val="006D43D0"/>
    <w:rsid w:val="006D4919"/>
    <w:rsid w:val="006D5302"/>
    <w:rsid w:val="006E26B9"/>
    <w:rsid w:val="006E5733"/>
    <w:rsid w:val="006F181D"/>
    <w:rsid w:val="006F21D7"/>
    <w:rsid w:val="006F3E25"/>
    <w:rsid w:val="006F500E"/>
    <w:rsid w:val="006F6101"/>
    <w:rsid w:val="006F6885"/>
    <w:rsid w:val="007034B4"/>
    <w:rsid w:val="0070441D"/>
    <w:rsid w:val="007048B9"/>
    <w:rsid w:val="00711317"/>
    <w:rsid w:val="00713061"/>
    <w:rsid w:val="00713921"/>
    <w:rsid w:val="00714D03"/>
    <w:rsid w:val="007175E6"/>
    <w:rsid w:val="00722034"/>
    <w:rsid w:val="0072438F"/>
    <w:rsid w:val="007249B6"/>
    <w:rsid w:val="0072601A"/>
    <w:rsid w:val="00730FF7"/>
    <w:rsid w:val="0073515A"/>
    <w:rsid w:val="00736088"/>
    <w:rsid w:val="007364D5"/>
    <w:rsid w:val="00737A85"/>
    <w:rsid w:val="00744C60"/>
    <w:rsid w:val="00746285"/>
    <w:rsid w:val="00746A96"/>
    <w:rsid w:val="0076104A"/>
    <w:rsid w:val="007649C3"/>
    <w:rsid w:val="00764EFA"/>
    <w:rsid w:val="00764FE3"/>
    <w:rsid w:val="00765F73"/>
    <w:rsid w:val="00770D93"/>
    <w:rsid w:val="007732F0"/>
    <w:rsid w:val="00773F95"/>
    <w:rsid w:val="0077560B"/>
    <w:rsid w:val="0077593F"/>
    <w:rsid w:val="00780A95"/>
    <w:rsid w:val="00781FA4"/>
    <w:rsid w:val="0078365B"/>
    <w:rsid w:val="00783A3F"/>
    <w:rsid w:val="00786420"/>
    <w:rsid w:val="00794908"/>
    <w:rsid w:val="007A11E5"/>
    <w:rsid w:val="007A1DF9"/>
    <w:rsid w:val="007A3910"/>
    <w:rsid w:val="007A50DA"/>
    <w:rsid w:val="007A5B5A"/>
    <w:rsid w:val="007B2A99"/>
    <w:rsid w:val="007B634B"/>
    <w:rsid w:val="007B6E80"/>
    <w:rsid w:val="007C0CB7"/>
    <w:rsid w:val="007C57D5"/>
    <w:rsid w:val="007D51BC"/>
    <w:rsid w:val="007D72D8"/>
    <w:rsid w:val="007D7C39"/>
    <w:rsid w:val="007E3539"/>
    <w:rsid w:val="007F0748"/>
    <w:rsid w:val="007F5A13"/>
    <w:rsid w:val="007F641E"/>
    <w:rsid w:val="00800E38"/>
    <w:rsid w:val="008017BB"/>
    <w:rsid w:val="00805774"/>
    <w:rsid w:val="00806680"/>
    <w:rsid w:val="008114FB"/>
    <w:rsid w:val="00812710"/>
    <w:rsid w:val="00815FEA"/>
    <w:rsid w:val="00817271"/>
    <w:rsid w:val="00822C06"/>
    <w:rsid w:val="008231B3"/>
    <w:rsid w:val="00824336"/>
    <w:rsid w:val="00826644"/>
    <w:rsid w:val="00831157"/>
    <w:rsid w:val="00832202"/>
    <w:rsid w:val="0083616A"/>
    <w:rsid w:val="00840E18"/>
    <w:rsid w:val="00841F1E"/>
    <w:rsid w:val="008424D5"/>
    <w:rsid w:val="008425EE"/>
    <w:rsid w:val="0085618B"/>
    <w:rsid w:val="00862193"/>
    <w:rsid w:val="00863465"/>
    <w:rsid w:val="00863C5E"/>
    <w:rsid w:val="00864C8D"/>
    <w:rsid w:val="00867DE1"/>
    <w:rsid w:val="00870C9D"/>
    <w:rsid w:val="00870EA9"/>
    <w:rsid w:val="008711DA"/>
    <w:rsid w:val="008722CF"/>
    <w:rsid w:val="00874004"/>
    <w:rsid w:val="00874062"/>
    <w:rsid w:val="00874899"/>
    <w:rsid w:val="0088118B"/>
    <w:rsid w:val="008817C4"/>
    <w:rsid w:val="00881928"/>
    <w:rsid w:val="00882201"/>
    <w:rsid w:val="00882EC0"/>
    <w:rsid w:val="00887A93"/>
    <w:rsid w:val="0089029A"/>
    <w:rsid w:val="008936F9"/>
    <w:rsid w:val="008A2440"/>
    <w:rsid w:val="008B14CA"/>
    <w:rsid w:val="008B19AB"/>
    <w:rsid w:val="008B1F7E"/>
    <w:rsid w:val="008B2EF5"/>
    <w:rsid w:val="008B51FA"/>
    <w:rsid w:val="008B52F3"/>
    <w:rsid w:val="008B5709"/>
    <w:rsid w:val="008C0496"/>
    <w:rsid w:val="008C4109"/>
    <w:rsid w:val="008C72EE"/>
    <w:rsid w:val="008D00A7"/>
    <w:rsid w:val="008D3B63"/>
    <w:rsid w:val="008D5866"/>
    <w:rsid w:val="008D6201"/>
    <w:rsid w:val="008E1312"/>
    <w:rsid w:val="008E3426"/>
    <w:rsid w:val="008E6220"/>
    <w:rsid w:val="008F6597"/>
    <w:rsid w:val="00900B45"/>
    <w:rsid w:val="0090148C"/>
    <w:rsid w:val="00901EFC"/>
    <w:rsid w:val="0090633E"/>
    <w:rsid w:val="00906ED8"/>
    <w:rsid w:val="00912166"/>
    <w:rsid w:val="009122A0"/>
    <w:rsid w:val="00912A0D"/>
    <w:rsid w:val="0091324A"/>
    <w:rsid w:val="00914174"/>
    <w:rsid w:val="0091470A"/>
    <w:rsid w:val="00914FB2"/>
    <w:rsid w:val="00920C46"/>
    <w:rsid w:val="00922066"/>
    <w:rsid w:val="00923086"/>
    <w:rsid w:val="0092379F"/>
    <w:rsid w:val="00924DC7"/>
    <w:rsid w:val="00930DEC"/>
    <w:rsid w:val="00933062"/>
    <w:rsid w:val="009363F4"/>
    <w:rsid w:val="009374DD"/>
    <w:rsid w:val="0093772A"/>
    <w:rsid w:val="00940373"/>
    <w:rsid w:val="009452B1"/>
    <w:rsid w:val="0094715F"/>
    <w:rsid w:val="0095077C"/>
    <w:rsid w:val="00950B85"/>
    <w:rsid w:val="00954E52"/>
    <w:rsid w:val="00955765"/>
    <w:rsid w:val="009603B7"/>
    <w:rsid w:val="0096196D"/>
    <w:rsid w:val="00961B7F"/>
    <w:rsid w:val="0096241E"/>
    <w:rsid w:val="00971459"/>
    <w:rsid w:val="0097300D"/>
    <w:rsid w:val="009737B7"/>
    <w:rsid w:val="00984F5E"/>
    <w:rsid w:val="00985124"/>
    <w:rsid w:val="00991138"/>
    <w:rsid w:val="009923F7"/>
    <w:rsid w:val="00993B43"/>
    <w:rsid w:val="00995CD3"/>
    <w:rsid w:val="009A7E70"/>
    <w:rsid w:val="009B2C67"/>
    <w:rsid w:val="009C0C36"/>
    <w:rsid w:val="009C30A6"/>
    <w:rsid w:val="009C4000"/>
    <w:rsid w:val="009D03B4"/>
    <w:rsid w:val="009D199E"/>
    <w:rsid w:val="009D2833"/>
    <w:rsid w:val="009D408E"/>
    <w:rsid w:val="009D76B3"/>
    <w:rsid w:val="009E25A2"/>
    <w:rsid w:val="009E3E5D"/>
    <w:rsid w:val="009E5F24"/>
    <w:rsid w:val="009F0F44"/>
    <w:rsid w:val="009F11FD"/>
    <w:rsid w:val="009F6383"/>
    <w:rsid w:val="00A00BB7"/>
    <w:rsid w:val="00A02F50"/>
    <w:rsid w:val="00A0618E"/>
    <w:rsid w:val="00A066CC"/>
    <w:rsid w:val="00A10238"/>
    <w:rsid w:val="00A13773"/>
    <w:rsid w:val="00A17968"/>
    <w:rsid w:val="00A17D81"/>
    <w:rsid w:val="00A312F7"/>
    <w:rsid w:val="00A32F9F"/>
    <w:rsid w:val="00A36430"/>
    <w:rsid w:val="00A37899"/>
    <w:rsid w:val="00A37FF2"/>
    <w:rsid w:val="00A413A0"/>
    <w:rsid w:val="00A42907"/>
    <w:rsid w:val="00A46EBB"/>
    <w:rsid w:val="00A516B3"/>
    <w:rsid w:val="00A55C3B"/>
    <w:rsid w:val="00A57730"/>
    <w:rsid w:val="00A6039A"/>
    <w:rsid w:val="00A61F39"/>
    <w:rsid w:val="00A649A8"/>
    <w:rsid w:val="00A728B7"/>
    <w:rsid w:val="00A74858"/>
    <w:rsid w:val="00A75FF2"/>
    <w:rsid w:val="00A76C09"/>
    <w:rsid w:val="00A76E2D"/>
    <w:rsid w:val="00A81793"/>
    <w:rsid w:val="00A832CB"/>
    <w:rsid w:val="00A8646A"/>
    <w:rsid w:val="00A90D00"/>
    <w:rsid w:val="00A91AF5"/>
    <w:rsid w:val="00A92495"/>
    <w:rsid w:val="00A95E0C"/>
    <w:rsid w:val="00AA06DD"/>
    <w:rsid w:val="00AA3E62"/>
    <w:rsid w:val="00AA56B7"/>
    <w:rsid w:val="00AA6E15"/>
    <w:rsid w:val="00AA718E"/>
    <w:rsid w:val="00AA73E4"/>
    <w:rsid w:val="00AB0A98"/>
    <w:rsid w:val="00AB2AEE"/>
    <w:rsid w:val="00AC05D7"/>
    <w:rsid w:val="00AC0A82"/>
    <w:rsid w:val="00AC2843"/>
    <w:rsid w:val="00AC2FD9"/>
    <w:rsid w:val="00AC3041"/>
    <w:rsid w:val="00AC3C7B"/>
    <w:rsid w:val="00AC731C"/>
    <w:rsid w:val="00AD4E64"/>
    <w:rsid w:val="00AD5C71"/>
    <w:rsid w:val="00AD7766"/>
    <w:rsid w:val="00AE110F"/>
    <w:rsid w:val="00AE19C2"/>
    <w:rsid w:val="00AE4D7B"/>
    <w:rsid w:val="00AE5056"/>
    <w:rsid w:val="00AE6A55"/>
    <w:rsid w:val="00AE7BCB"/>
    <w:rsid w:val="00AF32C1"/>
    <w:rsid w:val="00AF4B72"/>
    <w:rsid w:val="00AF64C3"/>
    <w:rsid w:val="00AF6A24"/>
    <w:rsid w:val="00AF6BDA"/>
    <w:rsid w:val="00B022E3"/>
    <w:rsid w:val="00B0429B"/>
    <w:rsid w:val="00B1627C"/>
    <w:rsid w:val="00B16D49"/>
    <w:rsid w:val="00B26282"/>
    <w:rsid w:val="00B27A7D"/>
    <w:rsid w:val="00B32C08"/>
    <w:rsid w:val="00B33451"/>
    <w:rsid w:val="00B348E3"/>
    <w:rsid w:val="00B3613D"/>
    <w:rsid w:val="00B37913"/>
    <w:rsid w:val="00B457FC"/>
    <w:rsid w:val="00B45F4C"/>
    <w:rsid w:val="00B46E86"/>
    <w:rsid w:val="00B47CE9"/>
    <w:rsid w:val="00B50671"/>
    <w:rsid w:val="00B52184"/>
    <w:rsid w:val="00B52628"/>
    <w:rsid w:val="00B54E3B"/>
    <w:rsid w:val="00B56EB1"/>
    <w:rsid w:val="00B6104C"/>
    <w:rsid w:val="00B628C1"/>
    <w:rsid w:val="00B6652B"/>
    <w:rsid w:val="00B7346B"/>
    <w:rsid w:val="00B748C3"/>
    <w:rsid w:val="00B7505B"/>
    <w:rsid w:val="00B77618"/>
    <w:rsid w:val="00B82EC6"/>
    <w:rsid w:val="00B84373"/>
    <w:rsid w:val="00B8500B"/>
    <w:rsid w:val="00B87EAE"/>
    <w:rsid w:val="00B90BF8"/>
    <w:rsid w:val="00B957E9"/>
    <w:rsid w:val="00B969EC"/>
    <w:rsid w:val="00BA28AE"/>
    <w:rsid w:val="00BA3181"/>
    <w:rsid w:val="00BA6C9A"/>
    <w:rsid w:val="00BB22A7"/>
    <w:rsid w:val="00BB467E"/>
    <w:rsid w:val="00BB4985"/>
    <w:rsid w:val="00BB5B43"/>
    <w:rsid w:val="00BB630A"/>
    <w:rsid w:val="00BB6F51"/>
    <w:rsid w:val="00BC16E3"/>
    <w:rsid w:val="00BC2D28"/>
    <w:rsid w:val="00BC496C"/>
    <w:rsid w:val="00BC4AE4"/>
    <w:rsid w:val="00BC6B37"/>
    <w:rsid w:val="00BC6CCC"/>
    <w:rsid w:val="00BC7F97"/>
    <w:rsid w:val="00BD0EF4"/>
    <w:rsid w:val="00BD2446"/>
    <w:rsid w:val="00BD26C7"/>
    <w:rsid w:val="00BD2E97"/>
    <w:rsid w:val="00BD3ECF"/>
    <w:rsid w:val="00BD580F"/>
    <w:rsid w:val="00BD6C75"/>
    <w:rsid w:val="00BE239D"/>
    <w:rsid w:val="00BE6EFE"/>
    <w:rsid w:val="00BE7082"/>
    <w:rsid w:val="00BF1748"/>
    <w:rsid w:val="00BF5F33"/>
    <w:rsid w:val="00BF7023"/>
    <w:rsid w:val="00C00368"/>
    <w:rsid w:val="00C01C8E"/>
    <w:rsid w:val="00C02667"/>
    <w:rsid w:val="00C06139"/>
    <w:rsid w:val="00C06D08"/>
    <w:rsid w:val="00C148BD"/>
    <w:rsid w:val="00C17B5D"/>
    <w:rsid w:val="00C208DE"/>
    <w:rsid w:val="00C214E2"/>
    <w:rsid w:val="00C26F6A"/>
    <w:rsid w:val="00C31F55"/>
    <w:rsid w:val="00C33252"/>
    <w:rsid w:val="00C36893"/>
    <w:rsid w:val="00C37926"/>
    <w:rsid w:val="00C418BC"/>
    <w:rsid w:val="00C42CB6"/>
    <w:rsid w:val="00C42EBF"/>
    <w:rsid w:val="00C433FF"/>
    <w:rsid w:val="00C44AEC"/>
    <w:rsid w:val="00C50453"/>
    <w:rsid w:val="00C56550"/>
    <w:rsid w:val="00C56606"/>
    <w:rsid w:val="00C57C92"/>
    <w:rsid w:val="00C619D6"/>
    <w:rsid w:val="00C62435"/>
    <w:rsid w:val="00C64147"/>
    <w:rsid w:val="00C64FC6"/>
    <w:rsid w:val="00C6798A"/>
    <w:rsid w:val="00C70C9D"/>
    <w:rsid w:val="00C7309E"/>
    <w:rsid w:val="00C73FB6"/>
    <w:rsid w:val="00C750CD"/>
    <w:rsid w:val="00C76312"/>
    <w:rsid w:val="00C76DD2"/>
    <w:rsid w:val="00C81406"/>
    <w:rsid w:val="00C81DB6"/>
    <w:rsid w:val="00C8201A"/>
    <w:rsid w:val="00C86001"/>
    <w:rsid w:val="00C874A0"/>
    <w:rsid w:val="00C929BA"/>
    <w:rsid w:val="00C93B1A"/>
    <w:rsid w:val="00C966B3"/>
    <w:rsid w:val="00C96C5E"/>
    <w:rsid w:val="00C97917"/>
    <w:rsid w:val="00CA1254"/>
    <w:rsid w:val="00CA1CFF"/>
    <w:rsid w:val="00CA32B8"/>
    <w:rsid w:val="00CA4A7D"/>
    <w:rsid w:val="00CA6730"/>
    <w:rsid w:val="00CA67F7"/>
    <w:rsid w:val="00CB021F"/>
    <w:rsid w:val="00CB123E"/>
    <w:rsid w:val="00CB2AD5"/>
    <w:rsid w:val="00CC2148"/>
    <w:rsid w:val="00CC42AF"/>
    <w:rsid w:val="00CC7507"/>
    <w:rsid w:val="00CD2C46"/>
    <w:rsid w:val="00CD59CA"/>
    <w:rsid w:val="00CD5F8C"/>
    <w:rsid w:val="00CD632D"/>
    <w:rsid w:val="00CE1283"/>
    <w:rsid w:val="00CE21CE"/>
    <w:rsid w:val="00CE73FC"/>
    <w:rsid w:val="00CF2EDB"/>
    <w:rsid w:val="00CF509D"/>
    <w:rsid w:val="00CF57D8"/>
    <w:rsid w:val="00CF7971"/>
    <w:rsid w:val="00D030D3"/>
    <w:rsid w:val="00D071A2"/>
    <w:rsid w:val="00D11BEB"/>
    <w:rsid w:val="00D12556"/>
    <w:rsid w:val="00D1724F"/>
    <w:rsid w:val="00D17E5C"/>
    <w:rsid w:val="00D17E95"/>
    <w:rsid w:val="00D20CF7"/>
    <w:rsid w:val="00D21E9B"/>
    <w:rsid w:val="00D22724"/>
    <w:rsid w:val="00D23693"/>
    <w:rsid w:val="00D24BA3"/>
    <w:rsid w:val="00D2602F"/>
    <w:rsid w:val="00D27AE3"/>
    <w:rsid w:val="00D31D4D"/>
    <w:rsid w:val="00D37447"/>
    <w:rsid w:val="00D40577"/>
    <w:rsid w:val="00D4172B"/>
    <w:rsid w:val="00D44DAF"/>
    <w:rsid w:val="00D4503D"/>
    <w:rsid w:val="00D479FD"/>
    <w:rsid w:val="00D50DA0"/>
    <w:rsid w:val="00D521E5"/>
    <w:rsid w:val="00D529FE"/>
    <w:rsid w:val="00D57CE8"/>
    <w:rsid w:val="00D60307"/>
    <w:rsid w:val="00D611FA"/>
    <w:rsid w:val="00D61335"/>
    <w:rsid w:val="00D645D7"/>
    <w:rsid w:val="00D65073"/>
    <w:rsid w:val="00D7007A"/>
    <w:rsid w:val="00D75513"/>
    <w:rsid w:val="00D82B42"/>
    <w:rsid w:val="00D82FB3"/>
    <w:rsid w:val="00D92D31"/>
    <w:rsid w:val="00D95644"/>
    <w:rsid w:val="00DA07DC"/>
    <w:rsid w:val="00DA19F8"/>
    <w:rsid w:val="00DA52CE"/>
    <w:rsid w:val="00DA5963"/>
    <w:rsid w:val="00DA5A27"/>
    <w:rsid w:val="00DA6441"/>
    <w:rsid w:val="00DB0626"/>
    <w:rsid w:val="00DB0784"/>
    <w:rsid w:val="00DB14D3"/>
    <w:rsid w:val="00DB1FFE"/>
    <w:rsid w:val="00DB25E2"/>
    <w:rsid w:val="00DB2E91"/>
    <w:rsid w:val="00DB3588"/>
    <w:rsid w:val="00DB482D"/>
    <w:rsid w:val="00DB5508"/>
    <w:rsid w:val="00DB67F9"/>
    <w:rsid w:val="00DC01C0"/>
    <w:rsid w:val="00DC16F4"/>
    <w:rsid w:val="00DC2B2F"/>
    <w:rsid w:val="00DC2D61"/>
    <w:rsid w:val="00DC7A3E"/>
    <w:rsid w:val="00DD2AD6"/>
    <w:rsid w:val="00DD71F6"/>
    <w:rsid w:val="00DD77E7"/>
    <w:rsid w:val="00DE0346"/>
    <w:rsid w:val="00DE591E"/>
    <w:rsid w:val="00DE686D"/>
    <w:rsid w:val="00DF1025"/>
    <w:rsid w:val="00DF1456"/>
    <w:rsid w:val="00DF18D7"/>
    <w:rsid w:val="00DF692B"/>
    <w:rsid w:val="00DF7829"/>
    <w:rsid w:val="00E002D7"/>
    <w:rsid w:val="00E02144"/>
    <w:rsid w:val="00E06188"/>
    <w:rsid w:val="00E063CA"/>
    <w:rsid w:val="00E07FD7"/>
    <w:rsid w:val="00E13DD6"/>
    <w:rsid w:val="00E143DF"/>
    <w:rsid w:val="00E150F0"/>
    <w:rsid w:val="00E2273E"/>
    <w:rsid w:val="00E23635"/>
    <w:rsid w:val="00E23EBC"/>
    <w:rsid w:val="00E36F96"/>
    <w:rsid w:val="00E451B9"/>
    <w:rsid w:val="00E46938"/>
    <w:rsid w:val="00E4700B"/>
    <w:rsid w:val="00E52F70"/>
    <w:rsid w:val="00E555EB"/>
    <w:rsid w:val="00E55B74"/>
    <w:rsid w:val="00E560CA"/>
    <w:rsid w:val="00E5675E"/>
    <w:rsid w:val="00E57CA5"/>
    <w:rsid w:val="00E6210D"/>
    <w:rsid w:val="00E64359"/>
    <w:rsid w:val="00E64CA0"/>
    <w:rsid w:val="00E6621E"/>
    <w:rsid w:val="00E72B49"/>
    <w:rsid w:val="00E73530"/>
    <w:rsid w:val="00E7514C"/>
    <w:rsid w:val="00E75C02"/>
    <w:rsid w:val="00E76B04"/>
    <w:rsid w:val="00E76B3F"/>
    <w:rsid w:val="00E82156"/>
    <w:rsid w:val="00E82948"/>
    <w:rsid w:val="00E833DB"/>
    <w:rsid w:val="00E916AF"/>
    <w:rsid w:val="00E9212E"/>
    <w:rsid w:val="00E9336D"/>
    <w:rsid w:val="00E93C6B"/>
    <w:rsid w:val="00E93F36"/>
    <w:rsid w:val="00E94DC9"/>
    <w:rsid w:val="00E95E87"/>
    <w:rsid w:val="00E961AA"/>
    <w:rsid w:val="00E97A35"/>
    <w:rsid w:val="00EA2FBE"/>
    <w:rsid w:val="00EA5F77"/>
    <w:rsid w:val="00EA6438"/>
    <w:rsid w:val="00EA6E3E"/>
    <w:rsid w:val="00EB53B8"/>
    <w:rsid w:val="00EB5FF5"/>
    <w:rsid w:val="00EC009E"/>
    <w:rsid w:val="00EC08E8"/>
    <w:rsid w:val="00EC2667"/>
    <w:rsid w:val="00ED1D8B"/>
    <w:rsid w:val="00ED24E6"/>
    <w:rsid w:val="00ED2900"/>
    <w:rsid w:val="00EE1D91"/>
    <w:rsid w:val="00EE4864"/>
    <w:rsid w:val="00EE63B1"/>
    <w:rsid w:val="00EE6D78"/>
    <w:rsid w:val="00EF0BF6"/>
    <w:rsid w:val="00EF0EE0"/>
    <w:rsid w:val="00EF300F"/>
    <w:rsid w:val="00EF3E6B"/>
    <w:rsid w:val="00EF54FD"/>
    <w:rsid w:val="00F00F58"/>
    <w:rsid w:val="00F02237"/>
    <w:rsid w:val="00F03113"/>
    <w:rsid w:val="00F04006"/>
    <w:rsid w:val="00F049B5"/>
    <w:rsid w:val="00F0535E"/>
    <w:rsid w:val="00F05BDA"/>
    <w:rsid w:val="00F068F5"/>
    <w:rsid w:val="00F10DDF"/>
    <w:rsid w:val="00F14CCB"/>
    <w:rsid w:val="00F17CA3"/>
    <w:rsid w:val="00F20E25"/>
    <w:rsid w:val="00F26162"/>
    <w:rsid w:val="00F27D57"/>
    <w:rsid w:val="00F32A84"/>
    <w:rsid w:val="00F37383"/>
    <w:rsid w:val="00F37810"/>
    <w:rsid w:val="00F405EA"/>
    <w:rsid w:val="00F4399D"/>
    <w:rsid w:val="00F44A05"/>
    <w:rsid w:val="00F47768"/>
    <w:rsid w:val="00F51B99"/>
    <w:rsid w:val="00F52C31"/>
    <w:rsid w:val="00F53464"/>
    <w:rsid w:val="00F556D4"/>
    <w:rsid w:val="00F57A44"/>
    <w:rsid w:val="00F61973"/>
    <w:rsid w:val="00F66493"/>
    <w:rsid w:val="00F6759D"/>
    <w:rsid w:val="00F679EE"/>
    <w:rsid w:val="00F7115D"/>
    <w:rsid w:val="00F77260"/>
    <w:rsid w:val="00F77CA8"/>
    <w:rsid w:val="00F84768"/>
    <w:rsid w:val="00F86D00"/>
    <w:rsid w:val="00F91277"/>
    <w:rsid w:val="00F916FB"/>
    <w:rsid w:val="00F91F15"/>
    <w:rsid w:val="00F95C6E"/>
    <w:rsid w:val="00F97DC3"/>
    <w:rsid w:val="00FA0B46"/>
    <w:rsid w:val="00FA12C8"/>
    <w:rsid w:val="00FA271E"/>
    <w:rsid w:val="00FA3A2E"/>
    <w:rsid w:val="00FA5C48"/>
    <w:rsid w:val="00FB2B24"/>
    <w:rsid w:val="00FB2E67"/>
    <w:rsid w:val="00FB4496"/>
    <w:rsid w:val="00FC02F7"/>
    <w:rsid w:val="00FC1C2A"/>
    <w:rsid w:val="00FC67BF"/>
    <w:rsid w:val="00FC7806"/>
    <w:rsid w:val="00FD02C5"/>
    <w:rsid w:val="00FD54AE"/>
    <w:rsid w:val="00FD68D9"/>
    <w:rsid w:val="00FE4C10"/>
    <w:rsid w:val="00FF2654"/>
    <w:rsid w:val="00FF38E3"/>
    <w:rsid w:val="00FF5475"/>
  </w:rsids>
  <m:mathPr>
    <m:mathFont m:val="Cambria Math"/>
    <m:brkBin m:val="before"/>
    <m:brkBinSub m:val="--"/>
    <m:smallFrac m:val="0"/>
    <m:dispDef/>
    <m:lMargin m:val="0"/>
    <m:rMargin m:val="0"/>
    <m:defJc m:val="centerGroup"/>
    <m:wrapIndent m:val="1440"/>
    <m:intLim m:val="subSup"/>
    <m:naryLim m:val="undOvr"/>
  </m:mathPr>
  <w:themeFontLang w:val="en-I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6FA20"/>
  <w15:chartTrackingRefBased/>
  <w15:docId w15:val="{7FC9EF14-28A9-46B2-99A4-C42133078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IE"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A70B6"/>
    <w:pPr>
      <w:keepNext/>
      <w:keepLines/>
      <w:numPr>
        <w:numId w:val="4"/>
      </w:numPr>
      <w:spacing w:before="360" w:after="80"/>
      <w:jc w:val="center"/>
      <w:outlineLvl w:val="0"/>
    </w:pPr>
    <w:rPr>
      <w:rFonts w:ascii="Times New Roman" w:eastAsiaTheme="majorEastAsia" w:hAnsi="Times New Roman" w:cstheme="majorBidi"/>
      <w:b/>
      <w:smallCaps/>
      <w:color w:val="000000" w:themeColor="text1"/>
      <w:sz w:val="28"/>
      <w:szCs w:val="40"/>
    </w:rPr>
  </w:style>
  <w:style w:type="paragraph" w:styleId="Heading2">
    <w:name w:val="heading 2"/>
    <w:basedOn w:val="Normal"/>
    <w:next w:val="Normal"/>
    <w:link w:val="Heading2Char"/>
    <w:uiPriority w:val="9"/>
    <w:unhideWhenUsed/>
    <w:qFormat/>
    <w:rsid w:val="002A70B6"/>
    <w:pPr>
      <w:keepNext/>
      <w:keepLines/>
      <w:numPr>
        <w:ilvl w:val="1"/>
        <w:numId w:val="4"/>
      </w:numPr>
      <w:spacing w:before="160" w:after="80"/>
      <w:outlineLvl w:val="1"/>
    </w:pPr>
    <w:rPr>
      <w:rFonts w:ascii="Times New Roman" w:eastAsiaTheme="majorEastAsia" w:hAnsi="Times New Roman" w:cstheme="majorBidi"/>
      <w:b/>
      <w:color w:val="000000" w:themeColor="text1"/>
      <w:szCs w:val="32"/>
    </w:rPr>
  </w:style>
  <w:style w:type="paragraph" w:styleId="Heading3">
    <w:name w:val="heading 3"/>
    <w:basedOn w:val="Normal"/>
    <w:next w:val="Normal"/>
    <w:link w:val="Heading3Char"/>
    <w:uiPriority w:val="9"/>
    <w:unhideWhenUsed/>
    <w:qFormat/>
    <w:rsid w:val="002A70B6"/>
    <w:pPr>
      <w:keepNext/>
      <w:keepLines/>
      <w:numPr>
        <w:ilvl w:val="2"/>
        <w:numId w:val="4"/>
      </w:numPr>
      <w:spacing w:before="160" w:after="80"/>
      <w:outlineLvl w:val="2"/>
    </w:pPr>
    <w:rPr>
      <w:rFonts w:ascii="Times New Roman" w:eastAsiaTheme="majorEastAsia" w:hAnsi="Times New Roman" w:cstheme="majorBidi"/>
      <w:b/>
      <w:i/>
      <w:color w:val="000000" w:themeColor="text1"/>
      <w:szCs w:val="28"/>
    </w:rPr>
  </w:style>
  <w:style w:type="paragraph" w:styleId="Heading4">
    <w:name w:val="heading 4"/>
    <w:basedOn w:val="Normal"/>
    <w:next w:val="Normal"/>
    <w:link w:val="Heading4Char"/>
    <w:uiPriority w:val="9"/>
    <w:semiHidden/>
    <w:unhideWhenUsed/>
    <w:qFormat/>
    <w:rsid w:val="00DF18D7"/>
    <w:pPr>
      <w:keepNext/>
      <w:keepLines/>
      <w:numPr>
        <w:ilvl w:val="3"/>
        <w:numId w:val="4"/>
      </w:numPr>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F18D7"/>
    <w:pPr>
      <w:keepNext/>
      <w:keepLines/>
      <w:numPr>
        <w:ilvl w:val="4"/>
        <w:numId w:val="4"/>
      </w:numPr>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F18D7"/>
    <w:pPr>
      <w:keepNext/>
      <w:keepLines/>
      <w:numPr>
        <w:ilvl w:val="5"/>
        <w:numId w:val="4"/>
      </w:numPr>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F18D7"/>
    <w:pPr>
      <w:keepNext/>
      <w:keepLines/>
      <w:numPr>
        <w:ilvl w:val="6"/>
        <w:numId w:val="4"/>
      </w:numPr>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F18D7"/>
    <w:pPr>
      <w:keepNext/>
      <w:keepLines/>
      <w:numPr>
        <w:ilvl w:val="7"/>
        <w:numId w:val="4"/>
      </w:numPr>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F18D7"/>
    <w:pPr>
      <w:keepNext/>
      <w:keepLines/>
      <w:numPr>
        <w:ilvl w:val="8"/>
        <w:numId w:val="4"/>
      </w:numPr>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70B6"/>
    <w:rPr>
      <w:rFonts w:ascii="Times New Roman" w:eastAsiaTheme="majorEastAsia" w:hAnsi="Times New Roman" w:cstheme="majorBidi"/>
      <w:b/>
      <w:smallCaps/>
      <w:color w:val="000000" w:themeColor="text1"/>
      <w:sz w:val="28"/>
      <w:szCs w:val="40"/>
    </w:rPr>
  </w:style>
  <w:style w:type="character" w:customStyle="1" w:styleId="Heading2Char">
    <w:name w:val="Heading 2 Char"/>
    <w:basedOn w:val="DefaultParagraphFont"/>
    <w:link w:val="Heading2"/>
    <w:uiPriority w:val="9"/>
    <w:rsid w:val="002A70B6"/>
    <w:rPr>
      <w:rFonts w:ascii="Times New Roman" w:eastAsiaTheme="majorEastAsia" w:hAnsi="Times New Roman" w:cstheme="majorBidi"/>
      <w:b/>
      <w:color w:val="000000" w:themeColor="text1"/>
      <w:szCs w:val="32"/>
    </w:rPr>
  </w:style>
  <w:style w:type="character" w:customStyle="1" w:styleId="Heading3Char">
    <w:name w:val="Heading 3 Char"/>
    <w:basedOn w:val="DefaultParagraphFont"/>
    <w:link w:val="Heading3"/>
    <w:uiPriority w:val="9"/>
    <w:rsid w:val="002A70B6"/>
    <w:rPr>
      <w:rFonts w:ascii="Times New Roman" w:eastAsiaTheme="majorEastAsia" w:hAnsi="Times New Roman" w:cstheme="majorBidi"/>
      <w:b/>
      <w:i/>
      <w:color w:val="000000" w:themeColor="text1"/>
      <w:szCs w:val="28"/>
    </w:rPr>
  </w:style>
  <w:style w:type="character" w:customStyle="1" w:styleId="Heading4Char">
    <w:name w:val="Heading 4 Char"/>
    <w:basedOn w:val="DefaultParagraphFont"/>
    <w:link w:val="Heading4"/>
    <w:uiPriority w:val="9"/>
    <w:semiHidden/>
    <w:rsid w:val="00DF18D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F18D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F18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F18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F18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F18D7"/>
    <w:rPr>
      <w:rFonts w:eastAsiaTheme="majorEastAsia" w:cstheme="majorBidi"/>
      <w:color w:val="272727" w:themeColor="text1" w:themeTint="D8"/>
    </w:rPr>
  </w:style>
  <w:style w:type="paragraph" w:styleId="Title">
    <w:name w:val="Title"/>
    <w:basedOn w:val="Normal"/>
    <w:next w:val="Normal"/>
    <w:link w:val="TitleChar"/>
    <w:uiPriority w:val="10"/>
    <w:qFormat/>
    <w:rsid w:val="00DF18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18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F18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F18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F18D7"/>
    <w:pPr>
      <w:spacing w:before="160"/>
      <w:jc w:val="center"/>
    </w:pPr>
    <w:rPr>
      <w:i/>
      <w:iCs/>
      <w:color w:val="404040" w:themeColor="text1" w:themeTint="BF"/>
    </w:rPr>
  </w:style>
  <w:style w:type="character" w:customStyle="1" w:styleId="QuoteChar">
    <w:name w:val="Quote Char"/>
    <w:basedOn w:val="DefaultParagraphFont"/>
    <w:link w:val="Quote"/>
    <w:uiPriority w:val="29"/>
    <w:rsid w:val="00DF18D7"/>
    <w:rPr>
      <w:i/>
      <w:iCs/>
      <w:color w:val="404040" w:themeColor="text1" w:themeTint="BF"/>
    </w:rPr>
  </w:style>
  <w:style w:type="paragraph" w:styleId="ListParagraph">
    <w:name w:val="List Paragraph"/>
    <w:basedOn w:val="Normal"/>
    <w:uiPriority w:val="34"/>
    <w:qFormat/>
    <w:rsid w:val="00DF18D7"/>
    <w:pPr>
      <w:ind w:left="720"/>
      <w:contextualSpacing/>
    </w:pPr>
  </w:style>
  <w:style w:type="character" w:styleId="IntenseEmphasis">
    <w:name w:val="Intense Emphasis"/>
    <w:basedOn w:val="DefaultParagraphFont"/>
    <w:uiPriority w:val="21"/>
    <w:qFormat/>
    <w:rsid w:val="00DF18D7"/>
    <w:rPr>
      <w:i/>
      <w:iCs/>
      <w:color w:val="0F4761" w:themeColor="accent1" w:themeShade="BF"/>
    </w:rPr>
  </w:style>
  <w:style w:type="paragraph" w:styleId="IntenseQuote">
    <w:name w:val="Intense Quote"/>
    <w:basedOn w:val="Normal"/>
    <w:next w:val="Normal"/>
    <w:link w:val="IntenseQuoteChar"/>
    <w:uiPriority w:val="30"/>
    <w:qFormat/>
    <w:rsid w:val="00DF18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F18D7"/>
    <w:rPr>
      <w:i/>
      <w:iCs/>
      <w:color w:val="0F4761" w:themeColor="accent1" w:themeShade="BF"/>
    </w:rPr>
  </w:style>
  <w:style w:type="character" w:styleId="IntenseReference">
    <w:name w:val="Intense Reference"/>
    <w:basedOn w:val="DefaultParagraphFont"/>
    <w:uiPriority w:val="32"/>
    <w:qFormat/>
    <w:rsid w:val="00DF18D7"/>
    <w:rPr>
      <w:b/>
      <w:bCs/>
      <w:smallCaps/>
      <w:color w:val="0F4761" w:themeColor="accent1" w:themeShade="BF"/>
      <w:spacing w:val="5"/>
    </w:rPr>
  </w:style>
  <w:style w:type="table" w:styleId="TableGrid">
    <w:name w:val="Table Grid"/>
    <w:basedOn w:val="TableNormal"/>
    <w:uiPriority w:val="59"/>
    <w:rsid w:val="00F27D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11E84"/>
    <w:rPr>
      <w:color w:val="467886" w:themeColor="hyperlink"/>
      <w:u w:val="single"/>
    </w:rPr>
  </w:style>
  <w:style w:type="character" w:styleId="UnresolvedMention">
    <w:name w:val="Unresolved Mention"/>
    <w:basedOn w:val="DefaultParagraphFont"/>
    <w:uiPriority w:val="99"/>
    <w:semiHidden/>
    <w:unhideWhenUsed/>
    <w:rsid w:val="00411E84"/>
    <w:rPr>
      <w:color w:val="605E5C"/>
      <w:shd w:val="clear" w:color="auto" w:fill="E1DFDD"/>
    </w:rPr>
  </w:style>
  <w:style w:type="table" w:customStyle="1" w:styleId="TableGrid1">
    <w:name w:val="Table Grid1"/>
    <w:basedOn w:val="TableNormal"/>
    <w:next w:val="TableGrid"/>
    <w:uiPriority w:val="59"/>
    <w:rsid w:val="00347324"/>
    <w:pPr>
      <w:spacing w:after="0" w:line="240" w:lineRule="auto"/>
    </w:pPr>
    <w:rPr>
      <w:rFonts w:eastAsia="MS Mincho"/>
      <w:kern w:val="0"/>
      <w:sz w:val="22"/>
      <w:szCs w:val="22"/>
      <w:lang w:val="en-US"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D408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D408E"/>
    <w:rPr>
      <w:sz w:val="20"/>
      <w:szCs w:val="20"/>
    </w:rPr>
  </w:style>
  <w:style w:type="character" w:styleId="FootnoteReference">
    <w:name w:val="footnote reference"/>
    <w:basedOn w:val="DefaultParagraphFont"/>
    <w:uiPriority w:val="99"/>
    <w:semiHidden/>
    <w:unhideWhenUsed/>
    <w:rsid w:val="009D408E"/>
    <w:rPr>
      <w:vertAlign w:val="superscript"/>
    </w:rPr>
  </w:style>
  <w:style w:type="paragraph" w:styleId="Header">
    <w:name w:val="header"/>
    <w:basedOn w:val="Normal"/>
    <w:link w:val="HeaderChar"/>
    <w:uiPriority w:val="99"/>
    <w:unhideWhenUsed/>
    <w:rsid w:val="00F619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1973"/>
  </w:style>
  <w:style w:type="paragraph" w:styleId="Footer">
    <w:name w:val="footer"/>
    <w:basedOn w:val="Normal"/>
    <w:link w:val="FooterChar"/>
    <w:uiPriority w:val="99"/>
    <w:unhideWhenUsed/>
    <w:rsid w:val="00F619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19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1534255">
      <w:bodyDiv w:val="1"/>
      <w:marLeft w:val="0"/>
      <w:marRight w:val="0"/>
      <w:marTop w:val="0"/>
      <w:marBottom w:val="0"/>
      <w:divBdr>
        <w:top w:val="none" w:sz="0" w:space="0" w:color="auto"/>
        <w:left w:val="none" w:sz="0" w:space="0" w:color="auto"/>
        <w:bottom w:val="none" w:sz="0" w:space="0" w:color="auto"/>
        <w:right w:val="none" w:sz="0" w:space="0" w:color="auto"/>
      </w:divBdr>
    </w:div>
    <w:div w:id="637536134">
      <w:bodyDiv w:val="1"/>
      <w:marLeft w:val="0"/>
      <w:marRight w:val="0"/>
      <w:marTop w:val="0"/>
      <w:marBottom w:val="0"/>
      <w:divBdr>
        <w:top w:val="none" w:sz="0" w:space="0" w:color="auto"/>
        <w:left w:val="none" w:sz="0" w:space="0" w:color="auto"/>
        <w:bottom w:val="none" w:sz="0" w:space="0" w:color="auto"/>
        <w:right w:val="none" w:sz="0" w:space="0" w:color="auto"/>
      </w:divBdr>
    </w:div>
    <w:div w:id="722370113">
      <w:bodyDiv w:val="1"/>
      <w:marLeft w:val="0"/>
      <w:marRight w:val="0"/>
      <w:marTop w:val="0"/>
      <w:marBottom w:val="0"/>
      <w:divBdr>
        <w:top w:val="none" w:sz="0" w:space="0" w:color="auto"/>
        <w:left w:val="none" w:sz="0" w:space="0" w:color="auto"/>
        <w:bottom w:val="none" w:sz="0" w:space="0" w:color="auto"/>
        <w:right w:val="none" w:sz="0" w:space="0" w:color="auto"/>
      </w:divBdr>
    </w:div>
    <w:div w:id="843863557">
      <w:bodyDiv w:val="1"/>
      <w:marLeft w:val="0"/>
      <w:marRight w:val="0"/>
      <w:marTop w:val="0"/>
      <w:marBottom w:val="0"/>
      <w:divBdr>
        <w:top w:val="none" w:sz="0" w:space="0" w:color="auto"/>
        <w:left w:val="none" w:sz="0" w:space="0" w:color="auto"/>
        <w:bottom w:val="none" w:sz="0" w:space="0" w:color="auto"/>
        <w:right w:val="none" w:sz="0" w:space="0" w:color="auto"/>
      </w:divBdr>
    </w:div>
    <w:div w:id="1405029094">
      <w:bodyDiv w:val="1"/>
      <w:marLeft w:val="0"/>
      <w:marRight w:val="0"/>
      <w:marTop w:val="0"/>
      <w:marBottom w:val="0"/>
      <w:divBdr>
        <w:top w:val="none" w:sz="0" w:space="0" w:color="auto"/>
        <w:left w:val="none" w:sz="0" w:space="0" w:color="auto"/>
        <w:bottom w:val="none" w:sz="0" w:space="0" w:color="auto"/>
        <w:right w:val="none" w:sz="0" w:space="0" w:color="auto"/>
      </w:divBdr>
    </w:div>
    <w:div w:id="1761678299">
      <w:bodyDiv w:val="1"/>
      <w:marLeft w:val="0"/>
      <w:marRight w:val="0"/>
      <w:marTop w:val="0"/>
      <w:marBottom w:val="0"/>
      <w:divBdr>
        <w:top w:val="none" w:sz="0" w:space="0" w:color="auto"/>
        <w:left w:val="none" w:sz="0" w:space="0" w:color="auto"/>
        <w:bottom w:val="none" w:sz="0" w:space="0" w:color="auto"/>
        <w:right w:val="none" w:sz="0" w:space="0" w:color="auto"/>
      </w:divBdr>
    </w:div>
    <w:div w:id="1771470095">
      <w:bodyDiv w:val="1"/>
      <w:marLeft w:val="0"/>
      <w:marRight w:val="0"/>
      <w:marTop w:val="0"/>
      <w:marBottom w:val="0"/>
      <w:divBdr>
        <w:top w:val="none" w:sz="0" w:space="0" w:color="auto"/>
        <w:left w:val="none" w:sz="0" w:space="0" w:color="auto"/>
        <w:bottom w:val="none" w:sz="0" w:space="0" w:color="auto"/>
        <w:right w:val="none" w:sz="0" w:space="0" w:color="auto"/>
      </w:divBdr>
    </w:div>
    <w:div w:id="1797213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48550/arXiv.2405.195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4D6D3D-8E29-4AFC-AF59-05C38346D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55</Pages>
  <Words>15651</Words>
  <Characters>89214</Characters>
  <Application>Microsoft Office Word</Application>
  <DocSecurity>0</DocSecurity>
  <Lines>743</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Kisito Futonge Nzembayie</dc:creator>
  <cp:keywords/>
  <dc:description/>
  <cp:lastModifiedBy>Kisito Futonge Nzembayie</cp:lastModifiedBy>
  <cp:revision>68</cp:revision>
  <cp:lastPrinted>2025-09-02T17:00:00Z</cp:lastPrinted>
  <dcterms:created xsi:type="dcterms:W3CDTF">2025-09-05T12:23:00Z</dcterms:created>
  <dcterms:modified xsi:type="dcterms:W3CDTF">2025-09-08T09:11:00Z</dcterms:modified>
</cp:coreProperties>
</file>