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57CEF2F0" w14:textId="77777777" w:rsidR="00F62C8B" w:rsidRPr="00270DD5" w:rsidRDefault="005A1A2D" w:rsidP="004C531E">
      <w:pPr>
        <w:pStyle w:val="RSCM01ReceivedAccepted"/>
      </w:pPr>
      <w:r>
        <mc:AlternateContent>
          <mc:Choice Requires="wps">
            <w:drawing>
              <wp:anchor distT="180340" distB="0" distL="114300" distR="114300" simplePos="0" relativeHeight="251662336" behindDoc="1" locked="1" layoutInCell="0" allowOverlap="0" wp14:anchorId="27761E39" wp14:editId="7972362A">
                <wp:simplePos x="0" y="0"/>
                <wp:positionH relativeFrom="column">
                  <wp:posOffset>0</wp:posOffset>
                </wp:positionH>
                <wp:positionV relativeFrom="margin">
                  <wp:align>bottom</wp:align>
                </wp:positionV>
                <wp:extent cx="3159125" cy="1189355"/>
                <wp:effectExtent l="0" t="0" r="3175" b="1905"/>
                <wp:wrapTopAndBottom/>
                <wp:docPr id="20"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159125" cy="1189355"/>
                        </a:xfrm>
                        <a:prstGeom prst="rect">
                          <a:avLst/>
                        </a:prstGeom>
                        <a:solidFill>
                          <a:srgbClr val="FFFFFF"/>
                        </a:solidFill>
                        <a:ln w="9525">
                          <a:noFill/>
                          <a:miter lim="800000"/>
                          <a:headEnd/>
                          <a:tailEnd/>
                        </a:ln>
                      </wps:spPr>
                      <wps:txbx>
                        <w:txbxContent>
                          <w:p w14:paraId="49B5C1FB" w14:textId="77777777" w:rsidR="00B304DE" w:rsidRPr="00095F0C" w:rsidRDefault="00B304DE" w:rsidP="00E67B67">
                            <w:pPr>
                              <w:pStyle w:val="RSCF01FootnoteAuthorAddress"/>
                              <w:rPr>
                                <w:iCs/>
                              </w:rPr>
                            </w:pPr>
                            <w:r w:rsidRPr="000366E5">
                              <w:rPr>
                                <w:iCs/>
                              </w:rPr>
                              <w:t xml:space="preserve">Institute of Physics, University of Silesia, </w:t>
                            </w:r>
                            <w:r w:rsidRPr="001312B6">
                              <w:t>SMCEBI, 75 Pulku Piechoty 1A, 41-500 Chorzow, Poland</w:t>
                            </w:r>
                            <w:r w:rsidRPr="000366E5">
                              <w:rPr>
                                <w:iCs/>
                              </w:rPr>
                              <w:t xml:space="preserve"> </w:t>
                            </w:r>
                          </w:p>
                          <w:p w14:paraId="5CDFA002" w14:textId="77777777" w:rsidR="00B304DE" w:rsidRDefault="00B304DE" w:rsidP="00E67B67">
                            <w:pPr>
                              <w:pStyle w:val="RSCF01FootnoteAuthorAddress"/>
                            </w:pPr>
                            <w:r w:rsidRPr="000366E5">
                              <w:t>School of Pharmacy and Pharmaceutical Sciences, Trinity College Dublin, College Green, Dublin 2, Ireland</w:t>
                            </w:r>
                          </w:p>
                          <w:p w14:paraId="0A0A672A" w14:textId="77777777" w:rsidR="00B304DE" w:rsidRPr="00C405FD" w:rsidRDefault="00B304DE" w:rsidP="00E67B67">
                            <w:pPr>
                              <w:pStyle w:val="RSCF01FootnoteAuthorAddress"/>
                            </w:pPr>
                            <w:r w:rsidRPr="001312B6">
                              <w:t>Clinical Department of Laryngology,</w:t>
                            </w:r>
                            <w:r>
                              <w:t xml:space="preserve"> School of Medicine in Katowice, Medical University of Silesia</w:t>
                            </w:r>
                            <w:r w:rsidRPr="001312B6">
                              <w:t xml:space="preserve">, </w:t>
                            </w:r>
                            <w:r w:rsidRPr="00095F0C">
                              <w:t>Poniatowsk</w:t>
                            </w:r>
                            <w:r>
                              <w:t xml:space="preserve">iego 15, 40-055 </w:t>
                            </w:r>
                            <w:r w:rsidRPr="001312B6">
                              <w:t>Katowice, Poland</w:t>
                            </w:r>
                          </w:p>
                          <w:p w14:paraId="4C246217" w14:textId="77777777" w:rsidR="00B304DE" w:rsidRDefault="00B304DE" w:rsidP="00E67B67">
                            <w:pPr>
                              <w:pStyle w:val="RSCF02FootnotestoTitleAuthors"/>
                            </w:pPr>
                            <w:r>
                              <w:t>‡Authors contributed equally to this work (ZW and WS)</w:t>
                            </w:r>
                          </w:p>
                          <w:p w14:paraId="2AD3F029" w14:textId="77777777" w:rsidR="00B304DE" w:rsidRPr="00241ACD" w:rsidRDefault="00B304DE" w:rsidP="00E67B67">
                            <w:pPr>
                              <w:pStyle w:val="RSCF02FootnotestoTitleAuthors"/>
                            </w:pPr>
                            <w:r>
                              <w:t>Corresponding author: zaneta.wojnarowska@smcebi.edu.pl</w:t>
                            </w:r>
                          </w:p>
                          <w:p w14:paraId="1FB12CA3" w14:textId="77777777" w:rsidR="00B304DE" w:rsidRPr="00241ACD" w:rsidRDefault="00B304DE" w:rsidP="00241ACD">
                            <w:pPr>
                              <w:pStyle w:val="RSCF02FootnotestoTitleAuthors"/>
                            </w:pPr>
                            <w:r w:rsidRPr="00241ACD">
                              <w:t>Electronic Supplementar</w:t>
                            </w:r>
                            <w:r>
                              <w:t>y Information (ESI) available: DSC thermograms of LD/PRL and LD-HCl/PRL-HCL</w:t>
                            </w:r>
                            <w:r w:rsidRPr="00241ACD">
                              <w:t>. See DOI: 10.1039/x0xx00000x</w:t>
                            </w:r>
                          </w:p>
                        </w:txbxContent>
                      </wps:txbx>
                      <wps:bodyPr rot="0" vert="horz" wrap="square" lIns="0" tIns="36000" rIns="0" bIns="36000" anchor="b" anchorCtr="0">
                        <a:spAutoFit/>
                      </wps:bodyPr>
                    </wps:wsp>
                  </a:graphicData>
                </a:graphic>
                <wp14:sizeRelH relativeFrom="margin">
                  <wp14:pctWidth>0</wp14:pctWidth>
                </wp14:sizeRelH>
                <wp14:sizeRelV relativeFrom="margin">
                  <wp14:pctHeight>20000</wp14:pctHeight>
                </wp14:sizeRelV>
              </wp:anchor>
            </w:drawing>
          </mc:Choice>
          <mc:Fallback>
            <w:pict>
              <v:shapetype w14:anchorId="27761E39" id="_x0000_t202" coordsize="21600,21600" o:spt="202" path="m,l,21600r21600,l21600,xe">
                <v:stroke joinstyle="miter"/>
                <v:path gradientshapeok="t" o:connecttype="rect"/>
              </v:shapetype>
              <v:shape id="Text Box 2" o:spid="_x0000_s1026" type="#_x0000_t202" style="position:absolute;margin-left:0;margin-top:0;width:248.75pt;height:93.65pt;z-index:-251654144;visibility:visible;mso-wrap-style:square;mso-width-percent:0;mso-height-percent:200;mso-wrap-distance-left:9pt;mso-wrap-distance-top:14.2pt;mso-wrap-distance-right:9pt;mso-wrap-distance-bottom:0;mso-position-horizontal:absolute;mso-position-horizontal-relative:text;mso-position-vertical:bottom;mso-position-vertical-relative:margin;mso-width-percent:0;mso-height-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" o:allowincell="f" o:allowoverlap="f" stroked="f">
                <o:lock v:ext="edit" aspectratio="t"/>
                <v:textbox style="mso-fit-shape-to-text:t" inset="0,1mm,0,1mm">
                  <w:txbxContent>
                    <w:p w14:paraId="49B5C1FB" w14:textId="77777777" w:rsidR="00B304DE" w:rsidRPr="00095F0C" w:rsidRDefault="00B304DE" w:rsidP="00E67B67">
                      <w:pPr>
                        <w:pStyle w:val="RSCF01FootnoteAuthorAddress"/>
                        <w:rPr>
                          <w:iCs/>
                        </w:rPr>
                      </w:pPr>
                      <w:r w:rsidRPr="000366E5">
                        <w:rPr>
                          <w:iCs/>
                        </w:rPr>
                        <w:t xml:space="preserve">Institute of Physics, University of Silesia, </w:t>
                      </w:r>
                      <w:r w:rsidRPr="001312B6">
                        <w:t>SMCEBI, 75 Pulku Piechoty 1A, 41-500 Chorzow, Poland</w:t>
                      </w:r>
                      <w:r w:rsidRPr="000366E5">
                        <w:rPr>
                          <w:iCs/>
                        </w:rPr>
                        <w:t xml:space="preserve"> </w:t>
                      </w:r>
                    </w:p>
                    <w:p w14:paraId="5CDFA002" w14:textId="77777777" w:rsidR="00B304DE" w:rsidRDefault="00B304DE" w:rsidP="00E67B67">
                      <w:pPr>
                        <w:pStyle w:val="RSCF01FootnoteAuthorAddress"/>
                      </w:pPr>
                      <w:r w:rsidRPr="000366E5">
                        <w:t>School of Pharmacy and Pharmaceutical Sciences, Trinity College Dublin, College Green, Dublin 2, Ireland</w:t>
                      </w:r>
                    </w:p>
                    <w:p w14:paraId="0A0A672A" w14:textId="77777777" w:rsidR="00B304DE" w:rsidRPr="00C405FD" w:rsidRDefault="00B304DE" w:rsidP="00E67B67">
                      <w:pPr>
                        <w:pStyle w:val="RSCF01FootnoteAuthorAddress"/>
                      </w:pPr>
                      <w:r w:rsidRPr="001312B6">
                        <w:t>Clinical Department of Laryngology,</w:t>
                      </w:r>
                      <w:r>
                        <w:t xml:space="preserve"> School of Medicine in Katowice, Medical University of Silesia</w:t>
                      </w:r>
                      <w:r w:rsidRPr="001312B6">
                        <w:t xml:space="preserve">, </w:t>
                      </w:r>
                      <w:r w:rsidRPr="00095F0C">
                        <w:t>Poniatowsk</w:t>
                      </w:r>
                      <w:r>
                        <w:t xml:space="preserve">iego 15, 40-055 </w:t>
                      </w:r>
                      <w:r w:rsidRPr="001312B6">
                        <w:t>Katowice, Poland</w:t>
                      </w:r>
                    </w:p>
                    <w:p w14:paraId="4C246217" w14:textId="77777777" w:rsidR="00B304DE" w:rsidRDefault="00B304DE" w:rsidP="00E67B67">
                      <w:pPr>
                        <w:pStyle w:val="RSCF02FootnotestoTitleAuthors"/>
                      </w:pPr>
                      <w:r>
                        <w:t>‡Authors contributed equally to this work (ZW and WS)</w:t>
                      </w:r>
                    </w:p>
                    <w:p w14:paraId="2AD3F029" w14:textId="77777777" w:rsidR="00B304DE" w:rsidRPr="00241ACD" w:rsidRDefault="00B304DE" w:rsidP="00E67B67">
                      <w:pPr>
                        <w:pStyle w:val="RSCF02FootnotestoTitleAuthors"/>
                      </w:pPr>
                      <w:r>
                        <w:t>Corresponding author: zaneta.wojnarowska@smcebi.edu.pl</w:t>
                      </w:r>
                    </w:p>
                    <w:p w14:paraId="1FB12CA3" w14:textId="77777777" w:rsidR="00B304DE" w:rsidRPr="00241ACD" w:rsidRDefault="00B304DE" w:rsidP="00241ACD">
                      <w:pPr>
                        <w:pStyle w:val="RSCF02FootnotestoTitleAuthors"/>
                      </w:pPr>
                      <w:r w:rsidRPr="00241ACD">
                        <w:t>Electronic Supplementar</w:t>
                      </w:r>
                      <w:r>
                        <w:t>y Information (ESI) available: DSC thermograms of LD/PRL and LD-HCl/PRL-HCL</w:t>
                      </w:r>
                      <w:r w:rsidRPr="00241ACD">
                        <w:t>. See DOI: 10.1039/x0xx00000x</w:t>
                      </w:r>
                    </w:p>
                  </w:txbxContent>
                </v:textbox>
                <w10:wrap type="topAndBottom" anchory="margin"/>
                <w10:anchorlock/>
              </v:shape>
            </w:pict>
          </mc:Fallback>
        </mc:AlternateContent>
      </w:r>
      <w:r w:rsidR="00F62C8B" w:rsidRPr="00270DD5">
        <w:t>Received 00th January 20</w:t>
      </w:r>
      <w:r w:rsidR="00F15F90" w:rsidRPr="00270DD5">
        <w:t>xx</w:t>
      </w:r>
      <w:r w:rsidR="00F62C8B" w:rsidRPr="00270DD5">
        <w:t>,</w:t>
      </w:r>
    </w:p>
    <w:p w14:paraId="394AD8A0" w14:textId="77777777" w:rsidR="00F62C8B" w:rsidRPr="00270DD5" w:rsidRDefault="00F62C8B" w:rsidP="004C531E">
      <w:pPr>
        <w:pStyle w:val="RSCM01ReceivedAccepted"/>
      </w:pPr>
      <w:r w:rsidRPr="00270DD5">
        <w:t>Accepted 00th January 20</w:t>
      </w:r>
      <w:r w:rsidR="00F15F90" w:rsidRPr="00270DD5">
        <w:t>xx</w:t>
      </w:r>
    </w:p>
    <w:p w14:paraId="07653A23" w14:textId="77777777" w:rsidR="00F62C8B" w:rsidRPr="00794787" w:rsidRDefault="00F62C8B" w:rsidP="004C531E">
      <w:pPr>
        <w:pStyle w:val="RSCM02DOI"/>
      </w:pPr>
      <w:r w:rsidRPr="00794787">
        <w:t>DOI: 10.1039/x0xx00000x</w:t>
      </w:r>
    </w:p>
    <w:p w14:paraId="5173F32E" w14:textId="77777777" w:rsidR="00A9649E" w:rsidRPr="00794787" w:rsidRDefault="00A9649E" w:rsidP="004C531E">
      <w:pPr>
        <w:pStyle w:val="RSCM03Website"/>
      </w:pPr>
      <w:r w:rsidRPr="00794787">
        <w:t>www.rsc.org/</w:t>
      </w:r>
    </w:p>
    <w:p w14:paraId="68451AD4" w14:textId="77777777" w:rsidR="004414A5" w:rsidRPr="00C32EDF" w:rsidRDefault="00F62C8B" w:rsidP="00C32EDF">
      <w:pPr>
        <w:pStyle w:val="RSCH01PaperTitle"/>
      </w:pPr>
      <w:r w:rsidRPr="004414A5">
        <w:br w:type="column"/>
      </w:r>
      <w:r w:rsidR="00E67B67" w:rsidRPr="00E67B67">
        <w:t xml:space="preserve">The Effect of Electrostatic Interactions on the </w:t>
      </w:r>
      <w:r w:rsidR="004E502D">
        <w:t xml:space="preserve">Formation </w:t>
      </w:r>
      <w:r w:rsidR="004E502D">
        <w:br/>
      </w:r>
      <w:r w:rsidR="00E67B67" w:rsidRPr="00E67B67">
        <w:t>of Pharmaceutical Eutectics</w:t>
      </w:r>
    </w:p>
    <w:p w14:paraId="3E231F2B" w14:textId="77777777" w:rsidR="008125A0" w:rsidRPr="00E67B67" w:rsidRDefault="00E67B67" w:rsidP="008125A0">
      <w:pPr>
        <w:pStyle w:val="RSCB01ARTAbstract"/>
        <w:rPr>
          <w:sz w:val="20"/>
          <w:vertAlign w:val="superscript"/>
        </w:rPr>
      </w:pPr>
      <w:r>
        <w:rPr>
          <w:sz w:val="20"/>
        </w:rPr>
        <w:t>Z. Wojnarowska</w:t>
      </w:r>
      <w:r w:rsidRPr="00E67B67">
        <w:rPr>
          <w:sz w:val="20"/>
          <w:vertAlign w:val="superscript"/>
        </w:rPr>
        <w:t>a,b</w:t>
      </w:r>
      <w:r w:rsidRPr="00E67B67">
        <w:rPr>
          <w:sz w:val="20"/>
        </w:rPr>
        <w:t>*</w:t>
      </w:r>
      <w:r w:rsidRPr="00E67B67">
        <w:rPr>
          <w:sz w:val="20"/>
          <w:vertAlign w:val="superscript"/>
        </w:rPr>
        <w:t>‡</w:t>
      </w:r>
      <w:r>
        <w:rPr>
          <w:sz w:val="20"/>
        </w:rPr>
        <w:t>, W. Smolka</w:t>
      </w:r>
      <w:r w:rsidRPr="00E67B67">
        <w:rPr>
          <w:sz w:val="20"/>
          <w:vertAlign w:val="superscript"/>
        </w:rPr>
        <w:t>c‡</w:t>
      </w:r>
      <w:r>
        <w:rPr>
          <w:sz w:val="20"/>
        </w:rPr>
        <w:t>, J. Zotova</w:t>
      </w:r>
      <w:r>
        <w:rPr>
          <w:sz w:val="20"/>
          <w:vertAlign w:val="superscript"/>
        </w:rPr>
        <w:t>b</w:t>
      </w:r>
      <w:r w:rsidRPr="00E67B67">
        <w:rPr>
          <w:sz w:val="20"/>
        </w:rPr>
        <w:t>,</w:t>
      </w:r>
      <w:r w:rsidR="00C371C1">
        <w:rPr>
          <w:sz w:val="20"/>
        </w:rPr>
        <w:t>J. Knapik-Kowalczuk</w:t>
      </w:r>
      <w:r w:rsidR="00C371C1" w:rsidRPr="00C371C1">
        <w:rPr>
          <w:sz w:val="20"/>
          <w:vertAlign w:val="superscript"/>
        </w:rPr>
        <w:t>a</w:t>
      </w:r>
      <w:r w:rsidRPr="00E67B67">
        <w:rPr>
          <w:sz w:val="20"/>
        </w:rPr>
        <w:t xml:space="preserve"> </w:t>
      </w:r>
      <w:r>
        <w:rPr>
          <w:sz w:val="20"/>
        </w:rPr>
        <w:t>A. Sherif</w:t>
      </w:r>
      <w:r>
        <w:rPr>
          <w:sz w:val="20"/>
          <w:vertAlign w:val="superscript"/>
        </w:rPr>
        <w:t>b</w:t>
      </w:r>
      <w:r>
        <w:rPr>
          <w:sz w:val="20"/>
        </w:rPr>
        <w:t>, L. Tajber</w:t>
      </w:r>
      <w:r>
        <w:rPr>
          <w:sz w:val="20"/>
          <w:vertAlign w:val="superscript"/>
        </w:rPr>
        <w:t>b</w:t>
      </w:r>
      <w:r w:rsidRPr="00E67B67">
        <w:rPr>
          <w:sz w:val="20"/>
        </w:rPr>
        <w:t xml:space="preserve"> and </w:t>
      </w:r>
      <w:r>
        <w:rPr>
          <w:sz w:val="20"/>
        </w:rPr>
        <w:t>M. Paluch</w:t>
      </w:r>
      <w:r>
        <w:rPr>
          <w:sz w:val="20"/>
          <w:vertAlign w:val="superscript"/>
        </w:rPr>
        <w:t>a</w:t>
      </w:r>
    </w:p>
    <w:p w14:paraId="646F7A87" w14:textId="77777777" w:rsidR="00FA2DA2" w:rsidRDefault="00E67B67" w:rsidP="00FA2DA2">
      <w:pPr>
        <w:pStyle w:val="RSCB01ARTAbstract"/>
      </w:pPr>
      <w:r w:rsidRPr="00E67B67">
        <w:t>Over the past decade the formation of pharmaceutical eutectics has become a very attractive strategy to increase bioavailability of active pharmaceutical ingredients (APIs). A great advantage of a eutectic phase, which can be obtained by simple physical mixing of solid materials, is the possibility to attain a material with desired physicochemical properties only by varying the molar ratio of the parent components. In this work, we have investigated the ability of two protic ionic liquids (PILs), which are hydrochloride salts of lidocaine and prilocaine, as well as their non-ionic counterparts, to form eutectic mixtures. To get an insight into the calorimetric properties of the formed dipolar and ionic mixtures, differential scanning calorimetry w</w:t>
      </w:r>
      <w:r w:rsidR="00316114">
        <w:t>as</w:t>
      </w:r>
      <w:r w:rsidRPr="00E67B67">
        <w:t xml:space="preserve"> employed. The mechanism of formation of deep eutectic mixtures on the molecular lever was </w:t>
      </w:r>
      <w:r w:rsidR="00D73250">
        <w:t>investigated</w:t>
      </w:r>
      <w:r w:rsidR="00D73250" w:rsidRPr="00E67B67">
        <w:t xml:space="preserve"> </w:t>
      </w:r>
      <w:r w:rsidRPr="00E67B67">
        <w:t>by ab initio quantum mechanics calculations. The effect of electrostatic interactions on the eutectic transition, glass forming ability, physical stability of pharmaceutical eutectics was also revealed.</w:t>
      </w:r>
    </w:p>
    <w:p w14:paraId="23BC78F1" w14:textId="77777777" w:rsidR="008F3CAE" w:rsidRPr="00FA2DA2" w:rsidRDefault="008F3CAE" w:rsidP="00FA2DA2">
      <w:pPr>
        <w:pStyle w:val="RSCB01ARTAbstract"/>
        <w:sectPr w:rsidR="008F3CAE" w:rsidRPr="00FA2DA2" w:rsidSect="00514CBA">
          <w:headerReference w:type="even" r:id="rId8"/>
          <w:headerReference w:type="default" r:id="rId9"/>
          <w:footerReference w:type="even" r:id="rId10"/>
          <w:footerReference w:type="default" r:id="rId11"/>
          <w:headerReference w:type="first" r:id="rId12"/>
          <w:footerReference w:type="first" r:id="rId13"/>
          <w:pgSz w:w="11907" w:h="16840" w:code="9"/>
          <w:pgMar w:top="1009" w:right="851" w:bottom="1758" w:left="851" w:header="851" w:footer="1049" w:gutter="0"/>
          <w:cols w:num="2" w:space="227" w:equalWidth="0">
            <w:col w:w="1985" w:space="227"/>
            <w:col w:w="7993"/>
          </w:cols>
          <w:titlePg/>
          <w:docGrid w:linePitch="360"/>
        </w:sectPr>
      </w:pPr>
    </w:p>
    <w:p w14:paraId="10787E9C" w14:textId="77777777" w:rsidR="00FA2DA2" w:rsidRPr="00017239" w:rsidRDefault="00E67B67" w:rsidP="00E67B67">
      <w:pPr>
        <w:pStyle w:val="RSCB04AHeadingSection"/>
      </w:pPr>
      <w:r>
        <w:t>Introduction</w:t>
      </w:r>
    </w:p>
    <w:p w14:paraId="799DDDF7" w14:textId="77777777" w:rsidR="00E67B67" w:rsidRDefault="00E67B67" w:rsidP="00E67B67">
      <w:pPr>
        <w:spacing w:after="0"/>
        <w:ind w:firstLine="720"/>
        <w:jc w:val="both"/>
        <w:rPr>
          <w:rFonts w:cs="Calibri"/>
          <w:sz w:val="18"/>
          <w:szCs w:val="18"/>
        </w:rPr>
        <w:sectPr w:rsidR="00E67B67" w:rsidSect="00514CBA">
          <w:type w:val="continuous"/>
          <w:pgSz w:w="11907" w:h="16840" w:code="9"/>
          <w:pgMar w:top="1009" w:right="851" w:bottom="1758" w:left="851" w:header="851" w:footer="1049" w:gutter="0"/>
          <w:cols w:num="2" w:space="227"/>
          <w:titlePg/>
          <w:docGrid w:linePitch="360"/>
        </w:sectPr>
      </w:pPr>
    </w:p>
    <w:p w14:paraId="38594EE2" w14:textId="33C694C1" w:rsidR="00E67B67" w:rsidRPr="00E67B67" w:rsidRDefault="00E67B67" w:rsidP="00E67B67">
      <w:pPr>
        <w:spacing w:after="0"/>
        <w:jc w:val="both"/>
        <w:rPr>
          <w:rFonts w:cs="Calibri"/>
          <w:sz w:val="18"/>
          <w:szCs w:val="18"/>
        </w:rPr>
      </w:pPr>
      <w:r w:rsidRPr="00E67B67">
        <w:rPr>
          <w:rFonts w:cs="Calibri"/>
          <w:sz w:val="18"/>
          <w:szCs w:val="18"/>
        </w:rPr>
        <w:t>Deep eutectic mixtures (DEMs) are promising materials for many electrochemical</w:t>
      </w:r>
      <w:r w:rsidRPr="00E67B67">
        <w:rPr>
          <w:rStyle w:val="EndnoteReference"/>
          <w:rFonts w:cs="Calibri"/>
          <w:sz w:val="18"/>
          <w:szCs w:val="18"/>
        </w:rPr>
        <w:endnoteReference w:id="1"/>
      </w:r>
      <w:r w:rsidRPr="00E67B67">
        <w:rPr>
          <w:rFonts w:cs="Calibri"/>
          <w:sz w:val="18"/>
          <w:szCs w:val="18"/>
          <w:vertAlign w:val="superscript"/>
        </w:rPr>
        <w:t>,</w:t>
      </w:r>
      <w:r w:rsidRPr="00E67B67">
        <w:rPr>
          <w:rStyle w:val="EndnoteReference"/>
          <w:rFonts w:cs="Calibri"/>
          <w:sz w:val="18"/>
          <w:szCs w:val="18"/>
        </w:rPr>
        <w:endnoteReference w:id="2"/>
      </w:r>
      <w:r w:rsidRPr="00E67B67">
        <w:rPr>
          <w:rFonts w:cs="Calibri"/>
          <w:sz w:val="18"/>
          <w:szCs w:val="18"/>
          <w:vertAlign w:val="superscript"/>
        </w:rPr>
        <w:t>,</w:t>
      </w:r>
      <w:r w:rsidRPr="00E67B67">
        <w:rPr>
          <w:rStyle w:val="EndnoteReference"/>
          <w:rFonts w:cs="Calibri"/>
          <w:sz w:val="18"/>
          <w:szCs w:val="18"/>
        </w:rPr>
        <w:endnoteReference w:id="3"/>
      </w:r>
      <w:r w:rsidRPr="00E67B67">
        <w:rPr>
          <w:rFonts w:cs="Calibri"/>
          <w:sz w:val="18"/>
          <w:szCs w:val="18"/>
        </w:rPr>
        <w:t xml:space="preserve"> and pharmaceutical applications.</w:t>
      </w:r>
      <w:r w:rsidRPr="00E67B67">
        <w:rPr>
          <w:rStyle w:val="EndnoteReference"/>
          <w:rFonts w:cs="Calibri"/>
          <w:sz w:val="18"/>
          <w:szCs w:val="18"/>
        </w:rPr>
        <w:endnoteReference w:id="4"/>
      </w:r>
      <w:r w:rsidRPr="00E67B67">
        <w:rPr>
          <w:rFonts w:cs="Calibri"/>
          <w:sz w:val="18"/>
          <w:szCs w:val="18"/>
        </w:rPr>
        <w:t xml:space="preserve"> Formation of active pharmaceutical ingredients (APIs)-based eutectics is a well-known strategy to enhance the pharmaceutical performance of drugs</w:t>
      </w:r>
      <w:r w:rsidRPr="00E67B67">
        <w:rPr>
          <w:rStyle w:val="EndnoteReference"/>
          <w:rFonts w:cs="Calibri"/>
          <w:sz w:val="18"/>
          <w:szCs w:val="18"/>
        </w:rPr>
        <w:endnoteReference w:id="5"/>
      </w:r>
      <w:r w:rsidRPr="00E67B67">
        <w:rPr>
          <w:rFonts w:cs="Calibri"/>
          <w:sz w:val="18"/>
          <w:szCs w:val="18"/>
          <w:vertAlign w:val="superscript"/>
        </w:rPr>
        <w:t>,</w:t>
      </w:r>
      <w:r w:rsidRPr="00E67B67">
        <w:rPr>
          <w:rStyle w:val="EndnoteReference"/>
          <w:rFonts w:cs="Calibri"/>
          <w:sz w:val="18"/>
          <w:szCs w:val="18"/>
        </w:rPr>
        <w:endnoteReference w:id="6"/>
      </w:r>
      <w:r w:rsidRPr="00E67B67">
        <w:rPr>
          <w:rFonts w:cs="Calibri"/>
          <w:sz w:val="18"/>
          <w:szCs w:val="18"/>
          <w:vertAlign w:val="superscript"/>
        </w:rPr>
        <w:t>,</w:t>
      </w:r>
      <w:r w:rsidRPr="00E67B67">
        <w:rPr>
          <w:rStyle w:val="EndnoteReference"/>
          <w:rFonts w:cs="Calibri"/>
          <w:sz w:val="18"/>
          <w:szCs w:val="18"/>
        </w:rPr>
        <w:endnoteReference w:id="7"/>
      </w:r>
      <w:r w:rsidR="00FB5266">
        <w:rPr>
          <w:rFonts w:cs="Calibri"/>
          <w:sz w:val="18"/>
          <w:szCs w:val="18"/>
          <w:vertAlign w:val="superscript"/>
        </w:rPr>
        <w:t>,</w:t>
      </w:r>
      <w:r w:rsidR="00FB5266">
        <w:rPr>
          <w:rStyle w:val="EndnoteReference"/>
          <w:sz w:val="18"/>
          <w:szCs w:val="18"/>
        </w:rPr>
        <w:endnoteReference w:id="8"/>
      </w:r>
      <w:r w:rsidRPr="00E67B67">
        <w:rPr>
          <w:rFonts w:cs="Calibri"/>
          <w:sz w:val="18"/>
          <w:szCs w:val="18"/>
        </w:rPr>
        <w:t xml:space="preserve">, while </w:t>
      </w:r>
      <w:r w:rsidR="00A55448" w:rsidRPr="00E67B67">
        <w:rPr>
          <w:rFonts w:cs="Calibri"/>
          <w:sz w:val="18"/>
          <w:szCs w:val="18"/>
        </w:rPr>
        <w:t>favouring</w:t>
      </w:r>
      <w:r w:rsidRPr="00E67B67">
        <w:rPr>
          <w:rFonts w:cs="Calibri"/>
          <w:sz w:val="18"/>
          <w:szCs w:val="18"/>
        </w:rPr>
        <w:t xml:space="preserve"> their processability and synergistic effects.</w:t>
      </w:r>
      <w:r w:rsidRPr="00E67B67">
        <w:rPr>
          <w:rStyle w:val="EndnoteReference"/>
          <w:rFonts w:cs="Calibri"/>
          <w:sz w:val="18"/>
          <w:szCs w:val="18"/>
        </w:rPr>
        <w:endnoteReference w:id="9"/>
      </w:r>
      <w:r w:rsidRPr="00E67B67">
        <w:rPr>
          <w:rFonts w:cs="Calibri"/>
          <w:sz w:val="18"/>
          <w:szCs w:val="18"/>
        </w:rPr>
        <w:t xml:space="preserve"> Many DEMs show a characteristic properties of protic ionic liquids (PILs) as they are mixtures of ionized and neutral molecules and no complicated synthetic pathways are required to achieve the proton transfer reaction between a Brønsted acid and the corresponding base</w:t>
      </w:r>
      <w:r w:rsidRPr="00E67B67">
        <w:rPr>
          <w:rStyle w:val="EndnoteReference"/>
          <w:rFonts w:cs="Calibri"/>
          <w:sz w:val="18"/>
          <w:szCs w:val="18"/>
        </w:rPr>
        <w:t xml:space="preserve"> </w:t>
      </w:r>
      <w:r w:rsidRPr="00E67B67">
        <w:rPr>
          <w:rStyle w:val="EndnoteReference"/>
          <w:rFonts w:cs="Calibri"/>
          <w:sz w:val="18"/>
          <w:szCs w:val="18"/>
        </w:rPr>
        <w:endnoteReference w:id="10"/>
      </w:r>
      <w:r w:rsidRPr="00E67B67">
        <w:rPr>
          <w:rFonts w:cs="Calibri"/>
          <w:sz w:val="18"/>
          <w:szCs w:val="18"/>
        </w:rPr>
        <w:t>. DEMs are prepared by simple physical mixing of two (or more) solid organic materials to yield a free flowing fluid with a melting temperature below that of individual component.</w:t>
      </w:r>
      <w:r w:rsidRPr="00E67B67">
        <w:rPr>
          <w:rFonts w:cs="Calibri"/>
          <w:sz w:val="18"/>
          <w:szCs w:val="18"/>
          <w:vertAlign w:val="superscript"/>
        </w:rPr>
        <w:endnoteReference w:id="11"/>
      </w:r>
      <w:r w:rsidRPr="00E67B67">
        <w:rPr>
          <w:rFonts w:cs="Calibri"/>
          <w:sz w:val="18"/>
          <w:szCs w:val="18"/>
        </w:rPr>
        <w:t xml:space="preserve"> As a consequence, by varying the molar ratio of the parent components, it is possible to modify the physicochemical properties of API-DEMs, such as melting point</w:t>
      </w:r>
      <w:r w:rsidRPr="00E67B67">
        <w:rPr>
          <w:rFonts w:cs="Calibri"/>
          <w:sz w:val="18"/>
          <w:szCs w:val="18"/>
          <w:vertAlign w:val="superscript"/>
        </w:rPr>
        <w:endnoteReference w:id="12"/>
      </w:r>
      <w:r w:rsidRPr="00E67B67">
        <w:rPr>
          <w:rFonts w:cs="Calibri"/>
          <w:sz w:val="18"/>
          <w:szCs w:val="18"/>
        </w:rPr>
        <w:t xml:space="preserve">, eutectic and glass transition temperatures, viscosity and solubility. </w:t>
      </w:r>
    </w:p>
    <w:p w14:paraId="5533FB35" w14:textId="3E7B2954" w:rsidR="00E67B67" w:rsidRPr="00E67B67" w:rsidRDefault="00E67B67" w:rsidP="00E67B67">
      <w:pPr>
        <w:spacing w:after="0"/>
        <w:jc w:val="both"/>
        <w:rPr>
          <w:rFonts w:cs="Calibri"/>
          <w:sz w:val="18"/>
          <w:szCs w:val="18"/>
        </w:rPr>
      </w:pPr>
      <w:r>
        <w:rPr>
          <w:rFonts w:cs="Calibri"/>
          <w:sz w:val="18"/>
          <w:szCs w:val="18"/>
        </w:rPr>
        <w:t xml:space="preserve">      </w:t>
      </w:r>
      <w:r w:rsidRPr="00E67B67">
        <w:rPr>
          <w:rFonts w:cs="Calibri"/>
          <w:sz w:val="18"/>
          <w:szCs w:val="18"/>
        </w:rPr>
        <w:t xml:space="preserve">Eutectic mixtures can be formed </w:t>
      </w:r>
      <w:r w:rsidR="0005073B">
        <w:rPr>
          <w:rFonts w:cs="Calibri"/>
          <w:sz w:val="18"/>
          <w:szCs w:val="18"/>
        </w:rPr>
        <w:t>comprising</w:t>
      </w:r>
      <w:r w:rsidR="0005073B" w:rsidRPr="00E67B67">
        <w:rPr>
          <w:rFonts w:cs="Calibri"/>
          <w:sz w:val="18"/>
          <w:szCs w:val="18"/>
        </w:rPr>
        <w:t xml:space="preserve"> </w:t>
      </w:r>
      <w:r w:rsidRPr="00E67B67">
        <w:rPr>
          <w:rFonts w:cs="Calibri"/>
          <w:sz w:val="18"/>
          <w:szCs w:val="18"/>
        </w:rPr>
        <w:t>different APIs</w:t>
      </w:r>
      <w:r w:rsidRPr="00E67B67">
        <w:rPr>
          <w:rFonts w:cs="Calibri"/>
          <w:sz w:val="18"/>
          <w:szCs w:val="18"/>
          <w:vertAlign w:val="superscript"/>
        </w:rPr>
        <w:endnoteReference w:id="13"/>
      </w:r>
      <w:r w:rsidRPr="00E67B67">
        <w:rPr>
          <w:rFonts w:cs="Calibri"/>
          <w:sz w:val="18"/>
          <w:szCs w:val="18"/>
          <w:vertAlign w:val="superscript"/>
        </w:rPr>
        <w:t>,</w:t>
      </w:r>
      <w:r w:rsidRPr="00E67B67">
        <w:rPr>
          <w:rStyle w:val="EndnoteReference"/>
          <w:rFonts w:cs="Calibri"/>
          <w:sz w:val="18"/>
          <w:szCs w:val="18"/>
        </w:rPr>
        <w:endnoteReference w:id="14"/>
      </w:r>
      <w:r w:rsidRPr="00E67B67">
        <w:rPr>
          <w:rFonts w:cs="Calibri"/>
          <w:sz w:val="18"/>
          <w:szCs w:val="18"/>
        </w:rPr>
        <w:t xml:space="preserve"> </w:t>
      </w:r>
      <w:r w:rsidR="0005073B">
        <w:rPr>
          <w:rFonts w:cs="Calibri"/>
          <w:sz w:val="18"/>
          <w:szCs w:val="18"/>
        </w:rPr>
        <w:t>, excipients or an</w:t>
      </w:r>
      <w:r w:rsidRPr="00E67B67">
        <w:rPr>
          <w:rFonts w:cs="Calibri"/>
          <w:sz w:val="18"/>
          <w:szCs w:val="18"/>
        </w:rPr>
        <w:t xml:space="preserve"> </w:t>
      </w:r>
      <w:r w:rsidR="0005073B">
        <w:rPr>
          <w:rFonts w:cs="Calibri"/>
          <w:sz w:val="18"/>
          <w:szCs w:val="18"/>
        </w:rPr>
        <w:t xml:space="preserve">API and an </w:t>
      </w:r>
      <w:r w:rsidRPr="00E67B67">
        <w:rPr>
          <w:rFonts w:cs="Calibri"/>
          <w:sz w:val="18"/>
          <w:szCs w:val="18"/>
        </w:rPr>
        <w:t xml:space="preserve">excipient, thereby providing a wide scope of their applications in the pharmaceutical industry. The ability of APIs to form DEMs has been demonstrated for the first time in 1981, </w:t>
      </w:r>
      <w:r w:rsidRPr="00E67B67">
        <w:rPr>
          <w:rFonts w:cs="Calibri"/>
          <w:sz w:val="18"/>
          <w:szCs w:val="18"/>
        </w:rPr>
        <w:t>by Broberg and coworkers</w:t>
      </w:r>
      <w:bookmarkStart w:id="1" w:name="_Ref504163574"/>
      <w:r w:rsidRPr="00E67B67">
        <w:rPr>
          <w:rStyle w:val="EndnoteReference"/>
          <w:rFonts w:cs="Calibri"/>
          <w:sz w:val="18"/>
          <w:szCs w:val="18"/>
        </w:rPr>
        <w:endnoteReference w:id="15"/>
      </w:r>
      <w:bookmarkEnd w:id="1"/>
      <w:r w:rsidRPr="00E67B67">
        <w:rPr>
          <w:rFonts w:cs="Calibri"/>
          <w:sz w:val="18"/>
          <w:szCs w:val="18"/>
        </w:rPr>
        <w:t xml:space="preserve"> and 2 years later by Brodin et al</w:t>
      </w:r>
      <w:r w:rsidRPr="00E67B67">
        <w:rPr>
          <w:rStyle w:val="EndnoteReference"/>
          <w:rFonts w:cs="Calibri"/>
          <w:sz w:val="18"/>
          <w:szCs w:val="18"/>
        </w:rPr>
        <w:endnoteReference w:id="16"/>
      </w:r>
      <w:r>
        <w:rPr>
          <w:rFonts w:cs="Calibri"/>
          <w:sz w:val="18"/>
          <w:szCs w:val="18"/>
        </w:rPr>
        <w:t xml:space="preserve">. In these </w:t>
      </w:r>
      <w:r w:rsidRPr="00E67B67">
        <w:rPr>
          <w:rFonts w:cs="Calibri"/>
          <w:sz w:val="18"/>
          <w:szCs w:val="18"/>
        </w:rPr>
        <w:t>accounts, the authors studied the phase transition and solubility of binary systems composed of two anesthetic agents. Subsequent to these studies, more than 10 years later Stott</w:t>
      </w:r>
      <w:r w:rsidRPr="00E67B67">
        <w:rPr>
          <w:rFonts w:cs="Calibri"/>
          <w:sz w:val="18"/>
          <w:szCs w:val="18"/>
          <w:vertAlign w:val="superscript"/>
        </w:rPr>
        <w:endnoteReference w:id="17"/>
      </w:r>
      <w:r w:rsidRPr="00E67B67">
        <w:rPr>
          <w:rFonts w:cs="Calibri"/>
          <w:sz w:val="18"/>
          <w:szCs w:val="18"/>
        </w:rPr>
        <w:t xml:space="preserve"> investigated DEMs of ibuprofen and different terpenes as enhancers of skin permeation. It has been reported that such binary formulations can increase the solubility, permeation and absorption of the API. On the other hand, more recently, DEMs of choline chloride, menthol and three APIs: acetylsalicylic acid, benzoic acid and phenylacetic acid were prepared and characterized by Aroso et al.</w:t>
      </w:r>
      <w:r w:rsidRPr="00E67B67">
        <w:rPr>
          <w:rFonts w:cs="Calibri"/>
          <w:sz w:val="18"/>
          <w:szCs w:val="18"/>
          <w:vertAlign w:val="superscript"/>
        </w:rPr>
        <w:endnoteReference w:id="18"/>
      </w:r>
      <w:r w:rsidRPr="00E67B67">
        <w:rPr>
          <w:rFonts w:cs="Calibri"/>
          <w:sz w:val="18"/>
          <w:szCs w:val="18"/>
        </w:rPr>
        <w:t xml:space="preserve"> Additionally, it has been shown that mixing of APIs with hydrogen bond donors such as amines, acids or alcohols leads to the formation of partially ionized eutectic mixtures with enhanced cell membrane permeation rates.</w:t>
      </w:r>
      <w:r w:rsidRPr="00E67B67">
        <w:rPr>
          <w:rFonts w:cs="Calibri"/>
          <w:sz w:val="18"/>
          <w:szCs w:val="18"/>
          <w:vertAlign w:val="superscript"/>
        </w:rPr>
        <w:t xml:space="preserve"> </w:t>
      </w:r>
      <w:r w:rsidRPr="00E67B67">
        <w:rPr>
          <w:rFonts w:cs="Calibri"/>
          <w:sz w:val="18"/>
          <w:szCs w:val="18"/>
          <w:vertAlign w:val="superscript"/>
        </w:rPr>
        <w:endnoteReference w:id="19"/>
      </w:r>
      <w:r w:rsidRPr="00E67B67">
        <w:rPr>
          <w:rFonts w:cs="Calibri"/>
          <w:sz w:val="18"/>
          <w:szCs w:val="18"/>
          <w:vertAlign w:val="superscript"/>
        </w:rPr>
        <w:t>,</w:t>
      </w:r>
      <w:r w:rsidRPr="00E67B67">
        <w:rPr>
          <w:rStyle w:val="EndnoteReference"/>
          <w:rFonts w:cs="Calibri"/>
          <w:sz w:val="18"/>
          <w:szCs w:val="18"/>
        </w:rPr>
        <w:endnoteReference w:id="20"/>
      </w:r>
    </w:p>
    <w:p w14:paraId="4639088E" w14:textId="77777777" w:rsidR="00E67B67" w:rsidRPr="00E67B67" w:rsidRDefault="00E67B67" w:rsidP="00E67B67">
      <w:pPr>
        <w:spacing w:after="0"/>
        <w:jc w:val="both"/>
        <w:rPr>
          <w:rFonts w:cs="Calibri"/>
          <w:sz w:val="18"/>
          <w:szCs w:val="18"/>
        </w:rPr>
      </w:pPr>
      <w:r>
        <w:rPr>
          <w:rFonts w:cs="Calibri"/>
          <w:sz w:val="18"/>
          <w:szCs w:val="18"/>
        </w:rPr>
        <w:t xml:space="preserve">     </w:t>
      </w:r>
      <w:r w:rsidRPr="00E67B67">
        <w:rPr>
          <w:rFonts w:cs="Calibri"/>
          <w:sz w:val="18"/>
          <w:szCs w:val="18"/>
        </w:rPr>
        <w:t xml:space="preserve">Surprisingly, despite such a wide interest in DEMs in general, there does not seem to appear any thorough study of these systems as regards their fundamental </w:t>
      </w:r>
      <w:r w:rsidR="00A55448" w:rsidRPr="00E67B67">
        <w:rPr>
          <w:rFonts w:cs="Calibri"/>
          <w:sz w:val="18"/>
          <w:szCs w:val="18"/>
        </w:rPr>
        <w:t>behaviour</w:t>
      </w:r>
      <w:r w:rsidRPr="00E67B67">
        <w:rPr>
          <w:rFonts w:cs="Calibri"/>
          <w:sz w:val="18"/>
          <w:szCs w:val="18"/>
        </w:rPr>
        <w:t xml:space="preserve"> at the molecular level. According to the literature, strong hydrogen bond interactions between the parent compounds are required to reduce the crystal lattice energy and consequently decrease the melting point of the eutectic mixture. However, the glass-forming ability and crystallization of DEMs are still not fully documented</w:t>
      </w:r>
      <w:r w:rsidRPr="00E67B67" w:rsidDel="004C2B53">
        <w:rPr>
          <w:rFonts w:cs="Calibri"/>
          <w:sz w:val="18"/>
          <w:szCs w:val="18"/>
        </w:rPr>
        <w:t xml:space="preserve"> </w:t>
      </w:r>
      <w:r w:rsidRPr="00E67B67">
        <w:rPr>
          <w:rFonts w:cs="Calibri"/>
          <w:sz w:val="18"/>
          <w:szCs w:val="18"/>
        </w:rPr>
        <w:t>and described. Additionally, the role of intermolecular interactions in the formation of eutectic liquid</w:t>
      </w:r>
      <w:r w:rsidR="0005073B">
        <w:rPr>
          <w:rFonts w:cs="Calibri"/>
          <w:sz w:val="18"/>
          <w:szCs w:val="18"/>
        </w:rPr>
        <w:t>s</w:t>
      </w:r>
      <w:r w:rsidRPr="00E67B67">
        <w:rPr>
          <w:rFonts w:cs="Calibri"/>
          <w:sz w:val="18"/>
          <w:szCs w:val="18"/>
        </w:rPr>
        <w:t xml:space="preserve"> is still poorly understood. It is nonetheless well known that the molecular dynamics of van der Waals liquids can be satisfactorily described by means of empirical Lennard-Jones (LJ) equation, including both repulsive and attractive forces between the particles. However, for materials entirely composed of ions, the electrostatic long-range interactions are considered as the dominant </w:t>
      </w:r>
      <w:r w:rsidRPr="00E67B67">
        <w:rPr>
          <w:rFonts w:cs="Calibri"/>
          <w:sz w:val="18"/>
          <w:szCs w:val="18"/>
        </w:rPr>
        <w:lastRenderedPageBreak/>
        <w:t>factor that determines their properties, such as melting point or glass transition temperature and thus capability to form a eutectic system.</w:t>
      </w:r>
    </w:p>
    <w:p w14:paraId="150A036F" w14:textId="77777777" w:rsidR="00E67B67" w:rsidRDefault="00E67B67" w:rsidP="00E67B67">
      <w:pPr>
        <w:spacing w:after="0"/>
        <w:jc w:val="both"/>
        <w:rPr>
          <w:rFonts w:cs="Calibri"/>
          <w:sz w:val="18"/>
          <w:szCs w:val="18"/>
        </w:rPr>
      </w:pPr>
      <w:r>
        <w:rPr>
          <w:rFonts w:cs="Calibri"/>
          <w:sz w:val="18"/>
          <w:szCs w:val="18"/>
        </w:rPr>
        <w:t xml:space="preserve">    </w:t>
      </w:r>
      <w:r w:rsidRPr="00E67B67">
        <w:rPr>
          <w:rFonts w:cs="Calibri"/>
          <w:sz w:val="18"/>
          <w:szCs w:val="18"/>
        </w:rPr>
        <w:t>In this paper we have chosen hydrochloride salts of two anesthetic agents, lidocaine (LD) and prilocaine (PRL), to explore the ability of protic ionic liquids (PILs) to form eutectic mixtures. As a reference, the binary mixtures of base forms (unionized) of LD and PRL were also examined. Although the chemical structures of the unionized and ionic forms of the APIs may appear very similar, the character of molecular interactions is entirely</w:t>
      </w:r>
      <w:r w:rsidRPr="00E67B67" w:rsidDel="004C2B53">
        <w:rPr>
          <w:rFonts w:cs="Calibri"/>
          <w:sz w:val="18"/>
          <w:szCs w:val="18"/>
        </w:rPr>
        <w:t xml:space="preserve"> </w:t>
      </w:r>
      <w:r w:rsidRPr="00E67B67">
        <w:rPr>
          <w:rFonts w:cs="Calibri"/>
          <w:sz w:val="18"/>
          <w:szCs w:val="18"/>
        </w:rPr>
        <w:t>different. While non-ionic anesthetic agents are considered as van der Waals liquids, their hydrochloride salts belong to the PILs class. Due to the relatively high value of ΔpK</w:t>
      </w:r>
      <w:r w:rsidRPr="00E67B67">
        <w:rPr>
          <w:rFonts w:cs="Calibri"/>
          <w:sz w:val="18"/>
          <w:szCs w:val="18"/>
          <w:vertAlign w:val="subscript"/>
        </w:rPr>
        <w:t xml:space="preserve">a </w:t>
      </w:r>
      <w:r w:rsidRPr="00E67B67">
        <w:rPr>
          <w:rFonts w:cs="Calibri"/>
          <w:sz w:val="18"/>
          <w:szCs w:val="18"/>
        </w:rPr>
        <w:t>between the APIs and HCl, defined as pK</w:t>
      </w:r>
      <w:r w:rsidRPr="00E67B67">
        <w:rPr>
          <w:rFonts w:cs="Calibri"/>
          <w:sz w:val="18"/>
          <w:szCs w:val="18"/>
          <w:vertAlign w:val="subscript"/>
        </w:rPr>
        <w:t>a(base)</w:t>
      </w:r>
      <w:r w:rsidRPr="00E67B67">
        <w:rPr>
          <w:rFonts w:cs="Calibri"/>
          <w:sz w:val="18"/>
          <w:szCs w:val="18"/>
        </w:rPr>
        <w:t xml:space="preserve"> - pK</w:t>
      </w:r>
      <w:r w:rsidRPr="00E67B67">
        <w:rPr>
          <w:rFonts w:cs="Calibri"/>
          <w:sz w:val="18"/>
          <w:szCs w:val="18"/>
          <w:vertAlign w:val="subscript"/>
        </w:rPr>
        <w:t xml:space="preserve">a(acid) </w:t>
      </w:r>
      <w:r w:rsidRPr="00E67B67">
        <w:rPr>
          <w:rFonts w:cs="Calibri"/>
          <w:sz w:val="18"/>
          <w:szCs w:val="18"/>
        </w:rPr>
        <w:t>(ΔpK</w:t>
      </w:r>
      <w:r w:rsidRPr="00E67B67">
        <w:rPr>
          <w:rFonts w:cs="Calibri"/>
          <w:sz w:val="18"/>
          <w:szCs w:val="18"/>
          <w:vertAlign w:val="subscript"/>
        </w:rPr>
        <w:t>a</w:t>
      </w:r>
      <w:r w:rsidRPr="00E67B67">
        <w:rPr>
          <w:rFonts w:cs="Calibri"/>
          <w:sz w:val="18"/>
          <w:szCs w:val="18"/>
        </w:rPr>
        <w:t xml:space="preserve"> ≈14), LD-HCl and PRL-HCl can be regarded as mostly ionized and as a consequence, the Coulomb interactions between cations and anions are dominant in ionic DEMs. To understand the </w:t>
      </w:r>
      <w:r w:rsidR="004E502D">
        <w:rPr>
          <w:rFonts w:cs="Calibri"/>
          <w:sz w:val="18"/>
          <w:szCs w:val="18"/>
        </w:rPr>
        <w:t>properties</w:t>
      </w:r>
      <w:r w:rsidRPr="00E67B67">
        <w:rPr>
          <w:rFonts w:cs="Calibri"/>
          <w:sz w:val="18"/>
          <w:szCs w:val="18"/>
        </w:rPr>
        <w:t xml:space="preserve"> of LD/PRL and LD-HCl/PRL-HCl compositions, calorimetric studies were complemented </w:t>
      </w:r>
      <w:r w:rsidR="00D73250" w:rsidRPr="00D73250">
        <w:rPr>
          <w:rFonts w:cs="Calibri"/>
          <w:sz w:val="18"/>
          <w:szCs w:val="18"/>
        </w:rPr>
        <w:t>by ab initio quantum mechanics calculations</w:t>
      </w:r>
      <w:r w:rsidRPr="00E67B67">
        <w:rPr>
          <w:rFonts w:cs="Calibri"/>
          <w:sz w:val="18"/>
          <w:szCs w:val="18"/>
        </w:rPr>
        <w:t xml:space="preserve">. The obtained results enable us to answer the following questions: i) </w:t>
      </w:r>
      <w:bookmarkStart w:id="2" w:name="OLE_LINK1"/>
      <w:bookmarkStart w:id="3" w:name="OLE_LINK2"/>
      <w:bookmarkStart w:id="4" w:name="OLE_LINK3"/>
      <w:r w:rsidRPr="00E67B67">
        <w:rPr>
          <w:rFonts w:cs="Calibri"/>
          <w:sz w:val="18"/>
          <w:szCs w:val="18"/>
        </w:rPr>
        <w:t>Do the electrostatic interactions affect the ability to form DEMs?</w:t>
      </w:r>
      <w:bookmarkEnd w:id="2"/>
      <w:bookmarkEnd w:id="3"/>
      <w:bookmarkEnd w:id="4"/>
      <w:r w:rsidRPr="00E67B67">
        <w:rPr>
          <w:rFonts w:cs="Calibri"/>
          <w:sz w:val="18"/>
          <w:szCs w:val="18"/>
        </w:rPr>
        <w:t xml:space="preserve"> ii) What is the glass-forming ability and crystallization </w:t>
      </w:r>
      <w:r w:rsidR="00D73250" w:rsidRPr="00E67B67">
        <w:rPr>
          <w:rFonts w:cs="Calibri"/>
          <w:sz w:val="18"/>
          <w:szCs w:val="18"/>
        </w:rPr>
        <w:t>behaviour</w:t>
      </w:r>
      <w:r w:rsidRPr="00E67B67">
        <w:rPr>
          <w:rFonts w:cs="Calibri"/>
          <w:sz w:val="18"/>
          <w:szCs w:val="18"/>
        </w:rPr>
        <w:t xml:space="preserve"> of the studied DEMs?</w:t>
      </w:r>
    </w:p>
    <w:p w14:paraId="3C32769E" w14:textId="77777777" w:rsidR="00E67B67" w:rsidRDefault="00E67B67" w:rsidP="00E67B67">
      <w:pPr>
        <w:spacing w:after="0"/>
        <w:jc w:val="both"/>
        <w:rPr>
          <w:rFonts w:cs="Calibri"/>
          <w:sz w:val="18"/>
          <w:szCs w:val="18"/>
        </w:rPr>
      </w:pPr>
    </w:p>
    <w:p w14:paraId="76FD5533" w14:textId="77777777" w:rsidR="00E67B67" w:rsidRPr="00E67B67" w:rsidRDefault="00E67B67" w:rsidP="00E67B67">
      <w:pPr>
        <w:spacing w:after="0"/>
        <w:jc w:val="both"/>
        <w:rPr>
          <w:rFonts w:cs="Calibri"/>
          <w:b/>
          <w:sz w:val="24"/>
          <w:szCs w:val="18"/>
        </w:rPr>
      </w:pPr>
      <w:r w:rsidRPr="00E67B67">
        <w:rPr>
          <w:rFonts w:cs="Calibri"/>
          <w:b/>
          <w:sz w:val="24"/>
          <w:szCs w:val="18"/>
        </w:rPr>
        <w:t>Experimental</w:t>
      </w:r>
    </w:p>
    <w:p w14:paraId="6FBA8281" w14:textId="4B2FE9E8" w:rsidR="00E67B67" w:rsidRPr="00E67B67" w:rsidRDefault="00E67B67" w:rsidP="00E67B67">
      <w:pPr>
        <w:spacing w:after="0"/>
        <w:jc w:val="both"/>
        <w:rPr>
          <w:rFonts w:cs="Calibri"/>
          <w:sz w:val="18"/>
          <w:szCs w:val="18"/>
        </w:rPr>
      </w:pPr>
      <w:r w:rsidRPr="00E67B67">
        <w:rPr>
          <w:rFonts w:cs="Calibri"/>
          <w:sz w:val="18"/>
          <w:szCs w:val="18"/>
        </w:rPr>
        <w:t xml:space="preserve">Crystalline lidocaine (LD), lidocaine hydrochloride (LD-HCl) and prilocaine hydrochloride (PRL-HCl) were purchased from Sigma-Aldrich (Ireland) as crystalline powders. Prilocaine (PRL) was sourced from Glentham Life Sciences (UK). All materials were of chemical purity greater than 98%. DEMs were prepared by mixing the two components in a range of molar ratios. The mixing of LD and PRL resulted in liquid materials, while to form clear liquid solutions comprising PRL-HCl mixed with LD-HCl heating to 170 °C was required. </w:t>
      </w:r>
    </w:p>
    <w:p w14:paraId="40490936" w14:textId="77777777" w:rsidR="001761A1" w:rsidRDefault="001761A1" w:rsidP="00E67B67">
      <w:pPr>
        <w:spacing w:after="0"/>
        <w:jc w:val="both"/>
        <w:rPr>
          <w:rFonts w:cs="Calibri"/>
          <w:b/>
          <w:sz w:val="18"/>
          <w:szCs w:val="18"/>
        </w:rPr>
      </w:pPr>
    </w:p>
    <w:p w14:paraId="612D8E2A" w14:textId="77777777" w:rsidR="00E67B67" w:rsidRPr="00E67B67" w:rsidRDefault="00E67B67" w:rsidP="00E67B67">
      <w:pPr>
        <w:spacing w:after="0"/>
        <w:jc w:val="both"/>
        <w:rPr>
          <w:rFonts w:cs="Calibri"/>
          <w:bCs/>
          <w:sz w:val="18"/>
          <w:szCs w:val="18"/>
        </w:rPr>
      </w:pPr>
      <w:r w:rsidRPr="00E67B67">
        <w:rPr>
          <w:rFonts w:cs="Calibri"/>
          <w:b/>
          <w:sz w:val="18"/>
          <w:szCs w:val="18"/>
        </w:rPr>
        <w:t xml:space="preserve">Calorimetric measurements </w:t>
      </w:r>
      <w:r w:rsidRPr="00E67B67">
        <w:rPr>
          <w:rFonts w:cs="Calibri"/>
          <w:sz w:val="18"/>
          <w:szCs w:val="18"/>
        </w:rPr>
        <w:t xml:space="preserve">DSC measurements were carried out using a PerkinElmer Diamond DSC unit (USA). The unit was refrigerated using an ULSP B.V. 130 cooling system (Netherlands). A heating rate of 10°C/min was used with nitrogen (40 ml/min) as the purge gas. Samples were analyzed in 18 μL aluminum, non-hermetic crucibles. The unit was calibrated with indium and zinc standards. </w:t>
      </w:r>
    </w:p>
    <w:p w14:paraId="4CF33D59" w14:textId="77777777" w:rsidR="001761A1" w:rsidRDefault="001761A1" w:rsidP="00E67B67">
      <w:pPr>
        <w:pStyle w:val="TAMainText"/>
        <w:spacing w:line="276" w:lineRule="auto"/>
        <w:ind w:firstLine="0"/>
        <w:rPr>
          <w:rFonts w:asciiTheme="minorHAnsi" w:hAnsiTheme="minorHAnsi" w:cs="Calibri"/>
          <w:b/>
          <w:sz w:val="18"/>
          <w:szCs w:val="18"/>
        </w:rPr>
      </w:pPr>
    </w:p>
    <w:p w14:paraId="2BB3D27A" w14:textId="77777777" w:rsidR="00E67B67" w:rsidRPr="00E67B67" w:rsidRDefault="00E67B67" w:rsidP="00E67B67">
      <w:pPr>
        <w:pStyle w:val="TAMainText"/>
        <w:spacing w:line="276" w:lineRule="auto"/>
        <w:ind w:firstLine="0"/>
        <w:rPr>
          <w:rFonts w:asciiTheme="minorHAnsi" w:hAnsiTheme="minorHAnsi" w:cs="Calibri"/>
          <w:b/>
          <w:sz w:val="18"/>
          <w:szCs w:val="18"/>
        </w:rPr>
      </w:pPr>
      <w:r w:rsidRPr="00E67B67">
        <w:rPr>
          <w:rFonts w:asciiTheme="minorHAnsi" w:hAnsiTheme="minorHAnsi" w:cs="Calibri"/>
          <w:b/>
          <w:sz w:val="18"/>
          <w:szCs w:val="18"/>
        </w:rPr>
        <w:t xml:space="preserve">Crystallographic Analysis. </w:t>
      </w:r>
      <w:r w:rsidRPr="00E67B67">
        <w:rPr>
          <w:rFonts w:asciiTheme="minorHAnsi" w:hAnsiTheme="minorHAnsi" w:cs="Calibri"/>
          <w:sz w:val="18"/>
          <w:szCs w:val="18"/>
        </w:rPr>
        <w:t>The crystallographic data was analyzed by Mercury</w:t>
      </w:r>
      <w:r w:rsidRPr="00E67B67">
        <w:rPr>
          <w:rFonts w:asciiTheme="minorHAnsi" w:hAnsiTheme="minorHAnsi" w:cs="Calibri"/>
          <w:sz w:val="18"/>
          <w:szCs w:val="18"/>
          <w:vertAlign w:val="superscript"/>
        </w:rPr>
        <w:t>®</w:t>
      </w:r>
      <w:r w:rsidRPr="00E67B67">
        <w:rPr>
          <w:rFonts w:asciiTheme="minorHAnsi" w:hAnsiTheme="minorHAnsi" w:cs="Calibri"/>
          <w:sz w:val="18"/>
          <w:szCs w:val="18"/>
        </w:rPr>
        <w:t xml:space="preserve"> (version 3.9)</w:t>
      </w:r>
      <w:r w:rsidRPr="00E67B67">
        <w:rPr>
          <w:rStyle w:val="EndnoteReference"/>
          <w:rFonts w:asciiTheme="minorHAnsi" w:hAnsiTheme="minorHAnsi" w:cs="Calibri"/>
          <w:sz w:val="18"/>
          <w:szCs w:val="18"/>
        </w:rPr>
        <w:endnoteReference w:id="21"/>
      </w:r>
      <w:r w:rsidRPr="00E67B67">
        <w:rPr>
          <w:rFonts w:asciiTheme="minorHAnsi" w:hAnsiTheme="minorHAnsi" w:cs="Calibri"/>
          <w:sz w:val="18"/>
          <w:szCs w:val="18"/>
        </w:rPr>
        <w:t xml:space="preserve"> using the 2017 version of the Cambridge Structural Database (CSD) software.</w:t>
      </w:r>
    </w:p>
    <w:p w14:paraId="2A856C48" w14:textId="77777777" w:rsidR="001761A1" w:rsidRDefault="001761A1" w:rsidP="00E67B67">
      <w:pPr>
        <w:pStyle w:val="TAMainText"/>
        <w:spacing w:line="276" w:lineRule="auto"/>
        <w:ind w:firstLine="0"/>
        <w:rPr>
          <w:rFonts w:asciiTheme="minorHAnsi" w:hAnsiTheme="minorHAnsi" w:cs="Calibri"/>
          <w:b/>
          <w:sz w:val="18"/>
          <w:szCs w:val="18"/>
        </w:rPr>
      </w:pPr>
    </w:p>
    <w:p w14:paraId="2C9E5768" w14:textId="77777777" w:rsidR="00E67B67" w:rsidRDefault="00E67B67" w:rsidP="00E67B67">
      <w:pPr>
        <w:pStyle w:val="TAMainText"/>
        <w:spacing w:line="276" w:lineRule="auto"/>
        <w:ind w:firstLine="0"/>
        <w:rPr>
          <w:rFonts w:asciiTheme="minorHAnsi" w:eastAsiaTheme="minorEastAsia" w:hAnsiTheme="minorHAnsi" w:cs="Calibri"/>
          <w:sz w:val="18"/>
          <w:szCs w:val="18"/>
        </w:rPr>
      </w:pPr>
      <w:r w:rsidRPr="00E67B67">
        <w:rPr>
          <w:rFonts w:asciiTheme="minorHAnsi" w:hAnsiTheme="minorHAnsi" w:cs="Calibri"/>
          <w:b/>
          <w:sz w:val="18"/>
          <w:szCs w:val="18"/>
        </w:rPr>
        <w:t xml:space="preserve">Computational Methods. </w:t>
      </w:r>
      <w:r w:rsidRPr="00E67B67">
        <w:rPr>
          <w:rFonts w:asciiTheme="minorHAnsi" w:hAnsiTheme="minorHAnsi" w:cs="Calibri"/>
          <w:sz w:val="18"/>
          <w:szCs w:val="18"/>
        </w:rPr>
        <w:t>Gaussian03 software</w:t>
      </w:r>
      <w:r w:rsidRPr="00E67B67">
        <w:rPr>
          <w:rStyle w:val="EndnoteReference"/>
          <w:rFonts w:asciiTheme="minorHAnsi" w:hAnsiTheme="minorHAnsi" w:cs="Calibri"/>
          <w:sz w:val="18"/>
          <w:szCs w:val="18"/>
        </w:rPr>
        <w:endnoteReference w:id="22"/>
      </w:r>
      <w:r w:rsidRPr="00E67B67">
        <w:rPr>
          <w:rFonts w:asciiTheme="minorHAnsi" w:hAnsiTheme="minorHAnsi" w:cs="Calibri"/>
          <w:sz w:val="18"/>
          <w:szCs w:val="18"/>
        </w:rPr>
        <w:t xml:space="preserve"> was employed to optimize the structures of </w:t>
      </w:r>
      <w:r w:rsidRPr="00E67B67">
        <w:rPr>
          <w:rFonts w:asciiTheme="minorHAnsi" w:hAnsiTheme="minorHAnsi" w:cs="Calibri"/>
          <w:bCs/>
          <w:sz w:val="18"/>
          <w:szCs w:val="18"/>
        </w:rPr>
        <w:t xml:space="preserve">LD and PRL. The B3LYP/6-31++G(d,p) level of density functional theory (DFT) </w:t>
      </w:r>
      <w:r w:rsidRPr="00E67B67">
        <w:rPr>
          <w:rFonts w:asciiTheme="minorHAnsi" w:hAnsiTheme="minorHAnsi" w:cs="Calibri"/>
          <w:sz w:val="18"/>
          <w:szCs w:val="18"/>
        </w:rPr>
        <w:t>was utilized and no constrains on the geometry of molecules was imposed. The GaussView03 package was then applied to visualize the results. A number of global electronic descriptors were calculated according to Koopmans’ theorem</w:t>
      </w:r>
      <w:r w:rsidRPr="00E67B67">
        <w:rPr>
          <w:rStyle w:val="EndnoteReference"/>
          <w:rFonts w:asciiTheme="minorHAnsi" w:hAnsiTheme="minorHAnsi" w:cs="Calibri"/>
          <w:sz w:val="18"/>
          <w:szCs w:val="18"/>
        </w:rPr>
        <w:endnoteReference w:id="23"/>
      </w:r>
      <w:r w:rsidRPr="00E67B67">
        <w:rPr>
          <w:rFonts w:asciiTheme="minorHAnsi" w:hAnsiTheme="minorHAnsi" w:cs="Calibri"/>
          <w:sz w:val="18"/>
          <w:szCs w:val="18"/>
        </w:rPr>
        <w:t>, assuming that electron affinity (A) can be expressed in terms of HOMO (Highest Occupied Molecular Orbital) orbital energy (E</w:t>
      </w:r>
      <w:r w:rsidRPr="00E67B67">
        <w:rPr>
          <w:rFonts w:asciiTheme="minorHAnsi" w:hAnsiTheme="minorHAnsi" w:cs="Calibri"/>
          <w:sz w:val="18"/>
          <w:szCs w:val="18"/>
          <w:vertAlign w:val="subscript"/>
        </w:rPr>
        <w:t>HOMO</w:t>
      </w:r>
      <w:r w:rsidRPr="00E67B67">
        <w:rPr>
          <w:rFonts w:asciiTheme="minorHAnsi" w:hAnsiTheme="minorHAnsi" w:cs="Calibri"/>
          <w:sz w:val="18"/>
          <w:szCs w:val="18"/>
        </w:rPr>
        <w:t>), while ionization energy (I) can be expressed as LUMO (Lowest Unoccupied Molecular Orbital) orbital energy (E</w:t>
      </w:r>
      <w:r w:rsidRPr="00E67B67">
        <w:rPr>
          <w:rFonts w:asciiTheme="minorHAnsi" w:hAnsiTheme="minorHAnsi" w:cs="Calibri"/>
          <w:sz w:val="18"/>
          <w:szCs w:val="18"/>
          <w:vertAlign w:val="subscript"/>
        </w:rPr>
        <w:t>LUMO</w:t>
      </w:r>
      <w:r w:rsidRPr="00E67B67">
        <w:rPr>
          <w:rFonts w:asciiTheme="minorHAnsi" w:hAnsiTheme="minorHAnsi" w:cs="Calibri"/>
          <w:sz w:val="18"/>
          <w:szCs w:val="18"/>
        </w:rPr>
        <w:t xml:space="preserve">). </w:t>
      </w:r>
      <w:r w:rsidRPr="00E67B67">
        <w:rPr>
          <w:rFonts w:asciiTheme="minorHAnsi" w:hAnsiTheme="minorHAnsi" w:cs="Calibri"/>
          <w:sz w:val="18"/>
          <w:szCs w:val="18"/>
        </w:rPr>
        <w:t>Therefore global reactivity descriptors, including energy band gap (ΔE), absolute electron negativity (χ), chemical potential (μ), absolute hardness (η), global softness (S), electrophilicity index (ω) and maximum electronic charge (ΔN</w:t>
      </w:r>
      <w:r w:rsidRPr="00E67B67">
        <w:rPr>
          <w:rFonts w:asciiTheme="minorHAnsi" w:hAnsiTheme="minorHAnsi" w:cs="Calibri"/>
          <w:sz w:val="18"/>
          <w:szCs w:val="18"/>
          <w:vertAlign w:val="subscript"/>
        </w:rPr>
        <w:t>max</w:t>
      </w:r>
      <w:r w:rsidRPr="00E67B67">
        <w:rPr>
          <w:rFonts w:asciiTheme="minorHAnsi" w:hAnsiTheme="minorHAnsi" w:cs="Calibri"/>
          <w:sz w:val="18"/>
          <w:szCs w:val="18"/>
        </w:rPr>
        <w:t>) can be determined as presented in refs. [</w:t>
      </w:r>
      <w:bookmarkStart w:id="5" w:name="_Ref512331203"/>
      <w:r w:rsidRPr="00E67B67">
        <w:rPr>
          <w:rStyle w:val="EndnoteReference"/>
          <w:rFonts w:asciiTheme="minorHAnsi" w:hAnsiTheme="minorHAnsi" w:cs="Calibri"/>
          <w:sz w:val="18"/>
          <w:szCs w:val="18"/>
        </w:rPr>
        <w:endnoteReference w:id="24"/>
      </w:r>
      <w:bookmarkEnd w:id="5"/>
      <w:r w:rsidRPr="00E67B67">
        <w:rPr>
          <w:rFonts w:asciiTheme="minorHAnsi" w:hAnsiTheme="minorHAnsi" w:cs="Calibri"/>
          <w:sz w:val="18"/>
          <w:szCs w:val="18"/>
          <w:vertAlign w:val="superscript"/>
        </w:rPr>
        <w:t>,</w:t>
      </w:r>
      <w:r w:rsidRPr="00E67B67">
        <w:rPr>
          <w:rStyle w:val="EndnoteReference"/>
          <w:rFonts w:asciiTheme="minorHAnsi" w:hAnsiTheme="minorHAnsi" w:cs="Calibri"/>
          <w:sz w:val="18"/>
          <w:szCs w:val="18"/>
        </w:rPr>
        <w:endnoteReference w:id="25"/>
      </w:r>
      <w:r w:rsidRPr="00E67B67">
        <w:rPr>
          <w:rFonts w:asciiTheme="minorHAnsi" w:hAnsiTheme="minorHAnsi" w:cs="Calibri"/>
          <w:sz w:val="18"/>
          <w:szCs w:val="18"/>
          <w:vertAlign w:val="superscript"/>
        </w:rPr>
        <w:t>,</w:t>
      </w:r>
      <w:r w:rsidRPr="00E67B67">
        <w:rPr>
          <w:rStyle w:val="EndnoteReference"/>
          <w:rFonts w:asciiTheme="minorHAnsi" w:hAnsiTheme="minorHAnsi" w:cs="Calibri"/>
          <w:sz w:val="18"/>
          <w:szCs w:val="18"/>
        </w:rPr>
        <w:endnoteReference w:id="26"/>
      </w:r>
      <w:r w:rsidRPr="00E67B67">
        <w:rPr>
          <w:rFonts w:asciiTheme="minorHAnsi" w:hAnsiTheme="minorHAnsi" w:cs="Calibri"/>
          <w:sz w:val="18"/>
          <w:szCs w:val="18"/>
        </w:rPr>
        <w:t xml:space="preserve">]. Electrophilicity charge transfer (ECT), indicating the direction of charge flow between interacting molecules, can be calculated as </w:t>
      </w:r>
      <m:oMath>
        <m:r>
          <w:rPr>
            <w:rFonts w:ascii="Cambria Math" w:hAnsi="Cambria Math" w:cs="Calibri"/>
            <w:sz w:val="18"/>
            <w:szCs w:val="18"/>
          </w:rPr>
          <m:t>ECT=</m:t>
        </m:r>
        <m:sSub>
          <m:sSubPr>
            <m:ctrlPr>
              <w:rPr>
                <w:rFonts w:ascii="Cambria Math" w:hAnsi="Cambria Math"/>
                <w:sz w:val="18"/>
              </w:rPr>
            </m:ctrlPr>
          </m:sSubPr>
          <m:e>
            <m:r>
              <m:rPr>
                <m:sty m:val="p"/>
              </m:rPr>
              <w:rPr>
                <w:rFonts w:ascii="Cambria Math" w:hAnsi="Cambria Math" w:cs="Calibri"/>
                <w:sz w:val="18"/>
                <w:szCs w:val="18"/>
              </w:rPr>
              <m:t>Δ</m:t>
            </m:r>
            <m:r>
              <w:rPr>
                <w:rFonts w:ascii="Cambria Math" w:hAnsi="Cambria Math" w:cs="Calibri"/>
                <w:sz w:val="18"/>
                <w:szCs w:val="18"/>
              </w:rPr>
              <m:t>N</m:t>
            </m:r>
          </m:e>
          <m:sub>
            <m:func>
              <m:funcPr>
                <m:ctrlPr>
                  <w:rPr>
                    <w:rFonts w:ascii="Cambria Math" w:hAnsi="Cambria Math"/>
                    <w:i/>
                    <w:sz w:val="18"/>
                  </w:rPr>
                </m:ctrlPr>
              </m:funcPr>
              <m:fName>
                <m:r>
                  <m:rPr>
                    <m:sty m:val="p"/>
                  </m:rPr>
                  <w:rPr>
                    <w:rFonts w:ascii="Cambria Math" w:hAnsi="Cambria Math" w:cs="Calibri"/>
                    <w:sz w:val="18"/>
                    <w:szCs w:val="18"/>
                  </w:rPr>
                  <m:t>max</m:t>
                </m:r>
              </m:fName>
              <m:e>
                <m:r>
                  <w:rPr>
                    <w:rFonts w:ascii="Cambria Math" w:hAnsi="Cambria Math" w:cs="Calibri"/>
                    <w:sz w:val="18"/>
                    <w:szCs w:val="18"/>
                  </w:rPr>
                  <m:t>LD</m:t>
                </m:r>
              </m:e>
            </m:func>
          </m:sub>
        </m:sSub>
        <m:r>
          <w:rPr>
            <w:rFonts w:ascii="Cambria Math" w:hAnsi="Cambria Math" w:cs="Calibri"/>
            <w:sz w:val="18"/>
            <w:szCs w:val="18"/>
          </w:rPr>
          <m:t>-</m:t>
        </m:r>
        <m:sSub>
          <m:sSubPr>
            <m:ctrlPr>
              <w:rPr>
                <w:rFonts w:ascii="Cambria Math" w:hAnsi="Cambria Math"/>
                <w:sz w:val="18"/>
              </w:rPr>
            </m:ctrlPr>
          </m:sSubPr>
          <m:e>
            <m:r>
              <m:rPr>
                <m:sty m:val="p"/>
              </m:rPr>
              <w:rPr>
                <w:rFonts w:ascii="Cambria Math" w:hAnsi="Cambria Math" w:cs="Calibri"/>
                <w:sz w:val="18"/>
                <w:szCs w:val="18"/>
              </w:rPr>
              <m:t>Δ</m:t>
            </m:r>
            <m:r>
              <w:rPr>
                <w:rFonts w:ascii="Cambria Math" w:hAnsi="Cambria Math" w:cs="Calibri"/>
                <w:sz w:val="18"/>
                <w:szCs w:val="18"/>
              </w:rPr>
              <m:t>N</m:t>
            </m:r>
          </m:e>
          <m:sub>
            <m:func>
              <m:funcPr>
                <m:ctrlPr>
                  <w:rPr>
                    <w:rFonts w:ascii="Cambria Math" w:hAnsi="Cambria Math"/>
                    <w:i/>
                    <w:sz w:val="18"/>
                  </w:rPr>
                </m:ctrlPr>
              </m:funcPr>
              <m:fName>
                <m:r>
                  <m:rPr>
                    <m:sty m:val="p"/>
                  </m:rPr>
                  <w:rPr>
                    <w:rFonts w:ascii="Cambria Math" w:hAnsi="Cambria Math" w:cs="Calibri"/>
                    <w:sz w:val="18"/>
                    <w:szCs w:val="18"/>
                  </w:rPr>
                  <m:t>max</m:t>
                </m:r>
              </m:fName>
              <m:e>
                <m:r>
                  <w:rPr>
                    <w:rFonts w:ascii="Cambria Math" w:hAnsi="Cambria Math" w:cs="Calibri"/>
                    <w:sz w:val="18"/>
                    <w:szCs w:val="18"/>
                  </w:rPr>
                  <m:t>PRL</m:t>
                </m:r>
              </m:e>
            </m:func>
          </m:sub>
        </m:sSub>
      </m:oMath>
      <w:r w:rsidRPr="00E67B67">
        <w:rPr>
          <w:rFonts w:asciiTheme="minorHAnsi" w:eastAsiaTheme="minorEastAsia" w:hAnsiTheme="minorHAnsi" w:cs="Calibri"/>
          <w:sz w:val="18"/>
          <w:szCs w:val="18"/>
        </w:rPr>
        <w:t>.</w:t>
      </w:r>
    </w:p>
    <w:p w14:paraId="518BF664" w14:textId="77777777" w:rsidR="00D73250" w:rsidRDefault="00D73250" w:rsidP="00D73250">
      <w:pPr>
        <w:pStyle w:val="VDTableTitle"/>
        <w:spacing w:after="0" w:line="276" w:lineRule="auto"/>
        <w:rPr>
          <w:rFonts w:asciiTheme="minorHAnsi" w:hAnsiTheme="minorHAnsi" w:cs="Calibri"/>
          <w:sz w:val="18"/>
          <w:szCs w:val="18"/>
        </w:rPr>
      </w:pPr>
      <w:r w:rsidRPr="00E67B67">
        <w:rPr>
          <w:rFonts w:asciiTheme="minorHAnsi" w:hAnsiTheme="minorHAnsi" w:cs="Calibri"/>
          <w:sz w:val="18"/>
          <w:szCs w:val="18"/>
        </w:rPr>
        <w:t>DFT studies were utilized to calculate the geometry of the LD and PRL molecules as well as to calculate a range of global electronic descriptors. The energy gap between HOMO and LUMO helps to describe the chemical behavior and electrical properties of molecules, with lower energies indicating higher reactivity and lower stability.</w:t>
      </w:r>
      <w:r w:rsidRPr="00E67B67">
        <w:rPr>
          <w:rFonts w:asciiTheme="minorHAnsi" w:hAnsiTheme="minorHAnsi" w:cs="Calibri"/>
          <w:sz w:val="18"/>
          <w:szCs w:val="18"/>
          <w:vertAlign w:val="superscript"/>
        </w:rPr>
        <w:fldChar w:fldCharType="begin"/>
      </w:r>
      <w:r w:rsidRPr="00E67B67">
        <w:rPr>
          <w:rFonts w:asciiTheme="minorHAnsi" w:hAnsiTheme="minorHAnsi" w:cs="Calibri"/>
          <w:sz w:val="18"/>
          <w:szCs w:val="18"/>
          <w:vertAlign w:val="superscript"/>
        </w:rPr>
        <w:instrText xml:space="preserve"> NOTEREF _Ref512331203 \h  \* MERGEFORMAT </w:instrText>
      </w:r>
      <w:r w:rsidRPr="00E67B67">
        <w:rPr>
          <w:rFonts w:asciiTheme="minorHAnsi" w:hAnsiTheme="minorHAnsi" w:cs="Calibri"/>
          <w:sz w:val="18"/>
          <w:szCs w:val="18"/>
          <w:vertAlign w:val="superscript"/>
        </w:rPr>
      </w:r>
      <w:r w:rsidRPr="00E67B67">
        <w:rPr>
          <w:rFonts w:asciiTheme="minorHAnsi" w:hAnsiTheme="minorHAnsi" w:cs="Calibri"/>
          <w:sz w:val="18"/>
          <w:szCs w:val="18"/>
          <w:vertAlign w:val="superscript"/>
        </w:rPr>
        <w:fldChar w:fldCharType="separate"/>
      </w:r>
      <w:r w:rsidR="00066B23">
        <w:rPr>
          <w:rFonts w:asciiTheme="minorHAnsi" w:hAnsiTheme="minorHAnsi" w:cs="Calibri"/>
          <w:sz w:val="18"/>
          <w:szCs w:val="18"/>
          <w:vertAlign w:val="superscript"/>
        </w:rPr>
        <w:t>24</w:t>
      </w:r>
      <w:r w:rsidRPr="00E67B67">
        <w:rPr>
          <w:rFonts w:asciiTheme="minorHAnsi" w:hAnsiTheme="minorHAnsi" w:cs="Calibri"/>
          <w:sz w:val="18"/>
          <w:szCs w:val="18"/>
          <w:vertAlign w:val="superscript"/>
        </w:rPr>
        <w:fldChar w:fldCharType="end"/>
      </w:r>
      <w:r w:rsidRPr="00E67B67">
        <w:rPr>
          <w:rFonts w:asciiTheme="minorHAnsi" w:hAnsiTheme="minorHAnsi" w:cs="Calibri"/>
          <w:sz w:val="18"/>
          <w:szCs w:val="18"/>
        </w:rPr>
        <w:t xml:space="preserve"> The HOMO/LUMO energy gap for LD and PRL, based on the computed structures, is 3.782 and 4.136 eV, respectively (Table 1). Global reactivity parameters, such as absolute electron negativity (χ), chemical potential (μ), absolute hardness (η), global softness (S) and electrophilicity index (ω), listed in Table 1, also indicate the better stability of PRL. Hardness is a measure of resistance to change in the electron distribution in a molecule</w:t>
      </w:r>
      <w:r w:rsidRPr="00E67B67">
        <w:rPr>
          <w:rStyle w:val="EndnoteReference"/>
          <w:rFonts w:asciiTheme="minorHAnsi" w:hAnsiTheme="minorHAnsi" w:cs="Calibri"/>
          <w:sz w:val="18"/>
          <w:szCs w:val="18"/>
        </w:rPr>
        <w:endnoteReference w:id="27"/>
      </w:r>
      <w:r w:rsidRPr="00E67B67">
        <w:rPr>
          <w:rFonts w:asciiTheme="minorHAnsi" w:hAnsiTheme="minorHAnsi" w:cs="Calibri"/>
          <w:sz w:val="18"/>
          <w:szCs w:val="18"/>
        </w:rPr>
        <w:t xml:space="preserve">, thus higher values of hardness (and lower of softness) suggest greater stability of the system. The chemical potential and electrophilicity index parameters give an indication of the electrophile/nucleophile propensity to give/accept an electron. Lower values of μ and ω are typical of a nucleophile (in this case PRL), while LD will exhibit electrophilic properties. The electrophilicity charge transfer (ECT) value is 0.225, thus suggesting that PRL is an electron donor, while LD possesses electron acceptor </w:t>
      </w:r>
      <w:r w:rsidRPr="008F3CAE">
        <w:rPr>
          <w:rFonts w:asciiTheme="minorHAnsi" w:hAnsiTheme="minorHAnsi" w:cs="Calibri"/>
          <w:sz w:val="18"/>
          <w:szCs w:val="18"/>
        </w:rPr>
        <w:t>properties.</w:t>
      </w:r>
      <w:r w:rsidRPr="00E67B67">
        <w:rPr>
          <w:rFonts w:asciiTheme="minorHAnsi" w:hAnsiTheme="minorHAnsi" w:cs="Calibri"/>
          <w:sz w:val="18"/>
          <w:szCs w:val="18"/>
        </w:rPr>
        <w:t xml:space="preserve"> </w:t>
      </w:r>
    </w:p>
    <w:p w14:paraId="01782A5B" w14:textId="77777777" w:rsidR="00D73250" w:rsidRDefault="00D73250" w:rsidP="00D73250">
      <w:pPr>
        <w:pStyle w:val="VDTableTitle"/>
        <w:spacing w:line="276" w:lineRule="auto"/>
        <w:rPr>
          <w:rFonts w:asciiTheme="minorHAnsi" w:hAnsiTheme="minorHAnsi" w:cs="Calibri"/>
          <w:sz w:val="18"/>
          <w:szCs w:val="24"/>
        </w:rPr>
      </w:pPr>
      <w:r w:rsidRPr="00E67B67">
        <w:rPr>
          <w:rFonts w:asciiTheme="minorHAnsi" w:hAnsiTheme="minorHAnsi" w:cs="Calibri"/>
          <w:sz w:val="18"/>
          <w:szCs w:val="24"/>
        </w:rPr>
        <w:t>The molecular electrostatic potential (MEP) of LD and PRL, calculated from DFT studies, allows us to visualize charged parts of the studied molecules. As presented in Fig.1 the regions with positive potential are marked in blue and are localized on hydrogen atoms attached to the amide nitrogen in LD and PRL. On the other</w:t>
      </w:r>
      <w:r>
        <w:rPr>
          <w:rFonts w:asciiTheme="minorHAnsi" w:hAnsiTheme="minorHAnsi" w:cs="Calibri"/>
          <w:sz w:val="18"/>
          <w:szCs w:val="24"/>
        </w:rPr>
        <w:t xml:space="preserve"> </w:t>
      </w:r>
      <w:r w:rsidRPr="00E67B67">
        <w:rPr>
          <w:rFonts w:asciiTheme="minorHAnsi" w:hAnsiTheme="minorHAnsi" w:cs="Calibri"/>
          <w:sz w:val="18"/>
          <w:szCs w:val="24"/>
        </w:rPr>
        <w:t>hand, the carbonyl oxygen of LD and PRL as well as the secondary amine nitrogen of PRL present more reactive area of the molecules and are colored in red.</w:t>
      </w:r>
    </w:p>
    <w:p w14:paraId="79FD983B" w14:textId="77777777" w:rsidR="00D73250" w:rsidRDefault="008F70A5" w:rsidP="00F74E08">
      <w:pPr>
        <w:pStyle w:val="TAMainText"/>
        <w:spacing w:line="276" w:lineRule="auto"/>
        <w:ind w:firstLine="0"/>
        <w:jc w:val="center"/>
        <w:rPr>
          <w:rFonts w:asciiTheme="minorHAnsi" w:eastAsiaTheme="minorEastAsia" w:hAnsiTheme="minorHAnsi" w:cs="Calibri"/>
          <w:sz w:val="18"/>
          <w:szCs w:val="18"/>
        </w:rPr>
      </w:pPr>
      <w:r w:rsidRPr="008F70A5">
        <w:rPr>
          <w:rFonts w:ascii="Times New Roman" w:hAnsi="Times New Roman"/>
          <w:noProof/>
          <w:szCs w:val="24"/>
          <w:lang w:val="en-GB" w:eastAsia="en-GB"/>
        </w:rPr>
        <w:drawing>
          <wp:inline distT="0" distB="0" distL="0" distR="0" wp14:anchorId="2D94D1B6" wp14:editId="413DEEAF">
            <wp:extent cx="3131620" cy="2378075"/>
            <wp:effectExtent l="0" t="0" r="0" b="3175"/>
            <wp:docPr id="3"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49399" cy="2391576"/>
                    </a:xfrm>
                    <a:prstGeom prst="rect">
                      <a:avLst/>
                    </a:prstGeom>
                    <a:noFill/>
                    <a:ln>
                      <a:noFill/>
                    </a:ln>
                  </pic:spPr>
                </pic:pic>
              </a:graphicData>
            </a:graphic>
          </wp:inline>
        </w:drawing>
      </w:r>
    </w:p>
    <w:p w14:paraId="10C611F7" w14:textId="77777777" w:rsidR="00D73250" w:rsidRDefault="00D73250" w:rsidP="00E67B67">
      <w:pPr>
        <w:pStyle w:val="TAMainText"/>
        <w:spacing w:line="276" w:lineRule="auto"/>
        <w:ind w:firstLine="0"/>
        <w:rPr>
          <w:rFonts w:asciiTheme="minorHAnsi" w:eastAsiaTheme="minorEastAsia" w:hAnsiTheme="minorHAnsi" w:cs="Calibri"/>
          <w:sz w:val="18"/>
          <w:szCs w:val="18"/>
        </w:rPr>
      </w:pPr>
    </w:p>
    <w:p w14:paraId="19ABD96B" w14:textId="77777777" w:rsidR="00E67B67" w:rsidRPr="00E67B67" w:rsidRDefault="00D73250" w:rsidP="00E67B67">
      <w:pPr>
        <w:spacing w:after="0"/>
        <w:jc w:val="both"/>
        <w:rPr>
          <w:rStyle w:val="06CHeading"/>
          <w:rFonts w:asciiTheme="minorHAnsi" w:hAnsiTheme="minorHAnsi" w:cs="Calibri"/>
          <w:b w:val="0"/>
          <w:smallCaps w:val="0"/>
          <w:w w:val="100"/>
        </w:rPr>
      </w:pPr>
      <w:r w:rsidRPr="00F74E08">
        <w:rPr>
          <w:rFonts w:eastAsiaTheme="minorEastAsia" w:cs="Calibri"/>
          <w:b/>
          <w:sz w:val="18"/>
          <w:szCs w:val="18"/>
        </w:rPr>
        <w:t>Figure 1</w:t>
      </w:r>
      <w:r>
        <w:rPr>
          <w:rFonts w:eastAsiaTheme="minorEastAsia" w:cs="Calibri"/>
          <w:b/>
          <w:sz w:val="18"/>
          <w:szCs w:val="18"/>
        </w:rPr>
        <w:t>.</w:t>
      </w:r>
      <w:r>
        <w:rPr>
          <w:rFonts w:eastAsiaTheme="minorEastAsia" w:cs="Calibri"/>
          <w:sz w:val="18"/>
          <w:szCs w:val="18"/>
        </w:rPr>
        <w:t xml:space="preserve"> Molecular electrostatic potential maps of LD (left) and PRL (right).</w:t>
      </w:r>
      <w:r w:rsidRPr="00E67B67" w:rsidDel="00D73250">
        <w:rPr>
          <w:rFonts w:eastAsiaTheme="minorEastAsia" w:cs="Calibri"/>
          <w:sz w:val="18"/>
          <w:szCs w:val="18"/>
        </w:rPr>
        <w:t xml:space="preserve"> </w:t>
      </w:r>
    </w:p>
    <w:p w14:paraId="70C0A98C" w14:textId="77777777" w:rsidR="00D73250" w:rsidRPr="00F74E08" w:rsidRDefault="00D73250" w:rsidP="00F74E08">
      <w:pPr>
        <w:pStyle w:val="TAMainText"/>
        <w:sectPr w:rsidR="00D73250" w:rsidRPr="00F74E08" w:rsidSect="00514CBA">
          <w:endnotePr>
            <w:numFmt w:val="decimal"/>
          </w:endnotePr>
          <w:type w:val="continuous"/>
          <w:pgSz w:w="11907" w:h="16840" w:code="9"/>
          <w:pgMar w:top="1009" w:right="851" w:bottom="1758" w:left="851" w:header="851" w:footer="1049" w:gutter="0"/>
          <w:cols w:num="2" w:space="227"/>
          <w:titlePg/>
          <w:docGrid w:linePitch="360"/>
        </w:sectPr>
      </w:pPr>
    </w:p>
    <w:p w14:paraId="2A354B3C" w14:textId="77777777" w:rsidR="008F3CAE" w:rsidRPr="008F3CAE" w:rsidRDefault="008F3CAE" w:rsidP="008F3CAE">
      <w:pPr>
        <w:pStyle w:val="VDTableTitle"/>
        <w:spacing w:line="276" w:lineRule="auto"/>
        <w:rPr>
          <w:rFonts w:asciiTheme="minorHAnsi" w:hAnsiTheme="minorHAnsi" w:cs="Calibri"/>
          <w:sz w:val="18"/>
          <w:szCs w:val="18"/>
        </w:rPr>
      </w:pPr>
      <w:r w:rsidRPr="008F3CAE">
        <w:rPr>
          <w:rFonts w:asciiTheme="minorHAnsi" w:hAnsiTheme="minorHAnsi" w:cs="Calibri"/>
          <w:b/>
          <w:sz w:val="18"/>
          <w:szCs w:val="18"/>
        </w:rPr>
        <w:lastRenderedPageBreak/>
        <w:t xml:space="preserve">Table  1 </w:t>
      </w:r>
      <w:r w:rsidRPr="008F3CAE">
        <w:rPr>
          <w:rFonts w:asciiTheme="minorHAnsi" w:hAnsiTheme="minorHAnsi" w:cs="Calibri"/>
          <w:sz w:val="18"/>
          <w:szCs w:val="18"/>
        </w:rPr>
        <w:t>Global reactivity parameters of LD and PRL.</w:t>
      </w:r>
    </w:p>
    <w:tbl>
      <w:tblPr>
        <w:tblStyle w:val="PlainTable2"/>
        <w:tblW w:w="0" w:type="auto"/>
        <w:jc w:val="center"/>
        <w:tblLook w:val="04A0" w:firstRow="1" w:lastRow="0" w:firstColumn="1" w:lastColumn="0" w:noHBand="0" w:noVBand="1"/>
      </w:tblPr>
      <w:tblGrid>
        <w:gridCol w:w="1056"/>
        <w:gridCol w:w="889"/>
        <w:gridCol w:w="888"/>
        <w:gridCol w:w="884"/>
        <w:gridCol w:w="885"/>
        <w:gridCol w:w="885"/>
        <w:gridCol w:w="885"/>
        <w:gridCol w:w="885"/>
        <w:gridCol w:w="899"/>
        <w:gridCol w:w="860"/>
      </w:tblGrid>
      <w:tr w:rsidR="008F3CAE" w:rsidRPr="00A55448" w14:paraId="3655C0AC" w14:textId="77777777" w:rsidTr="0053265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56" w:type="dxa"/>
            <w:tcBorders>
              <w:top w:val="single" w:sz="4" w:space="0" w:color="7F7F7F" w:themeColor="text1" w:themeTint="80"/>
            </w:tcBorders>
            <w:shd w:val="clear" w:color="auto" w:fill="F2F2F2" w:themeFill="background1" w:themeFillShade="F2"/>
            <w:vAlign w:val="center"/>
          </w:tcPr>
          <w:p w14:paraId="5993FB83" w14:textId="77777777" w:rsidR="008F3CAE" w:rsidRPr="00A55448" w:rsidRDefault="008F3CAE" w:rsidP="008F3CAE">
            <w:pPr>
              <w:pStyle w:val="TCTableBody"/>
              <w:spacing w:line="276" w:lineRule="auto"/>
              <w:jc w:val="center"/>
              <w:rPr>
                <w:rFonts w:asciiTheme="minorHAnsi" w:hAnsiTheme="minorHAnsi" w:cs="Calibri"/>
                <w:sz w:val="18"/>
                <w:szCs w:val="18"/>
              </w:rPr>
            </w:pPr>
          </w:p>
        </w:tc>
        <w:tc>
          <w:tcPr>
            <w:tcW w:w="889" w:type="dxa"/>
            <w:tcBorders>
              <w:top w:val="single" w:sz="4" w:space="0" w:color="7F7F7F" w:themeColor="text1" w:themeTint="80"/>
            </w:tcBorders>
            <w:shd w:val="clear" w:color="auto" w:fill="F2F2F2" w:themeFill="background1" w:themeFillShade="F2"/>
            <w:vAlign w:val="center"/>
          </w:tcPr>
          <w:p w14:paraId="1D24ABB5" w14:textId="77777777" w:rsidR="008F3CAE" w:rsidRPr="00A55448" w:rsidRDefault="008F3CAE" w:rsidP="008F3CAE">
            <w:pPr>
              <w:pStyle w:val="TCTableBody"/>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E</w:t>
            </w:r>
            <w:r w:rsidRPr="00A55448">
              <w:rPr>
                <w:rFonts w:asciiTheme="minorHAnsi" w:hAnsiTheme="minorHAnsi" w:cs="Calibri"/>
                <w:sz w:val="18"/>
                <w:szCs w:val="18"/>
                <w:vertAlign w:val="subscript"/>
              </w:rPr>
              <w:t>HOMO</w:t>
            </w:r>
            <w:r w:rsidRPr="00A55448">
              <w:rPr>
                <w:rFonts w:asciiTheme="minorHAnsi" w:hAnsiTheme="minorHAnsi" w:cs="Calibri"/>
                <w:sz w:val="18"/>
                <w:szCs w:val="18"/>
              </w:rPr>
              <w:t xml:space="preserve"> (eV)</w:t>
            </w:r>
          </w:p>
        </w:tc>
        <w:tc>
          <w:tcPr>
            <w:tcW w:w="888" w:type="dxa"/>
            <w:tcBorders>
              <w:top w:val="single" w:sz="4" w:space="0" w:color="7F7F7F" w:themeColor="text1" w:themeTint="80"/>
            </w:tcBorders>
            <w:shd w:val="clear" w:color="auto" w:fill="F2F2F2" w:themeFill="background1" w:themeFillShade="F2"/>
            <w:vAlign w:val="center"/>
          </w:tcPr>
          <w:p w14:paraId="22DBED70" w14:textId="77777777" w:rsidR="008F3CAE" w:rsidRPr="00A55448" w:rsidRDefault="008F3CAE" w:rsidP="008F3CAE">
            <w:pPr>
              <w:pStyle w:val="TCTableBody"/>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E</w:t>
            </w:r>
            <w:r w:rsidRPr="00A55448">
              <w:rPr>
                <w:rFonts w:asciiTheme="minorHAnsi" w:hAnsiTheme="minorHAnsi" w:cs="Calibri"/>
                <w:sz w:val="18"/>
                <w:szCs w:val="18"/>
                <w:vertAlign w:val="subscript"/>
              </w:rPr>
              <w:t xml:space="preserve">LUMO </w:t>
            </w:r>
            <w:r w:rsidRPr="00A55448">
              <w:rPr>
                <w:rFonts w:asciiTheme="minorHAnsi" w:hAnsiTheme="minorHAnsi" w:cs="Calibri"/>
                <w:sz w:val="18"/>
                <w:szCs w:val="18"/>
              </w:rPr>
              <w:t>(eV)</w:t>
            </w:r>
          </w:p>
        </w:tc>
        <w:tc>
          <w:tcPr>
            <w:tcW w:w="884" w:type="dxa"/>
            <w:tcBorders>
              <w:top w:val="single" w:sz="4" w:space="0" w:color="7F7F7F" w:themeColor="text1" w:themeTint="80"/>
            </w:tcBorders>
            <w:shd w:val="clear" w:color="auto" w:fill="F2F2F2" w:themeFill="background1" w:themeFillShade="F2"/>
            <w:vAlign w:val="center"/>
          </w:tcPr>
          <w:p w14:paraId="6A309B61" w14:textId="77777777" w:rsidR="008F3CAE" w:rsidRPr="00A55448" w:rsidRDefault="008F3CAE" w:rsidP="008F3CAE">
            <w:pPr>
              <w:pStyle w:val="TCTableBody"/>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ΔE</w:t>
            </w:r>
            <w:r w:rsidRPr="00A55448">
              <w:rPr>
                <w:rFonts w:asciiTheme="minorHAnsi" w:hAnsiTheme="minorHAnsi" w:cs="Calibri"/>
                <w:i/>
                <w:sz w:val="18"/>
                <w:szCs w:val="18"/>
                <w:vertAlign w:val="superscript"/>
              </w:rPr>
              <w:t xml:space="preserve">a </w:t>
            </w:r>
            <w:r w:rsidRPr="00A55448">
              <w:rPr>
                <w:rFonts w:asciiTheme="minorHAnsi" w:hAnsiTheme="minorHAnsi" w:cs="Calibri"/>
                <w:sz w:val="18"/>
                <w:szCs w:val="18"/>
              </w:rPr>
              <w:t>(eV)</w:t>
            </w:r>
          </w:p>
        </w:tc>
        <w:tc>
          <w:tcPr>
            <w:tcW w:w="885" w:type="dxa"/>
            <w:tcBorders>
              <w:top w:val="single" w:sz="4" w:space="0" w:color="7F7F7F" w:themeColor="text1" w:themeTint="80"/>
            </w:tcBorders>
            <w:shd w:val="clear" w:color="auto" w:fill="F2F2F2" w:themeFill="background1" w:themeFillShade="F2"/>
            <w:vAlign w:val="center"/>
          </w:tcPr>
          <w:p w14:paraId="65C5D332" w14:textId="77777777" w:rsidR="008F3CAE" w:rsidRPr="00A55448" w:rsidRDefault="008F3CAE" w:rsidP="008F3CAE">
            <w:pPr>
              <w:pStyle w:val="TCTableBody"/>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Calibri"/>
                <w:sz w:val="18"/>
                <w:szCs w:val="18"/>
                <w:vertAlign w:val="superscript"/>
              </w:rPr>
            </w:pPr>
            <w:r w:rsidRPr="00A55448">
              <w:rPr>
                <w:rFonts w:asciiTheme="minorHAnsi" w:hAnsiTheme="minorHAnsi" w:cs="Calibri"/>
                <w:sz w:val="18"/>
                <w:szCs w:val="18"/>
              </w:rPr>
              <w:t>χ</w:t>
            </w:r>
            <w:r w:rsidRPr="00A55448">
              <w:rPr>
                <w:rFonts w:asciiTheme="minorHAnsi" w:hAnsiTheme="minorHAnsi" w:cs="Calibri"/>
                <w:i/>
                <w:sz w:val="18"/>
                <w:szCs w:val="18"/>
                <w:vertAlign w:val="superscript"/>
              </w:rPr>
              <w:t>b</w:t>
            </w:r>
          </w:p>
        </w:tc>
        <w:tc>
          <w:tcPr>
            <w:tcW w:w="885" w:type="dxa"/>
            <w:tcBorders>
              <w:top w:val="single" w:sz="4" w:space="0" w:color="7F7F7F" w:themeColor="text1" w:themeTint="80"/>
            </w:tcBorders>
            <w:shd w:val="clear" w:color="auto" w:fill="F2F2F2" w:themeFill="background1" w:themeFillShade="F2"/>
            <w:vAlign w:val="center"/>
          </w:tcPr>
          <w:p w14:paraId="714401C6" w14:textId="77777777" w:rsidR="008F3CAE" w:rsidRPr="00A55448" w:rsidRDefault="008F3CAE" w:rsidP="008F3CAE">
            <w:pPr>
              <w:pStyle w:val="TCTableBody"/>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Calibri"/>
                <w:i/>
                <w:sz w:val="18"/>
                <w:szCs w:val="18"/>
                <w:vertAlign w:val="superscript"/>
              </w:rPr>
            </w:pPr>
            <w:r w:rsidRPr="00A55448">
              <w:rPr>
                <w:rFonts w:asciiTheme="minorHAnsi" w:hAnsiTheme="minorHAnsi" w:cs="Calibri"/>
                <w:sz w:val="18"/>
                <w:szCs w:val="18"/>
              </w:rPr>
              <w:t>μ</w:t>
            </w:r>
            <w:r w:rsidRPr="00A55448">
              <w:rPr>
                <w:rFonts w:asciiTheme="minorHAnsi" w:hAnsiTheme="minorHAnsi" w:cs="Calibri"/>
                <w:i/>
                <w:sz w:val="18"/>
                <w:szCs w:val="18"/>
                <w:vertAlign w:val="superscript"/>
              </w:rPr>
              <w:t>c</w:t>
            </w:r>
          </w:p>
        </w:tc>
        <w:tc>
          <w:tcPr>
            <w:tcW w:w="885" w:type="dxa"/>
            <w:tcBorders>
              <w:top w:val="single" w:sz="4" w:space="0" w:color="7F7F7F" w:themeColor="text1" w:themeTint="80"/>
            </w:tcBorders>
            <w:shd w:val="clear" w:color="auto" w:fill="F2F2F2" w:themeFill="background1" w:themeFillShade="F2"/>
            <w:vAlign w:val="center"/>
          </w:tcPr>
          <w:p w14:paraId="5904F640" w14:textId="77777777" w:rsidR="008F3CAE" w:rsidRPr="00A55448" w:rsidRDefault="008F3CAE" w:rsidP="008F3CAE">
            <w:pPr>
              <w:pStyle w:val="TCTableBody"/>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η</w:t>
            </w:r>
            <w:r w:rsidRPr="00A55448">
              <w:rPr>
                <w:rFonts w:asciiTheme="minorHAnsi" w:hAnsiTheme="minorHAnsi" w:cs="Calibri"/>
                <w:i/>
                <w:sz w:val="18"/>
                <w:szCs w:val="18"/>
                <w:vertAlign w:val="superscript"/>
              </w:rPr>
              <w:t>d</w:t>
            </w:r>
          </w:p>
        </w:tc>
        <w:tc>
          <w:tcPr>
            <w:tcW w:w="885" w:type="dxa"/>
            <w:tcBorders>
              <w:top w:val="single" w:sz="4" w:space="0" w:color="7F7F7F" w:themeColor="text1" w:themeTint="80"/>
            </w:tcBorders>
            <w:shd w:val="clear" w:color="auto" w:fill="F2F2F2" w:themeFill="background1" w:themeFillShade="F2"/>
            <w:vAlign w:val="center"/>
          </w:tcPr>
          <w:p w14:paraId="2E67CFB1" w14:textId="77777777" w:rsidR="008F3CAE" w:rsidRPr="00A55448" w:rsidRDefault="008F3CAE" w:rsidP="008F3CAE">
            <w:pPr>
              <w:pStyle w:val="TCTableBody"/>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Calibri"/>
                <w:i/>
                <w:sz w:val="18"/>
                <w:szCs w:val="18"/>
                <w:vertAlign w:val="superscript"/>
              </w:rPr>
            </w:pPr>
            <w:r w:rsidRPr="00A55448">
              <w:rPr>
                <w:rFonts w:asciiTheme="minorHAnsi" w:hAnsiTheme="minorHAnsi" w:cs="Calibri"/>
                <w:sz w:val="18"/>
                <w:szCs w:val="18"/>
              </w:rPr>
              <w:t>S</w:t>
            </w:r>
            <w:r w:rsidRPr="00A55448">
              <w:rPr>
                <w:rFonts w:asciiTheme="minorHAnsi" w:hAnsiTheme="minorHAnsi" w:cs="Calibri"/>
                <w:i/>
                <w:sz w:val="18"/>
                <w:szCs w:val="18"/>
                <w:vertAlign w:val="superscript"/>
              </w:rPr>
              <w:t>e</w:t>
            </w:r>
          </w:p>
        </w:tc>
        <w:tc>
          <w:tcPr>
            <w:tcW w:w="899" w:type="dxa"/>
            <w:tcBorders>
              <w:top w:val="single" w:sz="4" w:space="0" w:color="7F7F7F" w:themeColor="text1" w:themeTint="80"/>
            </w:tcBorders>
            <w:shd w:val="clear" w:color="auto" w:fill="F2F2F2" w:themeFill="background1" w:themeFillShade="F2"/>
            <w:vAlign w:val="center"/>
          </w:tcPr>
          <w:p w14:paraId="5F9775FE" w14:textId="77777777" w:rsidR="008F3CAE" w:rsidRPr="00A55448" w:rsidRDefault="008F3CAE" w:rsidP="008F3CAE">
            <w:pPr>
              <w:pStyle w:val="TCTableBody"/>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ω</w:t>
            </w:r>
            <w:r w:rsidRPr="00A55448">
              <w:rPr>
                <w:rFonts w:asciiTheme="minorHAnsi" w:hAnsiTheme="minorHAnsi" w:cs="Calibri"/>
                <w:i/>
                <w:sz w:val="18"/>
                <w:szCs w:val="18"/>
                <w:vertAlign w:val="superscript"/>
              </w:rPr>
              <w:t>f</w:t>
            </w:r>
          </w:p>
        </w:tc>
        <w:tc>
          <w:tcPr>
            <w:tcW w:w="860" w:type="dxa"/>
            <w:tcBorders>
              <w:top w:val="single" w:sz="4" w:space="0" w:color="7F7F7F" w:themeColor="text1" w:themeTint="80"/>
            </w:tcBorders>
            <w:shd w:val="clear" w:color="auto" w:fill="F2F2F2" w:themeFill="background1" w:themeFillShade="F2"/>
            <w:vAlign w:val="center"/>
          </w:tcPr>
          <w:p w14:paraId="5096700F" w14:textId="77777777" w:rsidR="008F3CAE" w:rsidRPr="00A55448" w:rsidRDefault="008F3CAE" w:rsidP="008F3CAE">
            <w:pPr>
              <w:pStyle w:val="TCTableBody"/>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ΔN</w:t>
            </w:r>
            <w:r w:rsidRPr="00A55448">
              <w:rPr>
                <w:rFonts w:asciiTheme="minorHAnsi" w:hAnsiTheme="minorHAnsi" w:cs="Calibri"/>
                <w:sz w:val="18"/>
                <w:szCs w:val="18"/>
                <w:vertAlign w:val="subscript"/>
              </w:rPr>
              <w:t>max</w:t>
            </w:r>
          </w:p>
        </w:tc>
      </w:tr>
      <w:tr w:rsidR="008F3CAE" w:rsidRPr="00A55448" w14:paraId="603839F2" w14:textId="77777777" w:rsidTr="008F3C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56" w:type="dxa"/>
            <w:vAlign w:val="center"/>
          </w:tcPr>
          <w:p w14:paraId="12CD5C6E" w14:textId="77777777" w:rsidR="008F3CAE" w:rsidRPr="00A55448" w:rsidRDefault="008F3CAE" w:rsidP="008F3CAE">
            <w:pPr>
              <w:pStyle w:val="TCTableBody"/>
              <w:spacing w:line="276" w:lineRule="auto"/>
              <w:jc w:val="center"/>
              <w:rPr>
                <w:rFonts w:asciiTheme="minorHAnsi" w:hAnsiTheme="minorHAnsi" w:cs="Calibri"/>
                <w:sz w:val="18"/>
                <w:szCs w:val="18"/>
              </w:rPr>
            </w:pPr>
            <w:r w:rsidRPr="00A55448">
              <w:rPr>
                <w:rFonts w:asciiTheme="minorHAnsi" w:hAnsiTheme="minorHAnsi" w:cs="Calibri"/>
                <w:sz w:val="18"/>
                <w:szCs w:val="18"/>
              </w:rPr>
              <w:t>LD</w:t>
            </w:r>
          </w:p>
        </w:tc>
        <w:tc>
          <w:tcPr>
            <w:tcW w:w="889" w:type="dxa"/>
            <w:vAlign w:val="center"/>
          </w:tcPr>
          <w:p w14:paraId="6B5FA88C" w14:textId="77777777" w:rsidR="008F3CAE" w:rsidRPr="00A55448" w:rsidRDefault="008F3CAE" w:rsidP="008F3CAE">
            <w:pPr>
              <w:pStyle w:val="TCTableBody"/>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-9.061</w:t>
            </w:r>
          </w:p>
        </w:tc>
        <w:tc>
          <w:tcPr>
            <w:tcW w:w="888" w:type="dxa"/>
            <w:vAlign w:val="center"/>
          </w:tcPr>
          <w:p w14:paraId="4FD1F2BA" w14:textId="77777777" w:rsidR="008F3CAE" w:rsidRPr="00A55448" w:rsidRDefault="008F3CAE" w:rsidP="008F3CAE">
            <w:pPr>
              <w:pStyle w:val="TCTableBody"/>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-5.279</w:t>
            </w:r>
          </w:p>
        </w:tc>
        <w:tc>
          <w:tcPr>
            <w:tcW w:w="884" w:type="dxa"/>
            <w:vAlign w:val="center"/>
          </w:tcPr>
          <w:p w14:paraId="4459AAC1" w14:textId="77777777" w:rsidR="008F3CAE" w:rsidRPr="00A55448" w:rsidRDefault="008F3CAE" w:rsidP="008F3CAE">
            <w:pPr>
              <w:pStyle w:val="TCTableBody"/>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3.782</w:t>
            </w:r>
          </w:p>
        </w:tc>
        <w:tc>
          <w:tcPr>
            <w:tcW w:w="885" w:type="dxa"/>
            <w:vAlign w:val="center"/>
          </w:tcPr>
          <w:p w14:paraId="3EF87825" w14:textId="77777777" w:rsidR="008F3CAE" w:rsidRPr="00A55448" w:rsidRDefault="008F3CAE" w:rsidP="008F3CAE">
            <w:pPr>
              <w:pStyle w:val="TCTableBody"/>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7.170</w:t>
            </w:r>
          </w:p>
        </w:tc>
        <w:tc>
          <w:tcPr>
            <w:tcW w:w="885" w:type="dxa"/>
            <w:vAlign w:val="center"/>
          </w:tcPr>
          <w:p w14:paraId="5D25E899" w14:textId="77777777" w:rsidR="008F3CAE" w:rsidRPr="00A55448" w:rsidRDefault="008F3CAE" w:rsidP="008F3CAE">
            <w:pPr>
              <w:pStyle w:val="TCTableBody"/>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-7.170</w:t>
            </w:r>
          </w:p>
        </w:tc>
        <w:tc>
          <w:tcPr>
            <w:tcW w:w="885" w:type="dxa"/>
            <w:vAlign w:val="center"/>
          </w:tcPr>
          <w:p w14:paraId="12592886" w14:textId="77777777" w:rsidR="008F3CAE" w:rsidRPr="00A55448" w:rsidRDefault="008F3CAE" w:rsidP="008F3CAE">
            <w:pPr>
              <w:pStyle w:val="TCTableBody"/>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1.891</w:t>
            </w:r>
          </w:p>
        </w:tc>
        <w:tc>
          <w:tcPr>
            <w:tcW w:w="885" w:type="dxa"/>
            <w:vAlign w:val="center"/>
          </w:tcPr>
          <w:p w14:paraId="01746896" w14:textId="77777777" w:rsidR="008F3CAE" w:rsidRPr="00A55448" w:rsidRDefault="008F3CAE" w:rsidP="008F3CAE">
            <w:pPr>
              <w:pStyle w:val="TCTableBody"/>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0.529</w:t>
            </w:r>
          </w:p>
        </w:tc>
        <w:tc>
          <w:tcPr>
            <w:tcW w:w="899" w:type="dxa"/>
            <w:vAlign w:val="center"/>
          </w:tcPr>
          <w:p w14:paraId="69DCF60A" w14:textId="77777777" w:rsidR="008F3CAE" w:rsidRPr="00A55448" w:rsidRDefault="008F3CAE" w:rsidP="008F3CAE">
            <w:pPr>
              <w:pStyle w:val="TCTableBody"/>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13.593</w:t>
            </w:r>
          </w:p>
        </w:tc>
        <w:tc>
          <w:tcPr>
            <w:tcW w:w="860" w:type="dxa"/>
            <w:vAlign w:val="center"/>
          </w:tcPr>
          <w:p w14:paraId="5CD7DCA3" w14:textId="77777777" w:rsidR="008F3CAE" w:rsidRPr="00A55448" w:rsidRDefault="008F3CAE" w:rsidP="008F3CAE">
            <w:pPr>
              <w:pStyle w:val="TCTableBody"/>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3.791</w:t>
            </w:r>
          </w:p>
        </w:tc>
      </w:tr>
      <w:tr w:rsidR="008F3CAE" w:rsidRPr="00A55448" w14:paraId="0A306F16" w14:textId="77777777" w:rsidTr="008F3CAE">
        <w:trPr>
          <w:jc w:val="center"/>
        </w:trPr>
        <w:tc>
          <w:tcPr>
            <w:cnfStyle w:val="001000000000" w:firstRow="0" w:lastRow="0" w:firstColumn="1" w:lastColumn="0" w:oddVBand="0" w:evenVBand="0" w:oddHBand="0" w:evenHBand="0" w:firstRowFirstColumn="0" w:firstRowLastColumn="0" w:lastRowFirstColumn="0" w:lastRowLastColumn="0"/>
            <w:tcW w:w="1056" w:type="dxa"/>
            <w:tcBorders>
              <w:bottom w:val="single" w:sz="4" w:space="0" w:color="7F7F7F" w:themeColor="text1" w:themeTint="80"/>
            </w:tcBorders>
            <w:vAlign w:val="center"/>
          </w:tcPr>
          <w:p w14:paraId="6813E5DC" w14:textId="77777777" w:rsidR="008F3CAE" w:rsidRPr="00A55448" w:rsidRDefault="008F3CAE" w:rsidP="008F3CAE">
            <w:pPr>
              <w:pStyle w:val="TCTableBody"/>
              <w:spacing w:line="276" w:lineRule="auto"/>
              <w:jc w:val="center"/>
              <w:rPr>
                <w:rFonts w:asciiTheme="minorHAnsi" w:hAnsiTheme="minorHAnsi" w:cs="Calibri"/>
                <w:sz w:val="18"/>
                <w:szCs w:val="18"/>
              </w:rPr>
            </w:pPr>
            <w:r w:rsidRPr="00A55448">
              <w:rPr>
                <w:rFonts w:asciiTheme="minorHAnsi" w:hAnsiTheme="minorHAnsi" w:cs="Calibri"/>
                <w:sz w:val="18"/>
                <w:szCs w:val="18"/>
              </w:rPr>
              <w:t>PRL</w:t>
            </w:r>
          </w:p>
        </w:tc>
        <w:tc>
          <w:tcPr>
            <w:tcW w:w="889" w:type="dxa"/>
            <w:tcBorders>
              <w:bottom w:val="single" w:sz="4" w:space="0" w:color="7F7F7F" w:themeColor="text1" w:themeTint="80"/>
            </w:tcBorders>
            <w:vAlign w:val="center"/>
          </w:tcPr>
          <w:p w14:paraId="5E6606CE" w14:textId="77777777" w:rsidR="008F3CAE" w:rsidRPr="00A55448" w:rsidRDefault="008F3CAE" w:rsidP="008F3CAE">
            <w:pPr>
              <w:pStyle w:val="TCTableBody"/>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-9.442</w:t>
            </w:r>
          </w:p>
        </w:tc>
        <w:tc>
          <w:tcPr>
            <w:tcW w:w="888" w:type="dxa"/>
            <w:tcBorders>
              <w:bottom w:val="single" w:sz="4" w:space="0" w:color="7F7F7F" w:themeColor="text1" w:themeTint="80"/>
            </w:tcBorders>
            <w:vAlign w:val="center"/>
          </w:tcPr>
          <w:p w14:paraId="0B1FFD88" w14:textId="77777777" w:rsidR="008F3CAE" w:rsidRPr="00A55448" w:rsidRDefault="008F3CAE" w:rsidP="008F3CAE">
            <w:pPr>
              <w:pStyle w:val="TCTableBody"/>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-5.306</w:t>
            </w:r>
          </w:p>
        </w:tc>
        <w:tc>
          <w:tcPr>
            <w:tcW w:w="884" w:type="dxa"/>
            <w:tcBorders>
              <w:bottom w:val="single" w:sz="4" w:space="0" w:color="7F7F7F" w:themeColor="text1" w:themeTint="80"/>
            </w:tcBorders>
            <w:vAlign w:val="center"/>
          </w:tcPr>
          <w:p w14:paraId="654E0513" w14:textId="77777777" w:rsidR="008F3CAE" w:rsidRPr="00A55448" w:rsidRDefault="008F3CAE" w:rsidP="008F3CAE">
            <w:pPr>
              <w:pStyle w:val="TCTableBody"/>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4.136</w:t>
            </w:r>
          </w:p>
        </w:tc>
        <w:tc>
          <w:tcPr>
            <w:tcW w:w="885" w:type="dxa"/>
            <w:tcBorders>
              <w:bottom w:val="single" w:sz="4" w:space="0" w:color="7F7F7F" w:themeColor="text1" w:themeTint="80"/>
            </w:tcBorders>
            <w:vAlign w:val="center"/>
          </w:tcPr>
          <w:p w14:paraId="7D258C5B" w14:textId="77777777" w:rsidR="008F3CAE" w:rsidRPr="00A55448" w:rsidRDefault="008F3CAE" w:rsidP="008F3CAE">
            <w:pPr>
              <w:pStyle w:val="TCTableBody"/>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7.374</w:t>
            </w:r>
          </w:p>
        </w:tc>
        <w:tc>
          <w:tcPr>
            <w:tcW w:w="885" w:type="dxa"/>
            <w:tcBorders>
              <w:bottom w:val="single" w:sz="4" w:space="0" w:color="7F7F7F" w:themeColor="text1" w:themeTint="80"/>
            </w:tcBorders>
            <w:vAlign w:val="center"/>
          </w:tcPr>
          <w:p w14:paraId="248672D3" w14:textId="77777777" w:rsidR="008F3CAE" w:rsidRPr="00A55448" w:rsidRDefault="008F3CAE" w:rsidP="008F3CAE">
            <w:pPr>
              <w:pStyle w:val="TCTableBody"/>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-7.373</w:t>
            </w:r>
          </w:p>
        </w:tc>
        <w:tc>
          <w:tcPr>
            <w:tcW w:w="885" w:type="dxa"/>
            <w:tcBorders>
              <w:bottom w:val="single" w:sz="4" w:space="0" w:color="7F7F7F" w:themeColor="text1" w:themeTint="80"/>
            </w:tcBorders>
            <w:vAlign w:val="center"/>
          </w:tcPr>
          <w:p w14:paraId="54EFD48E" w14:textId="77777777" w:rsidR="008F3CAE" w:rsidRPr="00A55448" w:rsidRDefault="008F3CAE" w:rsidP="008F3CAE">
            <w:pPr>
              <w:pStyle w:val="TCTableBody"/>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2.068</w:t>
            </w:r>
          </w:p>
        </w:tc>
        <w:tc>
          <w:tcPr>
            <w:tcW w:w="885" w:type="dxa"/>
            <w:tcBorders>
              <w:bottom w:val="single" w:sz="4" w:space="0" w:color="7F7F7F" w:themeColor="text1" w:themeTint="80"/>
            </w:tcBorders>
            <w:vAlign w:val="center"/>
          </w:tcPr>
          <w:p w14:paraId="0FBA2581" w14:textId="77777777" w:rsidR="008F3CAE" w:rsidRPr="00A55448" w:rsidRDefault="008F3CAE" w:rsidP="008F3CAE">
            <w:pPr>
              <w:pStyle w:val="TCTableBody"/>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0.484</w:t>
            </w:r>
          </w:p>
        </w:tc>
        <w:tc>
          <w:tcPr>
            <w:tcW w:w="899" w:type="dxa"/>
            <w:tcBorders>
              <w:bottom w:val="single" w:sz="4" w:space="0" w:color="7F7F7F" w:themeColor="text1" w:themeTint="80"/>
            </w:tcBorders>
            <w:vAlign w:val="center"/>
          </w:tcPr>
          <w:p w14:paraId="733D7823" w14:textId="77777777" w:rsidR="008F3CAE" w:rsidRPr="00A55448" w:rsidRDefault="008F3CAE" w:rsidP="008F3CAE">
            <w:pPr>
              <w:pStyle w:val="TCTableBody"/>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13.147</w:t>
            </w:r>
          </w:p>
        </w:tc>
        <w:tc>
          <w:tcPr>
            <w:tcW w:w="860" w:type="dxa"/>
            <w:tcBorders>
              <w:bottom w:val="single" w:sz="4" w:space="0" w:color="7F7F7F" w:themeColor="text1" w:themeTint="80"/>
            </w:tcBorders>
            <w:vAlign w:val="center"/>
          </w:tcPr>
          <w:p w14:paraId="1836D259" w14:textId="77777777" w:rsidR="008F3CAE" w:rsidRPr="00A55448" w:rsidRDefault="008F3CAE" w:rsidP="008F3CAE">
            <w:pPr>
              <w:pStyle w:val="TCTableBody"/>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Calibri"/>
                <w:sz w:val="18"/>
                <w:szCs w:val="18"/>
              </w:rPr>
            </w:pPr>
            <w:r w:rsidRPr="00A55448">
              <w:rPr>
                <w:rFonts w:asciiTheme="minorHAnsi" w:hAnsiTheme="minorHAnsi" w:cs="Calibri"/>
                <w:sz w:val="18"/>
                <w:szCs w:val="18"/>
              </w:rPr>
              <w:t>3.566</w:t>
            </w:r>
          </w:p>
        </w:tc>
      </w:tr>
    </w:tbl>
    <w:p w14:paraId="7F224ECB" w14:textId="77777777" w:rsidR="00D73250" w:rsidRDefault="008F3CAE" w:rsidP="00F74E08">
      <w:pPr>
        <w:pStyle w:val="FETableFootnote"/>
        <w:spacing w:line="276" w:lineRule="auto"/>
        <w:ind w:firstLine="0"/>
        <w:rPr>
          <w:rFonts w:asciiTheme="minorHAnsi" w:hAnsiTheme="minorHAnsi" w:cs="Calibri"/>
          <w:sz w:val="18"/>
          <w:szCs w:val="18"/>
        </w:rPr>
      </w:pPr>
      <w:r w:rsidRPr="008F3CAE">
        <w:rPr>
          <w:rFonts w:asciiTheme="minorHAnsi" w:hAnsiTheme="minorHAnsi" w:cs="Calibri"/>
          <w:i/>
          <w:sz w:val="18"/>
          <w:szCs w:val="18"/>
          <w:vertAlign w:val="superscript"/>
        </w:rPr>
        <w:t>a</w:t>
      </w:r>
      <w:r w:rsidRPr="008F3CAE">
        <w:rPr>
          <w:rFonts w:asciiTheme="minorHAnsi" w:hAnsiTheme="minorHAnsi" w:cs="Calibri"/>
          <w:sz w:val="18"/>
          <w:szCs w:val="18"/>
        </w:rPr>
        <w:t xml:space="preserve">ΔE - energy band gap; </w:t>
      </w:r>
      <w:r w:rsidRPr="008F3CAE">
        <w:rPr>
          <w:rFonts w:asciiTheme="minorHAnsi" w:hAnsiTheme="minorHAnsi" w:cs="Calibri"/>
          <w:i/>
          <w:sz w:val="18"/>
          <w:szCs w:val="18"/>
          <w:vertAlign w:val="superscript"/>
        </w:rPr>
        <w:t>b</w:t>
      </w:r>
      <w:r w:rsidRPr="008F3CAE">
        <w:rPr>
          <w:rFonts w:asciiTheme="minorHAnsi" w:hAnsiTheme="minorHAnsi" w:cs="Calibri"/>
          <w:sz w:val="18"/>
          <w:szCs w:val="18"/>
        </w:rPr>
        <w:t xml:space="preserve">χ - absolute electron negativity; </w:t>
      </w:r>
      <w:r w:rsidRPr="008F3CAE">
        <w:rPr>
          <w:rFonts w:asciiTheme="minorHAnsi" w:hAnsiTheme="minorHAnsi" w:cs="Calibri"/>
          <w:i/>
          <w:sz w:val="18"/>
          <w:szCs w:val="18"/>
          <w:vertAlign w:val="superscript"/>
        </w:rPr>
        <w:t>c</w:t>
      </w:r>
      <w:r w:rsidRPr="008F3CAE">
        <w:rPr>
          <w:rFonts w:asciiTheme="minorHAnsi" w:hAnsiTheme="minorHAnsi" w:cs="Calibri"/>
          <w:sz w:val="18"/>
          <w:szCs w:val="18"/>
        </w:rPr>
        <w:t xml:space="preserve">μ - chemical potential; </w:t>
      </w:r>
      <w:r w:rsidRPr="008F3CAE">
        <w:rPr>
          <w:rFonts w:asciiTheme="minorHAnsi" w:hAnsiTheme="minorHAnsi" w:cs="Calibri"/>
          <w:i/>
          <w:sz w:val="18"/>
          <w:szCs w:val="18"/>
          <w:vertAlign w:val="superscript"/>
        </w:rPr>
        <w:t>d</w:t>
      </w:r>
      <w:r w:rsidRPr="008F3CAE">
        <w:rPr>
          <w:rFonts w:asciiTheme="minorHAnsi" w:hAnsiTheme="minorHAnsi" w:cs="Calibri"/>
          <w:sz w:val="18"/>
          <w:szCs w:val="18"/>
        </w:rPr>
        <w:t xml:space="preserve">η - absolute hardness; </w:t>
      </w:r>
      <w:r w:rsidRPr="008F3CAE">
        <w:rPr>
          <w:rFonts w:asciiTheme="minorHAnsi" w:hAnsiTheme="minorHAnsi" w:cs="Calibri"/>
          <w:i/>
          <w:sz w:val="18"/>
          <w:szCs w:val="18"/>
          <w:vertAlign w:val="superscript"/>
        </w:rPr>
        <w:t>e</w:t>
      </w:r>
      <w:r w:rsidRPr="008F3CAE">
        <w:rPr>
          <w:rFonts w:asciiTheme="minorHAnsi" w:hAnsiTheme="minorHAnsi" w:cs="Calibri"/>
          <w:sz w:val="18"/>
          <w:szCs w:val="18"/>
        </w:rPr>
        <w:t xml:space="preserve">S - global softness; </w:t>
      </w:r>
      <w:r>
        <w:rPr>
          <w:rFonts w:asciiTheme="minorHAnsi" w:hAnsiTheme="minorHAnsi" w:cs="Calibri"/>
          <w:sz w:val="18"/>
          <w:szCs w:val="18"/>
        </w:rPr>
        <w:br/>
      </w:r>
      <w:r w:rsidRPr="008F3CAE">
        <w:rPr>
          <w:rFonts w:asciiTheme="minorHAnsi" w:hAnsiTheme="minorHAnsi" w:cs="Calibri"/>
          <w:sz w:val="18"/>
          <w:szCs w:val="18"/>
        </w:rPr>
        <w:t xml:space="preserve">and  </w:t>
      </w:r>
      <w:r w:rsidRPr="008F3CAE">
        <w:rPr>
          <w:rFonts w:asciiTheme="minorHAnsi" w:hAnsiTheme="minorHAnsi" w:cs="Calibri"/>
          <w:i/>
          <w:sz w:val="18"/>
          <w:szCs w:val="18"/>
          <w:vertAlign w:val="superscript"/>
        </w:rPr>
        <w:t>f</w:t>
      </w:r>
      <w:r w:rsidRPr="008F3CAE">
        <w:rPr>
          <w:rFonts w:asciiTheme="minorHAnsi" w:hAnsiTheme="minorHAnsi" w:cs="Calibri"/>
          <w:sz w:val="18"/>
          <w:szCs w:val="18"/>
        </w:rPr>
        <w:t>ω - electrophilicity index of LD and PRL</w:t>
      </w:r>
      <w:r w:rsidR="00D73250">
        <w:rPr>
          <w:rFonts w:asciiTheme="minorHAnsi" w:hAnsiTheme="minorHAnsi" w:cs="Calibri"/>
          <w:sz w:val="18"/>
          <w:szCs w:val="18"/>
        </w:rPr>
        <w:t>.</w:t>
      </w:r>
    </w:p>
    <w:p w14:paraId="6235BD9A" w14:textId="77777777" w:rsidR="00D73250" w:rsidRDefault="00D73250" w:rsidP="00D73250">
      <w:pPr>
        <w:rPr>
          <w:lang w:val="en-US"/>
        </w:rPr>
        <w:sectPr w:rsidR="00D73250" w:rsidSect="008F3CAE">
          <w:endnotePr>
            <w:numFmt w:val="decimal"/>
          </w:endnotePr>
          <w:pgSz w:w="11907" w:h="16840" w:code="9"/>
          <w:pgMar w:top="1009" w:right="851" w:bottom="1758" w:left="851" w:header="851" w:footer="1049" w:gutter="0"/>
          <w:cols w:space="227"/>
          <w:docGrid w:linePitch="360"/>
        </w:sectPr>
      </w:pPr>
    </w:p>
    <w:p w14:paraId="42B7A086" w14:textId="77777777" w:rsidR="00D73250" w:rsidRPr="00F74E08" w:rsidRDefault="00D73250" w:rsidP="00D73250">
      <w:pPr>
        <w:jc w:val="both"/>
        <w:rPr>
          <w:rFonts w:cs="Calibri"/>
          <w:b/>
          <w:sz w:val="24"/>
          <w:szCs w:val="24"/>
        </w:rPr>
      </w:pPr>
      <w:r w:rsidRPr="00F74E08">
        <w:rPr>
          <w:rFonts w:cs="Calibri"/>
          <w:b/>
          <w:sz w:val="24"/>
          <w:szCs w:val="24"/>
        </w:rPr>
        <w:t>Results &amp; Discussion</w:t>
      </w:r>
    </w:p>
    <w:p w14:paraId="19961DE2" w14:textId="082D3962" w:rsidR="0069313B" w:rsidRDefault="0069313B" w:rsidP="0069313B">
      <w:pPr>
        <w:spacing w:after="0"/>
        <w:jc w:val="both"/>
        <w:rPr>
          <w:rFonts w:cs="Calibri"/>
          <w:sz w:val="18"/>
          <w:szCs w:val="18"/>
        </w:rPr>
      </w:pPr>
      <w:r w:rsidRPr="00E67B67">
        <w:rPr>
          <w:rFonts w:cs="Calibri"/>
          <w:b/>
          <w:sz w:val="18"/>
          <w:szCs w:val="18"/>
        </w:rPr>
        <w:t xml:space="preserve">Electrostatic interactions vs ability to form deep eutectics. </w:t>
      </w:r>
      <w:r w:rsidRPr="00E67B67">
        <w:rPr>
          <w:rFonts w:cs="Calibri"/>
          <w:sz w:val="18"/>
          <w:szCs w:val="18"/>
        </w:rPr>
        <w:t>According to many reports, ionization of a molecule strongly</w:t>
      </w:r>
      <w:r w:rsidR="008C5227">
        <w:rPr>
          <w:rFonts w:cs="Calibri"/>
          <w:sz w:val="18"/>
          <w:szCs w:val="18"/>
        </w:rPr>
        <w:t xml:space="preserve"> </w:t>
      </w:r>
      <w:r w:rsidR="008C5227" w:rsidRPr="00E67B67">
        <w:rPr>
          <w:rFonts w:cs="Calibri"/>
          <w:sz w:val="18"/>
          <w:szCs w:val="18"/>
        </w:rPr>
        <w:t>affects</w:t>
      </w:r>
      <w:r w:rsidRPr="00E67B67">
        <w:rPr>
          <w:rFonts w:cs="Calibri"/>
          <w:sz w:val="18"/>
          <w:szCs w:val="18"/>
        </w:rPr>
        <w:t xml:space="preserve"> its melting point as well as the liquid-glass transition.</w:t>
      </w:r>
      <w:r w:rsidR="00C371C1" w:rsidRPr="00C371C1">
        <w:rPr>
          <w:rFonts w:cs="Calibri"/>
          <w:sz w:val="18"/>
          <w:szCs w:val="18"/>
          <w:vertAlign w:val="superscript"/>
        </w:rPr>
        <w:fldChar w:fldCharType="begin"/>
      </w:r>
      <w:r w:rsidR="00C371C1" w:rsidRPr="00C371C1">
        <w:rPr>
          <w:rFonts w:cs="Calibri"/>
          <w:sz w:val="18"/>
          <w:szCs w:val="18"/>
          <w:vertAlign w:val="superscript"/>
        </w:rPr>
        <w:instrText xml:space="preserve"> NOTEREF _Ref524872962 \h </w:instrText>
      </w:r>
      <w:r w:rsidR="00C371C1">
        <w:rPr>
          <w:rFonts w:cs="Calibri"/>
          <w:sz w:val="18"/>
          <w:szCs w:val="18"/>
          <w:vertAlign w:val="superscript"/>
        </w:rPr>
        <w:instrText xml:space="preserve"> \* MERGEFORMAT </w:instrText>
      </w:r>
      <w:r w:rsidR="00C371C1" w:rsidRPr="00C371C1">
        <w:rPr>
          <w:rFonts w:cs="Calibri"/>
          <w:sz w:val="18"/>
          <w:szCs w:val="18"/>
          <w:vertAlign w:val="superscript"/>
        </w:rPr>
      </w:r>
      <w:r w:rsidR="00C371C1" w:rsidRPr="00C371C1">
        <w:rPr>
          <w:rFonts w:cs="Calibri"/>
          <w:sz w:val="18"/>
          <w:szCs w:val="18"/>
          <w:vertAlign w:val="superscript"/>
        </w:rPr>
        <w:fldChar w:fldCharType="separate"/>
      </w:r>
      <w:r w:rsidR="00066B23">
        <w:rPr>
          <w:rFonts w:cs="Calibri"/>
          <w:sz w:val="18"/>
          <w:szCs w:val="18"/>
          <w:vertAlign w:val="superscript"/>
        </w:rPr>
        <w:t>29</w:t>
      </w:r>
      <w:r w:rsidR="00C371C1" w:rsidRPr="00C371C1">
        <w:rPr>
          <w:rFonts w:cs="Calibri"/>
          <w:sz w:val="18"/>
          <w:szCs w:val="18"/>
          <w:vertAlign w:val="superscript"/>
        </w:rPr>
        <w:fldChar w:fldCharType="end"/>
      </w:r>
      <w:r w:rsidR="00C371C1" w:rsidRPr="00C371C1">
        <w:rPr>
          <w:rFonts w:cs="Calibri"/>
          <w:sz w:val="18"/>
          <w:szCs w:val="18"/>
          <w:vertAlign w:val="superscript"/>
        </w:rPr>
        <w:t>,</w:t>
      </w:r>
      <w:r w:rsidR="00C371C1" w:rsidRPr="00C371C1">
        <w:rPr>
          <w:rFonts w:cs="Calibri"/>
          <w:sz w:val="18"/>
          <w:szCs w:val="18"/>
          <w:vertAlign w:val="superscript"/>
        </w:rPr>
        <w:fldChar w:fldCharType="begin"/>
      </w:r>
      <w:r w:rsidR="00C371C1" w:rsidRPr="00C371C1">
        <w:rPr>
          <w:rFonts w:cs="Calibri"/>
          <w:sz w:val="18"/>
          <w:szCs w:val="18"/>
          <w:vertAlign w:val="superscript"/>
        </w:rPr>
        <w:instrText xml:space="preserve"> NOTEREF _Ref524872964 \h </w:instrText>
      </w:r>
      <w:r w:rsidR="00C371C1">
        <w:rPr>
          <w:rFonts w:cs="Calibri"/>
          <w:sz w:val="18"/>
          <w:szCs w:val="18"/>
          <w:vertAlign w:val="superscript"/>
        </w:rPr>
        <w:instrText xml:space="preserve"> \* MERGEFORMAT </w:instrText>
      </w:r>
      <w:r w:rsidR="00C371C1" w:rsidRPr="00C371C1">
        <w:rPr>
          <w:rFonts w:cs="Calibri"/>
          <w:sz w:val="18"/>
          <w:szCs w:val="18"/>
          <w:vertAlign w:val="superscript"/>
        </w:rPr>
      </w:r>
      <w:r w:rsidR="00C371C1" w:rsidRPr="00C371C1">
        <w:rPr>
          <w:rFonts w:cs="Calibri"/>
          <w:sz w:val="18"/>
          <w:szCs w:val="18"/>
          <w:vertAlign w:val="superscript"/>
        </w:rPr>
        <w:fldChar w:fldCharType="separate"/>
      </w:r>
      <w:r w:rsidR="00066B23">
        <w:rPr>
          <w:rFonts w:cs="Calibri"/>
          <w:sz w:val="18"/>
          <w:szCs w:val="18"/>
          <w:vertAlign w:val="superscript"/>
        </w:rPr>
        <w:t>30</w:t>
      </w:r>
      <w:r w:rsidR="00C371C1" w:rsidRPr="00C371C1">
        <w:rPr>
          <w:rFonts w:cs="Calibri"/>
          <w:sz w:val="18"/>
          <w:szCs w:val="18"/>
          <w:vertAlign w:val="superscript"/>
        </w:rPr>
        <w:fldChar w:fldCharType="end"/>
      </w:r>
      <w:r w:rsidRPr="00E67B67">
        <w:rPr>
          <w:rFonts w:cs="Calibri"/>
          <w:sz w:val="18"/>
          <w:szCs w:val="18"/>
        </w:rPr>
        <w:t xml:space="preserve"> Due to the strong electrostatic interactions dominating in an ionic system the energy required for melting is much higher than that needed to</w:t>
      </w:r>
      <w:r>
        <w:rPr>
          <w:rFonts w:cs="Calibri"/>
          <w:sz w:val="18"/>
          <w:szCs w:val="18"/>
        </w:rPr>
        <w:t xml:space="preserve"> </w:t>
      </w:r>
      <w:r w:rsidRPr="00E67B67">
        <w:rPr>
          <w:rFonts w:cs="Calibri"/>
          <w:sz w:val="18"/>
          <w:szCs w:val="18"/>
        </w:rPr>
        <w:t>melt a non-ionic material, and this is manifested in an increase in the T</w:t>
      </w:r>
      <w:r w:rsidRPr="00E67B67">
        <w:rPr>
          <w:rFonts w:cs="Calibri"/>
          <w:sz w:val="18"/>
          <w:szCs w:val="18"/>
          <w:vertAlign w:val="subscript"/>
        </w:rPr>
        <w:t>m</w:t>
      </w:r>
      <w:r w:rsidRPr="00E67B67">
        <w:rPr>
          <w:rFonts w:cs="Calibri"/>
          <w:sz w:val="18"/>
          <w:szCs w:val="18"/>
        </w:rPr>
        <w:t xml:space="preserve"> value. This is clearly visible when PRL is converted to</w:t>
      </w:r>
      <w:r>
        <w:rPr>
          <w:rFonts w:cs="Calibri"/>
          <w:sz w:val="18"/>
          <w:szCs w:val="18"/>
        </w:rPr>
        <w:t xml:space="preserve"> PRL-HCl. As presented in Fig. 2</w:t>
      </w:r>
      <w:r w:rsidR="008C5227">
        <w:rPr>
          <w:rFonts w:cs="Calibri"/>
          <w:sz w:val="18"/>
          <w:szCs w:val="18"/>
        </w:rPr>
        <w:t>,</w:t>
      </w:r>
      <w:r w:rsidRPr="00E67B67">
        <w:rPr>
          <w:rFonts w:cs="Calibri"/>
          <w:sz w:val="18"/>
          <w:szCs w:val="18"/>
        </w:rPr>
        <w:t xml:space="preserve"> in this particular case T</w:t>
      </w:r>
      <w:r w:rsidRPr="00E67B67">
        <w:rPr>
          <w:rFonts w:cs="Calibri"/>
          <w:sz w:val="18"/>
          <w:szCs w:val="18"/>
          <w:vertAlign w:val="subscript"/>
        </w:rPr>
        <w:t>m</w:t>
      </w:r>
      <w:r w:rsidRPr="00E67B67">
        <w:rPr>
          <w:rFonts w:cs="Calibri"/>
          <w:sz w:val="18"/>
          <w:szCs w:val="18"/>
        </w:rPr>
        <w:t xml:space="preserve"> increase</w:t>
      </w:r>
      <w:r>
        <w:rPr>
          <w:rFonts w:cs="Calibri"/>
          <w:sz w:val="18"/>
          <w:szCs w:val="18"/>
        </w:rPr>
        <w:t>s</w:t>
      </w:r>
      <w:r w:rsidRPr="00E67B67">
        <w:rPr>
          <w:rFonts w:cs="Calibri"/>
          <w:sz w:val="18"/>
          <w:szCs w:val="18"/>
        </w:rPr>
        <w:t xml:space="preserve"> by more than 100 K when PRL becomes ionic. On the other hand, the LD → LD-HCl conversion does not lead to substantial changes in the melting point</w:t>
      </w:r>
      <w:r>
        <w:rPr>
          <w:rFonts w:cs="Calibri"/>
          <w:sz w:val="18"/>
          <w:szCs w:val="18"/>
        </w:rPr>
        <w:t>.</w:t>
      </w:r>
      <w:r w:rsidR="00EE50A6">
        <w:rPr>
          <w:rFonts w:cs="Calibri"/>
          <w:sz w:val="18"/>
          <w:szCs w:val="18"/>
        </w:rPr>
        <w:t xml:space="preserve"> </w:t>
      </w:r>
    </w:p>
    <w:p w14:paraId="2F051B7A" w14:textId="77777777" w:rsidR="0069313B" w:rsidRDefault="000A4C5C" w:rsidP="00F74E08">
      <w:pPr>
        <w:spacing w:after="0"/>
        <w:jc w:val="center"/>
        <w:rPr>
          <w:rFonts w:cs="Calibri"/>
          <w:sz w:val="18"/>
          <w:szCs w:val="18"/>
        </w:rPr>
      </w:pPr>
      <w:r>
        <w:rPr>
          <w:rFonts w:cs="Calibri"/>
          <w:noProof/>
          <w:sz w:val="18"/>
          <w:szCs w:val="18"/>
          <w:lang w:eastAsia="en-GB"/>
        </w:rPr>
        <w:drawing>
          <wp:inline distT="0" distB="0" distL="0" distR="0" wp14:anchorId="7FFA98EB" wp14:editId="4BC97E69">
            <wp:extent cx="2370563" cy="1955800"/>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ases1.jpg"/>
                    <pic:cNvPicPr/>
                  </pic:nvPicPr>
                  <pic:blipFill rotWithShape="1">
                    <a:blip r:embed="rId15">
                      <a:extLst>
                        <a:ext uri="{28A0092B-C50C-407E-A947-70E740481C1C}">
                          <a14:useLocalDpi xmlns:a14="http://schemas.microsoft.com/office/drawing/2010/main" val="0"/>
                        </a:ext>
                      </a:extLst>
                    </a:blip>
                    <a:srcRect l="8330" t="9868" r="11020" b="3244"/>
                    <a:stretch/>
                  </pic:blipFill>
                  <pic:spPr bwMode="auto">
                    <a:xfrm>
                      <a:off x="0" y="0"/>
                      <a:ext cx="2372180" cy="1957134"/>
                    </a:xfrm>
                    <a:prstGeom prst="rect">
                      <a:avLst/>
                    </a:prstGeom>
                    <a:ln>
                      <a:noFill/>
                    </a:ln>
                    <a:extLst>
                      <a:ext uri="{53640926-AAD7-44D8-BBD7-CCE9431645EC}">
                        <a14:shadowObscured xmlns:a14="http://schemas.microsoft.com/office/drawing/2010/main"/>
                      </a:ext>
                    </a:extLst>
                  </pic:spPr>
                </pic:pic>
              </a:graphicData>
            </a:graphic>
          </wp:inline>
        </w:drawing>
      </w:r>
    </w:p>
    <w:p w14:paraId="71FBEFE2" w14:textId="49FF1EBF" w:rsidR="0069313B" w:rsidRDefault="0069313B" w:rsidP="00A91882">
      <w:pPr>
        <w:spacing w:after="0"/>
        <w:jc w:val="both"/>
        <w:rPr>
          <w:rFonts w:cs="Calibri"/>
          <w:sz w:val="18"/>
          <w:szCs w:val="18"/>
        </w:rPr>
      </w:pPr>
      <w:r w:rsidRPr="00F74E08">
        <w:rPr>
          <w:rFonts w:cs="Calibri"/>
          <w:b/>
          <w:sz w:val="18"/>
          <w:szCs w:val="18"/>
        </w:rPr>
        <w:t>Figure 2.</w:t>
      </w:r>
      <w:r w:rsidRPr="00A91882">
        <w:rPr>
          <w:rFonts w:cs="Calibri"/>
          <w:sz w:val="18"/>
          <w:szCs w:val="18"/>
        </w:rPr>
        <w:t xml:space="preserve"> DSC scans of LD, PRL and their ionic counterparts. The endothermic peaks indicate the melting point of given system.</w:t>
      </w:r>
      <w:r w:rsidR="00EE50A6" w:rsidRPr="00F74E08">
        <w:rPr>
          <w:rFonts w:cs="Calibri"/>
          <w:sz w:val="18"/>
          <w:szCs w:val="18"/>
        </w:rPr>
        <w:t xml:space="preserve"> </w:t>
      </w:r>
      <w:r w:rsidR="00EE50A6" w:rsidRPr="00F74E08">
        <w:rPr>
          <w:rFonts w:cs="Calibri"/>
          <w:sz w:val="18"/>
          <w:szCs w:val="24"/>
        </w:rPr>
        <w:t>The melting transitions of pure LD (T</w:t>
      </w:r>
      <w:r w:rsidR="00EE50A6" w:rsidRPr="00F74E08">
        <w:rPr>
          <w:rFonts w:cs="Calibri"/>
          <w:sz w:val="18"/>
          <w:szCs w:val="24"/>
          <w:vertAlign w:val="subscript"/>
        </w:rPr>
        <w:t>m</w:t>
      </w:r>
      <w:r w:rsidR="00EE50A6" w:rsidRPr="00F74E08">
        <w:rPr>
          <w:rFonts w:cs="Calibri"/>
          <w:sz w:val="18"/>
          <w:szCs w:val="24"/>
        </w:rPr>
        <w:t xml:space="preserve"> = 340 K), PRL (T</w:t>
      </w:r>
      <w:r w:rsidR="00EE50A6" w:rsidRPr="00F74E08">
        <w:rPr>
          <w:rFonts w:cs="Calibri"/>
          <w:sz w:val="18"/>
          <w:szCs w:val="24"/>
          <w:vertAlign w:val="subscript"/>
        </w:rPr>
        <w:t>m</w:t>
      </w:r>
      <w:r w:rsidR="00EE50A6" w:rsidRPr="00F74E08">
        <w:rPr>
          <w:rFonts w:cs="Calibri"/>
          <w:sz w:val="18"/>
          <w:szCs w:val="24"/>
        </w:rPr>
        <w:t xml:space="preserve"> = 310.3 K), LD-HCl (T</w:t>
      </w:r>
      <w:r w:rsidR="00EE50A6" w:rsidRPr="00F74E08">
        <w:rPr>
          <w:rFonts w:cs="Calibri"/>
          <w:sz w:val="18"/>
          <w:szCs w:val="24"/>
          <w:vertAlign w:val="subscript"/>
        </w:rPr>
        <w:t>m</w:t>
      </w:r>
      <w:r w:rsidR="00EE50A6" w:rsidRPr="00A91882">
        <w:rPr>
          <w:rFonts w:cs="Calibri"/>
          <w:sz w:val="18"/>
          <w:szCs w:val="24"/>
        </w:rPr>
        <w:t>=…K)</w:t>
      </w:r>
      <w:r w:rsidR="008C5227">
        <w:rPr>
          <w:rFonts w:cs="Calibri"/>
          <w:sz w:val="18"/>
          <w:szCs w:val="24"/>
        </w:rPr>
        <w:t xml:space="preserve"> and</w:t>
      </w:r>
      <w:r w:rsidR="00EE50A6" w:rsidRPr="00A91882">
        <w:rPr>
          <w:rFonts w:cs="Calibri"/>
          <w:sz w:val="18"/>
          <w:szCs w:val="24"/>
        </w:rPr>
        <w:t xml:space="preserve"> PRL-HCl (T</w:t>
      </w:r>
      <w:r w:rsidR="00EE50A6" w:rsidRPr="00F74E08">
        <w:rPr>
          <w:rFonts w:cs="Calibri"/>
          <w:sz w:val="18"/>
          <w:szCs w:val="24"/>
          <w:vertAlign w:val="subscript"/>
        </w:rPr>
        <w:t>m</w:t>
      </w:r>
      <w:r w:rsidR="00EE50A6" w:rsidRPr="00A91882">
        <w:rPr>
          <w:rFonts w:cs="Calibri"/>
          <w:sz w:val="18"/>
          <w:szCs w:val="24"/>
        </w:rPr>
        <w:t>=….. K)</w:t>
      </w:r>
      <w:r w:rsidR="00EE50A6" w:rsidRPr="00F74E08">
        <w:rPr>
          <w:rFonts w:cs="Calibri"/>
          <w:sz w:val="18"/>
          <w:szCs w:val="24"/>
        </w:rPr>
        <w:t xml:space="preserve"> are clearly visible.</w:t>
      </w:r>
    </w:p>
    <w:p w14:paraId="692EA5C3" w14:textId="77777777" w:rsidR="0069313B" w:rsidRDefault="0069313B" w:rsidP="00F74E08">
      <w:pPr>
        <w:spacing w:after="0"/>
        <w:jc w:val="both"/>
        <w:rPr>
          <w:rFonts w:cs="Calibri"/>
          <w:sz w:val="18"/>
          <w:szCs w:val="18"/>
        </w:rPr>
      </w:pPr>
    </w:p>
    <w:p w14:paraId="3D9A2300" w14:textId="77777777" w:rsidR="0069313B" w:rsidRPr="00F74E08" w:rsidRDefault="0069313B" w:rsidP="0069313B">
      <w:pPr>
        <w:spacing w:after="0"/>
        <w:jc w:val="both"/>
        <w:rPr>
          <w:rFonts w:cs="Calibri"/>
          <w:sz w:val="18"/>
          <w:szCs w:val="18"/>
        </w:rPr>
      </w:pPr>
      <w:r w:rsidRPr="00E67B67">
        <w:rPr>
          <w:rFonts w:cs="Calibri"/>
          <w:sz w:val="18"/>
          <w:szCs w:val="18"/>
        </w:rPr>
        <w:t xml:space="preserve">In the context of these results the question arise: </w:t>
      </w:r>
      <w:r w:rsidRPr="00F74E08">
        <w:rPr>
          <w:rFonts w:cs="Calibri"/>
          <w:sz w:val="18"/>
          <w:szCs w:val="18"/>
        </w:rPr>
        <w:t xml:space="preserve">Do the electrostatic interactions affect the ability to form DEMs? </w:t>
      </w:r>
    </w:p>
    <w:p w14:paraId="5D3D85D3" w14:textId="77777777" w:rsidR="00C175D7" w:rsidRDefault="0069313B" w:rsidP="00F74E08">
      <w:pPr>
        <w:pStyle w:val="ListParagraph"/>
        <w:ind w:left="0"/>
        <w:jc w:val="both"/>
        <w:rPr>
          <w:rFonts w:cs="Calibri"/>
          <w:sz w:val="18"/>
          <w:szCs w:val="24"/>
        </w:rPr>
      </w:pPr>
      <w:r>
        <w:rPr>
          <w:rFonts w:cs="Calibri"/>
          <w:sz w:val="18"/>
          <w:szCs w:val="18"/>
        </w:rPr>
        <w:t xml:space="preserve">To address this question </w:t>
      </w:r>
      <w:r w:rsidRPr="00E67B67">
        <w:rPr>
          <w:rFonts w:cs="Calibri"/>
          <w:sz w:val="18"/>
          <w:szCs w:val="24"/>
        </w:rPr>
        <w:t xml:space="preserve">DSC measurements were performed on several LD/PRL and LD-HCl/PRL-HCl mixtures. The changes in the heat flow were monitored upon heating with a temperature ramp of 10 K/min. The representative thermograms </w:t>
      </w:r>
      <w:r>
        <w:rPr>
          <w:rFonts w:cs="Calibri"/>
          <w:sz w:val="18"/>
          <w:szCs w:val="24"/>
        </w:rPr>
        <w:t>obtained during heating of LD-HCl/PRL-HCl mixtures are collected in Figure 3</w:t>
      </w:r>
      <w:r w:rsidRPr="00E67B67">
        <w:rPr>
          <w:rFonts w:cs="Calibri"/>
          <w:sz w:val="18"/>
          <w:szCs w:val="24"/>
        </w:rPr>
        <w:t>.</w:t>
      </w:r>
      <w:r>
        <w:rPr>
          <w:rFonts w:cs="Calibri"/>
          <w:sz w:val="18"/>
          <w:szCs w:val="24"/>
        </w:rPr>
        <w:t xml:space="preserve"> </w:t>
      </w:r>
      <w:r w:rsidR="00A91882">
        <w:rPr>
          <w:rFonts w:cs="Calibri"/>
          <w:sz w:val="18"/>
          <w:szCs w:val="24"/>
        </w:rPr>
        <w:t>As presented therein</w:t>
      </w:r>
      <w:r w:rsidR="00C175D7" w:rsidRPr="00E67B67">
        <w:rPr>
          <w:rFonts w:cs="Calibri"/>
          <w:sz w:val="18"/>
          <w:szCs w:val="24"/>
        </w:rPr>
        <w:t>, five of eight studied LD-HCl/PRL-HCl mixtures, containing between 0.5 and 0.9 mole fraction of PRL-HCl, are characterized by two endothermic events – one being close to the T</w:t>
      </w:r>
      <w:r w:rsidR="00C175D7" w:rsidRPr="00E67B67">
        <w:rPr>
          <w:rFonts w:cs="Calibri"/>
          <w:sz w:val="18"/>
          <w:szCs w:val="24"/>
          <w:vertAlign w:val="subscript"/>
        </w:rPr>
        <w:t>m</w:t>
      </w:r>
      <w:r w:rsidR="00C175D7" w:rsidRPr="00E67B67">
        <w:rPr>
          <w:rFonts w:cs="Calibri"/>
          <w:sz w:val="18"/>
          <w:szCs w:val="24"/>
        </w:rPr>
        <w:t xml:space="preserve"> of pure LD-HCl and the second, markedly higher, with a characteristic behavior of a liquidus curve. It is also clear that the T</w:t>
      </w:r>
      <w:r w:rsidR="00C175D7" w:rsidRPr="00E67B67">
        <w:rPr>
          <w:rFonts w:cs="Calibri"/>
          <w:sz w:val="18"/>
          <w:szCs w:val="24"/>
          <w:vertAlign w:val="subscript"/>
        </w:rPr>
        <w:t>m</w:t>
      </w:r>
      <w:r w:rsidR="00C175D7" w:rsidRPr="00E67B67">
        <w:rPr>
          <w:rFonts w:cs="Calibri"/>
          <w:sz w:val="18"/>
          <w:szCs w:val="24"/>
        </w:rPr>
        <w:t xml:space="preserve"> of PRL-HCl decreases with an increase in the LD-HCl concentration and becomes undetectable if only the number of lidocaine molecules extends the amount of PRL-HCl particles.</w:t>
      </w:r>
    </w:p>
    <w:p w14:paraId="1C43CCCA" w14:textId="77777777" w:rsidR="00BE549D" w:rsidRDefault="00BE549D" w:rsidP="00F74E08">
      <w:pPr>
        <w:pStyle w:val="ListParagraph"/>
        <w:ind w:left="0"/>
        <w:jc w:val="both"/>
        <w:rPr>
          <w:rFonts w:cs="Calibri"/>
          <w:sz w:val="18"/>
          <w:szCs w:val="24"/>
        </w:rPr>
      </w:pPr>
    </w:p>
    <w:p w14:paraId="701432C1" w14:textId="77777777" w:rsidR="00BE549D" w:rsidRDefault="008F70A5" w:rsidP="00F74E08">
      <w:pPr>
        <w:pStyle w:val="ListParagraph"/>
        <w:ind w:left="0"/>
        <w:jc w:val="center"/>
        <w:rPr>
          <w:rFonts w:cs="Calibri"/>
          <w:sz w:val="18"/>
          <w:szCs w:val="24"/>
        </w:rPr>
      </w:pPr>
      <w:r w:rsidRPr="008F70A5">
        <w:rPr>
          <w:rFonts w:cs="Calibri"/>
          <w:noProof/>
          <w:sz w:val="18"/>
          <w:szCs w:val="24"/>
          <w:lang w:eastAsia="en-GB"/>
        </w:rPr>
        <w:drawing>
          <wp:inline distT="0" distB="0" distL="0" distR="0" wp14:anchorId="0C03528C" wp14:editId="76827483">
            <wp:extent cx="2194560" cy="1634490"/>
            <wp:effectExtent l="0" t="0" r="0" b="0"/>
            <wp:docPr id="5"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16">
                      <a:extLst>
                        <a:ext uri="{28A0092B-C50C-407E-A947-70E740481C1C}">
                          <a14:useLocalDpi xmlns:a14="http://schemas.microsoft.com/office/drawing/2010/main" val="0"/>
                        </a:ext>
                      </a:extLst>
                    </a:blip>
                    <a:srcRect l="6200" t="7492" r="13869" b="14603"/>
                    <a:stretch>
                      <a:fillRect/>
                    </a:stretch>
                  </pic:blipFill>
                  <pic:spPr bwMode="auto">
                    <a:xfrm>
                      <a:off x="0" y="0"/>
                      <a:ext cx="2194560" cy="1634490"/>
                    </a:xfrm>
                    <a:prstGeom prst="rect">
                      <a:avLst/>
                    </a:prstGeom>
                    <a:noFill/>
                    <a:ln>
                      <a:noFill/>
                    </a:ln>
                  </pic:spPr>
                </pic:pic>
              </a:graphicData>
            </a:graphic>
          </wp:inline>
        </w:drawing>
      </w:r>
    </w:p>
    <w:p w14:paraId="51EBF9FE" w14:textId="5B4B5D6D" w:rsidR="00BE549D" w:rsidRDefault="00BE549D" w:rsidP="00F74E08">
      <w:pPr>
        <w:jc w:val="both"/>
        <w:rPr>
          <w:rFonts w:cs="Calibri"/>
          <w:sz w:val="18"/>
          <w:szCs w:val="24"/>
        </w:rPr>
      </w:pPr>
      <w:r w:rsidRPr="00E67B67">
        <w:rPr>
          <w:rFonts w:cs="Calibri"/>
          <w:b/>
          <w:sz w:val="18"/>
          <w:szCs w:val="24"/>
        </w:rPr>
        <w:t xml:space="preserve">Figure </w:t>
      </w:r>
      <w:r>
        <w:rPr>
          <w:rFonts w:cs="Calibri"/>
          <w:b/>
          <w:sz w:val="18"/>
          <w:szCs w:val="24"/>
        </w:rPr>
        <w:t>3</w:t>
      </w:r>
      <w:r w:rsidRPr="00E67B67">
        <w:rPr>
          <w:rFonts w:cs="Calibri"/>
          <w:sz w:val="18"/>
          <w:szCs w:val="24"/>
        </w:rPr>
        <w:t xml:space="preserve"> </w:t>
      </w:r>
      <w:r>
        <w:rPr>
          <w:rFonts w:cs="Calibri"/>
          <w:sz w:val="18"/>
          <w:szCs w:val="24"/>
        </w:rPr>
        <w:t>DSC scans of LD-HCl/PRL-HCl</w:t>
      </w:r>
      <w:r w:rsidRPr="00E67B67">
        <w:rPr>
          <w:rFonts w:cs="Calibri"/>
          <w:sz w:val="18"/>
          <w:szCs w:val="24"/>
        </w:rPr>
        <w:t xml:space="preserve"> mixtures</w:t>
      </w:r>
      <w:r>
        <w:rPr>
          <w:rFonts w:cs="Calibri"/>
          <w:sz w:val="18"/>
          <w:szCs w:val="24"/>
        </w:rPr>
        <w:t xml:space="preserve"> recorded with a temperature ramp of 10</w:t>
      </w:r>
      <w:r w:rsidR="008C5227">
        <w:rPr>
          <w:rFonts w:cs="Calibri"/>
          <w:sz w:val="18"/>
          <w:szCs w:val="24"/>
        </w:rPr>
        <w:t xml:space="preserve"> </w:t>
      </w:r>
      <w:r>
        <w:rPr>
          <w:rFonts w:cs="Calibri"/>
          <w:sz w:val="18"/>
          <w:szCs w:val="24"/>
        </w:rPr>
        <w:t>K/min</w:t>
      </w:r>
      <w:r w:rsidRPr="00E67B67">
        <w:rPr>
          <w:rFonts w:cs="Calibri"/>
          <w:sz w:val="18"/>
          <w:szCs w:val="24"/>
        </w:rPr>
        <w:t xml:space="preserve">. </w:t>
      </w:r>
      <w:r>
        <w:rPr>
          <w:rFonts w:cs="Calibri"/>
          <w:sz w:val="18"/>
          <w:szCs w:val="24"/>
        </w:rPr>
        <w:t xml:space="preserve">The upper line presents the data of pure LD-HCl while the bottom curve was obtained for pure PRL-HCl. </w:t>
      </w:r>
      <w:r w:rsidR="008C5227">
        <w:rPr>
          <w:rFonts w:cs="Calibri"/>
          <w:sz w:val="18"/>
          <w:szCs w:val="24"/>
        </w:rPr>
        <w:t>T</w:t>
      </w:r>
      <w:r>
        <w:rPr>
          <w:rFonts w:cs="Calibri"/>
          <w:sz w:val="18"/>
          <w:szCs w:val="24"/>
        </w:rPr>
        <w:t>he mole fraction of PRL-HCL is indicated</w:t>
      </w:r>
      <w:r w:rsidR="008C5227">
        <w:rPr>
          <w:rFonts w:cs="Calibri"/>
          <w:sz w:val="18"/>
          <w:szCs w:val="24"/>
        </w:rPr>
        <w:t xml:space="preserve"> on the left hand side</w:t>
      </w:r>
      <w:r>
        <w:rPr>
          <w:rFonts w:cs="Calibri"/>
          <w:sz w:val="18"/>
          <w:szCs w:val="24"/>
        </w:rPr>
        <w:t xml:space="preserve">. </w:t>
      </w:r>
    </w:p>
    <w:p w14:paraId="64E2640E" w14:textId="77777777" w:rsidR="00EE50A6" w:rsidRPr="00E67B67" w:rsidRDefault="00A91882" w:rsidP="00F74E08">
      <w:pPr>
        <w:pStyle w:val="ListParagraph"/>
        <w:ind w:left="0"/>
        <w:jc w:val="both"/>
        <w:rPr>
          <w:rFonts w:cs="Calibri"/>
          <w:sz w:val="18"/>
          <w:szCs w:val="18"/>
        </w:rPr>
      </w:pPr>
      <w:r>
        <w:rPr>
          <w:rFonts w:cs="Calibri"/>
          <w:sz w:val="18"/>
          <w:szCs w:val="24"/>
        </w:rPr>
        <w:t>This is well visualised</w:t>
      </w:r>
      <w:r w:rsidR="0069313B" w:rsidRPr="00E67B67">
        <w:rPr>
          <w:rFonts w:cs="Calibri"/>
          <w:sz w:val="18"/>
          <w:szCs w:val="24"/>
        </w:rPr>
        <w:t xml:space="preserve"> in the form of phase diagrams</w:t>
      </w:r>
      <w:r w:rsidR="00EE50A6">
        <w:rPr>
          <w:rFonts w:cs="Calibri"/>
          <w:sz w:val="18"/>
          <w:szCs w:val="24"/>
        </w:rPr>
        <w:t xml:space="preserve"> (Figure 4</w:t>
      </w:r>
      <w:r>
        <w:rPr>
          <w:rFonts w:cs="Calibri"/>
          <w:sz w:val="18"/>
          <w:szCs w:val="24"/>
        </w:rPr>
        <w:t>A</w:t>
      </w:r>
      <w:r w:rsidR="00EE50A6">
        <w:rPr>
          <w:rFonts w:cs="Calibri"/>
          <w:sz w:val="18"/>
          <w:szCs w:val="24"/>
        </w:rPr>
        <w:t>)</w:t>
      </w:r>
      <w:r w:rsidR="0069313B" w:rsidRPr="00E67B67">
        <w:rPr>
          <w:rFonts w:cs="Calibri"/>
          <w:sz w:val="18"/>
          <w:szCs w:val="24"/>
        </w:rPr>
        <w:t>.</w:t>
      </w:r>
      <w:r w:rsidR="00EE50A6">
        <w:rPr>
          <w:rFonts w:cs="Calibri"/>
          <w:sz w:val="18"/>
          <w:szCs w:val="18"/>
        </w:rPr>
        <w:t xml:space="preserve"> </w:t>
      </w:r>
      <w:r>
        <w:rPr>
          <w:rFonts w:cs="Calibri"/>
          <w:sz w:val="18"/>
          <w:szCs w:val="18"/>
        </w:rPr>
        <w:t>However</w:t>
      </w:r>
      <w:r w:rsidR="00EE50A6" w:rsidRPr="00E67B67">
        <w:rPr>
          <w:rFonts w:cs="Calibri"/>
          <w:sz w:val="18"/>
          <w:szCs w:val="18"/>
        </w:rPr>
        <w:t>, the position of the eutectic point is not obvious from the experimenta</w:t>
      </w:r>
      <w:r>
        <w:rPr>
          <w:rFonts w:cs="Calibri"/>
          <w:sz w:val="18"/>
          <w:szCs w:val="18"/>
        </w:rPr>
        <w:t>l data of ionic mixtures. T</w:t>
      </w:r>
      <w:r w:rsidR="00EE50A6" w:rsidRPr="00E67B67">
        <w:rPr>
          <w:rFonts w:cs="Calibri"/>
          <w:sz w:val="18"/>
          <w:szCs w:val="18"/>
        </w:rPr>
        <w:t>o reveal the eutectic transition of LD-HCl/PRL-HCl, the Schroeder-van Laar equation was employed</w:t>
      </w:r>
      <w:r w:rsidR="00EE50A6" w:rsidRPr="00E67B67">
        <w:rPr>
          <w:rStyle w:val="EndnoteReference"/>
          <w:rFonts w:cs="Calibri"/>
          <w:sz w:val="18"/>
          <w:szCs w:val="18"/>
        </w:rPr>
        <w:endnoteReference w:id="28"/>
      </w:r>
      <w:r w:rsidR="00EE50A6" w:rsidRPr="00E67B67">
        <w:rPr>
          <w:rFonts w:cs="Calibri"/>
          <w:sz w:val="18"/>
          <w:szCs w:val="18"/>
        </w:rPr>
        <w:t xml:space="preserve">. </w:t>
      </w:r>
    </w:p>
    <w:p w14:paraId="5C2564AC" w14:textId="77777777" w:rsidR="00EE50A6" w:rsidRPr="00E67B67" w:rsidRDefault="00EE50A6" w:rsidP="00EE50A6">
      <w:pPr>
        <w:jc w:val="both"/>
        <w:rPr>
          <w:rFonts w:cs="Calibri"/>
          <w:sz w:val="18"/>
          <w:szCs w:val="18"/>
        </w:rPr>
      </w:pPr>
      <m:oMath>
        <m:r>
          <w:rPr>
            <w:rFonts w:ascii="Cambria Math" w:hAnsi="Cambria Math" w:cs="Calibri"/>
            <w:sz w:val="20"/>
            <w:szCs w:val="18"/>
          </w:rPr>
          <m:t>ln</m:t>
        </m:r>
        <m:sSub>
          <m:sSubPr>
            <m:ctrlPr>
              <w:rPr>
                <w:rFonts w:ascii="Cambria Math" w:hAnsi="Cambria Math"/>
                <w:i/>
                <w:sz w:val="20"/>
              </w:rPr>
            </m:ctrlPr>
          </m:sSubPr>
          <m:e>
            <m:r>
              <w:rPr>
                <w:rFonts w:ascii="Cambria Math" w:hAnsi="Cambria Math" w:cs="Calibri"/>
                <w:sz w:val="20"/>
                <w:szCs w:val="18"/>
              </w:rPr>
              <m:t>x</m:t>
            </m:r>
          </m:e>
          <m:sub>
            <m:r>
              <w:rPr>
                <w:rFonts w:ascii="Cambria Math" w:hAnsi="Cambria Math" w:cs="Calibri"/>
                <w:sz w:val="20"/>
                <w:szCs w:val="18"/>
              </w:rPr>
              <m:t>i</m:t>
            </m:r>
          </m:sub>
        </m:sSub>
        <m:r>
          <w:rPr>
            <w:rFonts w:ascii="Cambria Math" w:hAnsi="Cambria Math" w:cs="Calibri"/>
            <w:sz w:val="20"/>
            <w:szCs w:val="18"/>
          </w:rPr>
          <m:t>=-</m:t>
        </m:r>
        <m:f>
          <m:fPr>
            <m:ctrlPr>
              <w:rPr>
                <w:rFonts w:ascii="Cambria Math" w:hAnsi="Cambria Math"/>
                <w:i/>
                <w:sz w:val="20"/>
              </w:rPr>
            </m:ctrlPr>
          </m:fPr>
          <m:num>
            <m:sSub>
              <m:sSubPr>
                <m:ctrlPr>
                  <w:rPr>
                    <w:rFonts w:ascii="Cambria Math" w:hAnsi="Cambria Math"/>
                    <w:i/>
                    <w:sz w:val="20"/>
                  </w:rPr>
                </m:ctrlPr>
              </m:sSubPr>
              <m:e>
                <m:r>
                  <w:rPr>
                    <w:rFonts w:ascii="Cambria Math" w:hAnsi="Cambria Math" w:cs="Calibri"/>
                    <w:sz w:val="20"/>
                    <w:szCs w:val="18"/>
                  </w:rPr>
                  <m:t>∆</m:t>
                </m:r>
              </m:e>
              <m:sub>
                <m:r>
                  <w:rPr>
                    <w:rFonts w:ascii="Cambria Math" w:hAnsi="Cambria Math" w:cs="Calibri"/>
                    <w:sz w:val="20"/>
                    <w:szCs w:val="18"/>
                  </w:rPr>
                  <m:t>fus</m:t>
                </m:r>
              </m:sub>
            </m:sSub>
            <m:sSubSup>
              <m:sSubSupPr>
                <m:ctrlPr>
                  <w:rPr>
                    <w:rFonts w:ascii="Cambria Math" w:hAnsi="Cambria Math"/>
                    <w:i/>
                    <w:sz w:val="20"/>
                  </w:rPr>
                </m:ctrlPr>
              </m:sSubSupPr>
              <m:e>
                <m:r>
                  <w:rPr>
                    <w:rFonts w:ascii="Cambria Math" w:hAnsi="Cambria Math" w:cs="Calibri"/>
                    <w:sz w:val="20"/>
                    <w:szCs w:val="18"/>
                  </w:rPr>
                  <m:t>H</m:t>
                </m:r>
              </m:e>
              <m:sub>
                <m:r>
                  <w:rPr>
                    <w:rFonts w:ascii="Cambria Math" w:hAnsi="Cambria Math" w:cs="Calibri"/>
                    <w:sz w:val="20"/>
                    <w:szCs w:val="18"/>
                  </w:rPr>
                  <m:t>i</m:t>
                </m:r>
              </m:sub>
              <m:sup>
                <m:r>
                  <w:rPr>
                    <w:rFonts w:ascii="Cambria Math" w:hAnsi="Cambria Math" w:cs="Calibri"/>
                    <w:sz w:val="20"/>
                    <w:szCs w:val="18"/>
                  </w:rPr>
                  <m:t>°</m:t>
                </m:r>
              </m:sup>
            </m:sSubSup>
          </m:num>
          <m:den>
            <m:r>
              <w:rPr>
                <w:rFonts w:ascii="Cambria Math" w:hAnsi="Cambria Math" w:cs="Calibri"/>
                <w:sz w:val="20"/>
                <w:szCs w:val="18"/>
              </w:rPr>
              <m:t>R</m:t>
            </m:r>
          </m:den>
        </m:f>
        <m:d>
          <m:dPr>
            <m:ctrlPr>
              <w:rPr>
                <w:rFonts w:ascii="Cambria Math" w:eastAsiaTheme="minorEastAsia" w:hAnsi="Cambria Math"/>
                <w:i/>
                <w:sz w:val="20"/>
              </w:rPr>
            </m:ctrlPr>
          </m:dPr>
          <m:e>
            <m:f>
              <m:fPr>
                <m:ctrlPr>
                  <w:rPr>
                    <w:rFonts w:ascii="Cambria Math" w:eastAsiaTheme="minorEastAsia" w:hAnsi="Cambria Math"/>
                    <w:i/>
                    <w:sz w:val="20"/>
                  </w:rPr>
                </m:ctrlPr>
              </m:fPr>
              <m:num>
                <m:r>
                  <w:rPr>
                    <w:rFonts w:ascii="Cambria Math" w:eastAsiaTheme="minorEastAsia" w:hAnsi="Cambria Math" w:cs="Calibri"/>
                    <w:sz w:val="20"/>
                    <w:szCs w:val="18"/>
                  </w:rPr>
                  <m:t>1</m:t>
                </m:r>
              </m:num>
              <m:den>
                <m:r>
                  <w:rPr>
                    <w:rFonts w:ascii="Cambria Math" w:eastAsiaTheme="minorEastAsia" w:hAnsi="Cambria Math" w:cs="Calibri"/>
                    <w:sz w:val="20"/>
                    <w:szCs w:val="18"/>
                  </w:rPr>
                  <m:t>T</m:t>
                </m:r>
              </m:den>
            </m:f>
            <m:r>
              <w:rPr>
                <w:rFonts w:ascii="Cambria Math" w:eastAsiaTheme="minorEastAsia" w:hAnsi="Cambria Math" w:cs="Calibri"/>
                <w:sz w:val="20"/>
                <w:szCs w:val="18"/>
              </w:rPr>
              <m:t>-</m:t>
            </m:r>
            <m:f>
              <m:fPr>
                <m:ctrlPr>
                  <w:rPr>
                    <w:rFonts w:ascii="Cambria Math" w:eastAsiaTheme="minorEastAsia" w:hAnsi="Cambria Math"/>
                    <w:i/>
                    <w:sz w:val="20"/>
                  </w:rPr>
                </m:ctrlPr>
              </m:fPr>
              <m:num>
                <m:r>
                  <w:rPr>
                    <w:rFonts w:ascii="Cambria Math" w:eastAsiaTheme="minorEastAsia" w:hAnsi="Cambria Math" w:cs="Calibri"/>
                    <w:sz w:val="20"/>
                    <w:szCs w:val="18"/>
                  </w:rPr>
                  <m:t>1</m:t>
                </m:r>
              </m:num>
              <m:den>
                <m:sSub>
                  <m:sSubPr>
                    <m:ctrlPr>
                      <w:rPr>
                        <w:rFonts w:ascii="Cambria Math" w:eastAsiaTheme="minorEastAsia" w:hAnsi="Cambria Math"/>
                        <w:i/>
                        <w:sz w:val="20"/>
                      </w:rPr>
                    </m:ctrlPr>
                  </m:sSubPr>
                  <m:e>
                    <m:r>
                      <w:rPr>
                        <w:rFonts w:ascii="Cambria Math" w:eastAsiaTheme="minorEastAsia" w:hAnsi="Cambria Math" w:cs="Calibri"/>
                        <w:sz w:val="20"/>
                        <w:szCs w:val="18"/>
                      </w:rPr>
                      <m:t>T</m:t>
                    </m:r>
                  </m:e>
                  <m:sub>
                    <m:r>
                      <w:rPr>
                        <w:rFonts w:ascii="Cambria Math" w:eastAsiaTheme="minorEastAsia" w:hAnsi="Cambria Math" w:cs="Calibri"/>
                        <w:sz w:val="20"/>
                        <w:szCs w:val="18"/>
                      </w:rPr>
                      <m:t>fus</m:t>
                    </m:r>
                  </m:sub>
                </m:sSub>
              </m:den>
            </m:f>
          </m:e>
        </m:d>
      </m:oMath>
      <w:r w:rsidRPr="00E67B67">
        <w:rPr>
          <w:rFonts w:cs="Calibri"/>
          <w:sz w:val="18"/>
          <w:szCs w:val="18"/>
        </w:rPr>
        <w:tab/>
      </w:r>
      <w:r w:rsidRPr="00E67B67">
        <w:rPr>
          <w:rFonts w:cs="Calibri"/>
          <w:sz w:val="18"/>
          <w:szCs w:val="18"/>
        </w:rPr>
        <w:tab/>
      </w:r>
      <w:r w:rsidRPr="00E67B67">
        <w:rPr>
          <w:rFonts w:cs="Calibri"/>
          <w:sz w:val="18"/>
          <w:szCs w:val="18"/>
        </w:rPr>
        <w:tab/>
      </w:r>
      <w:r w:rsidRPr="00E67B67">
        <w:rPr>
          <w:rFonts w:cs="Calibri"/>
          <w:sz w:val="18"/>
          <w:szCs w:val="18"/>
        </w:rPr>
        <w:tab/>
      </w:r>
      <w:r w:rsidRPr="00E67B67">
        <w:rPr>
          <w:rFonts w:cs="Calibri"/>
          <w:sz w:val="18"/>
          <w:szCs w:val="18"/>
        </w:rPr>
        <w:tab/>
      </w:r>
      <w:r w:rsidRPr="00E67B67">
        <w:rPr>
          <w:rFonts w:cs="Calibri"/>
          <w:sz w:val="18"/>
          <w:szCs w:val="18"/>
        </w:rPr>
        <w:tab/>
      </w:r>
      <w:r w:rsidRPr="00E67B67">
        <w:rPr>
          <w:rFonts w:cs="Calibri"/>
          <w:sz w:val="18"/>
          <w:szCs w:val="18"/>
        </w:rPr>
        <w:tab/>
      </w:r>
      <w:r w:rsidRPr="00E67B67">
        <w:rPr>
          <w:rFonts w:cs="Calibri"/>
          <w:sz w:val="18"/>
          <w:szCs w:val="18"/>
        </w:rPr>
        <w:tab/>
      </w:r>
      <w:r w:rsidRPr="00E67B67">
        <w:rPr>
          <w:rFonts w:cs="Calibri"/>
          <w:sz w:val="18"/>
          <w:szCs w:val="18"/>
        </w:rPr>
        <w:tab/>
        <w:t>(</w:t>
      </w:r>
      <w:r w:rsidR="003720E8">
        <w:rPr>
          <w:rFonts w:cs="Calibri"/>
          <w:sz w:val="18"/>
          <w:szCs w:val="18"/>
        </w:rPr>
        <w:t>1</w:t>
      </w:r>
      <w:r w:rsidRPr="00E67B67">
        <w:rPr>
          <w:rFonts w:cs="Calibri"/>
          <w:sz w:val="18"/>
          <w:szCs w:val="18"/>
        </w:rPr>
        <w:t>)</w:t>
      </w:r>
    </w:p>
    <w:p w14:paraId="2193F06E" w14:textId="77777777" w:rsidR="0069313B" w:rsidRPr="00A91882" w:rsidRDefault="00EE50A6" w:rsidP="00F74E08">
      <w:pPr>
        <w:spacing w:after="0"/>
        <w:jc w:val="both"/>
        <w:rPr>
          <w:rFonts w:cs="Calibri"/>
          <w:sz w:val="18"/>
          <w:szCs w:val="18"/>
        </w:rPr>
      </w:pPr>
      <w:r w:rsidRPr="00E67B67">
        <w:rPr>
          <w:rFonts w:cs="Calibri"/>
          <w:sz w:val="18"/>
          <w:szCs w:val="18"/>
        </w:rPr>
        <w:t>In this formula x</w:t>
      </w:r>
      <w:r w:rsidRPr="00E67B67">
        <w:rPr>
          <w:rFonts w:cs="Calibri"/>
          <w:sz w:val="18"/>
          <w:szCs w:val="18"/>
          <w:vertAlign w:val="subscript"/>
        </w:rPr>
        <w:t>i</w:t>
      </w:r>
      <w:r w:rsidRPr="00E67B67">
        <w:rPr>
          <w:rFonts w:cs="Calibri"/>
          <w:sz w:val="18"/>
          <w:szCs w:val="18"/>
        </w:rPr>
        <w:t xml:space="preserve"> is the mole fraction of the studied components at given temperature T; R is the gas constant while </w:t>
      </w:r>
      <m:oMath>
        <m:sSub>
          <m:sSubPr>
            <m:ctrlPr>
              <w:rPr>
                <w:rFonts w:ascii="Cambria Math" w:hAnsi="Cambria Math"/>
                <w:i/>
                <w:sz w:val="18"/>
              </w:rPr>
            </m:ctrlPr>
          </m:sSubPr>
          <m:e>
            <m:r>
              <w:rPr>
                <w:rFonts w:ascii="Cambria Math" w:hAnsi="Cambria Math" w:cs="Calibri"/>
                <w:sz w:val="18"/>
                <w:szCs w:val="18"/>
              </w:rPr>
              <m:t>∆</m:t>
            </m:r>
          </m:e>
          <m:sub>
            <m:r>
              <w:rPr>
                <w:rFonts w:ascii="Cambria Math" w:hAnsi="Cambria Math" w:cs="Calibri"/>
                <w:sz w:val="18"/>
                <w:szCs w:val="18"/>
              </w:rPr>
              <m:t>fus</m:t>
            </m:r>
          </m:sub>
        </m:sSub>
        <m:sSubSup>
          <m:sSubSupPr>
            <m:ctrlPr>
              <w:rPr>
                <w:rFonts w:ascii="Cambria Math" w:hAnsi="Cambria Math"/>
                <w:i/>
                <w:sz w:val="18"/>
              </w:rPr>
            </m:ctrlPr>
          </m:sSubSupPr>
          <m:e>
            <m:r>
              <w:rPr>
                <w:rFonts w:ascii="Cambria Math" w:hAnsi="Cambria Math" w:cs="Calibri"/>
                <w:sz w:val="18"/>
                <w:szCs w:val="18"/>
              </w:rPr>
              <m:t>H</m:t>
            </m:r>
          </m:e>
          <m:sub>
            <m:r>
              <w:rPr>
                <w:rFonts w:ascii="Cambria Math" w:hAnsi="Cambria Math" w:cs="Calibri"/>
                <w:sz w:val="18"/>
                <w:szCs w:val="18"/>
              </w:rPr>
              <m:t>i</m:t>
            </m:r>
          </m:sub>
          <m:sup>
            <m:r>
              <w:rPr>
                <w:rFonts w:ascii="Cambria Math" w:hAnsi="Cambria Math" w:cs="Calibri"/>
                <w:sz w:val="18"/>
                <w:szCs w:val="18"/>
              </w:rPr>
              <m:t>°</m:t>
            </m:r>
          </m:sup>
        </m:sSubSup>
      </m:oMath>
      <w:r w:rsidRPr="00E67B67">
        <w:rPr>
          <w:rFonts w:cs="Calibri"/>
          <w:sz w:val="18"/>
          <w:szCs w:val="18"/>
        </w:rPr>
        <w:t xml:space="preserve"> (J/mol) and T</w:t>
      </w:r>
      <w:r w:rsidRPr="00E67B67">
        <w:rPr>
          <w:rFonts w:cs="Calibri"/>
          <w:sz w:val="18"/>
          <w:szCs w:val="18"/>
          <w:vertAlign w:val="subscript"/>
        </w:rPr>
        <w:t>fus</w:t>
      </w:r>
      <w:r w:rsidRPr="00E67B67">
        <w:rPr>
          <w:rFonts w:cs="Calibri"/>
          <w:sz w:val="18"/>
          <w:szCs w:val="18"/>
        </w:rPr>
        <w:t xml:space="preserve"> denote the molar enthalpy of fusion and melting temperature of pure component, respectively. </w:t>
      </w:r>
    </w:p>
    <w:p w14:paraId="437B6C8D" w14:textId="77777777" w:rsidR="00EE50A6" w:rsidRDefault="008F70A5" w:rsidP="00EE50A6">
      <w:pPr>
        <w:jc w:val="center"/>
        <w:rPr>
          <w:rFonts w:cs="Calibri"/>
          <w:sz w:val="18"/>
          <w:szCs w:val="24"/>
        </w:rPr>
      </w:pPr>
      <w:r w:rsidRPr="008F70A5">
        <w:rPr>
          <w:rFonts w:cs="Calibri"/>
          <w:noProof/>
          <w:sz w:val="18"/>
          <w:szCs w:val="24"/>
          <w:lang w:eastAsia="en-GB"/>
        </w:rPr>
        <w:drawing>
          <wp:inline distT="0" distB="0" distL="0" distR="0" wp14:anchorId="05BCB383" wp14:editId="333F6E0D">
            <wp:extent cx="3120390" cy="1443990"/>
            <wp:effectExtent l="0" t="0" r="0" b="0"/>
            <wp:docPr id="6"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7">
                      <a:extLst>
                        <a:ext uri="{28A0092B-C50C-407E-A947-70E740481C1C}">
                          <a14:useLocalDpi xmlns:a14="http://schemas.microsoft.com/office/drawing/2010/main" val="0"/>
                        </a:ext>
                      </a:extLst>
                    </a:blip>
                    <a:srcRect l="1506" t="8574" r="28343" b="44014"/>
                    <a:stretch>
                      <a:fillRect/>
                    </a:stretch>
                  </pic:blipFill>
                  <pic:spPr bwMode="auto">
                    <a:xfrm>
                      <a:off x="0" y="0"/>
                      <a:ext cx="3120390" cy="1443990"/>
                    </a:xfrm>
                    <a:prstGeom prst="rect">
                      <a:avLst/>
                    </a:prstGeom>
                    <a:noFill/>
                    <a:ln>
                      <a:noFill/>
                    </a:ln>
                  </pic:spPr>
                </pic:pic>
              </a:graphicData>
            </a:graphic>
          </wp:inline>
        </w:drawing>
      </w:r>
    </w:p>
    <w:p w14:paraId="710026BA" w14:textId="754C08D8" w:rsidR="00EE50A6" w:rsidRDefault="00EE50A6" w:rsidP="00EE50A6">
      <w:pPr>
        <w:jc w:val="both"/>
        <w:rPr>
          <w:rFonts w:cs="Calibri"/>
          <w:sz w:val="18"/>
          <w:szCs w:val="24"/>
        </w:rPr>
      </w:pPr>
      <w:r>
        <w:rPr>
          <w:rFonts w:cs="Calibri"/>
          <w:b/>
          <w:sz w:val="18"/>
          <w:szCs w:val="24"/>
        </w:rPr>
        <w:t>Figure 4</w:t>
      </w:r>
      <w:r w:rsidRPr="00E67B67">
        <w:rPr>
          <w:rFonts w:cs="Calibri"/>
          <w:sz w:val="18"/>
          <w:szCs w:val="24"/>
        </w:rPr>
        <w:t xml:space="preserve"> Phase diagrams of LD/PRL and LD-HCl/PRL-HCl eutectic mixtures. The violet stars </w:t>
      </w:r>
      <w:r w:rsidR="008C5227">
        <w:rPr>
          <w:rFonts w:cs="Calibri"/>
          <w:sz w:val="18"/>
          <w:szCs w:val="24"/>
        </w:rPr>
        <w:t>i</w:t>
      </w:r>
      <w:r w:rsidRPr="00E67B67">
        <w:rPr>
          <w:rFonts w:cs="Calibri"/>
          <w:sz w:val="18"/>
          <w:szCs w:val="24"/>
        </w:rPr>
        <w:t>n panel (a) were taken from ref. [</w:t>
      </w:r>
      <w:r w:rsidRPr="00E67B67">
        <w:rPr>
          <w:rFonts w:cs="Calibri"/>
          <w:sz w:val="18"/>
          <w:szCs w:val="24"/>
        </w:rPr>
        <w:fldChar w:fldCharType="begin"/>
      </w:r>
      <w:r w:rsidRPr="00E67B67">
        <w:rPr>
          <w:rFonts w:cs="Calibri"/>
          <w:sz w:val="18"/>
          <w:szCs w:val="24"/>
        </w:rPr>
        <w:instrText xml:space="preserve"> NOTEREF _Ref504163574 \h  \* MERGEFORMAT </w:instrText>
      </w:r>
      <w:r w:rsidRPr="00E67B67">
        <w:rPr>
          <w:rFonts w:cs="Calibri"/>
          <w:sz w:val="18"/>
          <w:szCs w:val="24"/>
        </w:rPr>
      </w:r>
      <w:r w:rsidRPr="00E67B67">
        <w:rPr>
          <w:rFonts w:cs="Calibri"/>
          <w:sz w:val="18"/>
          <w:szCs w:val="24"/>
        </w:rPr>
        <w:fldChar w:fldCharType="separate"/>
      </w:r>
      <w:r w:rsidR="00066B23">
        <w:rPr>
          <w:rFonts w:cs="Calibri"/>
          <w:sz w:val="18"/>
          <w:szCs w:val="24"/>
        </w:rPr>
        <w:t>15</w:t>
      </w:r>
      <w:r w:rsidRPr="00E67B67">
        <w:rPr>
          <w:rFonts w:cs="Calibri"/>
          <w:sz w:val="18"/>
          <w:szCs w:val="24"/>
        </w:rPr>
        <w:fldChar w:fldCharType="end"/>
      </w:r>
      <w:r w:rsidRPr="00E67B67">
        <w:rPr>
          <w:rFonts w:cs="Calibri"/>
          <w:sz w:val="18"/>
          <w:szCs w:val="24"/>
        </w:rPr>
        <w:t xml:space="preserve">]. Dashed black lines present the prediction of Schroder-van Laar equation (Eq. </w:t>
      </w:r>
      <w:r w:rsidR="00BE549D">
        <w:rPr>
          <w:rFonts w:cs="Calibri"/>
          <w:sz w:val="18"/>
          <w:szCs w:val="24"/>
        </w:rPr>
        <w:t>1</w:t>
      </w:r>
      <w:r w:rsidRPr="00E67B67">
        <w:rPr>
          <w:rFonts w:cs="Calibri"/>
          <w:sz w:val="18"/>
          <w:szCs w:val="24"/>
        </w:rPr>
        <w:t>).</w:t>
      </w:r>
    </w:p>
    <w:p w14:paraId="2DDA8EAE" w14:textId="77777777" w:rsidR="00A91882" w:rsidRDefault="00A91882" w:rsidP="00EE50A6">
      <w:pPr>
        <w:spacing w:after="0"/>
        <w:jc w:val="both"/>
        <w:rPr>
          <w:rFonts w:cs="Calibri"/>
          <w:sz w:val="18"/>
          <w:szCs w:val="18"/>
        </w:rPr>
      </w:pPr>
    </w:p>
    <w:p w14:paraId="34A06C46" w14:textId="77777777" w:rsidR="00DA5166" w:rsidRDefault="00DA5166" w:rsidP="00EE50A6">
      <w:pPr>
        <w:spacing w:after="0"/>
        <w:jc w:val="both"/>
        <w:rPr>
          <w:rFonts w:cs="Calibri"/>
          <w:sz w:val="18"/>
          <w:szCs w:val="18"/>
        </w:rPr>
        <w:sectPr w:rsidR="00DA5166" w:rsidSect="004339EE">
          <w:endnotePr>
            <w:numFmt w:val="decimal"/>
          </w:endnotePr>
          <w:type w:val="continuous"/>
          <w:pgSz w:w="11907" w:h="16840" w:code="9"/>
          <w:pgMar w:top="1009" w:right="851" w:bottom="1758" w:left="851" w:header="851" w:footer="1049" w:gutter="0"/>
          <w:cols w:num="2" w:space="227"/>
          <w:docGrid w:linePitch="360"/>
        </w:sectPr>
      </w:pPr>
    </w:p>
    <w:p w14:paraId="096682B7" w14:textId="77777777" w:rsidR="00DA5166" w:rsidRPr="00F74E08" w:rsidRDefault="008F70A5" w:rsidP="00F74E08">
      <w:pPr>
        <w:spacing w:after="0" w:line="240" w:lineRule="auto"/>
        <w:jc w:val="center"/>
        <w:rPr>
          <w:rFonts w:ascii="Times New Roman" w:hAnsi="Times New Roman"/>
          <w:sz w:val="24"/>
          <w:szCs w:val="24"/>
        </w:rPr>
      </w:pPr>
      <w:r w:rsidRPr="008F70A5">
        <w:rPr>
          <w:rFonts w:ascii="Times New Roman" w:hAnsi="Times New Roman"/>
          <w:noProof/>
          <w:sz w:val="24"/>
          <w:szCs w:val="24"/>
          <w:lang w:eastAsia="en-GB"/>
        </w:rPr>
        <w:lastRenderedPageBreak/>
        <w:drawing>
          <wp:inline distT="0" distB="0" distL="0" distR="0" wp14:anchorId="236DAAD0" wp14:editId="413EA8FB">
            <wp:extent cx="5455920" cy="1573530"/>
            <wp:effectExtent l="0" t="0" r="0" b="0"/>
            <wp:docPr id="7"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55920" cy="1573530"/>
                    </a:xfrm>
                    <a:prstGeom prst="rect">
                      <a:avLst/>
                    </a:prstGeom>
                    <a:noFill/>
                    <a:ln>
                      <a:noFill/>
                    </a:ln>
                  </pic:spPr>
                </pic:pic>
              </a:graphicData>
            </a:graphic>
          </wp:inline>
        </w:drawing>
      </w:r>
    </w:p>
    <w:p w14:paraId="3CB14C52" w14:textId="77777777" w:rsidR="00DA5166" w:rsidRDefault="00DA5166" w:rsidP="00DA5166">
      <w:pPr>
        <w:pStyle w:val="ListParagraph"/>
        <w:ind w:left="0"/>
        <w:jc w:val="both"/>
        <w:rPr>
          <w:rFonts w:cs="Calibri"/>
          <w:b/>
          <w:sz w:val="18"/>
          <w:szCs w:val="24"/>
        </w:rPr>
      </w:pPr>
    </w:p>
    <w:p w14:paraId="78C9B536" w14:textId="77777777" w:rsidR="00A91882" w:rsidRPr="00F74E08" w:rsidRDefault="00DA5166" w:rsidP="00F74E08">
      <w:pPr>
        <w:pStyle w:val="ListParagraph"/>
        <w:ind w:left="0"/>
        <w:jc w:val="both"/>
        <w:rPr>
          <w:rFonts w:cs="Calibri"/>
          <w:sz w:val="18"/>
          <w:szCs w:val="24"/>
        </w:rPr>
      </w:pPr>
      <w:r w:rsidRPr="00F74E08">
        <w:rPr>
          <w:rFonts w:cs="Calibri"/>
          <w:b/>
          <w:sz w:val="18"/>
          <w:szCs w:val="24"/>
        </w:rPr>
        <w:t xml:space="preserve">Figure </w:t>
      </w:r>
      <w:r>
        <w:rPr>
          <w:rFonts w:cs="Calibri"/>
          <w:b/>
          <w:sz w:val="18"/>
          <w:szCs w:val="24"/>
        </w:rPr>
        <w:t>5</w:t>
      </w:r>
      <w:r w:rsidRPr="00F74E08">
        <w:rPr>
          <w:rFonts w:cs="Calibri"/>
          <w:b/>
          <w:sz w:val="18"/>
          <w:szCs w:val="24"/>
        </w:rPr>
        <w:t xml:space="preserve">.  </w:t>
      </w:r>
      <w:r w:rsidRPr="00F74E08">
        <w:rPr>
          <w:rFonts w:cs="Calibri"/>
          <w:sz w:val="18"/>
          <w:szCs w:val="24"/>
        </w:rPr>
        <w:t>Predicted BFDH crystal morphology of: a) LD (viewed down the b axis), b) PRL (viewed down the b axis) and c) LD-HCl (viewed down the a axis).</w:t>
      </w:r>
    </w:p>
    <w:p w14:paraId="6D39C722" w14:textId="77777777" w:rsidR="00DA5166" w:rsidRDefault="00DA5166" w:rsidP="00EE50A6">
      <w:pPr>
        <w:spacing w:after="0"/>
        <w:jc w:val="both"/>
        <w:rPr>
          <w:rFonts w:cs="Calibri"/>
          <w:sz w:val="18"/>
          <w:szCs w:val="18"/>
        </w:rPr>
        <w:sectPr w:rsidR="00DA5166" w:rsidSect="001761A1">
          <w:endnotePr>
            <w:numFmt w:val="decimal"/>
          </w:endnotePr>
          <w:type w:val="continuous"/>
          <w:pgSz w:w="11907" w:h="16840" w:code="9"/>
          <w:pgMar w:top="1009" w:right="851" w:bottom="1758" w:left="851" w:header="851" w:footer="1049" w:gutter="0"/>
          <w:cols w:space="227"/>
          <w:docGrid w:linePitch="360"/>
        </w:sectPr>
      </w:pPr>
    </w:p>
    <w:p w14:paraId="5C99608E" w14:textId="77777777" w:rsidR="00EE50A6" w:rsidRDefault="00EE50A6" w:rsidP="00EE50A6">
      <w:pPr>
        <w:spacing w:after="0"/>
        <w:jc w:val="both"/>
        <w:rPr>
          <w:rFonts w:cs="Calibri"/>
          <w:sz w:val="18"/>
          <w:szCs w:val="18"/>
        </w:rPr>
      </w:pPr>
      <w:r w:rsidRPr="00E67B67">
        <w:rPr>
          <w:rFonts w:cs="Calibri"/>
          <w:sz w:val="18"/>
          <w:szCs w:val="18"/>
        </w:rPr>
        <w:t>Such procedure enables us to predict the curvature of LD-HCl and PRL-HCl liquidus curves as well as to estimate the most probable position of the eutectic temperature and the eutectic conce</w:t>
      </w:r>
      <w:r w:rsidR="00A91882">
        <w:rPr>
          <w:rFonts w:cs="Calibri"/>
          <w:sz w:val="18"/>
          <w:szCs w:val="18"/>
        </w:rPr>
        <w:t xml:space="preserve">ntration. As presented in Figure </w:t>
      </w:r>
      <w:r w:rsidR="00C175D7">
        <w:rPr>
          <w:rFonts w:cs="Calibri"/>
          <w:sz w:val="18"/>
          <w:szCs w:val="18"/>
        </w:rPr>
        <w:t>4</w:t>
      </w:r>
      <w:r w:rsidR="00A91882">
        <w:rPr>
          <w:rFonts w:cs="Calibri"/>
          <w:sz w:val="18"/>
          <w:szCs w:val="18"/>
        </w:rPr>
        <w:t>A</w:t>
      </w:r>
      <w:r w:rsidRPr="00E67B67">
        <w:rPr>
          <w:rFonts w:cs="Calibri"/>
          <w:sz w:val="18"/>
          <w:szCs w:val="18"/>
        </w:rPr>
        <w:t xml:space="preserve"> the theoretically determined T</w:t>
      </w:r>
      <w:r w:rsidRPr="00E67B67">
        <w:rPr>
          <w:rFonts w:cs="Calibri"/>
          <w:sz w:val="18"/>
          <w:szCs w:val="18"/>
          <w:vertAlign w:val="subscript"/>
        </w:rPr>
        <w:t>m</w:t>
      </w:r>
      <w:r w:rsidRPr="00E67B67">
        <w:rPr>
          <w:rFonts w:cs="Calibri"/>
          <w:sz w:val="18"/>
          <w:szCs w:val="18"/>
        </w:rPr>
        <w:t>(x) lines coincide well with the experimental points collected for ionic mixtures. Thus, the Schroder-van Laar model can be applied to extrapolate the empirical data and determine the eutectic composition. Accordingly, mixing of 1 mole of LD-HCl and 4 mole of PRL-HCl results in a single eutectic point occurring at 343 K i.e. a little bit below T</w:t>
      </w:r>
      <w:r w:rsidRPr="00E67B67">
        <w:rPr>
          <w:rFonts w:cs="Calibri"/>
          <w:sz w:val="18"/>
          <w:szCs w:val="18"/>
          <w:vertAlign w:val="subscript"/>
        </w:rPr>
        <w:t>m</w:t>
      </w:r>
      <w:r w:rsidRPr="00E67B67">
        <w:rPr>
          <w:rFonts w:cs="Calibri"/>
          <w:sz w:val="18"/>
          <w:szCs w:val="18"/>
        </w:rPr>
        <w:t xml:space="preserve"> of pure LD-HCl. Since the eutectic temperature falls much above room temperature, the ionic eutectic remain solid at the temperature of its preparation. </w:t>
      </w:r>
    </w:p>
    <w:p w14:paraId="031A1583" w14:textId="515C1211" w:rsidR="0069313B" w:rsidRDefault="00A91882" w:rsidP="0069313B">
      <w:pPr>
        <w:jc w:val="both"/>
        <w:rPr>
          <w:rFonts w:cs="Calibri"/>
          <w:sz w:val="18"/>
          <w:szCs w:val="18"/>
        </w:rPr>
      </w:pPr>
      <w:r>
        <w:rPr>
          <w:rFonts w:cs="Calibri"/>
          <w:sz w:val="18"/>
          <w:szCs w:val="18"/>
        </w:rPr>
        <w:t>On the other hand, f</w:t>
      </w:r>
      <w:r w:rsidRPr="00E67B67">
        <w:rPr>
          <w:rFonts w:cs="Calibri"/>
          <w:sz w:val="18"/>
          <w:szCs w:val="18"/>
        </w:rPr>
        <w:t>rom the LD-PRL phase diagram supplemented by data reported in ref. [</w:t>
      </w:r>
      <w:r w:rsidRPr="00E67B67">
        <w:rPr>
          <w:rFonts w:cs="Calibri"/>
          <w:sz w:val="18"/>
          <w:szCs w:val="18"/>
        </w:rPr>
        <w:fldChar w:fldCharType="begin"/>
      </w:r>
      <w:r w:rsidRPr="00E67B67">
        <w:rPr>
          <w:rFonts w:cs="Calibri"/>
          <w:sz w:val="18"/>
          <w:szCs w:val="18"/>
        </w:rPr>
        <w:instrText xml:space="preserve"> NOTEREF _Ref504163574 \h  \* MERGEFORMAT </w:instrText>
      </w:r>
      <w:r w:rsidRPr="00E67B67">
        <w:rPr>
          <w:rFonts w:cs="Calibri"/>
          <w:sz w:val="18"/>
          <w:szCs w:val="18"/>
        </w:rPr>
      </w:r>
      <w:r w:rsidRPr="00E67B67">
        <w:rPr>
          <w:rFonts w:cs="Calibri"/>
          <w:sz w:val="18"/>
          <w:szCs w:val="18"/>
        </w:rPr>
        <w:fldChar w:fldCharType="separate"/>
      </w:r>
      <w:r w:rsidR="00066B23">
        <w:rPr>
          <w:rFonts w:cs="Calibri"/>
          <w:sz w:val="18"/>
          <w:szCs w:val="18"/>
        </w:rPr>
        <w:t>15</w:t>
      </w:r>
      <w:r w:rsidRPr="00E67B67">
        <w:rPr>
          <w:rFonts w:cs="Calibri"/>
          <w:sz w:val="18"/>
          <w:szCs w:val="18"/>
        </w:rPr>
        <w:fldChar w:fldCharType="end"/>
      </w:r>
      <w:r w:rsidRPr="00E67B67">
        <w:rPr>
          <w:rFonts w:cs="Calibri"/>
          <w:sz w:val="18"/>
          <w:szCs w:val="18"/>
        </w:rPr>
        <w:t xml:space="preserve">] it can be noticed that both liquidus curves merge at </w:t>
      </w:r>
      <w:r w:rsidR="00890205">
        <w:rPr>
          <w:rFonts w:cs="Calibri"/>
          <w:sz w:val="18"/>
          <w:szCs w:val="18"/>
        </w:rPr>
        <w:t>a</w:t>
      </w:r>
      <w:r w:rsidR="00890205" w:rsidRPr="00E67B67">
        <w:rPr>
          <w:rFonts w:cs="Calibri"/>
          <w:sz w:val="18"/>
          <w:szCs w:val="18"/>
        </w:rPr>
        <w:t xml:space="preserve"> </w:t>
      </w:r>
      <w:r w:rsidRPr="00E67B67">
        <w:rPr>
          <w:rFonts w:cs="Calibri"/>
          <w:sz w:val="18"/>
          <w:szCs w:val="18"/>
        </w:rPr>
        <w:t>single eutectic point which occurs at</w:t>
      </w:r>
      <w:r w:rsidR="00890205">
        <w:rPr>
          <w:rFonts w:cs="Calibri"/>
          <w:sz w:val="18"/>
          <w:szCs w:val="18"/>
        </w:rPr>
        <w:t xml:space="preserve"> a</w:t>
      </w:r>
      <w:r w:rsidRPr="00E67B67">
        <w:rPr>
          <w:rFonts w:cs="Calibri"/>
          <w:sz w:val="18"/>
          <w:szCs w:val="18"/>
        </w:rPr>
        <w:t xml:space="preserve"> 1:1 mole/mole composition</w:t>
      </w:r>
      <w:r>
        <w:rPr>
          <w:rFonts w:cs="Calibri"/>
          <w:sz w:val="18"/>
          <w:szCs w:val="18"/>
        </w:rPr>
        <w:t xml:space="preserve"> and T</w:t>
      </w:r>
      <w:r w:rsidRPr="00F74E08">
        <w:rPr>
          <w:rFonts w:cs="Calibri"/>
          <w:sz w:val="18"/>
          <w:szCs w:val="18"/>
          <w:vertAlign w:val="subscript"/>
        </w:rPr>
        <w:t>eutectic</w:t>
      </w:r>
      <w:r>
        <w:rPr>
          <w:rFonts w:cs="Calibri"/>
          <w:sz w:val="18"/>
          <w:szCs w:val="18"/>
        </w:rPr>
        <w:t>&lt;T</w:t>
      </w:r>
      <w:r w:rsidRPr="00F74E08">
        <w:rPr>
          <w:rFonts w:cs="Calibri"/>
          <w:sz w:val="18"/>
          <w:szCs w:val="18"/>
          <w:vertAlign w:val="subscript"/>
        </w:rPr>
        <w:t>room</w:t>
      </w:r>
      <w:r>
        <w:rPr>
          <w:rFonts w:cs="Calibri"/>
          <w:sz w:val="18"/>
          <w:szCs w:val="18"/>
        </w:rPr>
        <w:t xml:space="preserve">, </w:t>
      </w:r>
      <w:r w:rsidR="00890205">
        <w:rPr>
          <w:rFonts w:cs="Calibri"/>
          <w:sz w:val="18"/>
          <w:szCs w:val="18"/>
        </w:rPr>
        <w:t xml:space="preserve">which </w:t>
      </w:r>
      <w:r>
        <w:rPr>
          <w:rFonts w:cs="Calibri"/>
          <w:sz w:val="18"/>
          <w:szCs w:val="18"/>
        </w:rPr>
        <w:t xml:space="preserve">makes the 1:1 composition liquid at the temperature of its preparation. </w:t>
      </w:r>
      <w:r w:rsidRPr="00F74E08">
        <w:rPr>
          <w:rFonts w:cs="Calibri"/>
          <w:sz w:val="18"/>
          <w:szCs w:val="18"/>
        </w:rPr>
        <w:t xml:space="preserve">Importantly, in comparison to </w:t>
      </w:r>
      <w:r w:rsidR="00890205">
        <w:rPr>
          <w:rFonts w:cs="Calibri"/>
          <w:sz w:val="18"/>
          <w:szCs w:val="18"/>
        </w:rPr>
        <w:t xml:space="preserve">the </w:t>
      </w:r>
      <w:r w:rsidRPr="00F74E08">
        <w:rPr>
          <w:rFonts w:cs="Calibri"/>
          <w:sz w:val="18"/>
          <w:szCs w:val="18"/>
        </w:rPr>
        <w:t>LD-HCl/PRL-HCl eutectic</w:t>
      </w:r>
      <w:r w:rsidR="00890205">
        <w:rPr>
          <w:rFonts w:cs="Calibri"/>
          <w:sz w:val="18"/>
          <w:szCs w:val="18"/>
        </w:rPr>
        <w:t>,</w:t>
      </w:r>
      <w:r w:rsidR="00870EB9">
        <w:rPr>
          <w:rFonts w:cs="Calibri"/>
          <w:sz w:val="18"/>
          <w:szCs w:val="18"/>
        </w:rPr>
        <w:t xml:space="preserve"> the non-ionic DEM contains more</w:t>
      </w:r>
      <w:r w:rsidRPr="00F74E08">
        <w:rPr>
          <w:rFonts w:cs="Calibri"/>
          <w:sz w:val="18"/>
          <w:szCs w:val="18"/>
        </w:rPr>
        <w:t xml:space="preserve"> lidocaine molecules. This allows higher concentrations of LD-HCl to be formulated into the preparation and maintained during the application.</w:t>
      </w:r>
      <w:r>
        <w:rPr>
          <w:rFonts w:cs="Calibri"/>
          <w:sz w:val="18"/>
          <w:szCs w:val="18"/>
        </w:rPr>
        <w:t xml:space="preserve"> </w:t>
      </w:r>
      <w:r w:rsidR="0069313B" w:rsidRPr="00E67B67">
        <w:rPr>
          <w:rFonts w:cs="Calibri"/>
          <w:sz w:val="18"/>
          <w:szCs w:val="18"/>
        </w:rPr>
        <w:t>It is also interesting to note that</w:t>
      </w:r>
      <w:r w:rsidR="00890205">
        <w:rPr>
          <w:rFonts w:cs="Calibri"/>
          <w:sz w:val="18"/>
          <w:szCs w:val="18"/>
        </w:rPr>
        <w:t>,</w:t>
      </w:r>
      <w:r w:rsidR="0069313B" w:rsidRPr="00E67B67">
        <w:rPr>
          <w:rFonts w:cs="Calibri"/>
          <w:sz w:val="18"/>
          <w:szCs w:val="18"/>
        </w:rPr>
        <w:t xml:space="preserve"> in contrast to ionic samples</w:t>
      </w:r>
      <w:r w:rsidR="00890205">
        <w:rPr>
          <w:rFonts w:cs="Calibri"/>
          <w:sz w:val="18"/>
          <w:szCs w:val="18"/>
        </w:rPr>
        <w:t>,</w:t>
      </w:r>
      <w:r w:rsidR="0069313B" w:rsidRPr="00E67B67">
        <w:rPr>
          <w:rFonts w:cs="Calibri"/>
          <w:sz w:val="18"/>
          <w:szCs w:val="18"/>
        </w:rPr>
        <w:t xml:space="preserve"> the experimental and theoretical liquidus curves of LD and PRL do not coincide with each other, confirming the occurrence of molecular interactions (e.g. H-bonding) between the condensed phases of these drugs. This result suggest</w:t>
      </w:r>
      <w:r w:rsidR="00890205">
        <w:rPr>
          <w:rFonts w:cs="Calibri"/>
          <w:sz w:val="18"/>
          <w:szCs w:val="18"/>
        </w:rPr>
        <w:t>s</w:t>
      </w:r>
      <w:r w:rsidR="0069313B" w:rsidRPr="00E67B67">
        <w:rPr>
          <w:rFonts w:cs="Calibri"/>
          <w:sz w:val="18"/>
          <w:szCs w:val="18"/>
        </w:rPr>
        <w:t xml:space="preserve"> that ionization of APIs strongly affects the H-bonds formation and thereby the ability to form the eutectic </w:t>
      </w:r>
      <w:r w:rsidR="00890205">
        <w:rPr>
          <w:rFonts w:cs="Calibri"/>
          <w:sz w:val="18"/>
          <w:szCs w:val="18"/>
        </w:rPr>
        <w:t>phase</w:t>
      </w:r>
      <w:r w:rsidR="0069313B" w:rsidRPr="00E67B67">
        <w:rPr>
          <w:rFonts w:cs="Calibri"/>
          <w:sz w:val="18"/>
          <w:szCs w:val="18"/>
        </w:rPr>
        <w:t>. According to our crystallographic and DFT studies</w:t>
      </w:r>
      <w:r w:rsidR="00890205">
        <w:rPr>
          <w:rFonts w:cs="Calibri"/>
          <w:sz w:val="18"/>
          <w:szCs w:val="18"/>
        </w:rPr>
        <w:t>,</w:t>
      </w:r>
      <w:r w:rsidR="0069313B" w:rsidRPr="00E67B67">
        <w:rPr>
          <w:rFonts w:cs="Calibri"/>
          <w:sz w:val="18"/>
          <w:szCs w:val="18"/>
        </w:rPr>
        <w:t xml:space="preserve"> the key chemical groups involved in </w:t>
      </w:r>
      <w:r w:rsidR="00890205">
        <w:rPr>
          <w:rFonts w:cs="Calibri"/>
          <w:sz w:val="18"/>
          <w:szCs w:val="18"/>
        </w:rPr>
        <w:t xml:space="preserve">this </w:t>
      </w:r>
      <w:r w:rsidR="0069313B" w:rsidRPr="00E67B67">
        <w:rPr>
          <w:rFonts w:cs="Calibri"/>
          <w:sz w:val="18"/>
          <w:szCs w:val="18"/>
        </w:rPr>
        <w:t xml:space="preserve">intermolecular interaction, i.e. the carbonyl group of LD and –N-H moiety of PRL, are exposed on two parallel planes of crystal, specifically (-1-11) and (11-1) for LD and (100) and (-100) for PRL </w:t>
      </w:r>
      <w:r w:rsidR="0069313B" w:rsidRPr="00F74E08">
        <w:rPr>
          <w:rFonts w:cs="Calibri"/>
          <w:sz w:val="18"/>
          <w:szCs w:val="18"/>
        </w:rPr>
        <w:t xml:space="preserve">(see Fig. </w:t>
      </w:r>
      <w:r w:rsidR="00DA5166" w:rsidRPr="00F74E08">
        <w:rPr>
          <w:rFonts w:cs="Calibri"/>
          <w:sz w:val="18"/>
          <w:szCs w:val="18"/>
        </w:rPr>
        <w:t>5</w:t>
      </w:r>
      <w:r w:rsidR="0069313B" w:rsidRPr="00F74E08">
        <w:rPr>
          <w:rFonts w:cs="Calibri"/>
          <w:sz w:val="18"/>
          <w:szCs w:val="18"/>
        </w:rPr>
        <w:t xml:space="preserve">A and </w:t>
      </w:r>
      <w:r w:rsidR="00DA5166" w:rsidRPr="00F74E08">
        <w:rPr>
          <w:rFonts w:cs="Calibri"/>
          <w:sz w:val="18"/>
          <w:szCs w:val="18"/>
        </w:rPr>
        <w:t>5</w:t>
      </w:r>
      <w:r w:rsidR="0069313B" w:rsidRPr="00F74E08">
        <w:rPr>
          <w:rFonts w:cs="Calibri"/>
          <w:sz w:val="18"/>
          <w:szCs w:val="18"/>
        </w:rPr>
        <w:t>B).</w:t>
      </w:r>
      <w:r w:rsidR="0069313B" w:rsidRPr="00E67B67">
        <w:rPr>
          <w:rFonts w:cs="Calibri"/>
          <w:sz w:val="18"/>
          <w:szCs w:val="18"/>
        </w:rPr>
        <w:t xml:space="preserve"> Thus, during the formation of the LD-PRL eutectic by physical mixing of crystalline materials, PRL acts as a H-bond donor, while LD as a H-bond acceptor. As regards LD-HCl, the acceptor groups (the diethylamine) are present on (002) and (00-2) planes, while the carbonyl moiety is exposed on (011) and (0-1-1) </w:t>
      </w:r>
      <w:r w:rsidR="0069313B" w:rsidRPr="00F74E08">
        <w:rPr>
          <w:rFonts w:cs="Calibri"/>
          <w:sz w:val="18"/>
          <w:szCs w:val="18"/>
        </w:rPr>
        <w:t xml:space="preserve">planes (see Fig. </w:t>
      </w:r>
      <w:r w:rsidR="00DA5166" w:rsidRPr="00F74E08">
        <w:rPr>
          <w:rFonts w:cs="Calibri"/>
          <w:sz w:val="18"/>
          <w:szCs w:val="18"/>
        </w:rPr>
        <w:t>5</w:t>
      </w:r>
      <w:r w:rsidR="0069313B" w:rsidRPr="00F74E08">
        <w:rPr>
          <w:rFonts w:cs="Calibri"/>
          <w:sz w:val="18"/>
          <w:szCs w:val="18"/>
        </w:rPr>
        <w:t>C).</w:t>
      </w:r>
      <w:r w:rsidR="0069313B" w:rsidRPr="00E67B67">
        <w:rPr>
          <w:rFonts w:cs="Calibri"/>
          <w:sz w:val="18"/>
          <w:szCs w:val="18"/>
        </w:rPr>
        <w:t xml:space="preserve"> Thus, potentially LD-HCl can also act as an acceptor molecule when interacting with PRL-HCl. Nevertheless, due to the a strong attractive electrostatic contribution pulling the counterions together and repulsive forces between LD</w:t>
      </w:r>
      <w:r w:rsidR="0069313B" w:rsidRPr="00E67B67">
        <w:rPr>
          <w:rFonts w:cs="Calibri"/>
          <w:sz w:val="18"/>
          <w:szCs w:val="18"/>
          <w:vertAlign w:val="superscript"/>
        </w:rPr>
        <w:t>+</w:t>
      </w:r>
      <w:r w:rsidR="0069313B" w:rsidRPr="00E67B67">
        <w:rPr>
          <w:rFonts w:cs="Calibri"/>
          <w:sz w:val="18"/>
          <w:szCs w:val="18"/>
        </w:rPr>
        <w:t xml:space="preserve"> and PRL</w:t>
      </w:r>
      <w:r w:rsidR="0069313B" w:rsidRPr="00E67B67">
        <w:rPr>
          <w:rFonts w:cs="Calibri"/>
          <w:sz w:val="18"/>
          <w:szCs w:val="18"/>
          <w:vertAlign w:val="superscript"/>
        </w:rPr>
        <w:t>+</w:t>
      </w:r>
      <w:r w:rsidR="0069313B" w:rsidRPr="00E67B67">
        <w:rPr>
          <w:rFonts w:cs="Calibri"/>
          <w:sz w:val="18"/>
          <w:szCs w:val="18"/>
        </w:rPr>
        <w:t xml:space="preserve"> cations, the H-bonding </w:t>
      </w:r>
      <w:r w:rsidR="0069313B" w:rsidRPr="00E67B67">
        <w:rPr>
          <w:rFonts w:cs="Calibri"/>
          <w:sz w:val="18"/>
          <w:szCs w:val="18"/>
        </w:rPr>
        <w:t>interactions between LD-HCl and PRL-HCl become strongly suppressed. Additionally, considering the higher polarity (and stability) of PRL molecules and the large difference in T</w:t>
      </w:r>
      <w:r w:rsidR="0069313B" w:rsidRPr="00E67B67">
        <w:rPr>
          <w:rFonts w:cs="Calibri"/>
          <w:sz w:val="18"/>
          <w:szCs w:val="18"/>
          <w:vertAlign w:val="subscript"/>
        </w:rPr>
        <w:t>m</w:t>
      </w:r>
      <w:r w:rsidR="0069313B" w:rsidRPr="00E67B67">
        <w:rPr>
          <w:rFonts w:cs="Calibri"/>
          <w:sz w:val="18"/>
          <w:szCs w:val="18"/>
        </w:rPr>
        <w:t xml:space="preserve"> between the studied salts one can expect that in contrast to H-bonded LD-HCl electrostatic forces dominate in PRL-HCl. Therefore, the formation of ionic eutectic is possible only for small concentration</w:t>
      </w:r>
      <w:r w:rsidR="00890205">
        <w:rPr>
          <w:rFonts w:cs="Calibri"/>
          <w:sz w:val="18"/>
          <w:szCs w:val="18"/>
        </w:rPr>
        <w:t>s</w:t>
      </w:r>
      <w:r w:rsidR="0069313B" w:rsidRPr="00E67B67">
        <w:rPr>
          <w:rFonts w:cs="Calibri"/>
          <w:sz w:val="18"/>
          <w:szCs w:val="18"/>
        </w:rPr>
        <w:t xml:space="preserve"> of PRL-HCl.</w:t>
      </w:r>
    </w:p>
    <w:p w14:paraId="1AB7E19D" w14:textId="77777777" w:rsidR="00C175D7" w:rsidRDefault="00D73250" w:rsidP="00F74E08">
      <w:pPr>
        <w:jc w:val="both"/>
        <w:rPr>
          <w:rFonts w:cs="Calibri"/>
          <w:sz w:val="18"/>
          <w:szCs w:val="18"/>
        </w:rPr>
      </w:pPr>
      <w:r w:rsidRPr="00E67B67">
        <w:rPr>
          <w:rFonts w:cs="Calibri"/>
          <w:b/>
          <w:sz w:val="18"/>
          <w:szCs w:val="18"/>
        </w:rPr>
        <w:t>The glass-forming ability and cold crystallization of ionic and non-ionic DEMs.</w:t>
      </w:r>
      <w:r w:rsidRPr="00E67B67">
        <w:rPr>
          <w:rFonts w:cs="Calibri"/>
          <w:sz w:val="18"/>
          <w:szCs w:val="18"/>
        </w:rPr>
        <w:t xml:space="preserve"> </w:t>
      </w:r>
    </w:p>
    <w:p w14:paraId="1B56FF29" w14:textId="7FC28D9D" w:rsidR="00836BDC" w:rsidRDefault="00D42B63" w:rsidP="00F74E08">
      <w:pPr>
        <w:jc w:val="both"/>
        <w:rPr>
          <w:rFonts w:cs="Calibri"/>
          <w:sz w:val="18"/>
          <w:szCs w:val="18"/>
        </w:rPr>
      </w:pPr>
      <w:r>
        <w:rPr>
          <w:rFonts w:cs="Calibri"/>
          <w:sz w:val="18"/>
          <w:szCs w:val="18"/>
        </w:rPr>
        <w:t xml:space="preserve">To verify the glass-forming ability of </w:t>
      </w:r>
      <w:r w:rsidR="00890205">
        <w:rPr>
          <w:rFonts w:cs="Calibri"/>
          <w:sz w:val="18"/>
          <w:szCs w:val="18"/>
        </w:rPr>
        <w:t xml:space="preserve">the </w:t>
      </w:r>
      <w:r>
        <w:rPr>
          <w:rFonts w:cs="Calibri"/>
          <w:sz w:val="18"/>
          <w:szCs w:val="18"/>
        </w:rPr>
        <w:t>studied mixtures</w:t>
      </w:r>
      <w:r w:rsidR="00890205">
        <w:rPr>
          <w:rFonts w:cs="Calibri"/>
          <w:sz w:val="18"/>
          <w:szCs w:val="18"/>
        </w:rPr>
        <w:t>,</w:t>
      </w:r>
      <w:r>
        <w:rPr>
          <w:rFonts w:cs="Calibri"/>
          <w:sz w:val="18"/>
          <w:szCs w:val="18"/>
        </w:rPr>
        <w:t xml:space="preserve"> quench cooling of molten materials </w:t>
      </w:r>
      <w:r w:rsidR="00890205">
        <w:rPr>
          <w:rFonts w:cs="Calibri"/>
          <w:sz w:val="18"/>
          <w:szCs w:val="18"/>
        </w:rPr>
        <w:t>was</w:t>
      </w:r>
      <w:r>
        <w:rPr>
          <w:rFonts w:cs="Calibri"/>
          <w:sz w:val="18"/>
          <w:szCs w:val="18"/>
        </w:rPr>
        <w:t xml:space="preserve"> employed. The representative thermograms obtained during heating of glassy LD/PRL compositions are presented in Fig. 6. </w:t>
      </w:r>
    </w:p>
    <w:p w14:paraId="73877812" w14:textId="77777777" w:rsidR="00836BDC" w:rsidRDefault="00350BCA" w:rsidP="00F74E08">
      <w:pPr>
        <w:jc w:val="center"/>
        <w:rPr>
          <w:rFonts w:cs="Calibri"/>
          <w:sz w:val="18"/>
          <w:szCs w:val="18"/>
        </w:rPr>
      </w:pPr>
      <w:r>
        <w:rPr>
          <w:rFonts w:cs="Calibri"/>
          <w:noProof/>
          <w:sz w:val="18"/>
          <w:szCs w:val="18"/>
          <w:lang w:eastAsia="en-GB"/>
        </w:rPr>
        <w:drawing>
          <wp:inline distT="0" distB="0" distL="0" distR="0" wp14:anchorId="1BE58099" wp14:editId="4E833823">
            <wp:extent cx="2343150" cy="2029335"/>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1q.jpg"/>
                    <pic:cNvPicPr/>
                  </pic:nvPicPr>
                  <pic:blipFill rotWithShape="1">
                    <a:blip r:embed="rId19">
                      <a:extLst>
                        <a:ext uri="{28A0092B-C50C-407E-A947-70E740481C1C}">
                          <a14:useLocalDpi xmlns:a14="http://schemas.microsoft.com/office/drawing/2010/main" val="0"/>
                        </a:ext>
                      </a:extLst>
                    </a:blip>
                    <a:srcRect l="12828" t="6285" r="8599" b="4818"/>
                    <a:stretch/>
                  </pic:blipFill>
                  <pic:spPr bwMode="auto">
                    <a:xfrm>
                      <a:off x="0" y="0"/>
                      <a:ext cx="2346050" cy="2031847"/>
                    </a:xfrm>
                    <a:prstGeom prst="rect">
                      <a:avLst/>
                    </a:prstGeom>
                    <a:ln>
                      <a:noFill/>
                    </a:ln>
                    <a:extLst>
                      <a:ext uri="{53640926-AAD7-44D8-BBD7-CCE9431645EC}">
                        <a14:shadowObscured xmlns:a14="http://schemas.microsoft.com/office/drawing/2010/main"/>
                      </a:ext>
                    </a:extLst>
                  </pic:spPr>
                </pic:pic>
              </a:graphicData>
            </a:graphic>
          </wp:inline>
        </w:drawing>
      </w:r>
    </w:p>
    <w:p w14:paraId="2F1642E0" w14:textId="77777777" w:rsidR="00836BDC" w:rsidRDefault="00836BDC" w:rsidP="00F74E08">
      <w:pPr>
        <w:jc w:val="both"/>
        <w:rPr>
          <w:rFonts w:cs="Calibri"/>
          <w:sz w:val="18"/>
          <w:szCs w:val="18"/>
        </w:rPr>
      </w:pPr>
      <w:r w:rsidRPr="00F74E08">
        <w:rPr>
          <w:rFonts w:cs="Calibri"/>
          <w:b/>
          <w:sz w:val="18"/>
          <w:szCs w:val="18"/>
        </w:rPr>
        <w:t>Figure 6.</w:t>
      </w:r>
      <w:r>
        <w:rPr>
          <w:rFonts w:cs="Calibri"/>
          <w:sz w:val="18"/>
          <w:szCs w:val="18"/>
        </w:rPr>
        <w:t xml:space="preserve"> The representative DSC scans of glassy LD/PRL compositions.</w:t>
      </w:r>
    </w:p>
    <w:p w14:paraId="04105A6E" w14:textId="5F6802F4" w:rsidR="00D73250" w:rsidRDefault="00D42B63" w:rsidP="00F74E08">
      <w:pPr>
        <w:jc w:val="both"/>
        <w:rPr>
          <w:rFonts w:cs="Calibri"/>
          <w:sz w:val="18"/>
          <w:szCs w:val="18"/>
        </w:rPr>
      </w:pPr>
      <w:r>
        <w:rPr>
          <w:rFonts w:cs="Calibri"/>
          <w:sz w:val="18"/>
          <w:szCs w:val="18"/>
        </w:rPr>
        <w:t xml:space="preserve">In all the cases </w:t>
      </w:r>
      <w:r w:rsidR="00EC7EEC">
        <w:rPr>
          <w:rFonts w:cs="Calibri"/>
          <w:sz w:val="18"/>
          <w:szCs w:val="18"/>
        </w:rPr>
        <w:t>the glass transition temperature (</w:t>
      </w:r>
      <w:r>
        <w:rPr>
          <w:rFonts w:cs="Calibri"/>
          <w:sz w:val="18"/>
          <w:szCs w:val="18"/>
        </w:rPr>
        <w:t>T</w:t>
      </w:r>
      <w:r w:rsidRPr="00F74E08">
        <w:rPr>
          <w:rFonts w:cs="Calibri"/>
          <w:sz w:val="18"/>
          <w:szCs w:val="18"/>
          <w:vertAlign w:val="subscript"/>
        </w:rPr>
        <w:t>g</w:t>
      </w:r>
      <w:r w:rsidR="00EC7EEC" w:rsidRPr="001761A1">
        <w:rPr>
          <w:rFonts w:cs="Calibri"/>
          <w:sz w:val="18"/>
          <w:szCs w:val="18"/>
        </w:rPr>
        <w:t>)</w:t>
      </w:r>
      <w:r w:rsidRPr="00EC7EEC">
        <w:rPr>
          <w:rFonts w:cs="Calibri"/>
          <w:sz w:val="18"/>
          <w:szCs w:val="18"/>
        </w:rPr>
        <w:t xml:space="preserve"> </w:t>
      </w:r>
      <w:r w:rsidR="00EC7EEC">
        <w:rPr>
          <w:rFonts w:cs="Calibri"/>
          <w:sz w:val="18"/>
          <w:szCs w:val="18"/>
        </w:rPr>
        <w:t>was</w:t>
      </w:r>
      <w:r>
        <w:rPr>
          <w:rFonts w:cs="Calibri"/>
          <w:sz w:val="18"/>
          <w:szCs w:val="18"/>
        </w:rPr>
        <w:t xml:space="preserve"> taken as the midpoint of the heat flow jump while the onse</w:t>
      </w:r>
      <w:r w:rsidR="008252F3">
        <w:rPr>
          <w:rFonts w:cs="Calibri"/>
          <w:sz w:val="18"/>
          <w:szCs w:val="18"/>
        </w:rPr>
        <w:t xml:space="preserve">t temperature </w:t>
      </w:r>
      <w:r w:rsidR="00EC7EEC">
        <w:rPr>
          <w:rFonts w:cs="Calibri"/>
          <w:sz w:val="18"/>
          <w:szCs w:val="18"/>
        </w:rPr>
        <w:t>was</w:t>
      </w:r>
      <w:r w:rsidR="008252F3">
        <w:rPr>
          <w:rFonts w:cs="Calibri"/>
          <w:sz w:val="18"/>
          <w:szCs w:val="18"/>
        </w:rPr>
        <w:t xml:space="preserve"> used</w:t>
      </w:r>
      <w:r>
        <w:rPr>
          <w:rFonts w:cs="Calibri"/>
          <w:sz w:val="18"/>
          <w:szCs w:val="18"/>
        </w:rPr>
        <w:t xml:space="preserve"> for both crystallization and melting events.</w:t>
      </w:r>
      <w:r w:rsidR="00836BDC">
        <w:rPr>
          <w:rFonts w:cs="Calibri"/>
          <w:sz w:val="18"/>
          <w:szCs w:val="18"/>
        </w:rPr>
        <w:t xml:space="preserve"> All the data </w:t>
      </w:r>
      <w:r w:rsidR="00EC7EEC">
        <w:rPr>
          <w:rFonts w:cs="Calibri"/>
          <w:sz w:val="18"/>
          <w:szCs w:val="18"/>
        </w:rPr>
        <w:t>is presented i</w:t>
      </w:r>
      <w:r w:rsidR="00836BDC">
        <w:rPr>
          <w:rFonts w:cs="Calibri"/>
          <w:sz w:val="18"/>
          <w:szCs w:val="18"/>
        </w:rPr>
        <w:t>n Figure 7a and 7b, for LD-HCL/PRL-HCl and LD/PRL compositions, respectively.</w:t>
      </w:r>
      <w:r w:rsidR="008252F3">
        <w:rPr>
          <w:rFonts w:cs="Calibri"/>
          <w:sz w:val="18"/>
          <w:szCs w:val="18"/>
        </w:rPr>
        <w:t xml:space="preserve"> As </w:t>
      </w:r>
      <w:r w:rsidR="00EC7EEC">
        <w:rPr>
          <w:rFonts w:cs="Calibri"/>
          <w:sz w:val="18"/>
          <w:szCs w:val="18"/>
        </w:rPr>
        <w:t xml:space="preserve">it </w:t>
      </w:r>
      <w:r w:rsidR="008252F3">
        <w:rPr>
          <w:rFonts w:cs="Calibri"/>
          <w:sz w:val="18"/>
          <w:szCs w:val="18"/>
        </w:rPr>
        <w:t>can be seen in Figure 7a</w:t>
      </w:r>
      <w:r>
        <w:rPr>
          <w:rFonts w:cs="Calibri"/>
          <w:sz w:val="18"/>
          <w:szCs w:val="18"/>
        </w:rPr>
        <w:t>,</w:t>
      </w:r>
      <w:r w:rsidR="00D73250" w:rsidRPr="00E67B67">
        <w:rPr>
          <w:rFonts w:cs="Calibri"/>
          <w:sz w:val="18"/>
          <w:szCs w:val="18"/>
        </w:rPr>
        <w:t xml:space="preserve"> </w:t>
      </w:r>
      <w:r>
        <w:rPr>
          <w:rFonts w:cs="Calibri"/>
          <w:sz w:val="18"/>
          <w:szCs w:val="18"/>
        </w:rPr>
        <w:t xml:space="preserve">every LD-HCl/PRL-HCl </w:t>
      </w:r>
      <w:r w:rsidR="00D73250" w:rsidRPr="00E67B67">
        <w:rPr>
          <w:rFonts w:cs="Calibri"/>
          <w:sz w:val="18"/>
          <w:szCs w:val="18"/>
        </w:rPr>
        <w:t xml:space="preserve">composition can be easily obtained in an amorphous state. </w:t>
      </w:r>
      <w:r>
        <w:rPr>
          <w:rFonts w:cs="Calibri"/>
          <w:sz w:val="18"/>
          <w:szCs w:val="18"/>
        </w:rPr>
        <w:t>Additionally, a</w:t>
      </w:r>
      <w:r w:rsidR="00D73250" w:rsidRPr="00E67B67">
        <w:rPr>
          <w:rFonts w:cs="Calibri"/>
          <w:sz w:val="18"/>
          <w:szCs w:val="18"/>
        </w:rPr>
        <w:t>s a consequence of the relatively high value of T</w:t>
      </w:r>
      <w:r w:rsidR="00D73250" w:rsidRPr="00E67B67">
        <w:rPr>
          <w:rFonts w:cs="Calibri"/>
          <w:sz w:val="18"/>
          <w:szCs w:val="18"/>
          <w:vertAlign w:val="subscript"/>
        </w:rPr>
        <w:t>g</w:t>
      </w:r>
      <w:r w:rsidR="00EC7EEC">
        <w:rPr>
          <w:rFonts w:cs="Calibri"/>
          <w:sz w:val="18"/>
          <w:szCs w:val="18"/>
        </w:rPr>
        <w:t>,</w:t>
      </w:r>
      <w:r w:rsidR="00D73250" w:rsidRPr="00E67B67">
        <w:rPr>
          <w:rFonts w:cs="Calibri"/>
          <w:sz w:val="18"/>
          <w:szCs w:val="18"/>
        </w:rPr>
        <w:t xml:space="preserve"> all ionic DEMs take the form of glassy solids at room temperature. Additionally, no signs of crystallization were observed during their long-term storage. However, increasing temperature above 393 K </w:t>
      </w:r>
      <w:r w:rsidR="00D73250" w:rsidRPr="00E67B67">
        <w:rPr>
          <w:rFonts w:cs="Calibri"/>
          <w:sz w:val="18"/>
          <w:szCs w:val="18"/>
        </w:rPr>
        <w:lastRenderedPageBreak/>
        <w:t>results in solidification of two of the studied systems, i.e. pure PRL-HCl and LD-HCl/PRL-HCl</w:t>
      </w:r>
      <w:r w:rsidR="00D73250" w:rsidRPr="00E67B67">
        <w:rPr>
          <w:rFonts w:cs="Calibri"/>
          <w:sz w:val="18"/>
          <w:szCs w:val="18"/>
          <w:vertAlign w:val="superscript"/>
        </w:rPr>
        <w:t xml:space="preserve">0.9m.f </w:t>
      </w:r>
      <w:r w:rsidR="00D73250" w:rsidRPr="00E67B67">
        <w:rPr>
          <w:rFonts w:cs="Calibri"/>
          <w:sz w:val="18"/>
          <w:szCs w:val="18"/>
        </w:rPr>
        <w:t>mixture. Considering that for LD-HCl/PRL-HCl</w:t>
      </w:r>
      <w:r w:rsidR="00D73250" w:rsidRPr="00E67B67">
        <w:rPr>
          <w:rFonts w:cs="Calibri"/>
          <w:sz w:val="18"/>
          <w:szCs w:val="18"/>
          <w:vertAlign w:val="superscript"/>
        </w:rPr>
        <w:t>0.9m.f</w:t>
      </w:r>
      <w:r w:rsidR="00D73250" w:rsidRPr="00E67B67">
        <w:rPr>
          <w:rFonts w:cs="Calibri"/>
          <w:sz w:val="18"/>
          <w:szCs w:val="18"/>
        </w:rPr>
        <w:t xml:space="preserve"> the exothermic peak, identified as the crystallization process, appears at temperature 10 K higher than the crystallization of pure PRL HCl and it completely disappears during the heating of LD-HCl/PRL-HCl</w:t>
      </w:r>
      <w:r w:rsidR="00D73250" w:rsidRPr="00E67B67">
        <w:rPr>
          <w:rFonts w:cs="Calibri"/>
          <w:sz w:val="18"/>
          <w:szCs w:val="18"/>
          <w:vertAlign w:val="superscript"/>
        </w:rPr>
        <w:t>0.8m.f</w:t>
      </w:r>
      <w:r w:rsidR="00D73250" w:rsidRPr="00E67B67">
        <w:rPr>
          <w:rFonts w:cs="Calibri"/>
          <w:sz w:val="18"/>
          <w:szCs w:val="18"/>
        </w:rPr>
        <w:t xml:space="preserve">, one can assume that already one molecule of LD-HCl per four molecules of PRL-HCl eliminate completely the crystallization tendency of the supercooled ionic mixture. It is also likely that simple steric effects are responsible for suppressing the crystallization of this ionic binary system.   </w:t>
      </w:r>
    </w:p>
    <w:p w14:paraId="0269D348" w14:textId="77777777" w:rsidR="00836BDC" w:rsidRPr="00E67B67" w:rsidRDefault="00350BCA" w:rsidP="00836BDC">
      <w:pPr>
        <w:pStyle w:val="ListParagraph"/>
        <w:ind w:left="0"/>
        <w:jc w:val="center"/>
        <w:rPr>
          <w:rFonts w:cs="Calibri"/>
          <w:sz w:val="18"/>
          <w:szCs w:val="18"/>
        </w:rPr>
      </w:pPr>
      <w:r>
        <w:rPr>
          <w:rFonts w:cs="Calibri"/>
          <w:noProof/>
          <w:sz w:val="18"/>
          <w:szCs w:val="18"/>
          <w:lang w:eastAsia="en-GB"/>
        </w:rPr>
        <w:drawing>
          <wp:inline distT="0" distB="0" distL="0" distR="0" wp14:anchorId="1B0D664B" wp14:editId="6C19FAF9">
            <wp:extent cx="3075980" cy="15208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4 - Copy.jpg"/>
                    <pic:cNvPicPr/>
                  </pic:nvPicPr>
                  <pic:blipFill rotWithShape="1">
                    <a:blip r:embed="rId20">
                      <a:extLst>
                        <a:ext uri="{28A0092B-C50C-407E-A947-70E740481C1C}">
                          <a14:useLocalDpi xmlns:a14="http://schemas.microsoft.com/office/drawing/2010/main" val="0"/>
                        </a:ext>
                      </a:extLst>
                    </a:blip>
                    <a:srcRect l="902" t="14545" r="9300" b="27410"/>
                    <a:stretch/>
                  </pic:blipFill>
                  <pic:spPr bwMode="auto">
                    <a:xfrm>
                      <a:off x="0" y="0"/>
                      <a:ext cx="3077869" cy="1521759"/>
                    </a:xfrm>
                    <a:prstGeom prst="rect">
                      <a:avLst/>
                    </a:prstGeom>
                    <a:ln>
                      <a:noFill/>
                    </a:ln>
                    <a:extLst>
                      <a:ext uri="{53640926-AAD7-44D8-BBD7-CCE9431645EC}">
                        <a14:shadowObscured xmlns:a14="http://schemas.microsoft.com/office/drawing/2010/main"/>
                      </a:ext>
                    </a:extLst>
                  </pic:spPr>
                </pic:pic>
              </a:graphicData>
            </a:graphic>
          </wp:inline>
        </w:drawing>
      </w:r>
    </w:p>
    <w:p w14:paraId="30DB0FCE" w14:textId="77777777" w:rsidR="00836BDC" w:rsidRDefault="00836BDC" w:rsidP="00836BDC">
      <w:pPr>
        <w:pStyle w:val="ListParagraph"/>
        <w:ind w:left="0"/>
        <w:jc w:val="both"/>
        <w:rPr>
          <w:rFonts w:cs="Calibri"/>
          <w:b/>
          <w:sz w:val="18"/>
          <w:szCs w:val="24"/>
        </w:rPr>
      </w:pPr>
    </w:p>
    <w:p w14:paraId="5EFA107A" w14:textId="34463078" w:rsidR="00CC3671" w:rsidRDefault="00836BDC" w:rsidP="00D42B63">
      <w:pPr>
        <w:pStyle w:val="ListParagraph"/>
        <w:ind w:left="0"/>
        <w:jc w:val="both"/>
        <w:rPr>
          <w:rFonts w:cs="Calibri"/>
          <w:sz w:val="18"/>
          <w:szCs w:val="24"/>
        </w:rPr>
      </w:pPr>
      <w:r w:rsidRPr="00E67B67">
        <w:rPr>
          <w:rFonts w:cs="Calibri"/>
          <w:b/>
          <w:sz w:val="18"/>
          <w:szCs w:val="24"/>
        </w:rPr>
        <w:t xml:space="preserve">Figure 7. </w:t>
      </w:r>
      <w:r w:rsidRPr="00E67B67">
        <w:rPr>
          <w:rFonts w:cs="Calibri"/>
          <w:sz w:val="18"/>
          <w:szCs w:val="24"/>
        </w:rPr>
        <w:t>The glass transition temperature of LD/PRL and LD-HCl/PRL-HCl mixtures</w:t>
      </w:r>
      <w:r>
        <w:rPr>
          <w:rFonts w:cs="Calibri"/>
          <w:sz w:val="18"/>
          <w:szCs w:val="24"/>
        </w:rPr>
        <w:t xml:space="preserve"> determined from DSC scans </w:t>
      </w:r>
      <w:r w:rsidR="00892141">
        <w:rPr>
          <w:rFonts w:cs="Calibri"/>
          <w:sz w:val="18"/>
          <w:szCs w:val="24"/>
        </w:rPr>
        <w:t xml:space="preserve">at </w:t>
      </w:r>
      <w:r>
        <w:rPr>
          <w:rFonts w:cs="Calibri"/>
          <w:sz w:val="18"/>
          <w:szCs w:val="24"/>
        </w:rPr>
        <w:t xml:space="preserve">the heating rate of 10 K/min. </w:t>
      </w:r>
    </w:p>
    <w:p w14:paraId="3A570378" w14:textId="77777777" w:rsidR="00D42B63" w:rsidRDefault="00D73250" w:rsidP="00D73250">
      <w:pPr>
        <w:pStyle w:val="ListParagraph"/>
        <w:ind w:left="0"/>
        <w:jc w:val="both"/>
        <w:rPr>
          <w:rFonts w:cs="Calibri"/>
          <w:sz w:val="18"/>
          <w:szCs w:val="18"/>
        </w:rPr>
      </w:pPr>
      <w:r>
        <w:rPr>
          <w:rFonts w:cs="Calibri"/>
          <w:sz w:val="18"/>
          <w:szCs w:val="18"/>
        </w:rPr>
        <w:t xml:space="preserve">    </w:t>
      </w:r>
    </w:p>
    <w:p w14:paraId="372CE2B1" w14:textId="274EF137" w:rsidR="00D73250" w:rsidRPr="00E67B67" w:rsidRDefault="00D73250" w:rsidP="00D73250">
      <w:pPr>
        <w:pStyle w:val="ListParagraph"/>
        <w:ind w:left="0"/>
        <w:jc w:val="both"/>
        <w:rPr>
          <w:rFonts w:cs="Calibri"/>
          <w:sz w:val="18"/>
          <w:szCs w:val="18"/>
        </w:rPr>
      </w:pPr>
      <w:r w:rsidRPr="00E67B67">
        <w:rPr>
          <w:rFonts w:cs="Calibri"/>
          <w:sz w:val="18"/>
          <w:szCs w:val="18"/>
        </w:rPr>
        <w:t xml:space="preserve">Interestingly, </w:t>
      </w:r>
      <w:r w:rsidR="00892141">
        <w:rPr>
          <w:rFonts w:cs="Calibri"/>
          <w:sz w:val="18"/>
          <w:szCs w:val="18"/>
        </w:rPr>
        <w:t>the change</w:t>
      </w:r>
      <w:r w:rsidR="00892141" w:rsidRPr="00E67B67">
        <w:rPr>
          <w:rFonts w:cs="Calibri"/>
          <w:sz w:val="18"/>
          <w:szCs w:val="18"/>
        </w:rPr>
        <w:t xml:space="preserve"> </w:t>
      </w:r>
      <w:r w:rsidRPr="00E67B67">
        <w:rPr>
          <w:rFonts w:cs="Calibri"/>
          <w:sz w:val="18"/>
          <w:szCs w:val="18"/>
        </w:rPr>
        <w:t xml:space="preserve">from ion-ion to van der Waals interactions affects strongly the glass-forming ability of LD-PRL based mixtures. In contrast to ionic compositions, all classified as good glass-formers, it is practically impossible to obtain an amorphous system containing less than 0.3 mole fraction of PRL. </w:t>
      </w:r>
      <w:r w:rsidR="008252F3" w:rsidRPr="00F74E08">
        <w:rPr>
          <w:rFonts w:cs="Calibri"/>
          <w:sz w:val="18"/>
          <w:szCs w:val="24"/>
        </w:rPr>
        <w:t xml:space="preserve">Even an increase </w:t>
      </w:r>
      <w:r w:rsidR="00892141">
        <w:rPr>
          <w:rFonts w:cs="Calibri"/>
          <w:sz w:val="18"/>
          <w:szCs w:val="24"/>
        </w:rPr>
        <w:t>in the</w:t>
      </w:r>
      <w:r w:rsidR="00892141" w:rsidRPr="00F74E08">
        <w:rPr>
          <w:rFonts w:cs="Calibri"/>
          <w:sz w:val="18"/>
          <w:szCs w:val="24"/>
        </w:rPr>
        <w:t xml:space="preserve"> </w:t>
      </w:r>
      <w:r w:rsidR="008252F3" w:rsidRPr="00F74E08">
        <w:rPr>
          <w:rFonts w:cs="Calibri"/>
          <w:sz w:val="18"/>
          <w:szCs w:val="24"/>
        </w:rPr>
        <w:t>cooling rate to 300 K/min does not help to achie</w:t>
      </w:r>
      <w:r w:rsidR="00CC3671" w:rsidRPr="00F74E08">
        <w:rPr>
          <w:rFonts w:cs="Calibri"/>
          <w:sz w:val="18"/>
          <w:szCs w:val="24"/>
        </w:rPr>
        <w:t>ve pure</w:t>
      </w:r>
      <w:r w:rsidR="008252F3" w:rsidRPr="00F74E08">
        <w:rPr>
          <w:rFonts w:cs="Calibri"/>
          <w:sz w:val="18"/>
          <w:szCs w:val="24"/>
        </w:rPr>
        <w:t xml:space="preserve"> amorphous LD and the glassy mixture containing 0.2 mole fraction of PRL.</w:t>
      </w:r>
      <w:r w:rsidR="00CC3671">
        <w:rPr>
          <w:rFonts w:cs="Calibri"/>
          <w:sz w:val="18"/>
          <w:szCs w:val="18"/>
        </w:rPr>
        <w:t xml:space="preserve"> </w:t>
      </w:r>
      <w:r w:rsidRPr="00E67B67">
        <w:rPr>
          <w:rFonts w:cs="Calibri"/>
          <w:sz w:val="18"/>
          <w:szCs w:val="18"/>
        </w:rPr>
        <w:t xml:space="preserve">Since the rest of </w:t>
      </w:r>
      <w:r w:rsidR="00892141">
        <w:rPr>
          <w:rFonts w:cs="Calibri"/>
          <w:sz w:val="18"/>
          <w:szCs w:val="18"/>
        </w:rPr>
        <w:t xml:space="preserve">the </w:t>
      </w:r>
      <w:r w:rsidRPr="00E67B67">
        <w:rPr>
          <w:rFonts w:cs="Calibri"/>
          <w:sz w:val="18"/>
          <w:szCs w:val="18"/>
        </w:rPr>
        <w:t xml:space="preserve">studied drug-drug mixtures, including the eutectic </w:t>
      </w:r>
      <w:r w:rsidR="00892141">
        <w:rPr>
          <w:rFonts w:cs="Calibri"/>
          <w:sz w:val="18"/>
          <w:szCs w:val="18"/>
        </w:rPr>
        <w:t>composition</w:t>
      </w:r>
      <w:r w:rsidRPr="00E67B67">
        <w:rPr>
          <w:rFonts w:cs="Calibri"/>
          <w:sz w:val="18"/>
          <w:szCs w:val="18"/>
        </w:rPr>
        <w:t xml:space="preserve">, can be easily transformed to the glassy state, one can expect that at least two molecules of PRL per one molecule of LD are required to suppress this immense crystallization tendency of LD. Also, it is </w:t>
      </w:r>
      <w:r w:rsidR="00892141">
        <w:rPr>
          <w:rFonts w:cs="Calibri"/>
          <w:sz w:val="18"/>
          <w:szCs w:val="18"/>
        </w:rPr>
        <w:t>noteworthy</w:t>
      </w:r>
      <w:r w:rsidRPr="00E67B67">
        <w:rPr>
          <w:rFonts w:cs="Calibri"/>
          <w:sz w:val="18"/>
          <w:szCs w:val="18"/>
        </w:rPr>
        <w:t xml:space="preserve"> that the lack of electrostatic interactions between LD and PRL was found to </w:t>
      </w:r>
      <w:r w:rsidR="00892141" w:rsidRPr="00E67B67">
        <w:rPr>
          <w:rFonts w:cs="Calibri"/>
          <w:sz w:val="18"/>
          <w:szCs w:val="18"/>
        </w:rPr>
        <w:t xml:space="preserve">strongly </w:t>
      </w:r>
      <w:r w:rsidRPr="00E67B67">
        <w:rPr>
          <w:rFonts w:cs="Calibri"/>
          <w:sz w:val="18"/>
          <w:szCs w:val="18"/>
        </w:rPr>
        <w:t xml:space="preserve">reduce the temperature of </w:t>
      </w:r>
      <w:r w:rsidR="00892141">
        <w:rPr>
          <w:rFonts w:cs="Calibri"/>
          <w:sz w:val="18"/>
          <w:szCs w:val="18"/>
        </w:rPr>
        <w:t xml:space="preserve">the </w:t>
      </w:r>
      <w:r w:rsidRPr="00E67B67">
        <w:rPr>
          <w:rFonts w:cs="Calibri"/>
          <w:sz w:val="18"/>
          <w:szCs w:val="18"/>
        </w:rPr>
        <w:t xml:space="preserve">liquid-glass transition, </w:t>
      </w:r>
      <w:r w:rsidR="00892141">
        <w:rPr>
          <w:rFonts w:cs="Calibri"/>
          <w:sz w:val="18"/>
          <w:szCs w:val="18"/>
        </w:rPr>
        <w:t>which</w:t>
      </w:r>
      <w:r w:rsidR="00892141" w:rsidRPr="00E67B67">
        <w:rPr>
          <w:rFonts w:cs="Calibri"/>
          <w:sz w:val="18"/>
          <w:szCs w:val="18"/>
        </w:rPr>
        <w:t xml:space="preserve"> </w:t>
      </w:r>
      <w:r w:rsidRPr="00E67B67">
        <w:rPr>
          <w:rFonts w:cs="Calibri"/>
          <w:sz w:val="18"/>
          <w:szCs w:val="18"/>
        </w:rPr>
        <w:t>is in agreement with other reports on ionic and non-ionic APIs.</w:t>
      </w:r>
      <w:bookmarkStart w:id="6" w:name="_Ref524872962"/>
      <w:r w:rsidRPr="00F74E08">
        <w:rPr>
          <w:rStyle w:val="EndnoteReference"/>
          <w:rFonts w:cs="Calibri"/>
          <w:sz w:val="18"/>
          <w:szCs w:val="18"/>
        </w:rPr>
        <w:endnoteReference w:id="29"/>
      </w:r>
      <w:bookmarkEnd w:id="6"/>
      <w:r w:rsidRPr="00F74E08">
        <w:rPr>
          <w:rFonts w:cs="Calibri"/>
          <w:sz w:val="18"/>
          <w:szCs w:val="18"/>
          <w:vertAlign w:val="superscript"/>
        </w:rPr>
        <w:t>,</w:t>
      </w:r>
      <w:bookmarkStart w:id="7" w:name="_Ref524872964"/>
      <w:r w:rsidRPr="00F74E08">
        <w:rPr>
          <w:rStyle w:val="EndnoteReference"/>
          <w:rFonts w:cs="Calibri"/>
          <w:sz w:val="18"/>
          <w:szCs w:val="18"/>
        </w:rPr>
        <w:endnoteReference w:id="30"/>
      </w:r>
      <w:bookmarkEnd w:id="7"/>
      <w:r w:rsidRPr="00F74E08">
        <w:rPr>
          <w:rFonts w:cs="Calibri"/>
          <w:sz w:val="18"/>
          <w:szCs w:val="18"/>
          <w:vertAlign w:val="superscript"/>
        </w:rPr>
        <w:t>,</w:t>
      </w:r>
      <w:r w:rsidRPr="00F74E08">
        <w:rPr>
          <w:rStyle w:val="EndnoteReference"/>
          <w:rFonts w:cs="Calibri"/>
          <w:sz w:val="18"/>
          <w:szCs w:val="18"/>
        </w:rPr>
        <w:endnoteReference w:id="31"/>
      </w:r>
      <w:r w:rsidRPr="00F74E08">
        <w:rPr>
          <w:rFonts w:cs="Calibri"/>
          <w:sz w:val="18"/>
          <w:szCs w:val="18"/>
          <w:vertAlign w:val="superscript"/>
        </w:rPr>
        <w:t>,</w:t>
      </w:r>
      <w:r w:rsidRPr="00E67B67">
        <w:rPr>
          <w:rStyle w:val="EndnoteReference"/>
          <w:rFonts w:cs="Calibri"/>
          <w:sz w:val="18"/>
          <w:szCs w:val="18"/>
        </w:rPr>
        <w:endnoteReference w:id="32"/>
      </w:r>
      <w:r w:rsidRPr="00E67B67">
        <w:rPr>
          <w:rFonts w:cs="Calibri"/>
          <w:sz w:val="18"/>
          <w:szCs w:val="18"/>
        </w:rPr>
        <w:t xml:space="preserve"> The mixtures containing the base forms of LD and PRL undergo the vitrification process in the temperature range from 213 to 218 K i.e. much below the freezing point of water. As a result, at room temperature their molecular mobility is strongly enhanced in comparison to the ionic drug-drug mixtures. Thereby, in comparison to ionic DEMs one could expect higher probability toward nucleation and crystal growth in dipolar binary systems. Nevertheless, considering the definition of </w:t>
      </w:r>
      <w:r w:rsidR="00892141">
        <w:rPr>
          <w:rFonts w:cs="Calibri"/>
          <w:sz w:val="18"/>
          <w:szCs w:val="18"/>
        </w:rPr>
        <w:t>a</w:t>
      </w:r>
      <w:r w:rsidR="00892141" w:rsidRPr="00E67B67">
        <w:rPr>
          <w:rFonts w:cs="Calibri"/>
          <w:sz w:val="18"/>
          <w:szCs w:val="18"/>
        </w:rPr>
        <w:t xml:space="preserve"> </w:t>
      </w:r>
      <w:r w:rsidRPr="00E67B67">
        <w:rPr>
          <w:rFonts w:cs="Calibri"/>
          <w:sz w:val="18"/>
          <w:szCs w:val="18"/>
        </w:rPr>
        <w:t xml:space="preserve">eutectic system it becomes obvious that the storage of </w:t>
      </w:r>
      <w:r w:rsidR="00892141">
        <w:rPr>
          <w:rFonts w:cs="Calibri"/>
          <w:sz w:val="18"/>
          <w:szCs w:val="18"/>
        </w:rPr>
        <w:t xml:space="preserve">a </w:t>
      </w:r>
      <w:r w:rsidRPr="00E67B67">
        <w:rPr>
          <w:rFonts w:cs="Calibri"/>
          <w:sz w:val="18"/>
          <w:szCs w:val="18"/>
        </w:rPr>
        <w:t>eutectic composition at a temperature above the eutectic temperature guarantees its stability in the liquid state. This rule is also satisfied herein, as even a one-year storage of the eutectic composition (1:1) as well as LD/PRL</w:t>
      </w:r>
      <w:r w:rsidRPr="00E67B67">
        <w:rPr>
          <w:rFonts w:cs="Calibri"/>
          <w:sz w:val="18"/>
          <w:szCs w:val="18"/>
          <w:vertAlign w:val="superscript"/>
        </w:rPr>
        <w:t xml:space="preserve">0.6m.f </w:t>
      </w:r>
      <w:r w:rsidRPr="00E67B67">
        <w:rPr>
          <w:rFonts w:cs="Calibri"/>
          <w:sz w:val="18"/>
          <w:szCs w:val="18"/>
        </w:rPr>
        <w:t>mixture at 298 K, i.e. 7 K above the eutectic point, does not result in the crystal formation. Importantly, the transition from the conventional liquid state down to the supercool</w:t>
      </w:r>
      <w:r w:rsidR="00892141">
        <w:rPr>
          <w:rFonts w:cs="Calibri"/>
          <w:sz w:val="18"/>
          <w:szCs w:val="18"/>
        </w:rPr>
        <w:t>ed</w:t>
      </w:r>
      <w:r w:rsidRPr="00E67B67">
        <w:rPr>
          <w:rFonts w:cs="Calibri"/>
          <w:sz w:val="18"/>
          <w:szCs w:val="18"/>
        </w:rPr>
        <w:t xml:space="preserve"> region also </w:t>
      </w:r>
      <w:r w:rsidRPr="00E67B67">
        <w:rPr>
          <w:rFonts w:cs="Calibri"/>
          <w:sz w:val="18"/>
          <w:szCs w:val="18"/>
        </w:rPr>
        <w:t xml:space="preserve">does not result in crystal formation. On the other hand, even a slight decrease in the PRL concentration below the eutectic composition results in cold crystallization of supercooled LD/PRL mixtures. This process is well visible on DSC thermograms as </w:t>
      </w:r>
      <w:r w:rsidR="00CC3671">
        <w:rPr>
          <w:rFonts w:cs="Calibri"/>
          <w:sz w:val="18"/>
          <w:szCs w:val="18"/>
        </w:rPr>
        <w:t>an exothermic peak (see Figure 6</w:t>
      </w:r>
      <w:r w:rsidRPr="00E67B67">
        <w:rPr>
          <w:rFonts w:cs="Calibri"/>
          <w:sz w:val="18"/>
          <w:szCs w:val="18"/>
        </w:rPr>
        <w:t>). In this context it is interesting to thor</w:t>
      </w:r>
      <w:r w:rsidR="00CC3671">
        <w:rPr>
          <w:rFonts w:cs="Calibri"/>
          <w:sz w:val="18"/>
          <w:szCs w:val="18"/>
        </w:rPr>
        <w:t xml:space="preserve">oughly examine </w:t>
      </w:r>
      <w:r w:rsidRPr="00E67B67">
        <w:rPr>
          <w:rFonts w:cs="Calibri"/>
          <w:sz w:val="18"/>
          <w:szCs w:val="18"/>
        </w:rPr>
        <w:t xml:space="preserve">thermodynamics of </w:t>
      </w:r>
      <w:r w:rsidR="00892141">
        <w:rPr>
          <w:rFonts w:cs="Calibri"/>
          <w:sz w:val="18"/>
          <w:szCs w:val="18"/>
        </w:rPr>
        <w:t xml:space="preserve">the </w:t>
      </w:r>
      <w:r w:rsidRPr="00E67B67">
        <w:rPr>
          <w:rFonts w:cs="Calibri"/>
          <w:sz w:val="18"/>
          <w:szCs w:val="18"/>
        </w:rPr>
        <w:t>studied systems in the vicinity of liquid-glass transition i.e. where the structural dynamics is not as fast as far above T</w:t>
      </w:r>
      <w:r w:rsidRPr="00E67B67">
        <w:rPr>
          <w:rFonts w:cs="Calibri"/>
          <w:sz w:val="18"/>
          <w:szCs w:val="18"/>
          <w:vertAlign w:val="subscript"/>
        </w:rPr>
        <w:t>g</w:t>
      </w:r>
      <w:r w:rsidRPr="00E67B67">
        <w:rPr>
          <w:rFonts w:cs="Calibri"/>
          <w:sz w:val="18"/>
          <w:szCs w:val="18"/>
        </w:rPr>
        <w:t xml:space="preserve"> and the kinetic energy of molecules is not as high as in the normal liquid state. To investigate this issue in details, first the T</w:t>
      </w:r>
      <w:r w:rsidRPr="00E67B67">
        <w:rPr>
          <w:rFonts w:cs="Calibri"/>
          <w:sz w:val="18"/>
          <w:szCs w:val="18"/>
          <w:vertAlign w:val="subscript"/>
        </w:rPr>
        <w:t>g</w:t>
      </w:r>
      <w:r w:rsidRPr="00E67B67">
        <w:rPr>
          <w:rFonts w:cs="Calibri"/>
          <w:sz w:val="18"/>
          <w:szCs w:val="18"/>
        </w:rPr>
        <w:t>-x</w:t>
      </w:r>
      <w:r w:rsidRPr="00E67B67">
        <w:rPr>
          <w:rFonts w:cs="Calibri"/>
          <w:sz w:val="18"/>
          <w:szCs w:val="18"/>
          <w:vertAlign w:val="superscript"/>
        </w:rPr>
        <w:t>m.f</w:t>
      </w:r>
      <w:r w:rsidRPr="00E67B67">
        <w:rPr>
          <w:rFonts w:cs="Calibri"/>
          <w:sz w:val="18"/>
          <w:szCs w:val="18"/>
        </w:rPr>
        <w:t xml:space="preserve"> behavior of LD/PRL and LD-HCl/PRL-HCl mixtures were analysed. </w:t>
      </w:r>
    </w:p>
    <w:p w14:paraId="500180CF" w14:textId="056A5203" w:rsidR="00D73250" w:rsidRDefault="00D73250" w:rsidP="00D73250">
      <w:pPr>
        <w:pStyle w:val="ListParagraph"/>
        <w:spacing w:after="0"/>
        <w:ind w:left="0"/>
        <w:jc w:val="both"/>
        <w:rPr>
          <w:rFonts w:cs="Calibri"/>
          <w:sz w:val="18"/>
          <w:szCs w:val="18"/>
        </w:rPr>
      </w:pPr>
      <w:r>
        <w:rPr>
          <w:rFonts w:cs="Calibri"/>
          <w:sz w:val="18"/>
          <w:szCs w:val="18"/>
        </w:rPr>
        <w:t xml:space="preserve">     </w:t>
      </w:r>
      <w:r w:rsidRPr="00E67B67">
        <w:rPr>
          <w:rFonts w:cs="Calibri"/>
          <w:sz w:val="18"/>
          <w:szCs w:val="18"/>
        </w:rPr>
        <w:t>As presented in Fig. 7, regardless of interactions dominating in the studied system, the T</w:t>
      </w:r>
      <w:r w:rsidRPr="00E67B67">
        <w:rPr>
          <w:rFonts w:cs="Calibri"/>
          <w:sz w:val="18"/>
          <w:szCs w:val="18"/>
          <w:vertAlign w:val="subscript"/>
        </w:rPr>
        <w:t>g</w:t>
      </w:r>
      <w:r w:rsidRPr="00E67B67">
        <w:rPr>
          <w:rFonts w:cs="Calibri"/>
          <w:sz w:val="18"/>
          <w:szCs w:val="18"/>
        </w:rPr>
        <w:t xml:space="preserve"> </w:t>
      </w:r>
      <w:r w:rsidR="00892141">
        <w:rPr>
          <w:rFonts w:cs="Calibri"/>
          <w:sz w:val="18"/>
          <w:szCs w:val="18"/>
        </w:rPr>
        <w:t>increases</w:t>
      </w:r>
      <w:r w:rsidR="00892141" w:rsidRPr="00E67B67">
        <w:rPr>
          <w:rFonts w:cs="Calibri"/>
          <w:sz w:val="18"/>
          <w:szCs w:val="18"/>
        </w:rPr>
        <w:t xml:space="preserve"> </w:t>
      </w:r>
      <w:r w:rsidRPr="00E67B67">
        <w:rPr>
          <w:rFonts w:cs="Calibri"/>
          <w:sz w:val="18"/>
          <w:szCs w:val="18"/>
        </w:rPr>
        <w:t xml:space="preserve">with </w:t>
      </w:r>
      <w:r w:rsidR="00892141">
        <w:rPr>
          <w:rFonts w:cs="Calibri"/>
          <w:sz w:val="18"/>
          <w:szCs w:val="18"/>
        </w:rPr>
        <w:t xml:space="preserve">an </w:t>
      </w:r>
      <w:r w:rsidRPr="00E67B67">
        <w:rPr>
          <w:rFonts w:cs="Calibri"/>
          <w:sz w:val="18"/>
          <w:szCs w:val="18"/>
        </w:rPr>
        <w:t xml:space="preserve">increase </w:t>
      </w:r>
      <w:r w:rsidR="00892141">
        <w:rPr>
          <w:rFonts w:cs="Calibri"/>
          <w:sz w:val="18"/>
          <w:szCs w:val="18"/>
        </w:rPr>
        <w:t>in</w:t>
      </w:r>
      <w:r w:rsidR="00892141" w:rsidRPr="00E67B67">
        <w:rPr>
          <w:rFonts w:cs="Calibri"/>
          <w:sz w:val="18"/>
          <w:szCs w:val="18"/>
        </w:rPr>
        <w:t xml:space="preserve"> </w:t>
      </w:r>
      <w:r w:rsidRPr="00E67B67">
        <w:rPr>
          <w:rFonts w:cs="Calibri"/>
          <w:sz w:val="18"/>
          <w:szCs w:val="18"/>
        </w:rPr>
        <w:t>prilocaine concentration. Interestingly, the T</w:t>
      </w:r>
      <w:r w:rsidRPr="00E67B67">
        <w:rPr>
          <w:rFonts w:cs="Calibri"/>
          <w:sz w:val="18"/>
          <w:szCs w:val="18"/>
          <w:vertAlign w:val="subscript"/>
        </w:rPr>
        <w:t>g</w:t>
      </w:r>
      <w:r w:rsidRPr="00E67B67">
        <w:rPr>
          <w:rFonts w:cs="Calibri"/>
          <w:sz w:val="18"/>
          <w:szCs w:val="18"/>
        </w:rPr>
        <w:t xml:space="preserve"> values of LD-HCl/PRL-HCl systems increase in a linear fashion and satisfy predictions of the Gordon-Taylor equation</w:t>
      </w:r>
      <w:r w:rsidRPr="00E67B67">
        <w:rPr>
          <w:rStyle w:val="EndnoteReference"/>
          <w:rFonts w:cs="Calibri"/>
          <w:sz w:val="18"/>
          <w:szCs w:val="18"/>
        </w:rPr>
        <w:endnoteReference w:id="33"/>
      </w:r>
      <w:r w:rsidRPr="00E67B67">
        <w:rPr>
          <w:rFonts w:cs="Calibri"/>
          <w:sz w:val="18"/>
          <w:szCs w:val="18"/>
        </w:rPr>
        <w:t>:</w:t>
      </w:r>
    </w:p>
    <w:p w14:paraId="64B75D3D" w14:textId="77777777" w:rsidR="00D73250" w:rsidRPr="00E67B67" w:rsidRDefault="00D73250" w:rsidP="00D73250">
      <w:pPr>
        <w:pStyle w:val="ListParagraph"/>
        <w:spacing w:after="0"/>
        <w:ind w:left="0"/>
        <w:jc w:val="both"/>
        <w:rPr>
          <w:rFonts w:cs="Calibri"/>
          <w:sz w:val="18"/>
          <w:szCs w:val="18"/>
        </w:rPr>
      </w:pPr>
    </w:p>
    <w:p w14:paraId="6980D768" w14:textId="77777777" w:rsidR="00D73250" w:rsidRDefault="0003666B" w:rsidP="00D73250">
      <w:pPr>
        <w:pStyle w:val="ListParagraph"/>
        <w:ind w:left="0"/>
        <w:jc w:val="both"/>
        <w:rPr>
          <w:rFonts w:cs="Calibri"/>
          <w:sz w:val="18"/>
          <w:szCs w:val="18"/>
        </w:rPr>
      </w:pPr>
      <m:oMath>
        <m:sSub>
          <m:sSubPr>
            <m:ctrlPr>
              <w:rPr>
                <w:rFonts w:ascii="Cambria Math" w:hAnsi="Cambria Math"/>
                <w:i/>
                <w:sz w:val="20"/>
              </w:rPr>
            </m:ctrlPr>
          </m:sSubPr>
          <m:e>
            <m:r>
              <w:rPr>
                <w:rFonts w:ascii="Cambria Math" w:hAnsi="Cambria Math" w:cs="Calibri"/>
                <w:sz w:val="20"/>
                <w:szCs w:val="18"/>
              </w:rPr>
              <m:t>T</m:t>
            </m:r>
          </m:e>
          <m:sub>
            <m:r>
              <w:rPr>
                <w:rFonts w:ascii="Cambria Math" w:hAnsi="Cambria Math" w:cs="Calibri"/>
                <w:sz w:val="20"/>
                <w:szCs w:val="18"/>
              </w:rPr>
              <m:t>g</m:t>
            </m:r>
          </m:sub>
        </m:sSub>
        <m:d>
          <m:dPr>
            <m:ctrlPr>
              <w:rPr>
                <w:rFonts w:ascii="Cambria Math" w:hAnsi="Cambria Math"/>
                <w:i/>
                <w:sz w:val="20"/>
              </w:rPr>
            </m:ctrlPr>
          </m:dPr>
          <m:e>
            <m:r>
              <w:rPr>
                <w:rFonts w:ascii="Cambria Math" w:hAnsi="Cambria Math" w:cs="Calibri"/>
                <w:sz w:val="20"/>
                <w:szCs w:val="18"/>
              </w:rPr>
              <m:t>x</m:t>
            </m:r>
          </m:e>
        </m:d>
        <m:r>
          <w:rPr>
            <w:rFonts w:ascii="Cambria Math" w:hAnsi="Cambria Math" w:cs="Calibri"/>
            <w:sz w:val="20"/>
            <w:szCs w:val="18"/>
          </w:rPr>
          <m:t>=</m:t>
        </m:r>
        <m:f>
          <m:fPr>
            <m:ctrlPr>
              <w:rPr>
                <w:rFonts w:ascii="Cambria Math" w:hAnsi="Cambria Math"/>
                <w:i/>
                <w:sz w:val="20"/>
              </w:rPr>
            </m:ctrlPr>
          </m:fPr>
          <m:num>
            <m:sSub>
              <m:sSubPr>
                <m:ctrlPr>
                  <w:rPr>
                    <w:rFonts w:ascii="Cambria Math" w:hAnsi="Cambria Math"/>
                    <w:i/>
                    <w:sz w:val="20"/>
                  </w:rPr>
                </m:ctrlPr>
              </m:sSubPr>
              <m:e>
                <m:r>
                  <w:rPr>
                    <w:rFonts w:ascii="Cambria Math" w:hAnsi="Cambria Math" w:cs="Calibri"/>
                    <w:sz w:val="20"/>
                    <w:szCs w:val="18"/>
                  </w:rPr>
                  <m:t>x</m:t>
                </m:r>
              </m:e>
              <m:sub>
                <m:r>
                  <w:rPr>
                    <w:rFonts w:ascii="Cambria Math" w:hAnsi="Cambria Math" w:cs="Calibri"/>
                    <w:sz w:val="20"/>
                    <w:szCs w:val="18"/>
                  </w:rPr>
                  <m:t>1</m:t>
                </m:r>
              </m:sub>
            </m:sSub>
            <m:sSub>
              <m:sSubPr>
                <m:ctrlPr>
                  <w:rPr>
                    <w:rFonts w:ascii="Cambria Math" w:hAnsi="Cambria Math"/>
                    <w:i/>
                    <w:sz w:val="20"/>
                  </w:rPr>
                </m:ctrlPr>
              </m:sSubPr>
              <m:e>
                <m:r>
                  <w:rPr>
                    <w:rFonts w:ascii="Cambria Math" w:hAnsi="Cambria Math" w:cs="Calibri"/>
                    <w:sz w:val="20"/>
                    <w:szCs w:val="18"/>
                  </w:rPr>
                  <m:t>T</m:t>
                </m:r>
              </m:e>
              <m:sub>
                <m:r>
                  <w:rPr>
                    <w:rFonts w:ascii="Cambria Math" w:hAnsi="Cambria Math" w:cs="Calibri"/>
                    <w:sz w:val="20"/>
                    <w:szCs w:val="18"/>
                  </w:rPr>
                  <m:t>g1</m:t>
                </m:r>
              </m:sub>
            </m:sSub>
            <m:r>
              <w:rPr>
                <w:rFonts w:ascii="Cambria Math" w:hAnsi="Cambria Math" w:cs="Calibri"/>
                <w:sz w:val="20"/>
                <w:szCs w:val="18"/>
              </w:rPr>
              <m:t>+K</m:t>
            </m:r>
            <m:sSub>
              <m:sSubPr>
                <m:ctrlPr>
                  <w:rPr>
                    <w:rFonts w:ascii="Cambria Math" w:hAnsi="Cambria Math"/>
                    <w:i/>
                    <w:sz w:val="20"/>
                  </w:rPr>
                </m:ctrlPr>
              </m:sSubPr>
              <m:e>
                <m:r>
                  <w:rPr>
                    <w:rFonts w:ascii="Cambria Math" w:hAnsi="Cambria Math" w:cs="Calibri"/>
                    <w:sz w:val="20"/>
                    <w:szCs w:val="18"/>
                  </w:rPr>
                  <m:t>x</m:t>
                </m:r>
              </m:e>
              <m:sub>
                <m:r>
                  <w:rPr>
                    <w:rFonts w:ascii="Cambria Math" w:hAnsi="Cambria Math" w:cs="Calibri"/>
                    <w:sz w:val="20"/>
                    <w:szCs w:val="18"/>
                  </w:rPr>
                  <m:t>2</m:t>
                </m:r>
              </m:sub>
            </m:sSub>
            <m:sSub>
              <m:sSubPr>
                <m:ctrlPr>
                  <w:rPr>
                    <w:rFonts w:ascii="Cambria Math" w:hAnsi="Cambria Math"/>
                    <w:i/>
                    <w:sz w:val="20"/>
                  </w:rPr>
                </m:ctrlPr>
              </m:sSubPr>
              <m:e>
                <m:r>
                  <w:rPr>
                    <w:rFonts w:ascii="Cambria Math" w:hAnsi="Cambria Math" w:cs="Calibri"/>
                    <w:sz w:val="20"/>
                    <w:szCs w:val="18"/>
                  </w:rPr>
                  <m:t>T</m:t>
                </m:r>
              </m:e>
              <m:sub>
                <m:r>
                  <w:rPr>
                    <w:rFonts w:ascii="Cambria Math" w:hAnsi="Cambria Math" w:cs="Calibri"/>
                    <w:sz w:val="20"/>
                    <w:szCs w:val="18"/>
                  </w:rPr>
                  <m:t>g2</m:t>
                </m:r>
              </m:sub>
            </m:sSub>
          </m:num>
          <m:den>
            <m:sSub>
              <m:sSubPr>
                <m:ctrlPr>
                  <w:rPr>
                    <w:rFonts w:ascii="Cambria Math" w:hAnsi="Cambria Math"/>
                    <w:i/>
                    <w:sz w:val="20"/>
                  </w:rPr>
                </m:ctrlPr>
              </m:sSubPr>
              <m:e>
                <m:r>
                  <w:rPr>
                    <w:rFonts w:ascii="Cambria Math" w:hAnsi="Cambria Math" w:cs="Calibri"/>
                    <w:sz w:val="20"/>
                    <w:szCs w:val="18"/>
                  </w:rPr>
                  <m:t>x</m:t>
                </m:r>
              </m:e>
              <m:sub>
                <m:r>
                  <w:rPr>
                    <w:rFonts w:ascii="Cambria Math" w:hAnsi="Cambria Math" w:cs="Calibri"/>
                    <w:sz w:val="20"/>
                    <w:szCs w:val="18"/>
                  </w:rPr>
                  <m:t>1</m:t>
                </m:r>
              </m:sub>
            </m:sSub>
            <m:r>
              <w:rPr>
                <w:rFonts w:ascii="Cambria Math" w:hAnsi="Cambria Math" w:cs="Calibri"/>
                <w:sz w:val="20"/>
                <w:szCs w:val="18"/>
              </w:rPr>
              <m:t>+K</m:t>
            </m:r>
            <m:sSub>
              <m:sSubPr>
                <m:ctrlPr>
                  <w:rPr>
                    <w:rFonts w:ascii="Cambria Math" w:hAnsi="Cambria Math"/>
                    <w:i/>
                    <w:sz w:val="20"/>
                  </w:rPr>
                </m:ctrlPr>
              </m:sSubPr>
              <m:e>
                <m:r>
                  <w:rPr>
                    <w:rFonts w:ascii="Cambria Math" w:hAnsi="Cambria Math" w:cs="Calibri"/>
                    <w:sz w:val="20"/>
                    <w:szCs w:val="18"/>
                  </w:rPr>
                  <m:t>x</m:t>
                </m:r>
              </m:e>
              <m:sub>
                <m:r>
                  <w:rPr>
                    <w:rFonts w:ascii="Cambria Math" w:hAnsi="Cambria Math" w:cs="Calibri"/>
                    <w:sz w:val="20"/>
                    <w:szCs w:val="18"/>
                  </w:rPr>
                  <m:t>2</m:t>
                </m:r>
              </m:sub>
            </m:sSub>
          </m:den>
        </m:f>
      </m:oMath>
      <w:r w:rsidR="00CC3671">
        <w:rPr>
          <w:rFonts w:cs="Calibri"/>
          <w:sz w:val="18"/>
          <w:szCs w:val="18"/>
        </w:rPr>
        <w:tab/>
      </w:r>
      <w:r w:rsidR="00CC3671">
        <w:rPr>
          <w:rFonts w:cs="Calibri"/>
          <w:sz w:val="18"/>
          <w:szCs w:val="18"/>
        </w:rPr>
        <w:tab/>
      </w:r>
      <w:r w:rsidR="00CC3671">
        <w:rPr>
          <w:rFonts w:cs="Calibri"/>
          <w:sz w:val="18"/>
          <w:szCs w:val="18"/>
        </w:rPr>
        <w:tab/>
      </w:r>
      <w:r w:rsidR="00CC3671">
        <w:rPr>
          <w:rFonts w:cs="Calibri"/>
          <w:sz w:val="18"/>
          <w:szCs w:val="18"/>
        </w:rPr>
        <w:tab/>
      </w:r>
      <w:r w:rsidR="00CC3671">
        <w:rPr>
          <w:rFonts w:cs="Calibri"/>
          <w:sz w:val="18"/>
          <w:szCs w:val="18"/>
        </w:rPr>
        <w:tab/>
      </w:r>
      <w:r w:rsidR="00CC3671">
        <w:rPr>
          <w:rFonts w:cs="Calibri"/>
          <w:sz w:val="18"/>
          <w:szCs w:val="18"/>
        </w:rPr>
        <w:tab/>
      </w:r>
      <w:r w:rsidR="00CC3671">
        <w:rPr>
          <w:rFonts w:cs="Calibri"/>
          <w:sz w:val="18"/>
          <w:szCs w:val="18"/>
        </w:rPr>
        <w:tab/>
      </w:r>
      <w:r w:rsidR="00CC3671">
        <w:rPr>
          <w:rFonts w:cs="Calibri"/>
          <w:sz w:val="18"/>
          <w:szCs w:val="18"/>
        </w:rPr>
        <w:tab/>
      </w:r>
      <w:r w:rsidR="00CC3671">
        <w:rPr>
          <w:rFonts w:cs="Calibri"/>
          <w:sz w:val="18"/>
          <w:szCs w:val="18"/>
        </w:rPr>
        <w:tab/>
      </w:r>
      <w:r w:rsidR="00CC3671">
        <w:rPr>
          <w:rFonts w:cs="Calibri"/>
          <w:sz w:val="18"/>
          <w:szCs w:val="18"/>
        </w:rPr>
        <w:tab/>
        <w:t>(2</w:t>
      </w:r>
      <w:r w:rsidR="00D73250" w:rsidRPr="00E67B67">
        <w:rPr>
          <w:rFonts w:cs="Calibri"/>
          <w:sz w:val="18"/>
          <w:szCs w:val="18"/>
        </w:rPr>
        <w:t>)</w:t>
      </w:r>
    </w:p>
    <w:p w14:paraId="0ED4A05A" w14:textId="77777777" w:rsidR="00D73250" w:rsidRDefault="00D73250" w:rsidP="00D73250">
      <w:pPr>
        <w:pStyle w:val="ListParagraph"/>
        <w:ind w:left="0"/>
        <w:jc w:val="both"/>
        <w:rPr>
          <w:rFonts w:cs="Calibri"/>
          <w:sz w:val="18"/>
          <w:szCs w:val="18"/>
        </w:rPr>
      </w:pPr>
    </w:p>
    <w:p w14:paraId="0E1861EF" w14:textId="77777777" w:rsidR="00CC3671" w:rsidRDefault="00D73250" w:rsidP="00F74E08">
      <w:pPr>
        <w:pStyle w:val="ListParagraph"/>
        <w:ind w:left="0"/>
        <w:jc w:val="both"/>
        <w:rPr>
          <w:rFonts w:cs="Calibri"/>
          <w:sz w:val="18"/>
          <w:szCs w:val="18"/>
        </w:rPr>
      </w:pPr>
      <w:r w:rsidRPr="00E67B67">
        <w:rPr>
          <w:rFonts w:cs="Calibri"/>
          <w:sz w:val="18"/>
          <w:szCs w:val="18"/>
        </w:rPr>
        <w:t>where x</w:t>
      </w:r>
      <w:r w:rsidRPr="00E67B67">
        <w:rPr>
          <w:rFonts w:cs="Calibri"/>
          <w:sz w:val="18"/>
          <w:szCs w:val="18"/>
          <w:vertAlign w:val="subscript"/>
        </w:rPr>
        <w:t>1</w:t>
      </w:r>
      <w:r w:rsidRPr="00E67B67">
        <w:rPr>
          <w:rFonts w:cs="Calibri"/>
          <w:sz w:val="18"/>
          <w:szCs w:val="18"/>
        </w:rPr>
        <w:t xml:space="preserve"> and x</w:t>
      </w:r>
      <w:r w:rsidRPr="00E67B67">
        <w:rPr>
          <w:rFonts w:cs="Calibri"/>
          <w:sz w:val="18"/>
          <w:szCs w:val="18"/>
          <w:vertAlign w:val="subscript"/>
        </w:rPr>
        <w:t>2</w:t>
      </w:r>
      <w:r w:rsidRPr="00E67B67">
        <w:rPr>
          <w:rFonts w:cs="Calibri"/>
          <w:sz w:val="18"/>
          <w:szCs w:val="18"/>
        </w:rPr>
        <w:t xml:space="preserve"> denote the weight fractions of each component; T</w:t>
      </w:r>
      <w:r w:rsidRPr="00E67B67">
        <w:rPr>
          <w:rFonts w:cs="Calibri"/>
          <w:sz w:val="18"/>
          <w:szCs w:val="18"/>
          <w:vertAlign w:val="subscript"/>
        </w:rPr>
        <w:t>g1</w:t>
      </w:r>
      <w:r w:rsidRPr="00E67B67">
        <w:rPr>
          <w:rFonts w:cs="Calibri"/>
          <w:sz w:val="18"/>
          <w:szCs w:val="18"/>
        </w:rPr>
        <w:t xml:space="preserve"> and T</w:t>
      </w:r>
      <w:r w:rsidRPr="00E67B67">
        <w:rPr>
          <w:rFonts w:cs="Calibri"/>
          <w:sz w:val="18"/>
          <w:szCs w:val="18"/>
          <w:vertAlign w:val="subscript"/>
        </w:rPr>
        <w:t>g2</w:t>
      </w:r>
      <w:r w:rsidRPr="00E67B67">
        <w:rPr>
          <w:rFonts w:cs="Calibri"/>
          <w:sz w:val="18"/>
          <w:szCs w:val="18"/>
        </w:rPr>
        <w:t xml:space="preserve"> correspond to the glass transition temperature of each component, T</w:t>
      </w:r>
      <w:r w:rsidRPr="00E67B67">
        <w:rPr>
          <w:rFonts w:cs="Calibri"/>
          <w:sz w:val="18"/>
          <w:szCs w:val="18"/>
          <w:vertAlign w:val="subscript"/>
        </w:rPr>
        <w:t>g</w:t>
      </w:r>
      <w:r w:rsidRPr="00E67B67">
        <w:rPr>
          <w:rFonts w:cs="Calibri"/>
          <w:sz w:val="18"/>
          <w:szCs w:val="18"/>
        </w:rPr>
        <w:t xml:space="preserve"> is the glass transition temperature of the mixture, while K is defined as the ratio of ΔC</w:t>
      </w:r>
      <w:r w:rsidRPr="00E67B67">
        <w:rPr>
          <w:rFonts w:cs="Calibri"/>
          <w:sz w:val="18"/>
          <w:szCs w:val="18"/>
          <w:vertAlign w:val="subscript"/>
        </w:rPr>
        <w:t>p2</w:t>
      </w:r>
      <w:r w:rsidRPr="00E67B67">
        <w:rPr>
          <w:rFonts w:cs="Calibri"/>
          <w:sz w:val="18"/>
          <w:szCs w:val="18"/>
        </w:rPr>
        <w:t>/ΔC</w:t>
      </w:r>
      <w:r w:rsidRPr="00E67B67">
        <w:rPr>
          <w:rFonts w:cs="Calibri"/>
          <w:sz w:val="18"/>
          <w:szCs w:val="18"/>
          <w:vertAlign w:val="subscript"/>
        </w:rPr>
        <w:t>p1</w:t>
      </w:r>
      <w:r w:rsidRPr="00E67B67">
        <w:rPr>
          <w:rFonts w:cs="Calibri"/>
          <w:sz w:val="18"/>
          <w:szCs w:val="18"/>
        </w:rPr>
        <w:t>.</w:t>
      </w:r>
      <w:r w:rsidR="00CC3671">
        <w:rPr>
          <w:rFonts w:cs="Calibri"/>
          <w:sz w:val="18"/>
          <w:szCs w:val="18"/>
        </w:rPr>
        <w:t xml:space="preserve"> </w:t>
      </w:r>
    </w:p>
    <w:p w14:paraId="5871BB01" w14:textId="4D7DF446" w:rsidR="00D73250" w:rsidRPr="00F74E08" w:rsidRDefault="00D73250" w:rsidP="00F74E08">
      <w:pPr>
        <w:pStyle w:val="ListParagraph"/>
        <w:ind w:left="0"/>
        <w:jc w:val="both"/>
        <w:rPr>
          <w:rFonts w:cs="Calibri"/>
          <w:sz w:val="18"/>
          <w:szCs w:val="18"/>
        </w:rPr>
      </w:pPr>
      <w:r w:rsidRPr="00E67B67">
        <w:rPr>
          <w:rFonts w:cs="Calibri"/>
          <w:sz w:val="18"/>
          <w:szCs w:val="24"/>
        </w:rPr>
        <w:t>In contrast, the T</w:t>
      </w:r>
      <w:r w:rsidRPr="00E67B67">
        <w:rPr>
          <w:rFonts w:cs="Calibri"/>
          <w:sz w:val="18"/>
          <w:szCs w:val="24"/>
          <w:vertAlign w:val="subscript"/>
        </w:rPr>
        <w:t>g</w:t>
      </w:r>
      <w:r w:rsidRPr="00E67B67">
        <w:rPr>
          <w:rFonts w:cs="Calibri"/>
          <w:sz w:val="18"/>
          <w:szCs w:val="24"/>
        </w:rPr>
        <w:t xml:space="preserve"> values of LD/PRL mixtures do not increase in a linear manner but reveal a characteristic kink when the mole fraction </w:t>
      </w:r>
      <w:r w:rsidR="00870EB9">
        <w:rPr>
          <w:rFonts w:cs="Calibri"/>
          <w:sz w:val="18"/>
          <w:szCs w:val="24"/>
        </w:rPr>
        <w:t>of PRL achieves the value of 0.7</w:t>
      </w:r>
      <w:r w:rsidRPr="00E67B67">
        <w:rPr>
          <w:rFonts w:cs="Calibri"/>
          <w:sz w:val="18"/>
          <w:szCs w:val="24"/>
        </w:rPr>
        <w:t>. According to literature, such a breakdown of the Gordon-Taylor behaviour is usually explained in terms of specific intermolecular interactions (e.g. hydrogen bonds) between molecules in a binary system.</w:t>
      </w:r>
      <w:r w:rsidRPr="00E67B67">
        <w:rPr>
          <w:rStyle w:val="EndnoteReference"/>
          <w:rFonts w:cs="Calibri"/>
          <w:sz w:val="18"/>
          <w:szCs w:val="24"/>
        </w:rPr>
        <w:endnoteReference w:id="34"/>
      </w:r>
      <w:r w:rsidRPr="00E67B67">
        <w:rPr>
          <w:rFonts w:cs="Calibri"/>
          <w:sz w:val="18"/>
          <w:szCs w:val="24"/>
        </w:rPr>
        <w:t xml:space="preserve"> This is in agreements with the </w:t>
      </w:r>
      <w:r w:rsidR="00892141">
        <w:rPr>
          <w:rFonts w:cs="Calibri"/>
          <w:sz w:val="18"/>
          <w:szCs w:val="24"/>
        </w:rPr>
        <w:t>predictions</w:t>
      </w:r>
      <w:r w:rsidR="00892141" w:rsidRPr="00E67B67">
        <w:rPr>
          <w:rFonts w:cs="Calibri"/>
          <w:sz w:val="18"/>
          <w:szCs w:val="24"/>
        </w:rPr>
        <w:t xml:space="preserve"> </w:t>
      </w:r>
      <w:r w:rsidRPr="00E67B67">
        <w:rPr>
          <w:rFonts w:cs="Calibri"/>
          <w:sz w:val="18"/>
          <w:szCs w:val="24"/>
        </w:rPr>
        <w:t xml:space="preserve">of Schroder-van Laar model discussed above. As PRL may interact with LD molecules, it can be treated as a crystallization inhibitor of this anesthetic agent. </w:t>
      </w:r>
    </w:p>
    <w:p w14:paraId="1E200383" w14:textId="4A87AD6C" w:rsidR="00D73250" w:rsidRDefault="00405881" w:rsidP="00F74E08">
      <w:pPr>
        <w:pStyle w:val="ListParagraph"/>
        <w:ind w:left="0" w:firstLine="284"/>
        <w:jc w:val="both"/>
        <w:rPr>
          <w:rFonts w:cs="Calibri"/>
          <w:sz w:val="18"/>
          <w:szCs w:val="18"/>
        </w:rPr>
      </w:pPr>
      <w:r>
        <w:rPr>
          <w:rFonts w:cs="Calibri"/>
          <w:sz w:val="18"/>
          <w:szCs w:val="18"/>
        </w:rPr>
        <w:t>Another</w:t>
      </w:r>
      <w:r w:rsidR="00CC3671" w:rsidRPr="00CC3671">
        <w:rPr>
          <w:rFonts w:cs="Calibri"/>
          <w:sz w:val="18"/>
          <w:szCs w:val="18"/>
        </w:rPr>
        <w:t xml:space="preserve"> problem being worth to address is whether or not the intermolecular interaction already found between LD and PRL molecules affect the length scale of the global molecular mobility at T</w:t>
      </w:r>
      <w:r w:rsidR="00CC3671" w:rsidRPr="00F74E08">
        <w:rPr>
          <w:rFonts w:cs="Calibri"/>
          <w:sz w:val="18"/>
          <w:szCs w:val="18"/>
          <w:vertAlign w:val="subscript"/>
        </w:rPr>
        <w:t>g</w:t>
      </w:r>
      <w:r w:rsidR="00CC3671" w:rsidRPr="00CC3671">
        <w:rPr>
          <w:rFonts w:cs="Calibri"/>
          <w:sz w:val="18"/>
          <w:szCs w:val="18"/>
        </w:rPr>
        <w:t xml:space="preserve"> and how does the drug ionization influence this parameter? To answer these questions one need to estimate the number of dynamically correlated molecules N</w:t>
      </w:r>
      <w:r w:rsidR="00CC3671" w:rsidRPr="00F74E08">
        <w:rPr>
          <w:rFonts w:cs="Calibri"/>
          <w:sz w:val="18"/>
          <w:szCs w:val="18"/>
          <w:vertAlign w:val="subscript"/>
        </w:rPr>
        <w:t>α</w:t>
      </w:r>
      <w:r w:rsidR="00CC3671" w:rsidRPr="00CC3671">
        <w:rPr>
          <w:rFonts w:cs="Calibri"/>
          <w:sz w:val="18"/>
          <w:szCs w:val="18"/>
        </w:rPr>
        <w:t>(T</w:t>
      </w:r>
      <w:r w:rsidR="00CC3671" w:rsidRPr="00F74E08">
        <w:rPr>
          <w:rFonts w:cs="Calibri"/>
          <w:sz w:val="18"/>
          <w:szCs w:val="18"/>
          <w:vertAlign w:val="subscript"/>
        </w:rPr>
        <w:t>g</w:t>
      </w:r>
      <w:r w:rsidR="00CC3671" w:rsidRPr="00CC3671">
        <w:rPr>
          <w:rFonts w:cs="Calibri"/>
          <w:sz w:val="18"/>
          <w:szCs w:val="18"/>
        </w:rPr>
        <w:t>) (i.e. moving in the same manner with similar relaxation time) for all studi</w:t>
      </w:r>
      <w:r w:rsidR="00CC3671">
        <w:rPr>
          <w:rFonts w:cs="Calibri"/>
          <w:sz w:val="18"/>
          <w:szCs w:val="18"/>
        </w:rPr>
        <w:t>ed herein ionic and dipolar mixtures</w:t>
      </w:r>
      <w:r w:rsidR="00CC3671" w:rsidRPr="00CC3671">
        <w:rPr>
          <w:rFonts w:cs="Calibri"/>
          <w:sz w:val="18"/>
          <w:szCs w:val="18"/>
        </w:rPr>
        <w:t>. For this purpose the Donth formula</w:t>
      </w:r>
      <w:r w:rsidR="00CC3671" w:rsidRPr="00E67B67">
        <w:rPr>
          <w:rStyle w:val="EndnoteReference"/>
          <w:rFonts w:cs="Calibri"/>
          <w:sz w:val="18"/>
          <w:szCs w:val="18"/>
        </w:rPr>
        <w:endnoteReference w:id="35"/>
      </w:r>
      <w:r w:rsidR="00CC3671" w:rsidRPr="00CC3671">
        <w:rPr>
          <w:rFonts w:cs="Calibri"/>
          <w:sz w:val="18"/>
          <w:szCs w:val="18"/>
        </w:rPr>
        <w:t xml:space="preserve"> is usually employed. In this approach the number of dynamically correlated particles can be estimated by the following equation:</w:t>
      </w:r>
    </w:p>
    <w:p w14:paraId="4D336C84" w14:textId="77777777" w:rsidR="00CC3671" w:rsidRPr="00E67B67" w:rsidRDefault="0003666B" w:rsidP="00CC3671">
      <w:pPr>
        <w:jc w:val="both"/>
        <w:rPr>
          <w:rFonts w:cs="Calibri"/>
          <w:sz w:val="18"/>
          <w:szCs w:val="18"/>
        </w:rPr>
      </w:pPr>
      <m:oMath>
        <m:sSubSup>
          <m:sSubSupPr>
            <m:ctrlPr>
              <w:rPr>
                <w:rFonts w:ascii="Cambria Math" w:hAnsi="Cambria Math"/>
                <w:i/>
                <w:sz w:val="20"/>
              </w:rPr>
            </m:ctrlPr>
          </m:sSubSupPr>
          <m:e>
            <m:r>
              <w:rPr>
                <w:rFonts w:ascii="Cambria Math" w:hAnsi="Cambria Math" w:cs="Calibri"/>
                <w:sz w:val="20"/>
                <w:szCs w:val="18"/>
              </w:rPr>
              <m:t>N</m:t>
            </m:r>
          </m:e>
          <m:sub>
            <m:r>
              <w:rPr>
                <w:rFonts w:ascii="Cambria Math" w:hAnsi="Cambria Math" w:cs="Calibri"/>
                <w:sz w:val="20"/>
                <w:szCs w:val="18"/>
              </w:rPr>
              <m:t>α</m:t>
            </m:r>
          </m:sub>
          <m:sup>
            <m:r>
              <w:rPr>
                <w:rFonts w:ascii="Cambria Math" w:hAnsi="Cambria Math" w:cs="Calibri"/>
                <w:sz w:val="20"/>
                <w:szCs w:val="18"/>
              </w:rPr>
              <m:t>D</m:t>
            </m:r>
          </m:sup>
        </m:sSubSup>
        <m:d>
          <m:dPr>
            <m:ctrlPr>
              <w:rPr>
                <w:rFonts w:ascii="Cambria Math" w:hAnsi="Cambria Math"/>
                <w:i/>
                <w:sz w:val="20"/>
              </w:rPr>
            </m:ctrlPr>
          </m:dPr>
          <m:e>
            <m:sSub>
              <m:sSubPr>
                <m:ctrlPr>
                  <w:rPr>
                    <w:rFonts w:ascii="Cambria Math" w:hAnsi="Cambria Math"/>
                    <w:i/>
                    <w:sz w:val="20"/>
                  </w:rPr>
                </m:ctrlPr>
              </m:sSubPr>
              <m:e>
                <m:r>
                  <w:rPr>
                    <w:rFonts w:ascii="Cambria Math" w:hAnsi="Cambria Math" w:cs="Calibri"/>
                    <w:sz w:val="20"/>
                    <w:szCs w:val="18"/>
                  </w:rPr>
                  <m:t>T</m:t>
                </m:r>
              </m:e>
              <m:sub>
                <m:r>
                  <w:rPr>
                    <w:rFonts w:ascii="Cambria Math" w:hAnsi="Cambria Math" w:cs="Calibri"/>
                    <w:sz w:val="20"/>
                    <w:szCs w:val="18"/>
                  </w:rPr>
                  <m:t>g</m:t>
                </m:r>
              </m:sub>
            </m:sSub>
          </m:e>
        </m:d>
        <m:r>
          <w:rPr>
            <w:rFonts w:ascii="Cambria Math" w:hAnsi="Cambria Math" w:cs="Calibri"/>
            <w:sz w:val="20"/>
            <w:szCs w:val="18"/>
          </w:rPr>
          <m:t>=</m:t>
        </m:r>
        <m:f>
          <m:fPr>
            <m:ctrlPr>
              <w:rPr>
                <w:rFonts w:ascii="Cambria Math" w:hAnsi="Cambria Math"/>
                <w:i/>
                <w:sz w:val="20"/>
              </w:rPr>
            </m:ctrlPr>
          </m:fPr>
          <m:num>
            <m:sSub>
              <m:sSubPr>
                <m:ctrlPr>
                  <w:rPr>
                    <w:rFonts w:ascii="Cambria Math" w:hAnsi="Cambria Math"/>
                    <w:i/>
                    <w:sz w:val="20"/>
                  </w:rPr>
                </m:ctrlPr>
              </m:sSubPr>
              <m:e>
                <m:r>
                  <w:rPr>
                    <w:rFonts w:ascii="Cambria Math" w:hAnsi="Cambria Math" w:cs="Calibri"/>
                    <w:sz w:val="20"/>
                    <w:szCs w:val="18"/>
                  </w:rPr>
                  <m:t>N</m:t>
                </m:r>
              </m:e>
              <m:sub>
                <m:r>
                  <w:rPr>
                    <w:rFonts w:ascii="Cambria Math" w:hAnsi="Cambria Math" w:cs="Calibri"/>
                    <w:sz w:val="20"/>
                    <w:szCs w:val="18"/>
                  </w:rPr>
                  <m:t>A</m:t>
                </m:r>
              </m:sub>
            </m:sSub>
            <m:d>
              <m:dPr>
                <m:ctrlPr>
                  <w:rPr>
                    <w:rFonts w:ascii="Cambria Math" w:hAnsi="Cambria Math"/>
                    <w:i/>
                    <w:sz w:val="20"/>
                  </w:rPr>
                </m:ctrlPr>
              </m:dPr>
              <m:e>
                <m:f>
                  <m:fPr>
                    <m:ctrlPr>
                      <w:rPr>
                        <w:rFonts w:ascii="Cambria Math" w:hAnsi="Cambria Math"/>
                        <w:i/>
                        <w:sz w:val="20"/>
                      </w:rPr>
                    </m:ctrlPr>
                  </m:fPr>
                  <m:num>
                    <m:r>
                      <w:rPr>
                        <w:rFonts w:ascii="Cambria Math" w:hAnsi="Cambria Math" w:cs="Calibri"/>
                        <w:sz w:val="20"/>
                        <w:szCs w:val="18"/>
                      </w:rPr>
                      <m:t>1</m:t>
                    </m:r>
                  </m:num>
                  <m:den>
                    <m:sSubSup>
                      <m:sSubSupPr>
                        <m:ctrlPr>
                          <w:rPr>
                            <w:rFonts w:ascii="Cambria Math" w:hAnsi="Cambria Math"/>
                            <w:i/>
                            <w:sz w:val="20"/>
                          </w:rPr>
                        </m:ctrlPr>
                      </m:sSubSupPr>
                      <m:e>
                        <m:r>
                          <w:rPr>
                            <w:rFonts w:ascii="Cambria Math" w:hAnsi="Cambria Math" w:cs="Calibri"/>
                            <w:sz w:val="20"/>
                            <w:szCs w:val="18"/>
                          </w:rPr>
                          <m:t>C</m:t>
                        </m:r>
                      </m:e>
                      <m:sub>
                        <m:r>
                          <w:rPr>
                            <w:rFonts w:ascii="Cambria Math" w:hAnsi="Cambria Math" w:cs="Calibri"/>
                            <w:sz w:val="20"/>
                            <w:szCs w:val="18"/>
                          </w:rPr>
                          <m:t>p</m:t>
                        </m:r>
                      </m:sub>
                      <m:sup>
                        <m:r>
                          <w:rPr>
                            <w:rFonts w:ascii="Cambria Math" w:hAnsi="Cambria Math" w:cs="Calibri"/>
                            <w:sz w:val="20"/>
                            <w:szCs w:val="18"/>
                          </w:rPr>
                          <m:t>glass</m:t>
                        </m:r>
                      </m:sup>
                    </m:sSubSup>
                  </m:den>
                </m:f>
                <m:r>
                  <w:rPr>
                    <w:rFonts w:ascii="Cambria Math" w:hAnsi="Cambria Math" w:cs="Calibri"/>
                    <w:sz w:val="20"/>
                    <w:szCs w:val="18"/>
                  </w:rPr>
                  <m:t>-</m:t>
                </m:r>
                <m:f>
                  <m:fPr>
                    <m:ctrlPr>
                      <w:rPr>
                        <w:rFonts w:ascii="Cambria Math" w:hAnsi="Cambria Math"/>
                        <w:i/>
                        <w:sz w:val="20"/>
                      </w:rPr>
                    </m:ctrlPr>
                  </m:fPr>
                  <m:num>
                    <m:r>
                      <w:rPr>
                        <w:rFonts w:ascii="Cambria Math" w:hAnsi="Cambria Math" w:cs="Calibri"/>
                        <w:sz w:val="20"/>
                        <w:szCs w:val="18"/>
                      </w:rPr>
                      <m:t>1</m:t>
                    </m:r>
                  </m:num>
                  <m:den>
                    <m:sSubSup>
                      <m:sSubSupPr>
                        <m:ctrlPr>
                          <w:rPr>
                            <w:rFonts w:ascii="Cambria Math" w:hAnsi="Cambria Math"/>
                            <w:i/>
                            <w:sz w:val="20"/>
                          </w:rPr>
                        </m:ctrlPr>
                      </m:sSubSupPr>
                      <m:e>
                        <m:r>
                          <w:rPr>
                            <w:rFonts w:ascii="Cambria Math" w:hAnsi="Cambria Math" w:cs="Calibri"/>
                            <w:sz w:val="20"/>
                            <w:szCs w:val="18"/>
                          </w:rPr>
                          <m:t>C</m:t>
                        </m:r>
                      </m:e>
                      <m:sub>
                        <m:r>
                          <w:rPr>
                            <w:rFonts w:ascii="Cambria Math" w:hAnsi="Cambria Math" w:cs="Calibri"/>
                            <w:sz w:val="20"/>
                            <w:szCs w:val="18"/>
                          </w:rPr>
                          <m:t>p</m:t>
                        </m:r>
                      </m:sub>
                      <m:sup>
                        <m:r>
                          <w:rPr>
                            <w:rFonts w:ascii="Cambria Math" w:hAnsi="Cambria Math" w:cs="Calibri"/>
                            <w:sz w:val="20"/>
                            <w:szCs w:val="18"/>
                          </w:rPr>
                          <m:t>liquid</m:t>
                        </m:r>
                      </m:sup>
                    </m:sSubSup>
                  </m:den>
                </m:f>
              </m:e>
            </m:d>
            <m:sSub>
              <m:sSubPr>
                <m:ctrlPr>
                  <w:rPr>
                    <w:rFonts w:ascii="Cambria Math" w:hAnsi="Cambria Math"/>
                    <w:i/>
                    <w:sz w:val="20"/>
                  </w:rPr>
                </m:ctrlPr>
              </m:sSubPr>
              <m:e>
                <m:r>
                  <w:rPr>
                    <w:rFonts w:ascii="Cambria Math" w:hAnsi="Cambria Math" w:cs="Calibri"/>
                    <w:sz w:val="20"/>
                    <w:szCs w:val="18"/>
                  </w:rPr>
                  <m:t>k</m:t>
                </m:r>
              </m:e>
              <m:sub>
                <m:r>
                  <w:rPr>
                    <w:rFonts w:ascii="Cambria Math" w:hAnsi="Cambria Math" w:cs="Calibri"/>
                    <w:sz w:val="20"/>
                    <w:szCs w:val="18"/>
                  </w:rPr>
                  <m:t>B</m:t>
                </m:r>
              </m:sub>
            </m:sSub>
            <m:sSubSup>
              <m:sSubSupPr>
                <m:ctrlPr>
                  <w:rPr>
                    <w:rFonts w:ascii="Cambria Math" w:hAnsi="Cambria Math"/>
                    <w:i/>
                    <w:sz w:val="20"/>
                  </w:rPr>
                </m:ctrlPr>
              </m:sSubSupPr>
              <m:e>
                <m:r>
                  <w:rPr>
                    <w:rFonts w:ascii="Cambria Math" w:hAnsi="Cambria Math" w:cs="Calibri"/>
                    <w:sz w:val="20"/>
                    <w:szCs w:val="18"/>
                  </w:rPr>
                  <m:t>T</m:t>
                </m:r>
              </m:e>
              <m:sub>
                <m:r>
                  <w:rPr>
                    <w:rFonts w:ascii="Cambria Math" w:hAnsi="Cambria Math" w:cs="Calibri"/>
                    <w:sz w:val="20"/>
                    <w:szCs w:val="18"/>
                  </w:rPr>
                  <m:t>g</m:t>
                </m:r>
              </m:sub>
              <m:sup>
                <m:r>
                  <w:rPr>
                    <w:rFonts w:ascii="Cambria Math" w:hAnsi="Cambria Math" w:cs="Calibri"/>
                    <w:sz w:val="20"/>
                    <w:szCs w:val="18"/>
                  </w:rPr>
                  <m:t>2</m:t>
                </m:r>
              </m:sup>
            </m:sSubSup>
          </m:num>
          <m:den>
            <m:r>
              <w:rPr>
                <w:rFonts w:ascii="Cambria Math" w:hAnsi="Cambria Math" w:cs="Calibri"/>
                <w:sz w:val="20"/>
                <w:szCs w:val="18"/>
              </w:rPr>
              <m:t>M</m:t>
            </m:r>
            <m:sSup>
              <m:sSupPr>
                <m:ctrlPr>
                  <w:rPr>
                    <w:rFonts w:ascii="Cambria Math" w:hAnsi="Cambria Math"/>
                    <w:i/>
                    <w:sz w:val="20"/>
                  </w:rPr>
                </m:ctrlPr>
              </m:sSupPr>
              <m:e>
                <m:d>
                  <m:dPr>
                    <m:ctrlPr>
                      <w:rPr>
                        <w:rFonts w:ascii="Cambria Math" w:hAnsi="Cambria Math"/>
                        <w:i/>
                        <w:sz w:val="20"/>
                      </w:rPr>
                    </m:ctrlPr>
                  </m:dPr>
                  <m:e>
                    <m:r>
                      <w:rPr>
                        <w:rFonts w:ascii="Cambria Math" w:hAnsi="Cambria Math" w:cs="Calibri"/>
                        <w:sz w:val="20"/>
                        <w:szCs w:val="18"/>
                      </w:rPr>
                      <m:t>δT</m:t>
                    </m:r>
                  </m:e>
                </m:d>
              </m:e>
              <m:sup>
                <m:r>
                  <w:rPr>
                    <w:rFonts w:ascii="Cambria Math" w:hAnsi="Cambria Math" w:cs="Calibri"/>
                    <w:sz w:val="20"/>
                    <w:szCs w:val="18"/>
                  </w:rPr>
                  <m:t>2</m:t>
                </m:r>
              </m:sup>
            </m:sSup>
          </m:den>
        </m:f>
      </m:oMath>
      <w:r w:rsidR="00CC3671" w:rsidRPr="00E67B67">
        <w:rPr>
          <w:rFonts w:eastAsiaTheme="minorEastAsia" w:cs="Calibri"/>
          <w:sz w:val="18"/>
          <w:szCs w:val="18"/>
        </w:rPr>
        <w:t xml:space="preserve">   </w:t>
      </w:r>
      <w:r w:rsidR="00CC3671" w:rsidRPr="00E67B67">
        <w:rPr>
          <w:rFonts w:eastAsiaTheme="minorEastAsia" w:cs="Calibri"/>
          <w:sz w:val="18"/>
          <w:szCs w:val="18"/>
        </w:rPr>
        <w:tab/>
      </w:r>
      <w:r w:rsidR="00CC3671" w:rsidRPr="00E67B67">
        <w:rPr>
          <w:rFonts w:eastAsiaTheme="minorEastAsia" w:cs="Calibri"/>
          <w:sz w:val="18"/>
          <w:szCs w:val="18"/>
        </w:rPr>
        <w:tab/>
      </w:r>
      <w:r w:rsidR="00CC3671" w:rsidRPr="00E67B67">
        <w:rPr>
          <w:rFonts w:eastAsiaTheme="minorEastAsia" w:cs="Calibri"/>
          <w:sz w:val="18"/>
          <w:szCs w:val="18"/>
        </w:rPr>
        <w:tab/>
      </w:r>
      <w:r w:rsidR="00CC3671" w:rsidRPr="00E67B67">
        <w:rPr>
          <w:rFonts w:eastAsiaTheme="minorEastAsia" w:cs="Calibri"/>
          <w:sz w:val="18"/>
          <w:szCs w:val="18"/>
        </w:rPr>
        <w:tab/>
      </w:r>
      <w:r w:rsidR="00CC3671" w:rsidRPr="00E67B67">
        <w:rPr>
          <w:rFonts w:eastAsiaTheme="minorEastAsia" w:cs="Calibri"/>
          <w:sz w:val="18"/>
          <w:szCs w:val="18"/>
        </w:rPr>
        <w:tab/>
      </w:r>
      <w:r w:rsidR="00CC3671" w:rsidRPr="00E67B67">
        <w:rPr>
          <w:rFonts w:eastAsiaTheme="minorEastAsia" w:cs="Calibri"/>
          <w:sz w:val="18"/>
          <w:szCs w:val="18"/>
        </w:rPr>
        <w:tab/>
      </w:r>
      <w:r w:rsidR="00CC3671" w:rsidRPr="00E67B67">
        <w:rPr>
          <w:rFonts w:eastAsiaTheme="minorEastAsia" w:cs="Calibri"/>
          <w:sz w:val="18"/>
          <w:szCs w:val="18"/>
        </w:rPr>
        <w:tab/>
        <w:t>(</w:t>
      </w:r>
      <w:r w:rsidR="00CC3671">
        <w:rPr>
          <w:rFonts w:eastAsiaTheme="minorEastAsia" w:cs="Calibri"/>
          <w:sz w:val="18"/>
          <w:szCs w:val="18"/>
        </w:rPr>
        <w:t>3</w:t>
      </w:r>
      <w:r w:rsidR="00CC3671" w:rsidRPr="00E67B67">
        <w:rPr>
          <w:rFonts w:eastAsiaTheme="minorEastAsia" w:cs="Calibri"/>
          <w:sz w:val="18"/>
          <w:szCs w:val="18"/>
        </w:rPr>
        <w:t>)</w:t>
      </w:r>
    </w:p>
    <w:p w14:paraId="48D6D912" w14:textId="77777777" w:rsidR="00CC3671" w:rsidRPr="00E67B67" w:rsidRDefault="00CC3671" w:rsidP="00CC3671">
      <w:pPr>
        <w:spacing w:after="0"/>
        <w:jc w:val="both"/>
        <w:rPr>
          <w:rFonts w:cs="Calibri"/>
          <w:sz w:val="18"/>
          <w:szCs w:val="18"/>
        </w:rPr>
      </w:pPr>
      <w:r w:rsidRPr="00E67B67">
        <w:rPr>
          <w:rFonts w:cs="Calibri"/>
          <w:sz w:val="18"/>
          <w:szCs w:val="18"/>
        </w:rPr>
        <w:t>where T</w:t>
      </w:r>
      <w:r w:rsidRPr="00E67B67">
        <w:rPr>
          <w:rFonts w:cs="Calibri"/>
          <w:sz w:val="18"/>
          <w:szCs w:val="18"/>
          <w:vertAlign w:val="subscript"/>
        </w:rPr>
        <w:t>g</w:t>
      </w:r>
      <w:r w:rsidRPr="00E67B67">
        <w:rPr>
          <w:rFonts w:cs="Calibri"/>
          <w:sz w:val="18"/>
          <w:szCs w:val="18"/>
        </w:rPr>
        <w:softHyphen/>
        <w:t xml:space="preserve"> is the glass transition temperature, k</w:t>
      </w:r>
      <w:r w:rsidRPr="00E67B67">
        <w:rPr>
          <w:rFonts w:cs="Calibri"/>
          <w:sz w:val="18"/>
          <w:szCs w:val="18"/>
          <w:vertAlign w:val="subscript"/>
        </w:rPr>
        <w:t>B</w:t>
      </w:r>
      <w:r w:rsidRPr="00E67B67">
        <w:rPr>
          <w:rFonts w:cs="Calibri"/>
          <w:sz w:val="18"/>
          <w:szCs w:val="18"/>
        </w:rPr>
        <w:t>–Boltzman constant, M–molar mass, C</w:t>
      </w:r>
      <w:r w:rsidRPr="00E67B67">
        <w:rPr>
          <w:rFonts w:cs="Calibri"/>
          <w:sz w:val="18"/>
          <w:szCs w:val="18"/>
          <w:vertAlign w:val="subscript"/>
        </w:rPr>
        <w:t>p</w:t>
      </w:r>
      <w:r w:rsidRPr="00E67B67">
        <w:rPr>
          <w:rFonts w:cs="Calibri"/>
          <w:sz w:val="18"/>
          <w:szCs w:val="18"/>
        </w:rPr>
        <w:t>– the isobaric heat capacities of glass and liquid at T</w:t>
      </w:r>
      <w:r w:rsidRPr="00E67B67">
        <w:rPr>
          <w:rFonts w:cs="Calibri"/>
          <w:sz w:val="18"/>
          <w:szCs w:val="18"/>
          <w:vertAlign w:val="subscript"/>
        </w:rPr>
        <w:t>g</w:t>
      </w:r>
      <w:r w:rsidRPr="00E67B67">
        <w:rPr>
          <w:rFonts w:cs="Calibri"/>
          <w:sz w:val="18"/>
          <w:szCs w:val="18"/>
        </w:rPr>
        <w:t>, and δT=ΔT/2.5 is the average temperature fluctuation calculated as the temperature interval ΔT where the heat capacity changes</w:t>
      </w:r>
      <w:r>
        <w:rPr>
          <w:rFonts w:cs="Calibri"/>
          <w:sz w:val="18"/>
          <w:szCs w:val="18"/>
        </w:rPr>
        <w:t xml:space="preserve"> </w:t>
      </w:r>
      <w:r w:rsidRPr="00E67B67">
        <w:rPr>
          <w:rFonts w:cs="Calibri"/>
          <w:sz w:val="18"/>
          <w:szCs w:val="18"/>
        </w:rPr>
        <w:t>from 16 to 84% of the total heat capacity step ΔC</w:t>
      </w:r>
      <w:r w:rsidRPr="00E67B67">
        <w:rPr>
          <w:rFonts w:cs="Calibri"/>
          <w:sz w:val="18"/>
          <w:szCs w:val="18"/>
          <w:vertAlign w:val="subscript"/>
        </w:rPr>
        <w:t>p</w:t>
      </w:r>
      <w:r w:rsidRPr="00E67B67">
        <w:rPr>
          <w:rFonts w:cs="Calibri"/>
          <w:sz w:val="18"/>
          <w:szCs w:val="18"/>
        </w:rPr>
        <w:t xml:space="preserve"> at T</w:t>
      </w:r>
      <w:r w:rsidRPr="00E67B67">
        <w:rPr>
          <w:rFonts w:cs="Calibri"/>
          <w:sz w:val="18"/>
          <w:szCs w:val="18"/>
          <w:vertAlign w:val="subscript"/>
        </w:rPr>
        <w:t>g</w:t>
      </w:r>
      <w:r w:rsidRPr="00E67B67">
        <w:rPr>
          <w:rFonts w:cs="Calibri"/>
          <w:sz w:val="18"/>
          <w:szCs w:val="18"/>
        </w:rPr>
        <w:t xml:space="preserve"> (see Fig. </w:t>
      </w:r>
      <w:r>
        <w:rPr>
          <w:rFonts w:cs="Calibri"/>
          <w:sz w:val="18"/>
          <w:szCs w:val="18"/>
        </w:rPr>
        <w:t>8</w:t>
      </w:r>
      <w:r w:rsidRPr="00E67B67">
        <w:rPr>
          <w:rFonts w:cs="Calibri"/>
          <w:sz w:val="18"/>
          <w:szCs w:val="18"/>
        </w:rPr>
        <w:t>A).</w:t>
      </w:r>
    </w:p>
    <w:p w14:paraId="75526E90" w14:textId="77777777" w:rsidR="00CC3671" w:rsidRPr="00F74E08" w:rsidRDefault="00CC3671" w:rsidP="00F74E08">
      <w:pPr>
        <w:jc w:val="both"/>
        <w:rPr>
          <w:rFonts w:cs="Calibri"/>
          <w:sz w:val="18"/>
          <w:szCs w:val="18"/>
        </w:rPr>
      </w:pPr>
    </w:p>
    <w:p w14:paraId="76688125" w14:textId="77777777" w:rsidR="00CC3671" w:rsidRDefault="008F70A5" w:rsidP="00CC3671">
      <w:pPr>
        <w:jc w:val="center"/>
        <w:rPr>
          <w:rFonts w:cs="Calibri"/>
          <w:sz w:val="18"/>
          <w:szCs w:val="24"/>
        </w:rPr>
      </w:pPr>
      <w:r w:rsidRPr="008F70A5">
        <w:rPr>
          <w:rFonts w:ascii="Times New Roman" w:hAnsi="Times New Roman"/>
          <w:b/>
          <w:noProof/>
          <w:sz w:val="20"/>
          <w:szCs w:val="20"/>
          <w:lang w:eastAsia="en-GB"/>
        </w:rPr>
        <w:lastRenderedPageBreak/>
        <w:drawing>
          <wp:inline distT="0" distB="0" distL="0" distR="0" wp14:anchorId="3BBE1759" wp14:editId="06927299">
            <wp:extent cx="2346960" cy="2564130"/>
            <wp:effectExtent l="0" t="0" r="0" b="0"/>
            <wp:docPr id="1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1">
                      <a:extLst>
                        <a:ext uri="{28A0092B-C50C-407E-A947-70E740481C1C}">
                          <a14:useLocalDpi xmlns:a14="http://schemas.microsoft.com/office/drawing/2010/main" val="0"/>
                        </a:ext>
                      </a:extLst>
                    </a:blip>
                    <a:srcRect l="7393" t="8783" r="32179" b="5862"/>
                    <a:stretch>
                      <a:fillRect/>
                    </a:stretch>
                  </pic:blipFill>
                  <pic:spPr bwMode="auto">
                    <a:xfrm>
                      <a:off x="0" y="0"/>
                      <a:ext cx="2346960" cy="2564130"/>
                    </a:xfrm>
                    <a:prstGeom prst="rect">
                      <a:avLst/>
                    </a:prstGeom>
                    <a:noFill/>
                    <a:ln>
                      <a:noFill/>
                    </a:ln>
                  </pic:spPr>
                </pic:pic>
              </a:graphicData>
            </a:graphic>
          </wp:inline>
        </w:drawing>
      </w:r>
    </w:p>
    <w:p w14:paraId="222F6BF1" w14:textId="77777777" w:rsidR="00CC3671" w:rsidRDefault="00CC3671" w:rsidP="00CC3671">
      <w:pPr>
        <w:jc w:val="both"/>
        <w:rPr>
          <w:rFonts w:cs="Calibri"/>
          <w:sz w:val="18"/>
          <w:szCs w:val="18"/>
        </w:rPr>
      </w:pPr>
      <w:r>
        <w:rPr>
          <w:rFonts w:cs="Calibri"/>
          <w:b/>
          <w:sz w:val="18"/>
          <w:szCs w:val="18"/>
        </w:rPr>
        <w:t>Figure 8</w:t>
      </w:r>
      <w:r w:rsidRPr="00E67B67">
        <w:rPr>
          <w:rFonts w:cs="Calibri"/>
          <w:sz w:val="18"/>
          <w:szCs w:val="18"/>
        </w:rPr>
        <w:t xml:space="preserve"> A) Temperature dependences of specific heat capacity C</w:t>
      </w:r>
      <w:r w:rsidRPr="00E67B67">
        <w:rPr>
          <w:rFonts w:cs="Calibri"/>
          <w:sz w:val="18"/>
          <w:szCs w:val="18"/>
          <w:vertAlign w:val="subscript"/>
        </w:rPr>
        <w:t>p</w:t>
      </w:r>
      <w:r w:rsidRPr="00E67B67">
        <w:rPr>
          <w:rFonts w:cs="Calibri"/>
          <w:sz w:val="18"/>
          <w:szCs w:val="18"/>
        </w:rPr>
        <w:t xml:space="preserve"> for the  representative DEMs. B) The numbers of dynamically correlated molecules N</w:t>
      </w:r>
      <w:r w:rsidRPr="00E67B67">
        <w:rPr>
          <w:rFonts w:cs="Calibri"/>
          <w:sz w:val="18"/>
          <w:szCs w:val="18"/>
        </w:rPr>
        <w:softHyphen/>
      </w:r>
      <w:r w:rsidRPr="00E67B67">
        <w:rPr>
          <w:rFonts w:cs="Calibri"/>
          <w:sz w:val="18"/>
          <w:szCs w:val="18"/>
          <w:vertAlign w:val="subscript"/>
        </w:rPr>
        <w:t>α</w:t>
      </w:r>
      <w:r w:rsidRPr="00E67B67">
        <w:rPr>
          <w:rFonts w:cs="Calibri"/>
          <w:sz w:val="18"/>
          <w:szCs w:val="18"/>
        </w:rPr>
        <w:t>(T</w:t>
      </w:r>
      <w:r w:rsidRPr="00E67B67">
        <w:rPr>
          <w:rFonts w:cs="Calibri"/>
          <w:sz w:val="18"/>
          <w:szCs w:val="18"/>
          <w:vertAlign w:val="subscript"/>
        </w:rPr>
        <w:t>g</w:t>
      </w:r>
      <w:r w:rsidRPr="00E67B67">
        <w:rPr>
          <w:rFonts w:cs="Calibri"/>
          <w:sz w:val="18"/>
          <w:szCs w:val="18"/>
        </w:rPr>
        <w:t>) for dipolar DEMs (green bars) and ionic DEMs (brown bars) calc</w:t>
      </w:r>
      <w:r>
        <w:rPr>
          <w:rFonts w:cs="Calibri"/>
          <w:sz w:val="18"/>
          <w:szCs w:val="18"/>
        </w:rPr>
        <w:t>ulated by means of Donth model.</w:t>
      </w:r>
    </w:p>
    <w:p w14:paraId="104CCE00" w14:textId="087DB3C5" w:rsidR="00CC3671" w:rsidRDefault="00CC3671" w:rsidP="00F74E08">
      <w:pPr>
        <w:spacing w:after="0"/>
        <w:jc w:val="both"/>
        <w:rPr>
          <w:rFonts w:cs="Calibri"/>
          <w:sz w:val="18"/>
          <w:szCs w:val="18"/>
        </w:rPr>
      </w:pPr>
      <w:r w:rsidRPr="00CC3671">
        <w:rPr>
          <w:rFonts w:cs="Calibri"/>
          <w:sz w:val="18"/>
          <w:szCs w:val="18"/>
        </w:rPr>
        <w:t>Comparing the representative dependences of C</w:t>
      </w:r>
      <w:r w:rsidRPr="00F74E08">
        <w:rPr>
          <w:rFonts w:cs="Calibri"/>
          <w:sz w:val="18"/>
          <w:szCs w:val="18"/>
          <w:vertAlign w:val="subscript"/>
        </w:rPr>
        <w:t>p</w:t>
      </w:r>
      <w:r w:rsidRPr="00CC3671">
        <w:rPr>
          <w:rFonts w:cs="Calibri"/>
          <w:sz w:val="18"/>
          <w:szCs w:val="18"/>
        </w:rPr>
        <w:t>(T) measured for ionic and non-ionic DEMs (Figure 8A) one can easily see that the ΔC</w:t>
      </w:r>
      <w:r w:rsidRPr="00F74E08">
        <w:rPr>
          <w:rFonts w:cs="Calibri"/>
          <w:sz w:val="18"/>
          <w:szCs w:val="18"/>
          <w:vertAlign w:val="subscript"/>
        </w:rPr>
        <w:t>p</w:t>
      </w:r>
      <w:r w:rsidRPr="00CC3671">
        <w:rPr>
          <w:rFonts w:cs="Calibri"/>
          <w:sz w:val="18"/>
          <w:szCs w:val="18"/>
        </w:rPr>
        <w:t xml:space="preserve"> seems to be similar in both these cases</w:t>
      </w:r>
      <w:r w:rsidR="00405881">
        <w:rPr>
          <w:rFonts w:cs="Calibri"/>
          <w:sz w:val="18"/>
          <w:szCs w:val="18"/>
        </w:rPr>
        <w:t>,</w:t>
      </w:r>
      <w:r w:rsidRPr="00CC3671">
        <w:rPr>
          <w:rFonts w:cs="Calibri"/>
          <w:sz w:val="18"/>
          <w:szCs w:val="18"/>
        </w:rPr>
        <w:t xml:space="preserve"> while the width of the glass transition event (ΔT) </w:t>
      </w:r>
      <w:r w:rsidR="00405881" w:rsidRPr="00CC3671">
        <w:rPr>
          <w:rFonts w:cs="Calibri"/>
          <w:sz w:val="18"/>
          <w:szCs w:val="18"/>
        </w:rPr>
        <w:t xml:space="preserve">for LD-HCl/PRL-HCl compositions </w:t>
      </w:r>
      <w:r w:rsidRPr="00CC3671">
        <w:rPr>
          <w:rFonts w:cs="Calibri"/>
          <w:sz w:val="18"/>
          <w:szCs w:val="18"/>
        </w:rPr>
        <w:t xml:space="preserve">is twice </w:t>
      </w:r>
      <w:r w:rsidR="00405881">
        <w:rPr>
          <w:rFonts w:cs="Calibri"/>
          <w:sz w:val="18"/>
          <w:szCs w:val="18"/>
        </w:rPr>
        <w:t xml:space="preserve">as large in comparison to the non-ionic systems, which </w:t>
      </w:r>
      <w:r w:rsidRPr="00CC3671">
        <w:rPr>
          <w:rFonts w:cs="Calibri"/>
          <w:sz w:val="18"/>
          <w:szCs w:val="18"/>
        </w:rPr>
        <w:t>can strongly affect the value of N</w:t>
      </w:r>
      <w:r w:rsidRPr="00F74E08">
        <w:rPr>
          <w:rFonts w:cs="Calibri"/>
          <w:sz w:val="18"/>
          <w:szCs w:val="18"/>
          <w:vertAlign w:val="subscript"/>
        </w:rPr>
        <w:t>α</w:t>
      </w:r>
      <w:r w:rsidRPr="00CC3671">
        <w:rPr>
          <w:rFonts w:cs="Calibri"/>
          <w:sz w:val="18"/>
          <w:szCs w:val="18"/>
        </w:rPr>
        <w:t>. Indeed, for ionic DEMs the length scale of global mobility was found to be three times smaller (N</w:t>
      </w:r>
      <w:r w:rsidRPr="00F74E08">
        <w:rPr>
          <w:rFonts w:cs="Calibri"/>
          <w:sz w:val="18"/>
          <w:szCs w:val="18"/>
          <w:vertAlign w:val="subscript"/>
        </w:rPr>
        <w:t>α</w:t>
      </w:r>
      <w:r w:rsidRPr="00CC3671">
        <w:rPr>
          <w:rFonts w:cs="Calibri"/>
          <w:sz w:val="18"/>
          <w:szCs w:val="18"/>
        </w:rPr>
        <w:t>≈56) than that of LD/PRL compositions (N</w:t>
      </w:r>
      <w:r w:rsidRPr="00F74E08">
        <w:rPr>
          <w:rFonts w:cs="Calibri"/>
          <w:sz w:val="18"/>
          <w:szCs w:val="18"/>
          <w:vertAlign w:val="subscript"/>
        </w:rPr>
        <w:t>α</w:t>
      </w:r>
      <w:r>
        <w:rPr>
          <w:rFonts w:cs="Calibri"/>
          <w:sz w:val="18"/>
          <w:szCs w:val="18"/>
        </w:rPr>
        <w:t xml:space="preserve">≈163), </w:t>
      </w:r>
      <w:r w:rsidR="00405881">
        <w:rPr>
          <w:rFonts w:cs="Calibri"/>
          <w:sz w:val="18"/>
          <w:szCs w:val="18"/>
        </w:rPr>
        <w:t xml:space="preserve">which </w:t>
      </w:r>
      <w:r>
        <w:rPr>
          <w:rFonts w:cs="Calibri"/>
          <w:sz w:val="18"/>
          <w:szCs w:val="18"/>
        </w:rPr>
        <w:t>makes ionic mixtures</w:t>
      </w:r>
      <w:r w:rsidRPr="00CC3671">
        <w:rPr>
          <w:rFonts w:cs="Calibri"/>
          <w:sz w:val="18"/>
          <w:szCs w:val="18"/>
        </w:rPr>
        <w:t xml:space="preserve"> dynamically heterogeneous (see Figure 8B). Interestingly, </w:t>
      </w:r>
      <w:r w:rsidR="00405881">
        <w:rPr>
          <w:rFonts w:cs="Calibri"/>
          <w:sz w:val="18"/>
          <w:szCs w:val="18"/>
        </w:rPr>
        <w:t>a</w:t>
      </w:r>
      <w:r w:rsidR="00405881" w:rsidRPr="00CC3671">
        <w:rPr>
          <w:rFonts w:cs="Calibri"/>
          <w:sz w:val="18"/>
          <w:szCs w:val="18"/>
        </w:rPr>
        <w:t xml:space="preserve"> </w:t>
      </w:r>
      <w:r w:rsidR="00405881">
        <w:rPr>
          <w:rFonts w:cs="Calibri"/>
          <w:sz w:val="18"/>
          <w:szCs w:val="18"/>
        </w:rPr>
        <w:t>low</w:t>
      </w:r>
      <w:r w:rsidR="00405881" w:rsidRPr="00CC3671">
        <w:rPr>
          <w:rFonts w:cs="Calibri"/>
          <w:sz w:val="18"/>
          <w:szCs w:val="18"/>
        </w:rPr>
        <w:t xml:space="preserve"> </w:t>
      </w:r>
      <w:r w:rsidR="00405881">
        <w:rPr>
          <w:rFonts w:cs="Calibri"/>
          <w:sz w:val="18"/>
          <w:szCs w:val="18"/>
        </w:rPr>
        <w:t>number</w:t>
      </w:r>
      <w:r w:rsidR="00405881" w:rsidRPr="00CC3671">
        <w:rPr>
          <w:rFonts w:cs="Calibri"/>
          <w:sz w:val="18"/>
          <w:szCs w:val="18"/>
        </w:rPr>
        <w:t xml:space="preserve"> </w:t>
      </w:r>
      <w:r w:rsidRPr="00CC3671">
        <w:rPr>
          <w:rFonts w:cs="Calibri"/>
          <w:sz w:val="18"/>
          <w:szCs w:val="18"/>
        </w:rPr>
        <w:t>of N</w:t>
      </w:r>
      <w:r w:rsidRPr="00F74E08">
        <w:rPr>
          <w:rFonts w:cs="Calibri"/>
          <w:sz w:val="18"/>
          <w:szCs w:val="18"/>
          <w:vertAlign w:val="subscript"/>
        </w:rPr>
        <w:t>α</w:t>
      </w:r>
      <w:r w:rsidRPr="00CC3671">
        <w:rPr>
          <w:rFonts w:cs="Calibri"/>
          <w:sz w:val="18"/>
          <w:szCs w:val="18"/>
        </w:rPr>
        <w:t xml:space="preserve"> </w:t>
      </w:r>
      <w:r w:rsidR="00405881">
        <w:rPr>
          <w:rFonts w:cs="Calibri"/>
          <w:sz w:val="18"/>
          <w:szCs w:val="18"/>
        </w:rPr>
        <w:t xml:space="preserve">was </w:t>
      </w:r>
      <w:r w:rsidRPr="00CC3671">
        <w:rPr>
          <w:rFonts w:cs="Calibri"/>
          <w:sz w:val="18"/>
          <w:szCs w:val="18"/>
        </w:rPr>
        <w:t>determined for ionic systems despite their relatively high values of T</w:t>
      </w:r>
      <w:r w:rsidRPr="00F74E08">
        <w:rPr>
          <w:rFonts w:cs="Calibri"/>
          <w:sz w:val="18"/>
          <w:szCs w:val="18"/>
          <w:vertAlign w:val="subscript"/>
        </w:rPr>
        <w:t>g</w:t>
      </w:r>
      <w:r w:rsidRPr="00CC3671">
        <w:rPr>
          <w:rFonts w:cs="Calibri"/>
          <w:sz w:val="18"/>
          <w:szCs w:val="18"/>
        </w:rPr>
        <w:t xml:space="preserve">. </w:t>
      </w:r>
      <w:r w:rsidRPr="00E67B67">
        <w:rPr>
          <w:rFonts w:cs="Calibri"/>
          <w:sz w:val="18"/>
          <w:szCs w:val="18"/>
        </w:rPr>
        <w:t>Thus, one can state that the width of the glass transition event (ΔT), being twice as large for LD-HCl/PRL-HCl compositions (see Fig. 9A), play a decisive role in the Donth model.</w:t>
      </w:r>
      <w:r>
        <w:rPr>
          <w:rFonts w:cs="Calibri"/>
          <w:sz w:val="18"/>
          <w:szCs w:val="18"/>
        </w:rPr>
        <w:t xml:space="preserve"> Additionally, i</w:t>
      </w:r>
      <w:r w:rsidRPr="00CC3671">
        <w:rPr>
          <w:rFonts w:cs="Calibri"/>
          <w:sz w:val="18"/>
          <w:szCs w:val="18"/>
        </w:rPr>
        <w:t>t becomes clear that the electrostatic interactions</w:t>
      </w:r>
      <w:r w:rsidR="00405881">
        <w:rPr>
          <w:rFonts w:cs="Calibri"/>
          <w:sz w:val="18"/>
          <w:szCs w:val="18"/>
        </w:rPr>
        <w:t>,</w:t>
      </w:r>
      <w:r w:rsidRPr="00CC3671">
        <w:rPr>
          <w:rFonts w:cs="Calibri"/>
          <w:sz w:val="18"/>
          <w:szCs w:val="18"/>
        </w:rPr>
        <w:t xml:space="preserve"> when dominate in </w:t>
      </w:r>
      <w:r w:rsidR="00405881">
        <w:rPr>
          <w:rFonts w:cs="Calibri"/>
          <w:sz w:val="18"/>
          <w:szCs w:val="18"/>
        </w:rPr>
        <w:t xml:space="preserve">a </w:t>
      </w:r>
      <w:r w:rsidRPr="00CC3671">
        <w:rPr>
          <w:rFonts w:cs="Calibri"/>
          <w:sz w:val="18"/>
          <w:szCs w:val="18"/>
        </w:rPr>
        <w:t>given system</w:t>
      </w:r>
      <w:r w:rsidR="00405881">
        <w:rPr>
          <w:rFonts w:cs="Calibri"/>
          <w:sz w:val="18"/>
          <w:szCs w:val="18"/>
        </w:rPr>
        <w:t>,</w:t>
      </w:r>
      <w:r w:rsidRPr="00CC3671">
        <w:rPr>
          <w:rFonts w:cs="Calibri"/>
          <w:sz w:val="18"/>
          <w:szCs w:val="18"/>
        </w:rPr>
        <w:t xml:space="preserve"> reduce strongly the value of N</w:t>
      </w:r>
      <w:r w:rsidRPr="00F74E08">
        <w:rPr>
          <w:rFonts w:cs="Calibri"/>
          <w:sz w:val="18"/>
          <w:szCs w:val="18"/>
          <w:vertAlign w:val="subscript"/>
        </w:rPr>
        <w:t>α</w:t>
      </w:r>
      <w:r w:rsidRPr="00CC3671">
        <w:rPr>
          <w:rFonts w:cs="Calibri"/>
          <w:sz w:val="18"/>
          <w:szCs w:val="18"/>
        </w:rPr>
        <w:t xml:space="preserve">. </w:t>
      </w:r>
      <w:r w:rsidRPr="00E67B67">
        <w:rPr>
          <w:rFonts w:cs="Calibri"/>
          <w:sz w:val="18"/>
          <w:szCs w:val="18"/>
        </w:rPr>
        <w:t xml:space="preserve">Similar results have been obtained for other systems </w:t>
      </w:r>
      <w:r w:rsidR="00405881">
        <w:rPr>
          <w:rFonts w:cs="Calibri"/>
          <w:sz w:val="18"/>
          <w:szCs w:val="18"/>
        </w:rPr>
        <w:t xml:space="preserve">of the </w:t>
      </w:r>
      <w:r w:rsidRPr="00E67B67">
        <w:rPr>
          <w:rFonts w:cs="Calibri"/>
          <w:sz w:val="18"/>
          <w:szCs w:val="18"/>
        </w:rPr>
        <w:t>protic ionic liquids class</w:t>
      </w:r>
      <w:r w:rsidRPr="00E67B67">
        <w:rPr>
          <w:rStyle w:val="EndnoteReference"/>
          <w:rFonts w:cs="Calibri"/>
          <w:sz w:val="18"/>
          <w:szCs w:val="18"/>
        </w:rPr>
        <w:endnoteReference w:id="36"/>
      </w:r>
      <w:r>
        <w:rPr>
          <w:rFonts w:cs="Calibri"/>
          <w:sz w:val="18"/>
          <w:szCs w:val="18"/>
        </w:rPr>
        <w:t>.</w:t>
      </w:r>
    </w:p>
    <w:p w14:paraId="6D879A7B" w14:textId="5DE3209A" w:rsidR="00D73250" w:rsidRDefault="00CC3671" w:rsidP="00F74E08">
      <w:pPr>
        <w:ind w:firstLine="284"/>
        <w:jc w:val="both"/>
        <w:rPr>
          <w:rFonts w:cs="Calibri"/>
          <w:sz w:val="18"/>
          <w:szCs w:val="18"/>
        </w:rPr>
      </w:pPr>
      <w:r w:rsidRPr="00CC3671">
        <w:rPr>
          <w:rFonts w:cs="Calibri"/>
          <w:sz w:val="18"/>
          <w:szCs w:val="18"/>
        </w:rPr>
        <w:t xml:space="preserve">An additional interesting outcome </w:t>
      </w:r>
      <w:r w:rsidR="00405881">
        <w:rPr>
          <w:rFonts w:cs="Calibri"/>
          <w:sz w:val="18"/>
          <w:szCs w:val="18"/>
        </w:rPr>
        <w:t xml:space="preserve">of the analysis, as shown in </w:t>
      </w:r>
      <w:r w:rsidRPr="00CC3671">
        <w:rPr>
          <w:rFonts w:cs="Calibri"/>
          <w:sz w:val="18"/>
          <w:szCs w:val="18"/>
        </w:rPr>
        <w:t>Figure 8B</w:t>
      </w:r>
      <w:r w:rsidR="00405881">
        <w:rPr>
          <w:rFonts w:cs="Calibri"/>
          <w:sz w:val="18"/>
          <w:szCs w:val="18"/>
        </w:rPr>
        <w:t>,</w:t>
      </w:r>
      <w:r w:rsidRPr="00CC3671">
        <w:rPr>
          <w:rFonts w:cs="Calibri"/>
          <w:sz w:val="18"/>
          <w:szCs w:val="18"/>
        </w:rPr>
        <w:t xml:space="preserve"> is that the value of N</w:t>
      </w:r>
      <w:r w:rsidRPr="00F74E08">
        <w:rPr>
          <w:rFonts w:cs="Calibri"/>
          <w:sz w:val="18"/>
          <w:szCs w:val="18"/>
          <w:vertAlign w:val="subscript"/>
        </w:rPr>
        <w:t>α</w:t>
      </w:r>
      <w:r w:rsidRPr="00CC3671">
        <w:rPr>
          <w:rFonts w:cs="Calibri"/>
          <w:sz w:val="18"/>
          <w:szCs w:val="18"/>
        </w:rPr>
        <w:t xml:space="preserve"> is practically independent on </w:t>
      </w:r>
      <w:r w:rsidR="00405881">
        <w:rPr>
          <w:rFonts w:cs="Calibri"/>
          <w:sz w:val="18"/>
          <w:szCs w:val="18"/>
        </w:rPr>
        <w:t xml:space="preserve">the </w:t>
      </w:r>
      <w:r w:rsidRPr="00CC3671">
        <w:rPr>
          <w:rFonts w:cs="Calibri"/>
          <w:sz w:val="18"/>
          <w:szCs w:val="18"/>
        </w:rPr>
        <w:t xml:space="preserve">PRL/PRL-HCl concentration. This is because the thermodynamic parameters remain practically constant </w:t>
      </w:r>
      <w:r w:rsidR="0012172C">
        <w:rPr>
          <w:rFonts w:cs="Calibri"/>
          <w:sz w:val="18"/>
          <w:szCs w:val="18"/>
        </w:rPr>
        <w:t>within the series of</w:t>
      </w:r>
      <w:r w:rsidRPr="00CC3671">
        <w:rPr>
          <w:rFonts w:cs="Calibri"/>
          <w:sz w:val="18"/>
          <w:szCs w:val="18"/>
        </w:rPr>
        <w:t xml:space="preserve"> </w:t>
      </w:r>
      <w:r w:rsidR="00405881">
        <w:rPr>
          <w:rFonts w:cs="Calibri"/>
          <w:sz w:val="18"/>
          <w:szCs w:val="18"/>
        </w:rPr>
        <w:t xml:space="preserve">the </w:t>
      </w:r>
      <w:r w:rsidRPr="00CC3671">
        <w:rPr>
          <w:rFonts w:cs="Calibri"/>
          <w:sz w:val="18"/>
          <w:szCs w:val="18"/>
        </w:rPr>
        <w:t xml:space="preserve">studied mixtures. On the other hand, an increase </w:t>
      </w:r>
      <w:r w:rsidR="00405881">
        <w:rPr>
          <w:rFonts w:cs="Calibri"/>
          <w:sz w:val="18"/>
          <w:szCs w:val="18"/>
        </w:rPr>
        <w:t xml:space="preserve">in </w:t>
      </w:r>
      <w:r w:rsidRPr="00CC3671">
        <w:rPr>
          <w:rFonts w:cs="Calibri"/>
          <w:sz w:val="18"/>
          <w:szCs w:val="18"/>
        </w:rPr>
        <w:t>T</w:t>
      </w:r>
      <w:r w:rsidRPr="00F74E08">
        <w:rPr>
          <w:rFonts w:cs="Calibri"/>
          <w:sz w:val="18"/>
          <w:szCs w:val="18"/>
          <w:vertAlign w:val="subscript"/>
        </w:rPr>
        <w:t>g</w:t>
      </w:r>
      <w:r w:rsidR="0012172C">
        <w:rPr>
          <w:rFonts w:cs="Calibri"/>
          <w:sz w:val="18"/>
          <w:szCs w:val="18"/>
        </w:rPr>
        <w:t xml:space="preserve"> observed for ionic compositions</w:t>
      </w:r>
      <w:r w:rsidRPr="00CC3671">
        <w:rPr>
          <w:rFonts w:cs="Calibri"/>
          <w:sz w:val="18"/>
          <w:szCs w:val="18"/>
        </w:rPr>
        <w:t xml:space="preserve"> is compensated by the </w:t>
      </w:r>
      <w:r w:rsidR="00405881">
        <w:rPr>
          <w:rFonts w:cs="Calibri"/>
          <w:sz w:val="18"/>
          <w:szCs w:val="18"/>
        </w:rPr>
        <w:t xml:space="preserve">increase in </w:t>
      </w:r>
      <w:r w:rsidRPr="00CC3671">
        <w:rPr>
          <w:rFonts w:cs="Calibri"/>
          <w:sz w:val="18"/>
          <w:szCs w:val="18"/>
        </w:rPr>
        <w:t>ΔT. An invariant length scale of global dynamics</w:t>
      </w:r>
      <w:r w:rsidR="00167CAC">
        <w:rPr>
          <w:rFonts w:cs="Calibri"/>
          <w:sz w:val="18"/>
          <w:szCs w:val="18"/>
        </w:rPr>
        <w:t xml:space="preserve"> within each studied series of compounds</w:t>
      </w:r>
      <w:r w:rsidRPr="00CC3671">
        <w:rPr>
          <w:rFonts w:cs="Calibri"/>
          <w:sz w:val="18"/>
          <w:szCs w:val="18"/>
        </w:rPr>
        <w:t xml:space="preserve"> suggests </w:t>
      </w:r>
      <w:r w:rsidR="00167CAC">
        <w:rPr>
          <w:rFonts w:cs="Calibri"/>
          <w:sz w:val="18"/>
          <w:szCs w:val="18"/>
        </w:rPr>
        <w:t xml:space="preserve">also </w:t>
      </w:r>
      <w:r w:rsidRPr="00CC3671">
        <w:rPr>
          <w:rFonts w:cs="Calibri"/>
          <w:sz w:val="18"/>
          <w:szCs w:val="18"/>
        </w:rPr>
        <w:t xml:space="preserve">that the different composition of binary mixtures does not affect the dynamics at the molecular level. </w:t>
      </w:r>
      <w:r w:rsidR="00167CAC">
        <w:rPr>
          <w:rFonts w:cs="Calibri"/>
          <w:sz w:val="18"/>
          <w:szCs w:val="18"/>
        </w:rPr>
        <w:t xml:space="preserve">And thus, the global mobility cannot be treated as the factor responsible for cold crystallization of some of </w:t>
      </w:r>
      <w:r w:rsidR="00405881">
        <w:rPr>
          <w:rFonts w:cs="Calibri"/>
          <w:sz w:val="18"/>
          <w:szCs w:val="18"/>
        </w:rPr>
        <w:t>the systems</w:t>
      </w:r>
      <w:r w:rsidR="00167CAC">
        <w:rPr>
          <w:rFonts w:cs="Calibri"/>
          <w:sz w:val="18"/>
          <w:szCs w:val="18"/>
        </w:rPr>
        <w:t xml:space="preserve">. </w:t>
      </w:r>
    </w:p>
    <w:p w14:paraId="063E61A4" w14:textId="77777777" w:rsidR="00F74E08" w:rsidRDefault="00F74E08" w:rsidP="00167CAC">
      <w:pPr>
        <w:spacing w:after="0"/>
        <w:rPr>
          <w:rFonts w:cs="Calibri"/>
          <w:b/>
          <w:sz w:val="24"/>
          <w:szCs w:val="18"/>
        </w:rPr>
      </w:pPr>
    </w:p>
    <w:p w14:paraId="223474EC" w14:textId="77777777" w:rsidR="00F74E08" w:rsidRDefault="00F74E08" w:rsidP="00167CAC">
      <w:pPr>
        <w:spacing w:after="0"/>
        <w:rPr>
          <w:rFonts w:cs="Calibri"/>
          <w:b/>
          <w:sz w:val="24"/>
          <w:szCs w:val="18"/>
        </w:rPr>
      </w:pPr>
    </w:p>
    <w:p w14:paraId="517638E2" w14:textId="77777777" w:rsidR="00167CAC" w:rsidRPr="00E67B67" w:rsidRDefault="00167CAC" w:rsidP="00167CAC">
      <w:pPr>
        <w:spacing w:after="0"/>
        <w:rPr>
          <w:rFonts w:cs="Calibri"/>
          <w:b/>
          <w:sz w:val="24"/>
          <w:szCs w:val="18"/>
        </w:rPr>
      </w:pPr>
      <w:r w:rsidRPr="00E67B67">
        <w:rPr>
          <w:rFonts w:cs="Calibri"/>
          <w:b/>
          <w:sz w:val="24"/>
          <w:szCs w:val="18"/>
        </w:rPr>
        <w:t>Conclusions</w:t>
      </w:r>
    </w:p>
    <w:p w14:paraId="3F7103F4" w14:textId="2599E6D2" w:rsidR="00167CAC" w:rsidRDefault="00167CAC" w:rsidP="00167CAC">
      <w:pPr>
        <w:jc w:val="both"/>
        <w:rPr>
          <w:rFonts w:cs="Calibri"/>
          <w:iCs/>
          <w:sz w:val="18"/>
          <w:szCs w:val="18"/>
        </w:rPr>
      </w:pPr>
      <w:r w:rsidRPr="00E67B67">
        <w:rPr>
          <w:rFonts w:cs="Calibri"/>
          <w:sz w:val="18"/>
          <w:szCs w:val="18"/>
        </w:rPr>
        <w:t xml:space="preserve">In this paper we have investigated two anesthetic agents, lidocaine hydrochloride (LD-HCl) and prilocaine hydrochloride (PRL-HCl) as well as their unionized counterparts, to explore the effect of intermolecular interactions on the formation and </w:t>
      </w:r>
      <w:r w:rsidR="0012172C">
        <w:rPr>
          <w:rFonts w:cs="Calibri"/>
          <w:sz w:val="18"/>
          <w:szCs w:val="18"/>
        </w:rPr>
        <w:t xml:space="preserve">thermodynamic </w:t>
      </w:r>
      <w:r w:rsidRPr="00E67B67">
        <w:rPr>
          <w:rFonts w:cs="Calibri"/>
          <w:sz w:val="18"/>
          <w:szCs w:val="18"/>
        </w:rPr>
        <w:t xml:space="preserve">properties of eutectic mixtures. The phase diagrams constructed for LD/PRL and LD-HCl/PRL-HCl mixtures revealed that in </w:t>
      </w:r>
      <w:r w:rsidR="00405881">
        <w:rPr>
          <w:rFonts w:cs="Calibri"/>
          <w:sz w:val="18"/>
          <w:szCs w:val="18"/>
        </w:rPr>
        <w:t xml:space="preserve">the </w:t>
      </w:r>
      <w:r w:rsidRPr="00E67B67">
        <w:rPr>
          <w:rFonts w:cs="Calibri"/>
          <w:sz w:val="18"/>
          <w:szCs w:val="18"/>
        </w:rPr>
        <w:t xml:space="preserve">both studied </w:t>
      </w:r>
      <w:r w:rsidR="00405881">
        <w:rPr>
          <w:rFonts w:cs="Calibri"/>
          <w:sz w:val="18"/>
          <w:szCs w:val="18"/>
        </w:rPr>
        <w:t>systems</w:t>
      </w:r>
      <w:r w:rsidR="00405881" w:rsidRPr="00E67B67">
        <w:rPr>
          <w:rFonts w:cs="Calibri"/>
          <w:sz w:val="18"/>
          <w:szCs w:val="18"/>
        </w:rPr>
        <w:t xml:space="preserve"> </w:t>
      </w:r>
      <w:r w:rsidRPr="00E67B67">
        <w:rPr>
          <w:rFonts w:cs="Calibri"/>
          <w:sz w:val="18"/>
          <w:szCs w:val="18"/>
        </w:rPr>
        <w:t>the liquidus curves meet at single eutectic point</w:t>
      </w:r>
      <w:r w:rsidR="00405881">
        <w:rPr>
          <w:rFonts w:cs="Calibri"/>
          <w:sz w:val="18"/>
          <w:szCs w:val="18"/>
        </w:rPr>
        <w:t>,</w:t>
      </w:r>
      <w:r w:rsidRPr="00E67B67">
        <w:rPr>
          <w:rFonts w:cs="Calibri"/>
          <w:sz w:val="18"/>
          <w:szCs w:val="18"/>
        </w:rPr>
        <w:t xml:space="preserve"> which occurs at 1:1 and 4:1 mole/mole composition, respectively. We have also noticed that the experimental T</w:t>
      </w:r>
      <w:r w:rsidRPr="00E67B67">
        <w:rPr>
          <w:rFonts w:cs="Calibri"/>
          <w:sz w:val="18"/>
          <w:szCs w:val="18"/>
          <w:vertAlign w:val="subscript"/>
        </w:rPr>
        <w:t>m</w:t>
      </w:r>
      <w:r w:rsidRPr="00E67B67">
        <w:rPr>
          <w:rFonts w:cs="Calibri"/>
          <w:sz w:val="18"/>
          <w:szCs w:val="18"/>
        </w:rPr>
        <w:t>(x</w:t>
      </w:r>
      <w:r w:rsidRPr="00E67B67">
        <w:rPr>
          <w:rFonts w:cs="Calibri"/>
          <w:sz w:val="18"/>
          <w:szCs w:val="18"/>
          <w:vertAlign w:val="superscript"/>
        </w:rPr>
        <w:t>m.f</w:t>
      </w:r>
      <w:r w:rsidRPr="00E67B67">
        <w:rPr>
          <w:rFonts w:cs="Calibri"/>
          <w:sz w:val="18"/>
          <w:szCs w:val="18"/>
        </w:rPr>
        <w:t>) and T</w:t>
      </w:r>
      <w:r w:rsidRPr="00E67B67">
        <w:rPr>
          <w:rFonts w:cs="Calibri"/>
          <w:sz w:val="18"/>
          <w:szCs w:val="18"/>
          <w:vertAlign w:val="subscript"/>
        </w:rPr>
        <w:t>g</w:t>
      </w:r>
      <w:r w:rsidRPr="00E67B67">
        <w:rPr>
          <w:rFonts w:cs="Calibri"/>
          <w:sz w:val="18"/>
          <w:szCs w:val="18"/>
        </w:rPr>
        <w:t>(x</w:t>
      </w:r>
      <w:r w:rsidRPr="00E67B67">
        <w:rPr>
          <w:rFonts w:cs="Calibri"/>
          <w:sz w:val="18"/>
          <w:szCs w:val="18"/>
          <w:vertAlign w:val="superscript"/>
        </w:rPr>
        <w:t>m.f</w:t>
      </w:r>
      <w:r w:rsidRPr="00E67B67">
        <w:rPr>
          <w:rFonts w:cs="Calibri"/>
          <w:sz w:val="18"/>
          <w:szCs w:val="18"/>
        </w:rPr>
        <w:t xml:space="preserve">) points of ionic mixtures follow the theoretical Schroder-van Laar and Gordon-Taylor predictions, </w:t>
      </w:r>
      <w:r w:rsidR="00405881">
        <w:rPr>
          <w:rFonts w:cs="Calibri"/>
          <w:sz w:val="18"/>
          <w:szCs w:val="18"/>
        </w:rPr>
        <w:t>which</w:t>
      </w:r>
      <w:r w:rsidR="00405881" w:rsidRPr="00E67B67">
        <w:rPr>
          <w:rFonts w:cs="Calibri"/>
          <w:sz w:val="18"/>
          <w:szCs w:val="18"/>
        </w:rPr>
        <w:t xml:space="preserve"> </w:t>
      </w:r>
      <w:r w:rsidRPr="00E67B67">
        <w:rPr>
          <w:rFonts w:cs="Calibri"/>
          <w:sz w:val="18"/>
          <w:szCs w:val="18"/>
        </w:rPr>
        <w:t xml:space="preserve">is not the case </w:t>
      </w:r>
      <w:r w:rsidR="00405881">
        <w:rPr>
          <w:rFonts w:cs="Calibri"/>
          <w:sz w:val="18"/>
          <w:szCs w:val="18"/>
        </w:rPr>
        <w:t>for the</w:t>
      </w:r>
      <w:r w:rsidR="00405881" w:rsidRPr="00E67B67">
        <w:rPr>
          <w:rFonts w:cs="Calibri"/>
          <w:sz w:val="18"/>
          <w:szCs w:val="18"/>
        </w:rPr>
        <w:t xml:space="preserve"> </w:t>
      </w:r>
      <w:r w:rsidRPr="00E67B67">
        <w:rPr>
          <w:rFonts w:cs="Calibri"/>
          <w:sz w:val="18"/>
          <w:szCs w:val="18"/>
        </w:rPr>
        <w:t>neutral samples. These results confirm the existence of specific intermolecular interactions (H-bonding) in non-ionic DEM</w:t>
      </w:r>
      <w:r w:rsidR="007C7F29">
        <w:rPr>
          <w:rFonts w:cs="Calibri"/>
          <w:sz w:val="18"/>
          <w:szCs w:val="18"/>
        </w:rPr>
        <w:t>s</w:t>
      </w:r>
      <w:r w:rsidRPr="00E67B67">
        <w:rPr>
          <w:rFonts w:cs="Calibri"/>
          <w:sz w:val="18"/>
          <w:szCs w:val="18"/>
        </w:rPr>
        <w:t>. At the same time, due to the strong attractive forces pulling the counterions together and repulsive interactions between LD</w:t>
      </w:r>
      <w:r w:rsidRPr="00E67B67">
        <w:rPr>
          <w:rFonts w:cs="Calibri"/>
          <w:sz w:val="18"/>
          <w:szCs w:val="18"/>
          <w:vertAlign w:val="superscript"/>
        </w:rPr>
        <w:t>+</w:t>
      </w:r>
      <w:r w:rsidRPr="00E67B67">
        <w:rPr>
          <w:rFonts w:cs="Calibri"/>
          <w:sz w:val="18"/>
          <w:szCs w:val="18"/>
        </w:rPr>
        <w:t xml:space="preserve"> and PRL</w:t>
      </w:r>
      <w:r w:rsidRPr="00E67B67">
        <w:rPr>
          <w:rFonts w:cs="Calibri"/>
          <w:sz w:val="18"/>
          <w:szCs w:val="18"/>
          <w:vertAlign w:val="superscript"/>
        </w:rPr>
        <w:t>+</w:t>
      </w:r>
      <w:r w:rsidRPr="00E67B67">
        <w:rPr>
          <w:rFonts w:cs="Calibri"/>
          <w:sz w:val="18"/>
          <w:szCs w:val="18"/>
        </w:rPr>
        <w:t xml:space="preserve"> cations, the H-bond network between LD-HCl and PRL-HCl disintegrates making the formation of ionic eutectic</w:t>
      </w:r>
      <w:r w:rsidR="007C7F29">
        <w:rPr>
          <w:rFonts w:cs="Calibri"/>
          <w:sz w:val="18"/>
          <w:szCs w:val="18"/>
        </w:rPr>
        <w:t>s</w:t>
      </w:r>
      <w:r w:rsidRPr="00E67B67">
        <w:rPr>
          <w:rFonts w:cs="Calibri"/>
          <w:sz w:val="18"/>
          <w:szCs w:val="18"/>
        </w:rPr>
        <w:t xml:space="preserve"> possible only for a low concentration of PRL-HCl. Interestingly, considering the group of dipolar mixtures (comprising </w:t>
      </w:r>
      <w:r w:rsidR="0012172C">
        <w:rPr>
          <w:rFonts w:cs="Calibri"/>
          <w:sz w:val="18"/>
          <w:szCs w:val="18"/>
        </w:rPr>
        <w:t>LD and PRL), the thermodynamic</w:t>
      </w:r>
      <w:r w:rsidRPr="00E67B67">
        <w:rPr>
          <w:rFonts w:cs="Calibri"/>
          <w:sz w:val="18"/>
          <w:szCs w:val="18"/>
        </w:rPr>
        <w:t xml:space="preserve"> properties of the samples were</w:t>
      </w:r>
      <w:r>
        <w:rPr>
          <w:rFonts w:cs="Calibri"/>
          <w:sz w:val="18"/>
          <w:szCs w:val="18"/>
        </w:rPr>
        <w:t xml:space="preserve"> </w:t>
      </w:r>
      <w:r w:rsidRPr="00E67B67">
        <w:rPr>
          <w:rFonts w:cs="Calibri"/>
          <w:sz w:val="18"/>
          <w:szCs w:val="18"/>
        </w:rPr>
        <w:t>found to be surprisingly similar, including T</w:t>
      </w:r>
      <w:r w:rsidRPr="00E67B67">
        <w:rPr>
          <w:rFonts w:cs="Calibri"/>
          <w:sz w:val="18"/>
          <w:szCs w:val="18"/>
          <w:vertAlign w:val="subscript"/>
        </w:rPr>
        <w:t>g</w:t>
      </w:r>
      <w:r w:rsidR="0012172C">
        <w:rPr>
          <w:rFonts w:cs="Calibri"/>
          <w:sz w:val="18"/>
          <w:szCs w:val="18"/>
        </w:rPr>
        <w:t xml:space="preserve"> (218±5K) </w:t>
      </w:r>
      <w:r w:rsidRPr="00E67B67">
        <w:rPr>
          <w:rFonts w:cs="Calibri"/>
          <w:sz w:val="18"/>
          <w:szCs w:val="18"/>
        </w:rPr>
        <w:t>and the length scale of structural</w:t>
      </w:r>
      <w:r w:rsidR="0012172C">
        <w:rPr>
          <w:rFonts w:cs="Calibri"/>
          <w:sz w:val="18"/>
          <w:szCs w:val="18"/>
        </w:rPr>
        <w:t xml:space="preserve"> dynamics described by means of</w:t>
      </w:r>
      <w:r w:rsidRPr="00E67B67">
        <w:rPr>
          <w:rFonts w:cs="Calibri"/>
          <w:sz w:val="18"/>
          <w:szCs w:val="18"/>
        </w:rPr>
        <w:t xml:space="preserve"> N</w:t>
      </w:r>
      <w:r w:rsidRPr="00E67B67">
        <w:rPr>
          <w:rFonts w:cs="Calibri"/>
          <w:sz w:val="18"/>
          <w:szCs w:val="18"/>
          <w:vertAlign w:val="subscript"/>
        </w:rPr>
        <w:t>α</w:t>
      </w:r>
      <w:r w:rsidRPr="00E67B67">
        <w:rPr>
          <w:rFonts w:cs="Calibri"/>
          <w:sz w:val="18"/>
          <w:szCs w:val="18"/>
        </w:rPr>
        <w:t xml:space="preserve"> </w:t>
      </w:r>
      <w:r w:rsidR="0012172C">
        <w:rPr>
          <w:rFonts w:cs="Calibri"/>
          <w:sz w:val="18"/>
          <w:szCs w:val="18"/>
        </w:rPr>
        <w:t xml:space="preserve">parameter </w:t>
      </w:r>
      <w:r w:rsidRPr="00E67B67">
        <w:rPr>
          <w:rFonts w:cs="Calibri"/>
          <w:sz w:val="18"/>
          <w:szCs w:val="18"/>
        </w:rPr>
        <w:t>(N</w:t>
      </w:r>
      <w:r w:rsidRPr="00E67B67">
        <w:rPr>
          <w:rFonts w:cs="Calibri"/>
          <w:sz w:val="18"/>
          <w:szCs w:val="18"/>
          <w:vertAlign w:val="subscript"/>
        </w:rPr>
        <w:t>α</w:t>
      </w:r>
      <w:r w:rsidR="0012172C">
        <w:rPr>
          <w:rFonts w:cs="Calibri"/>
          <w:sz w:val="18"/>
          <w:szCs w:val="18"/>
        </w:rPr>
        <w:t>=163)</w:t>
      </w:r>
      <w:r w:rsidRPr="00E67B67">
        <w:rPr>
          <w:rFonts w:cs="Calibri"/>
          <w:sz w:val="18"/>
          <w:szCs w:val="18"/>
        </w:rPr>
        <w:t>. On the other hand, ionic mixtures (LD-HCl/PRL-HCl) were found to be much more diverse. We have found a 15 K difference in T</w:t>
      </w:r>
      <w:r w:rsidRPr="00E67B67">
        <w:rPr>
          <w:rFonts w:cs="Calibri"/>
          <w:sz w:val="18"/>
          <w:szCs w:val="18"/>
          <w:vertAlign w:val="subscript"/>
        </w:rPr>
        <w:t>g</w:t>
      </w:r>
      <w:r w:rsidRPr="00E67B67">
        <w:rPr>
          <w:rFonts w:cs="Calibri"/>
          <w:sz w:val="18"/>
          <w:szCs w:val="18"/>
        </w:rPr>
        <w:t xml:space="preserve"> </w:t>
      </w:r>
      <w:r w:rsidR="007C7F29">
        <w:rPr>
          <w:rFonts w:cs="Calibri"/>
          <w:sz w:val="18"/>
          <w:szCs w:val="18"/>
        </w:rPr>
        <w:t xml:space="preserve">values </w:t>
      </w:r>
      <w:r w:rsidRPr="00E67B67">
        <w:rPr>
          <w:rFonts w:cs="Calibri"/>
          <w:sz w:val="18"/>
          <w:szCs w:val="18"/>
        </w:rPr>
        <w:t>between the starting components and for the binary samples the T</w:t>
      </w:r>
      <w:r w:rsidRPr="00E67B67">
        <w:rPr>
          <w:rFonts w:cs="Calibri"/>
          <w:sz w:val="18"/>
          <w:szCs w:val="18"/>
          <w:vertAlign w:val="subscript"/>
        </w:rPr>
        <w:t>g</w:t>
      </w:r>
      <w:r w:rsidRPr="00E67B67">
        <w:rPr>
          <w:rFonts w:cs="Calibri"/>
          <w:sz w:val="18"/>
          <w:szCs w:val="18"/>
        </w:rPr>
        <w:t xml:space="preserve"> increased with an increase </w:t>
      </w:r>
      <w:r w:rsidR="007C7F29">
        <w:rPr>
          <w:rFonts w:cs="Calibri"/>
          <w:sz w:val="18"/>
          <w:szCs w:val="18"/>
        </w:rPr>
        <w:t>in the</w:t>
      </w:r>
      <w:r w:rsidR="007C7F29" w:rsidRPr="00E67B67">
        <w:rPr>
          <w:rFonts w:cs="Calibri"/>
          <w:sz w:val="18"/>
          <w:szCs w:val="18"/>
        </w:rPr>
        <w:t xml:space="preserve"> </w:t>
      </w:r>
      <w:r w:rsidRPr="00E67B67">
        <w:rPr>
          <w:rFonts w:cs="Calibri"/>
          <w:sz w:val="18"/>
          <w:szCs w:val="18"/>
        </w:rPr>
        <w:t>PRL-HCl content. In comparison to dipolar LD/PRL systems</w:t>
      </w:r>
      <w:r w:rsidR="007C7F29">
        <w:rPr>
          <w:rFonts w:cs="Calibri"/>
          <w:sz w:val="18"/>
          <w:szCs w:val="18"/>
        </w:rPr>
        <w:t>,</w:t>
      </w:r>
      <w:r w:rsidRPr="00E67B67">
        <w:rPr>
          <w:rFonts w:cs="Calibri"/>
          <w:sz w:val="18"/>
          <w:szCs w:val="18"/>
        </w:rPr>
        <w:t xml:space="preserve"> the number of dynamically correlated particles, reflecting the heterogeneity of given system at T</w:t>
      </w:r>
      <w:r w:rsidRPr="00E67B67">
        <w:rPr>
          <w:rFonts w:cs="Calibri"/>
          <w:sz w:val="18"/>
          <w:szCs w:val="18"/>
          <w:vertAlign w:val="subscript"/>
        </w:rPr>
        <w:t>g</w:t>
      </w:r>
      <w:r w:rsidRPr="00E67B67">
        <w:rPr>
          <w:rFonts w:cs="Calibri"/>
          <w:sz w:val="18"/>
          <w:szCs w:val="18"/>
        </w:rPr>
        <w:t xml:space="preserve">, </w:t>
      </w:r>
      <w:r w:rsidR="0012172C">
        <w:rPr>
          <w:rFonts w:cs="Calibri"/>
          <w:sz w:val="18"/>
          <w:szCs w:val="18"/>
        </w:rPr>
        <w:t>is much smaller</w:t>
      </w:r>
      <w:r w:rsidRPr="00E67B67">
        <w:rPr>
          <w:rFonts w:cs="Calibri"/>
          <w:sz w:val="18"/>
          <w:szCs w:val="18"/>
        </w:rPr>
        <w:t xml:space="preserve"> </w:t>
      </w:r>
      <w:r w:rsidR="0012172C">
        <w:rPr>
          <w:rFonts w:cs="Calibri"/>
          <w:sz w:val="18"/>
          <w:szCs w:val="18"/>
        </w:rPr>
        <w:t>for</w:t>
      </w:r>
      <w:r w:rsidRPr="00E67B67">
        <w:rPr>
          <w:rFonts w:cs="Calibri"/>
          <w:sz w:val="18"/>
          <w:szCs w:val="18"/>
        </w:rPr>
        <w:t xml:space="preserve"> </w:t>
      </w:r>
      <w:r w:rsidRPr="00E67B67">
        <w:rPr>
          <w:rFonts w:cs="Calibri"/>
          <w:iCs/>
          <w:sz w:val="18"/>
          <w:szCs w:val="18"/>
        </w:rPr>
        <w:t>ionic binary mixtures</w:t>
      </w:r>
      <w:r w:rsidR="0012172C">
        <w:rPr>
          <w:rFonts w:cs="Calibri"/>
          <w:iCs/>
          <w:sz w:val="18"/>
          <w:szCs w:val="18"/>
        </w:rPr>
        <w:t>.</w:t>
      </w:r>
      <w:r w:rsidRPr="00E67B67">
        <w:rPr>
          <w:rFonts w:cs="Calibri"/>
          <w:iCs/>
          <w:sz w:val="18"/>
          <w:szCs w:val="18"/>
        </w:rPr>
        <w:t xml:space="preserve"> </w:t>
      </w:r>
      <w:r w:rsidR="001712E8">
        <w:rPr>
          <w:rFonts w:cs="Calibri"/>
          <w:iCs/>
          <w:sz w:val="18"/>
          <w:szCs w:val="18"/>
        </w:rPr>
        <w:t xml:space="preserve">The electrostatic interactions existing between the ionic compounds of LD and PRL were also found to reduce the crystallization tendency of binary mixtures. </w:t>
      </w:r>
    </w:p>
    <w:p w14:paraId="6DB176EA" w14:textId="77777777" w:rsidR="001712E8" w:rsidRDefault="001712E8" w:rsidP="00167CAC">
      <w:pPr>
        <w:jc w:val="both"/>
        <w:rPr>
          <w:rFonts w:cs="Calibri"/>
          <w:b/>
          <w:sz w:val="24"/>
          <w:szCs w:val="18"/>
        </w:rPr>
      </w:pPr>
      <w:r w:rsidRPr="00E67B67">
        <w:rPr>
          <w:rFonts w:cs="Calibri"/>
          <w:b/>
          <w:sz w:val="24"/>
          <w:szCs w:val="18"/>
        </w:rPr>
        <w:t>Acknowledgements</w:t>
      </w:r>
    </w:p>
    <w:p w14:paraId="4C2BCF97" w14:textId="77777777" w:rsidR="001712E8" w:rsidRDefault="001712E8" w:rsidP="001712E8">
      <w:pPr>
        <w:jc w:val="both"/>
        <w:rPr>
          <w:rFonts w:cs="Calibri"/>
          <w:sz w:val="18"/>
          <w:szCs w:val="18"/>
        </w:rPr>
      </w:pPr>
      <w:r w:rsidRPr="00E67B67">
        <w:rPr>
          <w:rFonts w:cs="Calibri"/>
          <w:sz w:val="18"/>
          <w:szCs w:val="18"/>
        </w:rPr>
        <w:t>This publication has emanated from research conducted with the financial support of Science Foundation Ireland (SFI) under Grant Numbers 15/CDA/3602 and supported by the Synthesis and Solid State Pharmaceutical Centre (SSPC), financed by a research grant from Science Foundation Ireland (SFI) and co-funded under the European Regional Development Fund (Grant Number 12/RC/2275). Authors are also deeply grateful for the financial</w:t>
      </w:r>
      <w:r>
        <w:rPr>
          <w:rFonts w:cs="Calibri"/>
          <w:sz w:val="18"/>
          <w:szCs w:val="18"/>
        </w:rPr>
        <w:t xml:space="preserve"> </w:t>
      </w:r>
      <w:r w:rsidRPr="00E67B67">
        <w:rPr>
          <w:rFonts w:cs="Calibri"/>
          <w:sz w:val="18"/>
          <w:szCs w:val="18"/>
        </w:rPr>
        <w:t>support by the National Science Centre within the framework of the Symfonia3 project (Gran</w:t>
      </w:r>
      <w:r>
        <w:rPr>
          <w:rFonts w:cs="Calibri"/>
          <w:sz w:val="18"/>
          <w:szCs w:val="18"/>
        </w:rPr>
        <w:t>t No. DEC-2015/16/W/NZ7/00404).</w:t>
      </w:r>
    </w:p>
    <w:p w14:paraId="47C7B2F0" w14:textId="77777777" w:rsidR="001712E8" w:rsidRDefault="001712E8" w:rsidP="001712E8">
      <w:pPr>
        <w:pStyle w:val="RSCB04AHeadingSection"/>
      </w:pPr>
      <w:r>
        <w:t>Conflicts of interest</w:t>
      </w:r>
    </w:p>
    <w:p w14:paraId="53288E48" w14:textId="77777777" w:rsidR="001712E8" w:rsidRDefault="001712E8" w:rsidP="001712E8">
      <w:pPr>
        <w:rPr>
          <w:w w:val="108"/>
          <w:sz w:val="18"/>
          <w:szCs w:val="18"/>
        </w:rPr>
      </w:pPr>
      <w:r w:rsidRPr="00A05364">
        <w:rPr>
          <w:w w:val="108"/>
          <w:sz w:val="18"/>
          <w:szCs w:val="18"/>
        </w:rPr>
        <w:t>Th</w:t>
      </w:r>
      <w:r>
        <w:rPr>
          <w:w w:val="108"/>
          <w:sz w:val="18"/>
          <w:szCs w:val="18"/>
        </w:rPr>
        <w:t>ere are no conflicts to declare</w:t>
      </w:r>
      <w:r w:rsidRPr="00A05364">
        <w:rPr>
          <w:w w:val="108"/>
          <w:sz w:val="18"/>
          <w:szCs w:val="18"/>
        </w:rPr>
        <w:t>.</w:t>
      </w:r>
    </w:p>
    <w:p w14:paraId="55E74BFA" w14:textId="77777777" w:rsidR="001712E8" w:rsidRPr="00AB004E" w:rsidRDefault="001712E8" w:rsidP="001712E8">
      <w:pPr>
        <w:rPr>
          <w:b/>
          <w:sz w:val="24"/>
        </w:rPr>
      </w:pPr>
      <w:r w:rsidRPr="007057BD">
        <w:rPr>
          <w:b/>
          <w:sz w:val="24"/>
        </w:rPr>
        <w:t>Notes and references</w:t>
      </w:r>
    </w:p>
    <w:p w14:paraId="255A9E46" w14:textId="77777777" w:rsidR="001712E8" w:rsidRDefault="001712E8" w:rsidP="001712E8">
      <w:pPr>
        <w:jc w:val="both"/>
        <w:rPr>
          <w:rFonts w:cs="Calibri"/>
          <w:sz w:val="18"/>
          <w:szCs w:val="18"/>
        </w:rPr>
      </w:pPr>
    </w:p>
    <w:p w14:paraId="20769EDA" w14:textId="77777777" w:rsidR="00D73250" w:rsidRDefault="00D73250" w:rsidP="00D73250">
      <w:pPr>
        <w:spacing w:after="0"/>
        <w:jc w:val="both"/>
        <w:rPr>
          <w:rFonts w:cs="Calibri"/>
          <w:sz w:val="18"/>
          <w:szCs w:val="18"/>
        </w:rPr>
        <w:sectPr w:rsidR="00D73250" w:rsidSect="00F74E08">
          <w:endnotePr>
            <w:numFmt w:val="decimal"/>
          </w:endnotePr>
          <w:type w:val="continuous"/>
          <w:pgSz w:w="11907" w:h="16840" w:code="9"/>
          <w:pgMar w:top="1009" w:right="851" w:bottom="1758" w:left="851" w:header="851" w:footer="1049" w:gutter="0"/>
          <w:cols w:num="2" w:space="227"/>
          <w:docGrid w:linePitch="360"/>
        </w:sectPr>
      </w:pPr>
    </w:p>
    <w:p w14:paraId="01B8C640" w14:textId="77777777" w:rsidR="00D04AE1" w:rsidRDefault="00D04AE1" w:rsidP="00D04AE1">
      <w:pPr>
        <w:spacing w:line="240" w:lineRule="auto"/>
        <w:rPr>
          <w:rFonts w:cs="Calibri"/>
          <w:b/>
          <w:sz w:val="18"/>
          <w:szCs w:val="24"/>
        </w:rPr>
        <w:sectPr w:rsidR="00D04AE1" w:rsidSect="004339EE">
          <w:endnotePr>
            <w:numFmt w:val="decimal"/>
          </w:endnotePr>
          <w:type w:val="continuous"/>
          <w:pgSz w:w="11907" w:h="16840" w:code="9"/>
          <w:pgMar w:top="1009" w:right="851" w:bottom="1758" w:left="851" w:header="851" w:footer="1049" w:gutter="0"/>
          <w:cols w:space="227"/>
          <w:docGrid w:linePitch="360"/>
        </w:sectPr>
      </w:pPr>
    </w:p>
    <w:p w14:paraId="289A2971" w14:textId="77777777" w:rsidR="00D04AE1" w:rsidRDefault="00D04AE1" w:rsidP="00E67B67">
      <w:pPr>
        <w:spacing w:after="0"/>
        <w:jc w:val="both"/>
        <w:rPr>
          <w:rFonts w:cs="Calibri"/>
          <w:b/>
          <w:sz w:val="18"/>
          <w:szCs w:val="24"/>
        </w:rPr>
        <w:sectPr w:rsidR="00D04AE1" w:rsidSect="004339EE">
          <w:endnotePr>
            <w:numFmt w:val="decimal"/>
          </w:endnotePr>
          <w:type w:val="continuous"/>
          <w:pgSz w:w="11907" w:h="16840" w:code="9"/>
          <w:pgMar w:top="1009" w:right="851" w:bottom="1758" w:left="851" w:header="851" w:footer="1049" w:gutter="0"/>
          <w:cols w:space="227"/>
          <w:docGrid w:linePitch="360"/>
        </w:sectPr>
      </w:pPr>
    </w:p>
    <w:p w14:paraId="3D34A3A1" w14:textId="77777777" w:rsidR="00220786" w:rsidRPr="00F74E08" w:rsidRDefault="00220786" w:rsidP="00F74E08">
      <w:pPr>
        <w:jc w:val="both"/>
        <w:rPr>
          <w:rFonts w:cs="Calibri"/>
          <w:sz w:val="18"/>
          <w:szCs w:val="18"/>
        </w:rPr>
      </w:pPr>
    </w:p>
    <w:sectPr w:rsidR="00220786" w:rsidRPr="00F74E08" w:rsidSect="00514CBA">
      <w:endnotePr>
        <w:numFmt w:val="decimal"/>
      </w:endnotePr>
      <w:type w:val="continuous"/>
      <w:pgSz w:w="11907" w:h="16840" w:code="9"/>
      <w:pgMar w:top="1009" w:right="851" w:bottom="1758" w:left="851" w:header="851" w:footer="1049" w:gutter="0"/>
      <w:cols w:num="2" w:space="227"/>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4BE23C" w14:textId="77777777" w:rsidR="0003666B" w:rsidRDefault="0003666B" w:rsidP="00E547DB">
      <w:pPr>
        <w:spacing w:after="0" w:line="240" w:lineRule="auto"/>
      </w:pPr>
      <w:r>
        <w:separator/>
      </w:r>
    </w:p>
    <w:p w14:paraId="3032F589" w14:textId="77777777" w:rsidR="0003666B" w:rsidRDefault="0003666B"/>
    <w:p w14:paraId="2E02452A" w14:textId="77777777" w:rsidR="0003666B" w:rsidRDefault="0003666B"/>
    <w:p w14:paraId="28241F2C" w14:textId="77777777" w:rsidR="0003666B" w:rsidRDefault="0003666B"/>
    <w:p w14:paraId="0CCC9655" w14:textId="77777777" w:rsidR="0003666B" w:rsidRDefault="0003666B"/>
    <w:p w14:paraId="1FAFE8F6" w14:textId="77777777" w:rsidR="0003666B" w:rsidRDefault="0003666B"/>
  </w:endnote>
  <w:endnote w:type="continuationSeparator" w:id="0">
    <w:p w14:paraId="33071932" w14:textId="77777777" w:rsidR="0003666B" w:rsidRDefault="0003666B" w:rsidP="00E547DB">
      <w:pPr>
        <w:spacing w:after="0" w:line="240" w:lineRule="auto"/>
      </w:pPr>
      <w:r>
        <w:continuationSeparator/>
      </w:r>
    </w:p>
    <w:p w14:paraId="325E6CC8" w14:textId="77777777" w:rsidR="0003666B" w:rsidRDefault="0003666B"/>
    <w:p w14:paraId="6B7FF16C" w14:textId="77777777" w:rsidR="0003666B" w:rsidRDefault="0003666B"/>
    <w:p w14:paraId="265DA1FD" w14:textId="77777777" w:rsidR="0003666B" w:rsidRDefault="0003666B"/>
    <w:p w14:paraId="711C3429" w14:textId="77777777" w:rsidR="0003666B" w:rsidRDefault="0003666B"/>
    <w:p w14:paraId="6209ED26" w14:textId="77777777" w:rsidR="0003666B" w:rsidRDefault="0003666B"/>
  </w:endnote>
  <w:endnote w:id="1">
    <w:p w14:paraId="4068DEF8" w14:textId="77777777" w:rsidR="009E1D9F" w:rsidRPr="00870EB9" w:rsidRDefault="00B304DE" w:rsidP="00220786">
      <w:pPr>
        <w:pStyle w:val="EndnoteText"/>
        <w:spacing w:line="276" w:lineRule="auto"/>
        <w:jc w:val="both"/>
        <w:rPr>
          <w:lang w:val="en-US"/>
        </w:rPr>
      </w:pPr>
      <w:r w:rsidRPr="007057BD">
        <w:rPr>
          <w:rStyle w:val="EndnoteReference"/>
          <w:rFonts w:cs="Calibri"/>
          <w:sz w:val="18"/>
          <w:szCs w:val="18"/>
          <w:vertAlign w:val="baseline"/>
        </w:rPr>
        <w:endnoteRef/>
      </w:r>
      <w:r w:rsidRPr="007057BD">
        <w:rPr>
          <w:rFonts w:cs="Calibri"/>
          <w:sz w:val="18"/>
          <w:szCs w:val="18"/>
          <w:lang w:val="en-US"/>
        </w:rPr>
        <w:t xml:space="preserve"> Nkuku, C. A.; LeSuer R. J. </w:t>
      </w:r>
      <w:r w:rsidRPr="007057BD">
        <w:rPr>
          <w:rFonts w:cs="Calibri"/>
          <w:iCs/>
          <w:sz w:val="18"/>
          <w:szCs w:val="18"/>
          <w:lang w:val="en-US"/>
        </w:rPr>
        <w:t>J. Phys. Chem. B.</w:t>
      </w:r>
      <w:r w:rsidRPr="007057BD">
        <w:rPr>
          <w:rFonts w:cs="Calibri"/>
          <w:sz w:val="18"/>
          <w:szCs w:val="18"/>
          <w:lang w:val="en-US"/>
        </w:rPr>
        <w:t xml:space="preserve"> 2007, </w:t>
      </w:r>
      <w:r w:rsidRPr="007057BD">
        <w:rPr>
          <w:rFonts w:cs="Calibri"/>
          <w:iCs/>
          <w:sz w:val="18"/>
          <w:szCs w:val="18"/>
          <w:lang w:val="en-US"/>
        </w:rPr>
        <w:t>111</w:t>
      </w:r>
      <w:r w:rsidRPr="007057BD">
        <w:rPr>
          <w:rFonts w:cs="Calibri"/>
          <w:sz w:val="18"/>
          <w:szCs w:val="18"/>
          <w:lang w:val="en-US"/>
        </w:rPr>
        <w:t> (46), 13271-13277</w:t>
      </w:r>
    </w:p>
  </w:endnote>
  <w:endnote w:id="2">
    <w:p w14:paraId="123EA5D1" w14:textId="77777777" w:rsidR="009E1D9F" w:rsidRPr="00870EB9" w:rsidRDefault="00B304DE" w:rsidP="00220786">
      <w:pPr>
        <w:pStyle w:val="EndnoteText"/>
        <w:spacing w:line="276" w:lineRule="auto"/>
        <w:jc w:val="both"/>
        <w:rPr>
          <w:lang w:val="en-US"/>
        </w:rPr>
      </w:pPr>
      <w:r w:rsidRPr="007057BD">
        <w:rPr>
          <w:rStyle w:val="EndnoteReference"/>
          <w:rFonts w:cs="Calibri"/>
          <w:sz w:val="18"/>
          <w:szCs w:val="18"/>
          <w:vertAlign w:val="baseline"/>
        </w:rPr>
        <w:endnoteRef/>
      </w:r>
      <w:r w:rsidRPr="007057BD">
        <w:rPr>
          <w:rFonts w:cs="Calibri"/>
          <w:sz w:val="18"/>
          <w:szCs w:val="18"/>
          <w:lang w:val="en-US"/>
        </w:rPr>
        <w:t xml:space="preserve"> Smith, E. L.; Abbott, A. P.; Ryder, K. S. </w:t>
      </w:r>
      <w:r w:rsidRPr="007057BD">
        <w:rPr>
          <w:rFonts w:cs="Calibri"/>
          <w:iCs/>
          <w:sz w:val="18"/>
          <w:szCs w:val="18"/>
          <w:lang w:val="en-US"/>
        </w:rPr>
        <w:t>Chem. Rev.</w:t>
      </w:r>
      <w:r w:rsidRPr="007057BD">
        <w:rPr>
          <w:rFonts w:cs="Calibri"/>
          <w:sz w:val="18"/>
          <w:szCs w:val="18"/>
          <w:lang w:val="en-US"/>
        </w:rPr>
        <w:t> 2014, </w:t>
      </w:r>
      <w:r w:rsidRPr="007057BD">
        <w:rPr>
          <w:rFonts w:cs="Calibri"/>
          <w:iCs/>
          <w:sz w:val="18"/>
          <w:szCs w:val="18"/>
          <w:lang w:val="en-US"/>
        </w:rPr>
        <w:t>114</w:t>
      </w:r>
      <w:r w:rsidRPr="007057BD">
        <w:rPr>
          <w:rFonts w:cs="Calibri"/>
          <w:sz w:val="18"/>
          <w:szCs w:val="18"/>
          <w:lang w:val="en-US"/>
        </w:rPr>
        <w:t> (21), 11060-11082</w:t>
      </w:r>
    </w:p>
  </w:endnote>
  <w:endnote w:id="3">
    <w:p w14:paraId="086BEE9D" w14:textId="77777777" w:rsidR="009E1D9F" w:rsidRPr="00870EB9" w:rsidRDefault="00B304DE" w:rsidP="00220786">
      <w:pPr>
        <w:pStyle w:val="EndnoteText"/>
        <w:spacing w:line="276" w:lineRule="auto"/>
        <w:jc w:val="both"/>
        <w:rPr>
          <w:lang w:val="en-US"/>
        </w:rPr>
      </w:pPr>
      <w:r w:rsidRPr="007057BD">
        <w:rPr>
          <w:rStyle w:val="EndnoteReference"/>
          <w:rFonts w:cs="Calibri"/>
          <w:sz w:val="18"/>
          <w:szCs w:val="18"/>
          <w:vertAlign w:val="baseline"/>
        </w:rPr>
        <w:endnoteRef/>
      </w:r>
      <w:r w:rsidRPr="007057BD">
        <w:rPr>
          <w:rFonts w:cs="Calibri"/>
          <w:sz w:val="18"/>
          <w:szCs w:val="18"/>
          <w:lang w:val="en-US"/>
        </w:rPr>
        <w:t xml:space="preserve"> Paiva, A.; Craveiro, R.; Aroso, I.; Martins, M.; Reis, R.L.; Duarte, A.R.C.. </w:t>
      </w:r>
      <w:r w:rsidRPr="007057BD">
        <w:rPr>
          <w:rFonts w:cs="Calibri"/>
          <w:iCs/>
          <w:sz w:val="18"/>
          <w:szCs w:val="18"/>
          <w:shd w:val="clear" w:color="auto" w:fill="FFFFFF"/>
          <w:lang w:val="en-US"/>
        </w:rPr>
        <w:t>ACS Sustainable Chem. Eng.</w:t>
      </w:r>
      <w:r w:rsidRPr="007057BD">
        <w:rPr>
          <w:rFonts w:cs="Calibri"/>
          <w:sz w:val="18"/>
          <w:szCs w:val="18"/>
          <w:lang w:val="en-US"/>
        </w:rPr>
        <w:t xml:space="preserve"> 2014, </w:t>
      </w:r>
      <w:r w:rsidRPr="007057BD">
        <w:rPr>
          <w:rFonts w:cs="Calibri"/>
          <w:iCs/>
          <w:sz w:val="18"/>
          <w:szCs w:val="18"/>
          <w:lang w:val="en-US"/>
        </w:rPr>
        <w:t>2</w:t>
      </w:r>
      <w:r w:rsidRPr="007057BD">
        <w:rPr>
          <w:rFonts w:cs="Calibri"/>
          <w:sz w:val="18"/>
          <w:szCs w:val="18"/>
          <w:lang w:val="en-US"/>
        </w:rPr>
        <w:t> (5), 1063-1071</w:t>
      </w:r>
    </w:p>
  </w:endnote>
  <w:endnote w:id="4">
    <w:p w14:paraId="2FADAC8B" w14:textId="77777777" w:rsidR="009E1D9F" w:rsidRPr="00870EB9" w:rsidRDefault="00B304DE" w:rsidP="00220786">
      <w:pPr>
        <w:pStyle w:val="EndnoteText"/>
        <w:spacing w:line="276" w:lineRule="auto"/>
        <w:jc w:val="both"/>
        <w:rPr>
          <w:lang w:val="en-US"/>
        </w:rPr>
      </w:pPr>
      <w:r w:rsidRPr="007057BD">
        <w:rPr>
          <w:rStyle w:val="EndnoteReference"/>
          <w:rFonts w:cs="Calibri"/>
          <w:sz w:val="18"/>
          <w:szCs w:val="18"/>
          <w:vertAlign w:val="baseline"/>
        </w:rPr>
        <w:endnoteRef/>
      </w:r>
      <w:r w:rsidRPr="00F74E08">
        <w:rPr>
          <w:rFonts w:cs="Calibri"/>
          <w:sz w:val="18"/>
          <w:szCs w:val="18"/>
          <w:lang w:val="en-US"/>
        </w:rPr>
        <w:t xml:space="preserve"> Cherukuvada, S.; Nangi, A. Chem. </w:t>
      </w:r>
      <w:r w:rsidRPr="007057BD">
        <w:rPr>
          <w:rFonts w:cs="Calibri"/>
          <w:sz w:val="18"/>
          <w:szCs w:val="18"/>
          <w:lang w:val="en-US"/>
        </w:rPr>
        <w:t>Commun. 2014, 50, 906-923</w:t>
      </w:r>
    </w:p>
  </w:endnote>
  <w:endnote w:id="5">
    <w:p w14:paraId="34C10A1E" w14:textId="77777777" w:rsidR="009E1D9F" w:rsidRPr="00870EB9" w:rsidRDefault="00B304DE" w:rsidP="00220786">
      <w:pPr>
        <w:pStyle w:val="EndnoteText"/>
        <w:spacing w:line="276" w:lineRule="auto"/>
        <w:jc w:val="both"/>
        <w:rPr>
          <w:lang w:val="en-US"/>
        </w:rPr>
      </w:pPr>
      <w:r w:rsidRPr="007057BD">
        <w:rPr>
          <w:rStyle w:val="EndnoteReference"/>
          <w:rFonts w:cs="Calibri"/>
          <w:sz w:val="18"/>
          <w:szCs w:val="18"/>
          <w:vertAlign w:val="baseline"/>
        </w:rPr>
        <w:endnoteRef/>
      </w:r>
      <w:r w:rsidRPr="007057BD">
        <w:rPr>
          <w:rFonts w:cs="Calibri"/>
          <w:sz w:val="18"/>
          <w:szCs w:val="18"/>
          <w:lang w:val="en-US"/>
        </w:rPr>
        <w:t xml:space="preserve"> </w:t>
      </w:r>
      <w:r w:rsidRPr="007057BD">
        <w:rPr>
          <w:rFonts w:cs="Calibri"/>
          <w:sz w:val="18"/>
          <w:szCs w:val="18"/>
          <w:lang w:val="en-IE"/>
        </w:rPr>
        <w:t xml:space="preserve">Berton, P. et. al. </w:t>
      </w:r>
      <w:r w:rsidRPr="007057BD">
        <w:rPr>
          <w:rStyle w:val="HTMLCite"/>
          <w:rFonts w:cs="Calibri"/>
          <w:sz w:val="18"/>
          <w:szCs w:val="18"/>
          <w:shd w:val="clear" w:color="auto" w:fill="FFFFFF"/>
          <w:lang w:val="en-US"/>
        </w:rPr>
        <w:t>ACS Med. Chem. Lett.</w:t>
      </w:r>
      <w:r w:rsidRPr="007057BD">
        <w:rPr>
          <w:rFonts w:cs="Calibri"/>
          <w:sz w:val="18"/>
          <w:szCs w:val="18"/>
          <w:shd w:val="clear" w:color="auto" w:fill="FFFFFF"/>
          <w:lang w:val="en-US"/>
        </w:rPr>
        <w:t>, </w:t>
      </w:r>
      <w:r w:rsidRPr="007057BD">
        <w:rPr>
          <w:rStyle w:val="citationyear"/>
          <w:rFonts w:cs="Calibri"/>
          <w:bCs/>
          <w:sz w:val="18"/>
          <w:szCs w:val="18"/>
          <w:shd w:val="clear" w:color="auto" w:fill="FFFFFF"/>
          <w:lang w:val="en-US"/>
        </w:rPr>
        <w:t>2017</w:t>
      </w:r>
      <w:r w:rsidRPr="007057BD">
        <w:rPr>
          <w:rFonts w:cs="Calibri"/>
          <w:sz w:val="18"/>
          <w:szCs w:val="18"/>
          <w:shd w:val="clear" w:color="auto" w:fill="FFFFFF"/>
          <w:lang w:val="en-US"/>
        </w:rPr>
        <w:t>, </w:t>
      </w:r>
      <w:r w:rsidRPr="007057BD">
        <w:rPr>
          <w:rStyle w:val="citationvolume"/>
          <w:rFonts w:cs="Calibri"/>
          <w:iCs/>
          <w:sz w:val="18"/>
          <w:szCs w:val="18"/>
          <w:shd w:val="clear" w:color="auto" w:fill="FFFFFF"/>
          <w:lang w:val="en-US"/>
        </w:rPr>
        <w:t>8</w:t>
      </w:r>
      <w:r w:rsidRPr="007057BD">
        <w:rPr>
          <w:rFonts w:cs="Calibri"/>
          <w:sz w:val="18"/>
          <w:szCs w:val="18"/>
          <w:shd w:val="clear" w:color="auto" w:fill="FFFFFF"/>
          <w:lang w:val="en-US"/>
        </w:rPr>
        <w:t> (5), pp 498–503</w:t>
      </w:r>
    </w:p>
  </w:endnote>
  <w:endnote w:id="6">
    <w:p w14:paraId="6CADEE86" w14:textId="77777777" w:rsidR="009E1D9F" w:rsidRPr="00870EB9" w:rsidRDefault="00B304DE" w:rsidP="00220786">
      <w:pPr>
        <w:pStyle w:val="EndnoteText"/>
        <w:spacing w:line="276" w:lineRule="auto"/>
        <w:jc w:val="both"/>
        <w:rPr>
          <w:lang w:val="en-US"/>
        </w:rPr>
      </w:pPr>
      <w:r w:rsidRPr="007057BD">
        <w:rPr>
          <w:rStyle w:val="EndnoteReference"/>
          <w:rFonts w:cs="Calibri"/>
          <w:sz w:val="18"/>
          <w:szCs w:val="18"/>
          <w:vertAlign w:val="baseline"/>
        </w:rPr>
        <w:endnoteRef/>
      </w:r>
      <w:r w:rsidRPr="007057BD">
        <w:rPr>
          <w:rFonts w:cs="Calibri"/>
          <w:sz w:val="18"/>
          <w:szCs w:val="18"/>
          <w:lang w:val="en-US"/>
        </w:rPr>
        <w:t xml:space="preserve"> </w:t>
      </w:r>
      <w:hyperlink r:id="rId1" w:history="1">
        <w:r w:rsidRPr="007057BD">
          <w:rPr>
            <w:rStyle w:val="Hyperlink"/>
            <w:rFonts w:cs="Calibri"/>
            <w:color w:val="auto"/>
            <w:spacing w:val="-5"/>
            <w:sz w:val="18"/>
            <w:szCs w:val="18"/>
            <w:u w:val="none"/>
            <w:shd w:val="clear" w:color="auto" w:fill="FFFFFF"/>
            <w:lang w:val="en-US"/>
          </w:rPr>
          <w:t>Sánchez-Leija</w:t>
        </w:r>
      </w:hyperlink>
      <w:r w:rsidRPr="007057BD">
        <w:rPr>
          <w:rStyle w:val="articleauthor-link"/>
          <w:rFonts w:cs="Calibri"/>
          <w:spacing w:val="-5"/>
          <w:sz w:val="18"/>
          <w:szCs w:val="18"/>
          <w:shd w:val="clear" w:color="auto" w:fill="FFFFFF"/>
          <w:lang w:val="en-US"/>
        </w:rPr>
        <w:t>, R.L.;  </w:t>
      </w:r>
      <w:hyperlink r:id="rId2" w:history="1">
        <w:r w:rsidRPr="007057BD">
          <w:rPr>
            <w:rStyle w:val="Hyperlink"/>
            <w:rFonts w:cs="Calibri"/>
            <w:color w:val="auto"/>
            <w:spacing w:val="-5"/>
            <w:sz w:val="18"/>
            <w:szCs w:val="18"/>
            <w:u w:val="none"/>
            <w:shd w:val="clear" w:color="auto" w:fill="FFFFFF"/>
            <w:lang w:val="en-US"/>
          </w:rPr>
          <w:t>Pojman</w:t>
        </w:r>
      </w:hyperlink>
      <w:r w:rsidRPr="007057BD">
        <w:rPr>
          <w:rStyle w:val="articleauthor-link"/>
          <w:rFonts w:cs="Calibri"/>
          <w:spacing w:val="-5"/>
          <w:sz w:val="18"/>
          <w:szCs w:val="18"/>
          <w:shd w:val="clear" w:color="auto" w:fill="FFFFFF"/>
          <w:lang w:val="en-US"/>
        </w:rPr>
        <w:t>, J.A.;  </w:t>
      </w:r>
      <w:hyperlink r:id="rId3" w:history="1">
        <w:r w:rsidRPr="007057BD">
          <w:rPr>
            <w:rStyle w:val="Hyperlink"/>
            <w:rFonts w:cs="Calibri"/>
            <w:color w:val="auto"/>
            <w:spacing w:val="-5"/>
            <w:sz w:val="18"/>
            <w:szCs w:val="18"/>
            <w:u w:val="none"/>
            <w:shd w:val="clear" w:color="auto" w:fill="FFFFFF"/>
            <w:lang w:val="en-US"/>
          </w:rPr>
          <w:t>Luna-Bárcenas</w:t>
        </w:r>
      </w:hyperlink>
      <w:r w:rsidRPr="007057BD">
        <w:rPr>
          <w:rStyle w:val="articleauthor-link"/>
          <w:rFonts w:cs="Calibri"/>
          <w:spacing w:val="-5"/>
          <w:sz w:val="18"/>
          <w:szCs w:val="18"/>
          <w:shd w:val="clear" w:color="auto" w:fill="FFFFFF"/>
          <w:lang w:val="en-US"/>
        </w:rPr>
        <w:t xml:space="preserve"> G.;  </w:t>
      </w:r>
      <w:hyperlink r:id="rId4" w:history="1">
        <w:r w:rsidRPr="007057BD">
          <w:rPr>
            <w:rStyle w:val="Hyperlink"/>
            <w:rFonts w:cs="Calibri"/>
            <w:color w:val="auto"/>
            <w:spacing w:val="-5"/>
            <w:sz w:val="18"/>
            <w:szCs w:val="18"/>
            <w:u w:val="none"/>
            <w:shd w:val="clear" w:color="auto" w:fill="FFFFFF"/>
            <w:lang w:val="en-US"/>
          </w:rPr>
          <w:t>Mota-Morales</w:t>
        </w:r>
      </w:hyperlink>
      <w:r w:rsidRPr="007057BD">
        <w:rPr>
          <w:rStyle w:val="articleauthor-link"/>
          <w:rFonts w:cs="Calibri"/>
          <w:spacing w:val="-5"/>
          <w:sz w:val="18"/>
          <w:szCs w:val="18"/>
          <w:shd w:val="clear" w:color="auto" w:fill="FFFFFF"/>
          <w:lang w:val="en-US"/>
        </w:rPr>
        <w:t>, J.D</w:t>
      </w:r>
      <w:r w:rsidRPr="00A55448">
        <w:rPr>
          <w:rStyle w:val="articleauthor-link"/>
          <w:rFonts w:cs="Calibri"/>
          <w:b/>
          <w:spacing w:val="-5"/>
          <w:sz w:val="18"/>
          <w:szCs w:val="18"/>
          <w:shd w:val="clear" w:color="auto" w:fill="FFFFFF"/>
          <w:lang w:val="en-US"/>
        </w:rPr>
        <w:t xml:space="preserve">. </w:t>
      </w:r>
      <w:r w:rsidRPr="00A55448">
        <w:rPr>
          <w:rStyle w:val="Strong"/>
          <w:rFonts w:cs="Calibri"/>
          <w:b w:val="0"/>
          <w:iCs/>
          <w:spacing w:val="-5"/>
          <w:sz w:val="18"/>
          <w:szCs w:val="18"/>
          <w:shd w:val="clear" w:color="auto" w:fill="FFFFFF"/>
          <w:lang w:val="en-US"/>
        </w:rPr>
        <w:t>J. Mater. Chem. B</w:t>
      </w:r>
      <w:r w:rsidRPr="00A55448">
        <w:rPr>
          <w:rFonts w:cs="Calibri"/>
          <w:b/>
          <w:spacing w:val="-5"/>
          <w:sz w:val="18"/>
          <w:szCs w:val="18"/>
          <w:shd w:val="clear" w:color="auto" w:fill="FFFFFF"/>
          <w:lang w:val="en-US"/>
        </w:rPr>
        <w:t xml:space="preserve">. </w:t>
      </w:r>
      <w:r w:rsidRPr="00A55448">
        <w:rPr>
          <w:rFonts w:cs="Calibri"/>
          <w:spacing w:val="-5"/>
          <w:sz w:val="18"/>
          <w:szCs w:val="18"/>
          <w:shd w:val="clear" w:color="auto" w:fill="FFFFFF"/>
          <w:lang w:val="en-US"/>
        </w:rPr>
        <w:t>2014</w:t>
      </w:r>
      <w:r w:rsidRPr="00A55448">
        <w:rPr>
          <w:rFonts w:cs="Calibri"/>
          <w:b/>
          <w:spacing w:val="-5"/>
          <w:sz w:val="18"/>
          <w:szCs w:val="18"/>
          <w:shd w:val="clear" w:color="auto" w:fill="FFFFFF"/>
          <w:lang w:val="en-US"/>
        </w:rPr>
        <w:t xml:space="preserve">, </w:t>
      </w:r>
      <w:r w:rsidRPr="00A55448">
        <w:rPr>
          <w:rStyle w:val="Strong"/>
          <w:rFonts w:cs="Calibri"/>
          <w:b w:val="0"/>
          <w:spacing w:val="-5"/>
          <w:sz w:val="18"/>
          <w:szCs w:val="18"/>
          <w:shd w:val="clear" w:color="auto" w:fill="FFFFFF"/>
          <w:lang w:val="en-US"/>
        </w:rPr>
        <w:t>2</w:t>
      </w:r>
      <w:r w:rsidRPr="00A55448">
        <w:rPr>
          <w:rFonts w:cs="Calibri"/>
          <w:b/>
          <w:spacing w:val="-5"/>
          <w:sz w:val="18"/>
          <w:szCs w:val="18"/>
          <w:shd w:val="clear" w:color="auto" w:fill="FFFFFF"/>
          <w:lang w:val="en-US"/>
        </w:rPr>
        <w:t xml:space="preserve">, </w:t>
      </w:r>
      <w:r w:rsidRPr="00A55448">
        <w:rPr>
          <w:rFonts w:cs="Calibri"/>
          <w:spacing w:val="-5"/>
          <w:sz w:val="18"/>
          <w:szCs w:val="18"/>
          <w:shd w:val="clear" w:color="auto" w:fill="FFFFFF"/>
          <w:lang w:val="en-US"/>
        </w:rPr>
        <w:t>7495-7501</w:t>
      </w:r>
    </w:p>
  </w:endnote>
  <w:endnote w:id="7">
    <w:p w14:paraId="67A46B69" w14:textId="77777777" w:rsidR="009E1D9F" w:rsidRPr="00870EB9" w:rsidRDefault="00B304DE" w:rsidP="00220786">
      <w:pPr>
        <w:pStyle w:val="EndnoteText"/>
        <w:spacing w:line="276" w:lineRule="auto"/>
        <w:jc w:val="both"/>
        <w:rPr>
          <w:lang w:val="en-US"/>
        </w:rPr>
      </w:pPr>
      <w:r w:rsidRPr="00A55448">
        <w:rPr>
          <w:rStyle w:val="EndnoteReference"/>
          <w:rFonts w:cs="Calibri"/>
          <w:sz w:val="18"/>
          <w:szCs w:val="18"/>
          <w:vertAlign w:val="baseline"/>
        </w:rPr>
        <w:endnoteRef/>
      </w:r>
      <w:r w:rsidRPr="00A55448">
        <w:rPr>
          <w:rFonts w:cs="Calibri"/>
          <w:sz w:val="18"/>
          <w:szCs w:val="18"/>
          <w:lang w:val="en-US"/>
        </w:rPr>
        <w:t xml:space="preserve"> </w:t>
      </w:r>
      <w:r w:rsidRPr="00A55448">
        <w:rPr>
          <w:rFonts w:cs="Calibri"/>
          <w:bCs/>
          <w:iCs/>
          <w:spacing w:val="-5"/>
          <w:sz w:val="18"/>
          <w:szCs w:val="18"/>
          <w:shd w:val="clear" w:color="auto" w:fill="FFFFFF"/>
          <w:lang w:val="en-US"/>
        </w:rPr>
        <w:t>Wang, H.; et al.</w:t>
      </w:r>
      <w:r w:rsidRPr="00A55448">
        <w:rPr>
          <w:rFonts w:cs="Calibri"/>
          <w:b/>
          <w:sz w:val="18"/>
          <w:szCs w:val="18"/>
          <w:lang w:val="en-US"/>
        </w:rPr>
        <w:t xml:space="preserve"> </w:t>
      </w:r>
      <w:r w:rsidRPr="00A55448">
        <w:rPr>
          <w:rStyle w:val="Strong"/>
          <w:rFonts w:cs="Calibri"/>
          <w:b w:val="0"/>
          <w:iCs/>
          <w:spacing w:val="-5"/>
          <w:sz w:val="18"/>
          <w:szCs w:val="18"/>
          <w:shd w:val="clear" w:color="auto" w:fill="FFFFFF"/>
          <w:lang w:val="en-US"/>
        </w:rPr>
        <w:t>Chem. Sci.</w:t>
      </w:r>
      <w:r w:rsidRPr="007057BD">
        <w:rPr>
          <w:rFonts w:cs="Calibri"/>
          <w:spacing w:val="-5"/>
          <w:sz w:val="18"/>
          <w:szCs w:val="18"/>
          <w:shd w:val="clear" w:color="auto" w:fill="FFFFFF"/>
          <w:lang w:val="en-US"/>
        </w:rPr>
        <w:t xml:space="preserve"> 2014, </w:t>
      </w:r>
      <w:r w:rsidRPr="007057BD">
        <w:rPr>
          <w:rStyle w:val="Strong"/>
          <w:rFonts w:cs="Calibri"/>
          <w:spacing w:val="-5"/>
          <w:sz w:val="18"/>
          <w:szCs w:val="18"/>
          <w:shd w:val="clear" w:color="auto" w:fill="FFFFFF"/>
          <w:lang w:val="en-US"/>
        </w:rPr>
        <w:t>5</w:t>
      </w:r>
      <w:r w:rsidRPr="007057BD">
        <w:rPr>
          <w:rFonts w:cs="Calibri"/>
          <w:spacing w:val="-5"/>
          <w:sz w:val="18"/>
          <w:szCs w:val="18"/>
          <w:shd w:val="clear" w:color="auto" w:fill="FFFFFF"/>
          <w:lang w:val="en-US"/>
        </w:rPr>
        <w:t>, 3449-3456 </w:t>
      </w:r>
    </w:p>
  </w:endnote>
  <w:endnote w:id="8">
    <w:p w14:paraId="644579B1" w14:textId="20BDA7F9" w:rsidR="00FB5266" w:rsidRPr="00FB5266" w:rsidRDefault="00FB5266">
      <w:pPr>
        <w:pStyle w:val="EndnoteText"/>
        <w:rPr>
          <w:sz w:val="18"/>
          <w:szCs w:val="18"/>
          <w:lang w:val="en-GB"/>
        </w:rPr>
      </w:pPr>
      <w:r w:rsidRPr="00FB5266">
        <w:rPr>
          <w:rStyle w:val="EndnoteReference"/>
          <w:sz w:val="18"/>
          <w:szCs w:val="18"/>
        </w:rPr>
        <w:endnoteRef/>
      </w:r>
      <w:r w:rsidRPr="00FB5266">
        <w:rPr>
          <w:sz w:val="18"/>
          <w:szCs w:val="18"/>
          <w:lang w:val="en-US"/>
        </w:rPr>
        <w:t xml:space="preserve"> Andrew P. Abbott, Essa I. Ahmed, Kamalesh Prasad, Idrees B. Qader, Karl S. Ryder Fluid Phase Equil. 2017, 448, 2–8.</w:t>
      </w:r>
    </w:p>
  </w:endnote>
  <w:endnote w:id="9">
    <w:p w14:paraId="29B9882B" w14:textId="77777777" w:rsidR="009E1D9F" w:rsidRPr="00870EB9" w:rsidRDefault="00B304DE" w:rsidP="00220786">
      <w:pPr>
        <w:pStyle w:val="EndnoteText"/>
        <w:spacing w:line="276" w:lineRule="auto"/>
        <w:jc w:val="both"/>
        <w:rPr>
          <w:lang w:val="en-US"/>
        </w:rPr>
      </w:pPr>
      <w:r w:rsidRPr="00FB5266">
        <w:rPr>
          <w:rStyle w:val="EndnoteReference"/>
          <w:rFonts w:cs="Calibri"/>
          <w:sz w:val="18"/>
          <w:szCs w:val="18"/>
          <w:vertAlign w:val="baseline"/>
        </w:rPr>
        <w:endnoteRef/>
      </w:r>
      <w:r w:rsidRPr="00FB5266">
        <w:rPr>
          <w:rFonts w:cs="Calibri"/>
          <w:sz w:val="18"/>
          <w:szCs w:val="18"/>
          <w:lang w:val="en-US"/>
        </w:rPr>
        <w:t xml:space="preserve"> Thipparaboina, R.; Thumuri, D.; Chavan, R.; Naidu, V.G.M.; Shastri, N.R. Eur. J. Pharm. Sci. 2017, 104, 82-89.</w:t>
      </w:r>
    </w:p>
  </w:endnote>
  <w:endnote w:id="10">
    <w:p w14:paraId="4DA9981C" w14:textId="77777777" w:rsidR="009E1D9F" w:rsidRDefault="00B304DE" w:rsidP="00220786">
      <w:pPr>
        <w:autoSpaceDE w:val="0"/>
        <w:autoSpaceDN w:val="0"/>
        <w:adjustRightInd w:val="0"/>
        <w:spacing w:after="0"/>
        <w:jc w:val="both"/>
      </w:pPr>
      <w:r w:rsidRPr="007057BD">
        <w:rPr>
          <w:rStyle w:val="EndnoteReference"/>
          <w:rFonts w:cs="Calibri"/>
          <w:sz w:val="18"/>
          <w:szCs w:val="18"/>
          <w:vertAlign w:val="baseline"/>
        </w:rPr>
        <w:endnoteRef/>
      </w:r>
      <w:r w:rsidRPr="007057BD">
        <w:rPr>
          <w:rFonts w:cs="Calibri"/>
          <w:sz w:val="18"/>
          <w:szCs w:val="18"/>
        </w:rPr>
        <w:t xml:space="preserve"> A. P. Abbott, D. Boothby, G. Capper, D. L. Davies and R. K. Rasheed, J. Am. Chem. Soc., 2004, 126, 9142–9147</w:t>
      </w:r>
    </w:p>
  </w:endnote>
  <w:endnote w:id="11">
    <w:p w14:paraId="7E3D56BD" w14:textId="77777777" w:rsidR="009E1D9F" w:rsidRPr="00870EB9" w:rsidRDefault="00B304DE" w:rsidP="00220786">
      <w:pPr>
        <w:pStyle w:val="EndnoteText"/>
        <w:spacing w:line="276" w:lineRule="auto"/>
        <w:jc w:val="both"/>
        <w:rPr>
          <w:lang w:val="en-US"/>
        </w:rPr>
      </w:pPr>
      <w:r w:rsidRPr="007057BD">
        <w:rPr>
          <w:rStyle w:val="EndnoteReference"/>
          <w:rFonts w:cs="Calibri"/>
          <w:sz w:val="18"/>
          <w:szCs w:val="18"/>
          <w:vertAlign w:val="baseline"/>
        </w:rPr>
        <w:endnoteRef/>
      </w:r>
      <w:r w:rsidRPr="007057BD">
        <w:rPr>
          <w:rFonts w:cs="Calibri"/>
          <w:sz w:val="18"/>
          <w:szCs w:val="18"/>
          <w:lang w:val="en-US"/>
        </w:rPr>
        <w:t xml:space="preserve"> Zhang, Q.; De Oliveira Vigier, K.; Royera, S.; Jérôme, F. Chem. Soc. Rev., 2012, 41, 7108–7146</w:t>
      </w:r>
    </w:p>
  </w:endnote>
  <w:endnote w:id="12">
    <w:p w14:paraId="1235986F" w14:textId="77777777" w:rsidR="009E1D9F" w:rsidRPr="00870EB9" w:rsidRDefault="00B304DE" w:rsidP="00220786">
      <w:pPr>
        <w:autoSpaceDE w:val="0"/>
        <w:autoSpaceDN w:val="0"/>
        <w:adjustRightInd w:val="0"/>
        <w:spacing w:after="0"/>
        <w:jc w:val="both"/>
        <w:rPr>
          <w:lang w:val="pl-PL"/>
        </w:rPr>
      </w:pPr>
      <w:r w:rsidRPr="007057BD">
        <w:rPr>
          <w:rStyle w:val="EndnoteReference"/>
          <w:rFonts w:cs="Calibri"/>
          <w:sz w:val="18"/>
          <w:szCs w:val="18"/>
          <w:vertAlign w:val="baseline"/>
        </w:rPr>
        <w:endnoteRef/>
      </w:r>
      <w:r w:rsidRPr="007057BD">
        <w:rPr>
          <w:rFonts w:cs="Calibri"/>
          <w:sz w:val="18"/>
          <w:szCs w:val="18"/>
        </w:rPr>
        <w:t xml:space="preserve"> Zhang, Q.; De Oliveira Vigier, K.; Royera, S.; Jérôme, F. Chem. Soc. </w:t>
      </w:r>
      <w:r w:rsidRPr="00F74E08">
        <w:rPr>
          <w:rFonts w:cs="Calibri"/>
          <w:sz w:val="18"/>
          <w:szCs w:val="18"/>
          <w:lang w:val="pl-PL"/>
        </w:rPr>
        <w:t>Rev., 2012, 41, 7108</w:t>
      </w:r>
      <w:r w:rsidRPr="00D73250">
        <w:rPr>
          <w:rFonts w:cs="Calibri"/>
          <w:sz w:val="18"/>
          <w:szCs w:val="18"/>
          <w:lang w:val="pl-PL"/>
        </w:rPr>
        <w:t>–</w:t>
      </w:r>
      <w:r w:rsidRPr="00F74E08">
        <w:rPr>
          <w:rFonts w:cs="Calibri"/>
          <w:sz w:val="18"/>
          <w:szCs w:val="18"/>
          <w:lang w:val="pl-PL"/>
        </w:rPr>
        <w:t>7146</w:t>
      </w:r>
    </w:p>
  </w:endnote>
  <w:endnote w:id="13">
    <w:p w14:paraId="2D2592E6" w14:textId="77777777" w:rsidR="009E1D9F" w:rsidRPr="00870EB9" w:rsidRDefault="00B304DE" w:rsidP="00220786">
      <w:pPr>
        <w:pStyle w:val="EndnoteText"/>
        <w:spacing w:line="276" w:lineRule="auto"/>
        <w:jc w:val="both"/>
        <w:rPr>
          <w:lang w:val="en-US"/>
        </w:rPr>
      </w:pPr>
      <w:r w:rsidRPr="007057BD">
        <w:rPr>
          <w:rStyle w:val="EndnoteReference"/>
          <w:rFonts w:cs="Calibri"/>
          <w:sz w:val="18"/>
          <w:szCs w:val="18"/>
          <w:vertAlign w:val="baseline"/>
        </w:rPr>
        <w:endnoteRef/>
      </w:r>
      <w:r w:rsidRPr="00AB004E">
        <w:rPr>
          <w:rFonts w:cs="Calibri"/>
          <w:sz w:val="18"/>
          <w:szCs w:val="18"/>
        </w:rPr>
        <w:t xml:space="preserve"> Gorniak, A.; Wojakowska, A.; Karolewicz, B.; Pluta, J. J. Therm. </w:t>
      </w:r>
      <w:r w:rsidRPr="007057BD">
        <w:rPr>
          <w:rFonts w:cs="Calibri"/>
          <w:sz w:val="18"/>
          <w:szCs w:val="18"/>
          <w:lang w:val="en-US"/>
        </w:rPr>
        <w:t>Anal. Calorim. 2011, 104, 1195–1200.</w:t>
      </w:r>
    </w:p>
  </w:endnote>
  <w:endnote w:id="14">
    <w:p w14:paraId="15813A5A" w14:textId="77777777" w:rsidR="009E1D9F" w:rsidRPr="00870EB9" w:rsidRDefault="00B304DE" w:rsidP="00220786">
      <w:pPr>
        <w:pStyle w:val="EndnoteText"/>
        <w:spacing w:line="276" w:lineRule="auto"/>
        <w:jc w:val="both"/>
        <w:rPr>
          <w:lang w:val="en-US"/>
        </w:rPr>
      </w:pPr>
      <w:r w:rsidRPr="007057BD">
        <w:rPr>
          <w:rStyle w:val="EndnoteReference"/>
          <w:rFonts w:cs="Calibri"/>
          <w:sz w:val="18"/>
          <w:szCs w:val="18"/>
          <w:vertAlign w:val="baseline"/>
        </w:rPr>
        <w:endnoteRef/>
      </w:r>
      <w:r w:rsidRPr="007057BD">
        <w:rPr>
          <w:rFonts w:cs="Calibri"/>
          <w:sz w:val="18"/>
          <w:szCs w:val="18"/>
          <w:lang w:val="en-US"/>
        </w:rPr>
        <w:t xml:space="preserve"> Jain, H.; Khomane, K.S.; Bansal, A.K.; Cryst. Eng. Comm. 2014, 16, 8471–8478.</w:t>
      </w:r>
    </w:p>
  </w:endnote>
  <w:endnote w:id="15">
    <w:p w14:paraId="19A85C66" w14:textId="77777777" w:rsidR="009E1D9F" w:rsidRPr="00870EB9" w:rsidRDefault="00B304DE" w:rsidP="00220786">
      <w:pPr>
        <w:pStyle w:val="EndnoteText"/>
        <w:spacing w:line="276" w:lineRule="auto"/>
        <w:jc w:val="both"/>
        <w:rPr>
          <w:lang w:val="en-US"/>
        </w:rPr>
      </w:pPr>
      <w:r w:rsidRPr="007057BD">
        <w:rPr>
          <w:rStyle w:val="EndnoteReference"/>
          <w:rFonts w:cs="Calibri"/>
          <w:sz w:val="18"/>
          <w:szCs w:val="18"/>
          <w:vertAlign w:val="baseline"/>
        </w:rPr>
        <w:endnoteRef/>
      </w:r>
      <w:r w:rsidRPr="007057BD">
        <w:rPr>
          <w:rFonts w:cs="Calibri"/>
          <w:sz w:val="18"/>
          <w:szCs w:val="18"/>
          <w:lang w:val="en-US"/>
        </w:rPr>
        <w:t xml:space="preserve"> Broberg, B.F.J.; Evers, H.C.A. European Pat. No. 0,002,425, 1981</w:t>
      </w:r>
    </w:p>
  </w:endnote>
  <w:endnote w:id="16">
    <w:p w14:paraId="6AED7664" w14:textId="77777777" w:rsidR="009E1D9F" w:rsidRPr="00870EB9" w:rsidRDefault="00B304DE" w:rsidP="00220786">
      <w:pPr>
        <w:pStyle w:val="EndnoteText"/>
        <w:spacing w:line="276" w:lineRule="auto"/>
        <w:jc w:val="both"/>
        <w:rPr>
          <w:lang w:val="en-US"/>
        </w:rPr>
      </w:pPr>
      <w:r w:rsidRPr="007057BD">
        <w:rPr>
          <w:rStyle w:val="EndnoteReference"/>
          <w:rFonts w:cs="Calibri"/>
          <w:sz w:val="18"/>
          <w:szCs w:val="18"/>
          <w:vertAlign w:val="baseline"/>
        </w:rPr>
        <w:endnoteRef/>
      </w:r>
      <w:r w:rsidRPr="007057BD">
        <w:rPr>
          <w:rFonts w:cs="Calibri"/>
          <w:sz w:val="18"/>
          <w:szCs w:val="18"/>
          <w:lang w:val="en-US"/>
        </w:rPr>
        <w:t xml:space="preserve"> Brodin, A.; Nyqvist-Mayer, A.; Wadsten, T.; Forslund, B.; Broberg, F. J. Pharm. Sci. 1984, 73, 4.</w:t>
      </w:r>
    </w:p>
  </w:endnote>
  <w:endnote w:id="17">
    <w:p w14:paraId="32E3C327" w14:textId="77777777" w:rsidR="009E1D9F" w:rsidRPr="00870EB9" w:rsidRDefault="00B304DE" w:rsidP="00220786">
      <w:pPr>
        <w:pStyle w:val="EndnoteText"/>
        <w:spacing w:line="276" w:lineRule="auto"/>
        <w:jc w:val="both"/>
        <w:rPr>
          <w:lang w:val="en-US"/>
        </w:rPr>
      </w:pPr>
      <w:r w:rsidRPr="007057BD">
        <w:rPr>
          <w:rStyle w:val="EndnoteReference"/>
          <w:rFonts w:cs="Calibri"/>
          <w:sz w:val="18"/>
          <w:szCs w:val="18"/>
          <w:vertAlign w:val="baseline"/>
        </w:rPr>
        <w:endnoteRef/>
      </w:r>
      <w:r w:rsidRPr="007057BD">
        <w:rPr>
          <w:rFonts w:cs="Calibri"/>
          <w:sz w:val="18"/>
          <w:szCs w:val="18"/>
          <w:lang w:val="en-US"/>
        </w:rPr>
        <w:t xml:space="preserve"> Stott, P.W.; Williams, A.C.; Barry, B.W. J. Control. Release. 1998, 50 (1–3), 297-308</w:t>
      </w:r>
    </w:p>
  </w:endnote>
  <w:endnote w:id="18">
    <w:p w14:paraId="66C28D80" w14:textId="77777777" w:rsidR="009E1D9F" w:rsidRPr="00870EB9" w:rsidRDefault="00B304DE" w:rsidP="00220786">
      <w:pPr>
        <w:pStyle w:val="EndnoteText"/>
        <w:spacing w:line="276" w:lineRule="auto"/>
        <w:jc w:val="both"/>
        <w:rPr>
          <w:lang w:val="en-US"/>
        </w:rPr>
      </w:pPr>
      <w:r w:rsidRPr="007057BD">
        <w:rPr>
          <w:rStyle w:val="EndnoteReference"/>
          <w:rFonts w:cs="Calibri"/>
          <w:sz w:val="18"/>
          <w:szCs w:val="18"/>
          <w:vertAlign w:val="baseline"/>
        </w:rPr>
        <w:endnoteRef/>
      </w:r>
      <w:r w:rsidRPr="007057BD">
        <w:rPr>
          <w:rFonts w:cs="Calibri"/>
          <w:sz w:val="18"/>
          <w:szCs w:val="18"/>
          <w:lang w:val="en-US"/>
        </w:rPr>
        <w:t xml:space="preserve"> Aroso, I.M.; Silva, J.C.; Mano, F.; Ferreira, A.S.;, Dionísio, M.; Sá-Nogueira, I.; Barreiros, S.; Reis, R.L.; Paiva, A.; Duarte, A.R. Eur. J. Pharm. Biopharm. 2016, 98, 57–66</w:t>
      </w:r>
    </w:p>
  </w:endnote>
  <w:endnote w:id="19">
    <w:p w14:paraId="50BB5BA3" w14:textId="77777777" w:rsidR="009E1D9F" w:rsidRPr="00870EB9" w:rsidRDefault="00B304DE" w:rsidP="00220786">
      <w:pPr>
        <w:pStyle w:val="EndnoteText"/>
        <w:spacing w:line="276" w:lineRule="auto"/>
        <w:jc w:val="both"/>
        <w:rPr>
          <w:lang w:val="en-US"/>
        </w:rPr>
      </w:pPr>
      <w:r w:rsidRPr="007057BD">
        <w:rPr>
          <w:rStyle w:val="EndnoteReference"/>
          <w:rFonts w:cs="Calibri"/>
          <w:sz w:val="18"/>
          <w:szCs w:val="18"/>
          <w:vertAlign w:val="baseline"/>
        </w:rPr>
        <w:endnoteRef/>
      </w:r>
      <w:r w:rsidRPr="007057BD">
        <w:rPr>
          <w:rFonts w:cs="Calibri"/>
          <w:sz w:val="18"/>
          <w:szCs w:val="18"/>
          <w:lang w:val="en-US"/>
        </w:rPr>
        <w:t xml:space="preserve"> Duarte, A.R.C.; Ferreira, A.S.; Barreiros, S.; Cabrita, E.; Reis, R.L.; Paiva, A. Eur. J. Pharm. Biopharm. 2017, 114, 296-304</w:t>
      </w:r>
    </w:p>
  </w:endnote>
  <w:endnote w:id="20">
    <w:p w14:paraId="3EB76AE2" w14:textId="77777777" w:rsidR="009E1D9F" w:rsidRPr="00870EB9" w:rsidRDefault="00B304DE" w:rsidP="00220786">
      <w:pPr>
        <w:pStyle w:val="EndnoteText"/>
        <w:spacing w:line="276" w:lineRule="auto"/>
        <w:jc w:val="both"/>
        <w:rPr>
          <w:lang w:val="en-US"/>
        </w:rPr>
      </w:pPr>
      <w:r w:rsidRPr="007057BD">
        <w:rPr>
          <w:rStyle w:val="EndnoteReference"/>
          <w:rFonts w:cs="Calibri"/>
          <w:sz w:val="18"/>
          <w:szCs w:val="18"/>
          <w:vertAlign w:val="baseline"/>
        </w:rPr>
        <w:endnoteRef/>
      </w:r>
      <w:r w:rsidRPr="007057BD">
        <w:rPr>
          <w:rFonts w:cs="Calibri"/>
          <w:sz w:val="18"/>
          <w:szCs w:val="18"/>
          <w:lang w:val="en-US"/>
        </w:rPr>
        <w:t xml:space="preserve"> Li, Z.; Lee, P.I. Int. J. Pharm. 2016, 505 (1-2), 283-288</w:t>
      </w:r>
    </w:p>
  </w:endnote>
  <w:endnote w:id="21">
    <w:p w14:paraId="1D8C44CF" w14:textId="77777777" w:rsidR="009E1D9F" w:rsidRDefault="00B304DE" w:rsidP="00220786">
      <w:pPr>
        <w:pStyle w:val="CommentText"/>
        <w:spacing w:after="0" w:line="276" w:lineRule="auto"/>
        <w:jc w:val="both"/>
      </w:pPr>
      <w:r w:rsidRPr="007057BD">
        <w:rPr>
          <w:rStyle w:val="EndnoteReference"/>
          <w:rFonts w:cs="Calibri"/>
          <w:sz w:val="18"/>
          <w:szCs w:val="18"/>
          <w:vertAlign w:val="baseline"/>
        </w:rPr>
        <w:endnoteRef/>
      </w:r>
      <w:r w:rsidRPr="007057BD">
        <w:rPr>
          <w:rFonts w:cs="Calibri"/>
          <w:sz w:val="18"/>
          <w:szCs w:val="18"/>
        </w:rPr>
        <w:t xml:space="preserve"> Macrae, C. F.; Edgington, P. R.; McCabe, P.; Pidcock, E.; Shields, G. P.; Taylor, R.; Towler, M.; van de Streek, J. Mercury: J. Appl. Crystallogr. 2006, 39, 453–457.</w:t>
      </w:r>
    </w:p>
  </w:endnote>
  <w:endnote w:id="22">
    <w:p w14:paraId="29387179" w14:textId="77777777" w:rsidR="009E1D9F" w:rsidRDefault="00B304DE" w:rsidP="00220786">
      <w:pPr>
        <w:pStyle w:val="CommentText"/>
        <w:spacing w:after="0" w:line="276" w:lineRule="auto"/>
        <w:jc w:val="both"/>
      </w:pPr>
      <w:r w:rsidRPr="007057BD">
        <w:rPr>
          <w:rStyle w:val="EndnoteReference"/>
          <w:rFonts w:cs="Calibri"/>
          <w:sz w:val="18"/>
          <w:szCs w:val="18"/>
          <w:vertAlign w:val="baseline"/>
        </w:rPr>
        <w:endnoteRef/>
      </w:r>
      <w:r w:rsidRPr="007057BD">
        <w:rPr>
          <w:rFonts w:cs="Calibri"/>
          <w:sz w:val="18"/>
          <w:szCs w:val="18"/>
        </w:rPr>
        <w:t xml:space="preserve"> Frisch, M.; Trucks, G.; Schlegel, H.; Scuseria, G.; Robb, M.; Cheeseman, J.; Montgomery, J.; Vreven, T, J.; Kudin, K.; Burant, J.; et al. Gaussian 03, Revision C.02; Gaussian, Inc., Wallingford CT, 2004.</w:t>
      </w:r>
    </w:p>
  </w:endnote>
  <w:endnote w:id="23">
    <w:p w14:paraId="7565F23D" w14:textId="77777777" w:rsidR="009E1D9F" w:rsidRDefault="00B304DE" w:rsidP="00220786">
      <w:pPr>
        <w:pStyle w:val="CommentText"/>
        <w:spacing w:after="0" w:line="276" w:lineRule="auto"/>
        <w:jc w:val="both"/>
      </w:pPr>
      <w:r w:rsidRPr="007057BD">
        <w:rPr>
          <w:rStyle w:val="EndnoteReference"/>
          <w:rFonts w:cs="Calibri"/>
          <w:sz w:val="18"/>
          <w:szCs w:val="18"/>
          <w:vertAlign w:val="baseline"/>
        </w:rPr>
        <w:endnoteRef/>
      </w:r>
      <w:r w:rsidRPr="007057BD">
        <w:rPr>
          <w:rFonts w:cs="Calibri"/>
          <w:sz w:val="18"/>
          <w:szCs w:val="18"/>
        </w:rPr>
        <w:t xml:space="preserve"> Koopmans, T. Physica 1934, 1, 104–113.</w:t>
      </w:r>
    </w:p>
  </w:endnote>
  <w:endnote w:id="24">
    <w:p w14:paraId="630B12B5" w14:textId="77777777" w:rsidR="009E1D9F" w:rsidRDefault="00B304DE" w:rsidP="00220786">
      <w:pPr>
        <w:pStyle w:val="CommentText"/>
        <w:spacing w:after="0" w:line="276" w:lineRule="auto"/>
        <w:jc w:val="both"/>
      </w:pPr>
      <w:r w:rsidRPr="007057BD">
        <w:rPr>
          <w:rStyle w:val="EndnoteReference"/>
          <w:rFonts w:cs="Calibri"/>
          <w:sz w:val="18"/>
          <w:szCs w:val="18"/>
          <w:vertAlign w:val="baseline"/>
        </w:rPr>
        <w:endnoteRef/>
      </w:r>
      <w:r w:rsidRPr="007057BD">
        <w:rPr>
          <w:rFonts w:cs="Calibri"/>
          <w:sz w:val="18"/>
          <w:szCs w:val="18"/>
        </w:rPr>
        <w:t xml:space="preserve"> Pandey, J.; Prajapati, P.; Shimpi, M. R.; Tandon, P.; Velaga, S. P.; Srivastava, A.; Sinha, K.; Khan, E.; Shukla, A.; Srivastava, A.; Sinha, K. RSC Adv. 2016, 6, 74135–74154.</w:t>
      </w:r>
    </w:p>
  </w:endnote>
  <w:endnote w:id="25">
    <w:p w14:paraId="3AD99008" w14:textId="77777777" w:rsidR="009E1D9F" w:rsidRPr="00870EB9" w:rsidRDefault="00B304DE" w:rsidP="00220786">
      <w:pPr>
        <w:pStyle w:val="EndnoteText"/>
        <w:spacing w:line="276" w:lineRule="auto"/>
        <w:jc w:val="both"/>
        <w:rPr>
          <w:lang w:val="en-US"/>
        </w:rPr>
      </w:pPr>
      <w:r w:rsidRPr="007057BD">
        <w:rPr>
          <w:rStyle w:val="EndnoteReference"/>
          <w:rFonts w:cs="Calibri"/>
          <w:sz w:val="18"/>
          <w:szCs w:val="18"/>
          <w:vertAlign w:val="baseline"/>
        </w:rPr>
        <w:endnoteRef/>
      </w:r>
      <w:r w:rsidRPr="007057BD">
        <w:rPr>
          <w:rFonts w:cs="Calibri"/>
          <w:sz w:val="18"/>
          <w:szCs w:val="18"/>
          <w:lang w:val="en-US"/>
        </w:rPr>
        <w:t xml:space="preserve"> Klopman, G. J. Am. Chem. Soc. 1968, 90, 223–234</w:t>
      </w:r>
    </w:p>
  </w:endnote>
  <w:endnote w:id="26">
    <w:p w14:paraId="47775A6C" w14:textId="77777777" w:rsidR="009E1D9F" w:rsidRPr="00870EB9" w:rsidRDefault="00B304DE" w:rsidP="00AB004E">
      <w:pPr>
        <w:pStyle w:val="EndnoteText"/>
        <w:spacing w:line="276" w:lineRule="auto"/>
        <w:rPr>
          <w:lang w:val="en-US"/>
        </w:rPr>
      </w:pPr>
      <w:r w:rsidRPr="007057BD">
        <w:rPr>
          <w:rStyle w:val="EndnoteReference"/>
          <w:rFonts w:cs="Calibri"/>
          <w:sz w:val="18"/>
          <w:szCs w:val="18"/>
          <w:vertAlign w:val="baseline"/>
        </w:rPr>
        <w:endnoteRef/>
      </w:r>
      <w:r w:rsidRPr="007057BD">
        <w:rPr>
          <w:rFonts w:cs="Calibri"/>
          <w:sz w:val="18"/>
          <w:szCs w:val="18"/>
          <w:lang w:val="en-US"/>
        </w:rPr>
        <w:t xml:space="preserve"> Mesallati, H.; Mugheirbi, N.A.; Tajber, L. Crystal Growth &amp; Design 2016, 16, 11 6574-6585</w:t>
      </w:r>
    </w:p>
  </w:endnote>
  <w:endnote w:id="27">
    <w:p w14:paraId="48D4C111" w14:textId="77777777" w:rsidR="009E1D9F" w:rsidRDefault="00B304DE" w:rsidP="00D73250">
      <w:pPr>
        <w:pStyle w:val="CommentText"/>
        <w:spacing w:after="0" w:line="276" w:lineRule="auto"/>
        <w:jc w:val="both"/>
      </w:pPr>
      <w:r w:rsidRPr="007057BD">
        <w:rPr>
          <w:rStyle w:val="EndnoteReference"/>
          <w:rFonts w:cs="Calibri"/>
          <w:sz w:val="18"/>
          <w:szCs w:val="18"/>
          <w:vertAlign w:val="baseline"/>
        </w:rPr>
        <w:endnoteRef/>
      </w:r>
      <w:r w:rsidRPr="007057BD">
        <w:rPr>
          <w:rFonts w:cs="Calibri"/>
          <w:sz w:val="18"/>
          <w:szCs w:val="18"/>
        </w:rPr>
        <w:t xml:space="preserve"> Vektariene, A.; Vektaris, G.; Svoboda, J. Arch. Org. Chem. 2009, 311–329.</w:t>
      </w:r>
    </w:p>
  </w:endnote>
  <w:endnote w:id="28">
    <w:p w14:paraId="24FF8F3B" w14:textId="77777777" w:rsidR="009E1D9F" w:rsidRPr="00870EB9" w:rsidRDefault="00EE50A6" w:rsidP="00EE50A6">
      <w:pPr>
        <w:pStyle w:val="EndnoteText"/>
        <w:rPr>
          <w:lang w:val="en-US"/>
        </w:rPr>
      </w:pPr>
      <w:r w:rsidRPr="007057BD">
        <w:rPr>
          <w:rStyle w:val="EndnoteReference"/>
          <w:rFonts w:cs="Calibri"/>
          <w:sz w:val="18"/>
          <w:szCs w:val="18"/>
          <w:vertAlign w:val="baseline"/>
        </w:rPr>
        <w:endnoteRef/>
      </w:r>
      <w:r w:rsidRPr="007057BD">
        <w:rPr>
          <w:rFonts w:cs="Calibri"/>
          <w:sz w:val="18"/>
          <w:szCs w:val="18"/>
          <w:lang w:val="en-US"/>
        </w:rPr>
        <w:t xml:space="preserve"> Meltzer, V.; Pincu, E. Cent. Eur. J. Chem. 2012, 10, 5, 1584-1589</w:t>
      </w:r>
    </w:p>
  </w:endnote>
  <w:endnote w:id="29">
    <w:p w14:paraId="7B268D0B" w14:textId="77777777" w:rsidR="009E1D9F" w:rsidRDefault="00B304DE" w:rsidP="00D73250">
      <w:pPr>
        <w:pStyle w:val="EndnoteText"/>
        <w:spacing w:line="276" w:lineRule="auto"/>
        <w:jc w:val="both"/>
      </w:pPr>
      <w:r w:rsidRPr="007057BD">
        <w:rPr>
          <w:rStyle w:val="EndnoteReference"/>
          <w:rFonts w:cs="Calibri"/>
          <w:sz w:val="18"/>
          <w:szCs w:val="18"/>
          <w:vertAlign w:val="baseline"/>
        </w:rPr>
        <w:endnoteRef/>
      </w:r>
      <w:r w:rsidRPr="00EC6DF8">
        <w:rPr>
          <w:rFonts w:cs="Calibri"/>
          <w:sz w:val="18"/>
          <w:szCs w:val="18"/>
        </w:rPr>
        <w:t xml:space="preserve"> Kaminski K.; Kaminska E.; Adrjanowicz K.; Grzybowiska K.; Wlodarczyk P.; Paluch M.; Burian A.; Ziolo J.; Lepek P.; Mazgalski J.; Sawicki W. J Pharm Sci. 2010, 99(1):94-106.</w:t>
      </w:r>
    </w:p>
  </w:endnote>
  <w:endnote w:id="30">
    <w:p w14:paraId="10FDCB32" w14:textId="77777777" w:rsidR="009E1D9F" w:rsidRDefault="00B304DE" w:rsidP="00D73250">
      <w:pPr>
        <w:pStyle w:val="EndnoteText"/>
        <w:spacing w:line="276" w:lineRule="auto"/>
        <w:jc w:val="both"/>
      </w:pPr>
      <w:r w:rsidRPr="007057BD">
        <w:rPr>
          <w:rStyle w:val="EndnoteReference"/>
          <w:rFonts w:cs="Calibri"/>
          <w:sz w:val="18"/>
          <w:szCs w:val="18"/>
          <w:vertAlign w:val="baseline"/>
        </w:rPr>
        <w:endnoteRef/>
      </w:r>
      <w:r w:rsidRPr="00AB004E">
        <w:rPr>
          <w:rFonts w:cs="Calibri"/>
          <w:sz w:val="18"/>
          <w:szCs w:val="18"/>
        </w:rPr>
        <w:t xml:space="preserve"> Kaminski K.; Adrjanowicz K.; Wojnarowska Z.; Grzybowska K.; Hawelek L.; Paluch M.; Zakowiecki D.; Mazgalski J. J Pharm Sci. 2011 100(7):2642-57</w:t>
      </w:r>
    </w:p>
  </w:endnote>
  <w:endnote w:id="31">
    <w:p w14:paraId="7368FBBA" w14:textId="77777777" w:rsidR="009E1D9F" w:rsidRDefault="00B304DE" w:rsidP="00D73250">
      <w:pPr>
        <w:pStyle w:val="EndnoteText"/>
        <w:spacing w:line="276" w:lineRule="auto"/>
        <w:jc w:val="both"/>
      </w:pPr>
      <w:r w:rsidRPr="007057BD">
        <w:rPr>
          <w:rStyle w:val="EndnoteReference"/>
          <w:rFonts w:cs="Calibri"/>
          <w:sz w:val="18"/>
          <w:szCs w:val="18"/>
          <w:vertAlign w:val="baseline"/>
        </w:rPr>
        <w:endnoteRef/>
      </w:r>
      <w:r w:rsidRPr="00AB004E">
        <w:rPr>
          <w:rFonts w:cs="Calibri"/>
          <w:sz w:val="18"/>
          <w:szCs w:val="18"/>
        </w:rPr>
        <w:t xml:space="preserve"> Wojnarowska, Z., Wang, Y., Pionteck, J., Grzybowska, K., Sokolov, A. P. &amp; Paluch, M. Phys. </w:t>
      </w:r>
      <w:r w:rsidRPr="00EC6DF8">
        <w:rPr>
          <w:rFonts w:cs="Calibri"/>
          <w:sz w:val="18"/>
          <w:szCs w:val="18"/>
        </w:rPr>
        <w:t>Rev. Lett. 111 225703 (2013)</w:t>
      </w:r>
    </w:p>
  </w:endnote>
  <w:endnote w:id="32">
    <w:p w14:paraId="1D8E021D" w14:textId="77777777" w:rsidR="009E1D9F" w:rsidRDefault="00B304DE" w:rsidP="00D73250">
      <w:pPr>
        <w:pStyle w:val="EndnoteText"/>
        <w:spacing w:line="276" w:lineRule="auto"/>
        <w:jc w:val="both"/>
      </w:pPr>
      <w:r w:rsidRPr="007057BD">
        <w:rPr>
          <w:rStyle w:val="EndnoteReference"/>
          <w:rFonts w:cs="Calibri"/>
          <w:sz w:val="18"/>
          <w:szCs w:val="18"/>
          <w:vertAlign w:val="baseline"/>
        </w:rPr>
        <w:endnoteRef/>
      </w:r>
      <w:r w:rsidRPr="00AB004E">
        <w:rPr>
          <w:rFonts w:cs="Calibri"/>
          <w:sz w:val="18"/>
          <w:szCs w:val="18"/>
        </w:rPr>
        <w:t xml:space="preserve"> Rams-Baron, M.; Wojnarowska, Z.;  Jedrzejowska, A.; Swiety-Pospiech, A.; Paluch, M. RSC Advances 2016, 14</w:t>
      </w:r>
    </w:p>
  </w:endnote>
  <w:endnote w:id="33">
    <w:p w14:paraId="6BF3C99B" w14:textId="77777777" w:rsidR="009E1D9F" w:rsidRPr="00870EB9" w:rsidRDefault="00B304DE" w:rsidP="00D73250">
      <w:pPr>
        <w:pStyle w:val="EndnoteText"/>
        <w:spacing w:line="276" w:lineRule="auto"/>
        <w:jc w:val="both"/>
        <w:rPr>
          <w:lang w:val="en-US"/>
        </w:rPr>
      </w:pPr>
      <w:r w:rsidRPr="007057BD">
        <w:rPr>
          <w:rStyle w:val="EndnoteReference"/>
          <w:rFonts w:cs="Calibri"/>
          <w:sz w:val="18"/>
          <w:szCs w:val="18"/>
          <w:vertAlign w:val="baseline"/>
        </w:rPr>
        <w:endnoteRef/>
      </w:r>
      <w:r w:rsidRPr="007057BD">
        <w:rPr>
          <w:rFonts w:cs="Calibri"/>
          <w:sz w:val="18"/>
          <w:szCs w:val="18"/>
          <w:lang w:val="en-US"/>
        </w:rPr>
        <w:t xml:space="preserve"> Gordon, M.; Taylor, J. S. J. Appl. Chem. 1952, 2, 493.</w:t>
      </w:r>
    </w:p>
  </w:endnote>
  <w:endnote w:id="34">
    <w:p w14:paraId="028A2C8F" w14:textId="77777777" w:rsidR="009E1D9F" w:rsidRPr="00870EB9" w:rsidRDefault="00B304DE" w:rsidP="00D73250">
      <w:pPr>
        <w:pStyle w:val="EndnoteText"/>
        <w:spacing w:line="276" w:lineRule="auto"/>
        <w:jc w:val="both"/>
        <w:rPr>
          <w:lang w:val="en-US"/>
        </w:rPr>
      </w:pPr>
      <w:r w:rsidRPr="007057BD">
        <w:rPr>
          <w:rStyle w:val="EndnoteReference"/>
          <w:rFonts w:cs="Calibri"/>
          <w:sz w:val="18"/>
          <w:szCs w:val="18"/>
          <w:vertAlign w:val="baseline"/>
        </w:rPr>
        <w:endnoteRef/>
      </w:r>
      <w:r w:rsidRPr="007057BD">
        <w:rPr>
          <w:rFonts w:cs="Calibri"/>
          <w:sz w:val="18"/>
          <w:szCs w:val="18"/>
          <w:lang w:val="en-US"/>
        </w:rPr>
        <w:t xml:space="preserve"> Kelley,  F.  N.; Bueche,  F.  </w:t>
      </w:r>
      <w:r w:rsidRPr="00870EB9">
        <w:rPr>
          <w:rFonts w:cs="Calibri"/>
          <w:sz w:val="18"/>
          <w:szCs w:val="18"/>
          <w:lang w:val="en-US"/>
        </w:rPr>
        <w:t>J. Polym. Sci. 1961, 50, 549−556.</w:t>
      </w:r>
    </w:p>
  </w:endnote>
  <w:endnote w:id="35">
    <w:p w14:paraId="09DC1722" w14:textId="77777777" w:rsidR="009E1D9F" w:rsidRPr="00870EB9" w:rsidRDefault="00CC3671" w:rsidP="00CC3671">
      <w:pPr>
        <w:pStyle w:val="EndnoteText"/>
        <w:spacing w:line="276" w:lineRule="auto"/>
        <w:jc w:val="both"/>
        <w:rPr>
          <w:lang w:val="en-US"/>
        </w:rPr>
      </w:pPr>
      <w:r w:rsidRPr="007057BD">
        <w:rPr>
          <w:rStyle w:val="EndnoteReference"/>
          <w:rFonts w:cs="Calibri"/>
          <w:sz w:val="18"/>
          <w:szCs w:val="18"/>
          <w:vertAlign w:val="baseline"/>
        </w:rPr>
        <w:endnoteRef/>
      </w:r>
      <w:r w:rsidRPr="007057BD">
        <w:rPr>
          <w:rFonts w:cs="Calibri"/>
          <w:sz w:val="18"/>
          <w:szCs w:val="18"/>
          <w:lang w:val="en-US"/>
        </w:rPr>
        <w:t xml:space="preserve"> Donth, E. The Glass Transition, Relaxation Dynamics in Liquids and Disordered Materials 2001 (Springer, Berlin)</w:t>
      </w:r>
    </w:p>
  </w:endnote>
  <w:endnote w:id="36">
    <w:p w14:paraId="5B703B22" w14:textId="7FC1939E" w:rsidR="009E1D9F" w:rsidRPr="001761A1" w:rsidRDefault="00CC3671" w:rsidP="00CC3671">
      <w:pPr>
        <w:pStyle w:val="EndnoteText"/>
        <w:spacing w:line="276" w:lineRule="auto"/>
        <w:jc w:val="both"/>
        <w:rPr>
          <w:lang w:val="en-US"/>
        </w:rPr>
      </w:pPr>
      <w:r w:rsidRPr="007057BD">
        <w:rPr>
          <w:rStyle w:val="EndnoteReference"/>
          <w:rFonts w:cs="Calibri"/>
          <w:sz w:val="18"/>
          <w:szCs w:val="18"/>
          <w:vertAlign w:val="baseline"/>
        </w:rPr>
        <w:endnoteRef/>
      </w:r>
      <w:r w:rsidRPr="001761A1">
        <w:rPr>
          <w:rFonts w:cs="Calibri"/>
          <w:sz w:val="18"/>
          <w:szCs w:val="18"/>
          <w:lang w:val="en-US"/>
        </w:rPr>
        <w:t xml:space="preserve"> Grzybowska, K.; Grzybowski, A; Wojnarowska, Z.; Knapik, J.; Paluch, M. Scientific Reports </w:t>
      </w:r>
      <w:r w:rsidR="001761A1" w:rsidRPr="001761A1">
        <w:rPr>
          <w:rFonts w:cs="Calibri"/>
          <w:sz w:val="18"/>
          <w:szCs w:val="18"/>
          <w:lang w:val="en-US"/>
        </w:rPr>
        <w:t>volume 5, Article number: 16876 (2015)</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embedRegular r:id="rId1" w:fontKey="{1E531D26-50CE-4AF2-B010-73106A9AEF13}"/>
    <w:embedBold r:id="rId2" w:fontKey="{B9FB0FAA-6FA9-4B1D-96E0-A4B0626F4017}"/>
    <w:embedItalic r:id="rId3" w:fontKey="{5B31A168-08A5-4D16-B6E6-3DA4E1BE2CAA}"/>
    <w:embedBoldItalic r:id="rId4" w:fontKey="{208F737F-34E7-483E-93C1-546CF6F08873}"/>
  </w:font>
  <w:font w:name="Tahoma">
    <w:panose1 w:val="020B0604030504040204"/>
    <w:charset w:val="00"/>
    <w:family w:val="swiss"/>
    <w:pitch w:val="variable"/>
    <w:sig w:usb0="E1002EFF" w:usb1="C000605B" w:usb2="00000029" w:usb3="00000000" w:csb0="000101FF" w:csb1="00000000"/>
    <w:embedRegular r:id="rId5" w:fontKey="{019902E0-FB94-4E6A-9716-63DBAEBE686B}"/>
  </w:font>
  <w:font w:name="Times">
    <w:altName w:val="Times New Roman"/>
    <w:panose1 w:val="02020603050405020304"/>
    <w:charset w:val="00"/>
    <w:family w:val="roman"/>
    <w:pitch w:val="variable"/>
    <w:sig w:usb0="E0002EFF" w:usb1="C000785B" w:usb2="00000009" w:usb3="00000000" w:csb0="000001FF" w:csb1="00000000"/>
    <w:embedRegular r:id="rId6" w:fontKey="{8E988E95-9C04-4223-BD46-79E3E3B4F74C}"/>
  </w:font>
  <w:font w:name="Cambria Math">
    <w:panose1 w:val="02040503050406030204"/>
    <w:charset w:val="00"/>
    <w:family w:val="roman"/>
    <w:pitch w:val="variable"/>
    <w:sig w:usb0="E00006FF" w:usb1="420024FF" w:usb2="02000000" w:usb3="00000000" w:csb0="0000019F" w:csb1="00000000"/>
    <w:embedRegular r:id="rId7" w:fontKey="{057195B9-4AC7-440A-A662-FB8108726386}"/>
    <w:embedItalic r:id="rId8" w:fontKey="{EFD635E0-CBF3-489F-9ED2-7CE8A0451668}"/>
  </w:font>
  <w:font w:name="Cambria">
    <w:panose1 w:val="02040503050406030204"/>
    <w:charset w:val="00"/>
    <w:family w:val="roman"/>
    <w:pitch w:val="variable"/>
    <w:sig w:usb0="E00006FF" w:usb1="420024FF" w:usb2="02000000" w:usb3="00000000" w:csb0="0000019F" w:csb1="00000000"/>
    <w:embedRegular r:id="rId9" w:fontKey="{EEC50D53-97DB-402B-AC01-3DA09682E9B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17EA11" w14:textId="77777777" w:rsidR="00B304DE" w:rsidRPr="006602F1" w:rsidRDefault="00B304DE" w:rsidP="00D45ADF">
    <w:pPr>
      <w:pStyle w:val="Footer"/>
      <w:tabs>
        <w:tab w:val="clear" w:pos="4513"/>
        <w:tab w:val="clear" w:pos="9026"/>
        <w:tab w:val="right" w:pos="10206"/>
      </w:tabs>
      <w:spacing w:before="480"/>
      <w:rPr>
        <w:spacing w:val="10"/>
        <w:sz w:val="16"/>
        <w:szCs w:val="16"/>
      </w:rPr>
    </w:pPr>
    <w:r w:rsidRPr="006602F1">
      <w:rPr>
        <w:b/>
        <w:spacing w:val="10"/>
        <w:sz w:val="16"/>
        <w:szCs w:val="16"/>
      </w:rPr>
      <w:fldChar w:fldCharType="begin"/>
    </w:r>
    <w:r w:rsidRPr="006602F1">
      <w:rPr>
        <w:b/>
        <w:spacing w:val="10"/>
        <w:sz w:val="16"/>
        <w:szCs w:val="16"/>
      </w:rPr>
      <w:instrText xml:space="preserve"> PAGE   \* MERGEFORMAT </w:instrText>
    </w:r>
    <w:r w:rsidRPr="006602F1">
      <w:rPr>
        <w:b/>
        <w:spacing w:val="10"/>
        <w:sz w:val="16"/>
        <w:szCs w:val="16"/>
      </w:rPr>
      <w:fldChar w:fldCharType="separate"/>
    </w:r>
    <w:r>
      <w:rPr>
        <w:b/>
        <w:noProof/>
        <w:spacing w:val="10"/>
        <w:sz w:val="16"/>
        <w:szCs w:val="16"/>
      </w:rPr>
      <w:t>2</w:t>
    </w:r>
    <w:r w:rsidRPr="006602F1">
      <w:rPr>
        <w:b/>
        <w:spacing w:val="10"/>
        <w:sz w:val="16"/>
        <w:szCs w:val="16"/>
      </w:rPr>
      <w:fldChar w:fldCharType="end"/>
    </w:r>
    <w:r w:rsidRPr="006602F1">
      <w:rPr>
        <w:noProof/>
        <w:spacing w:val="10"/>
        <w:sz w:val="16"/>
        <w:szCs w:val="16"/>
      </w:rPr>
      <w:t xml:space="preserve"> | </w:t>
    </w:r>
    <w:r>
      <w:rPr>
        <w:i/>
        <w:noProof/>
        <w:spacing w:val="10"/>
        <w:sz w:val="16"/>
        <w:szCs w:val="16"/>
      </w:rPr>
      <w:t>J</w:t>
    </w:r>
    <w:r w:rsidRPr="006602F1">
      <w:rPr>
        <w:i/>
        <w:noProof/>
        <w:spacing w:val="10"/>
        <w:sz w:val="16"/>
        <w:szCs w:val="16"/>
      </w:rPr>
      <w:t xml:space="preserve">. </w:t>
    </w:r>
    <w:r>
      <w:rPr>
        <w:i/>
        <w:noProof/>
        <w:spacing w:val="10"/>
        <w:sz w:val="16"/>
        <w:szCs w:val="16"/>
      </w:rPr>
      <w:t>Name</w:t>
    </w:r>
    <w:r w:rsidRPr="006602F1">
      <w:rPr>
        <w:noProof/>
        <w:spacing w:val="10"/>
        <w:sz w:val="16"/>
        <w:szCs w:val="16"/>
      </w:rPr>
      <w:t xml:space="preserve">., 2012, </w:t>
    </w:r>
    <w:r w:rsidRPr="006602F1">
      <w:rPr>
        <w:b/>
        <w:noProof/>
        <w:spacing w:val="10"/>
        <w:sz w:val="16"/>
        <w:szCs w:val="16"/>
      </w:rPr>
      <w:t>00</w:t>
    </w:r>
    <w:r w:rsidRPr="006602F1">
      <w:rPr>
        <w:noProof/>
        <w:spacing w:val="10"/>
        <w:sz w:val="16"/>
        <w:szCs w:val="16"/>
      </w:rPr>
      <w:t>, 1-3</w:t>
    </w:r>
    <w:r w:rsidRPr="006602F1">
      <w:rPr>
        <w:noProof/>
        <w:spacing w:val="10"/>
        <w:sz w:val="16"/>
        <w:szCs w:val="16"/>
      </w:rPr>
      <w:tab/>
    </w:r>
    <w:r w:rsidRPr="00AC3BF2">
      <w:rPr>
        <w:noProof/>
        <w:spacing w:val="2"/>
        <w:sz w:val="16"/>
        <w:szCs w:val="16"/>
      </w:rPr>
      <w:t xml:space="preserve">This journal is </w:t>
    </w:r>
    <w:r w:rsidRPr="00AC3BF2">
      <w:rPr>
        <w:rFonts w:cs="Calibri"/>
        <w:noProof/>
        <w:spacing w:val="2"/>
        <w:sz w:val="16"/>
        <w:szCs w:val="16"/>
      </w:rPr>
      <w:t>©</w:t>
    </w:r>
    <w:r w:rsidRPr="00AC3BF2">
      <w:rPr>
        <w:noProof/>
        <w:spacing w:val="2"/>
        <w:sz w:val="16"/>
        <w:szCs w:val="16"/>
      </w:rPr>
      <w:t xml:space="preserve"> The Royal Society of Chemistry 20</w:t>
    </w:r>
    <w:r>
      <w:rPr>
        <w:noProof/>
        <w:spacing w:val="2"/>
        <w:sz w:val="16"/>
        <w:szCs w:val="16"/>
      </w:rPr>
      <w:t>xx</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768C88" w14:textId="77777777" w:rsidR="00B304DE" w:rsidRPr="006602F1" w:rsidRDefault="00B304DE" w:rsidP="00D45ADF">
    <w:pPr>
      <w:pStyle w:val="Footer"/>
      <w:tabs>
        <w:tab w:val="clear" w:pos="4513"/>
        <w:tab w:val="clear" w:pos="9026"/>
        <w:tab w:val="right" w:pos="10205"/>
      </w:tabs>
      <w:spacing w:before="480"/>
      <w:rPr>
        <w:sz w:val="16"/>
        <w:szCs w:val="16"/>
      </w:rPr>
    </w:pPr>
    <w:r w:rsidRPr="00AC3BF2">
      <w:rPr>
        <w:noProof/>
        <w:spacing w:val="2"/>
        <w:sz w:val="16"/>
        <w:szCs w:val="16"/>
      </w:rPr>
      <w:t xml:space="preserve">This journal is </w:t>
    </w:r>
    <w:r w:rsidRPr="00AC3BF2">
      <w:rPr>
        <w:rFonts w:cs="Calibri"/>
        <w:noProof/>
        <w:spacing w:val="2"/>
        <w:sz w:val="16"/>
        <w:szCs w:val="16"/>
      </w:rPr>
      <w:t>©</w:t>
    </w:r>
    <w:r w:rsidRPr="00AC3BF2">
      <w:rPr>
        <w:noProof/>
        <w:spacing w:val="2"/>
        <w:sz w:val="16"/>
        <w:szCs w:val="16"/>
      </w:rPr>
      <w:t xml:space="preserve"> The</w:t>
    </w:r>
    <w:r>
      <w:rPr>
        <w:noProof/>
        <w:spacing w:val="2"/>
        <w:sz w:val="16"/>
        <w:szCs w:val="16"/>
      </w:rPr>
      <w:t xml:space="preserve"> Royal Society of Chemistry 20xx</w:t>
    </w:r>
    <w:r>
      <w:rPr>
        <w:i/>
        <w:noProof/>
        <w:spacing w:val="10"/>
        <w:sz w:val="16"/>
        <w:szCs w:val="16"/>
      </w:rPr>
      <w:tab/>
      <w:t>J</w:t>
    </w:r>
    <w:r w:rsidRPr="002C0803">
      <w:rPr>
        <w:i/>
        <w:noProof/>
        <w:spacing w:val="10"/>
        <w:sz w:val="16"/>
        <w:szCs w:val="16"/>
      </w:rPr>
      <w:t xml:space="preserve">. </w:t>
    </w:r>
    <w:r>
      <w:rPr>
        <w:i/>
        <w:noProof/>
        <w:spacing w:val="10"/>
        <w:sz w:val="16"/>
        <w:szCs w:val="16"/>
      </w:rPr>
      <w:t>Name</w:t>
    </w:r>
    <w:r w:rsidRPr="002C0803">
      <w:rPr>
        <w:noProof/>
        <w:spacing w:val="10"/>
        <w:sz w:val="16"/>
        <w:szCs w:val="16"/>
      </w:rPr>
      <w:t>., 201</w:t>
    </w:r>
    <w:r>
      <w:rPr>
        <w:noProof/>
        <w:spacing w:val="10"/>
        <w:sz w:val="16"/>
        <w:szCs w:val="16"/>
      </w:rPr>
      <w:t>3</w:t>
    </w:r>
    <w:r w:rsidRPr="002C0803">
      <w:rPr>
        <w:noProof/>
        <w:spacing w:val="10"/>
        <w:sz w:val="16"/>
        <w:szCs w:val="16"/>
      </w:rPr>
      <w:t xml:space="preserve">, </w:t>
    </w:r>
    <w:r w:rsidRPr="002C0803">
      <w:rPr>
        <w:b/>
        <w:noProof/>
        <w:spacing w:val="10"/>
        <w:sz w:val="16"/>
        <w:szCs w:val="16"/>
      </w:rPr>
      <w:t>00</w:t>
    </w:r>
    <w:r w:rsidRPr="002C0803">
      <w:rPr>
        <w:noProof/>
        <w:spacing w:val="10"/>
        <w:sz w:val="16"/>
        <w:szCs w:val="16"/>
      </w:rPr>
      <w:t>, 1-3</w:t>
    </w:r>
    <w:r w:rsidRPr="002C0803">
      <w:rPr>
        <w:spacing w:val="10"/>
        <w:sz w:val="16"/>
        <w:szCs w:val="16"/>
      </w:rPr>
      <w:t xml:space="preserve"> | </w:t>
    </w:r>
    <w:r w:rsidRPr="008C1387">
      <w:rPr>
        <w:b/>
        <w:spacing w:val="10"/>
        <w:sz w:val="16"/>
        <w:szCs w:val="16"/>
      </w:rPr>
      <w:fldChar w:fldCharType="begin"/>
    </w:r>
    <w:r w:rsidRPr="008C1387">
      <w:rPr>
        <w:b/>
        <w:spacing w:val="10"/>
        <w:sz w:val="16"/>
        <w:szCs w:val="16"/>
      </w:rPr>
      <w:instrText xml:space="preserve"> PAGE   \* MERGEFORMAT </w:instrText>
    </w:r>
    <w:r w:rsidRPr="008C1387">
      <w:rPr>
        <w:b/>
        <w:spacing w:val="10"/>
        <w:sz w:val="16"/>
        <w:szCs w:val="16"/>
      </w:rPr>
      <w:fldChar w:fldCharType="separate"/>
    </w:r>
    <w:r w:rsidR="00EC666F">
      <w:rPr>
        <w:b/>
        <w:noProof/>
        <w:spacing w:val="10"/>
        <w:sz w:val="16"/>
        <w:szCs w:val="16"/>
      </w:rPr>
      <w:t>8</w:t>
    </w:r>
    <w:r w:rsidRPr="008C1387">
      <w:rPr>
        <w:b/>
        <w:spacing w:val="1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332B58" w14:textId="77777777" w:rsidR="00B304DE" w:rsidRPr="006602F1" w:rsidRDefault="005A1A2D" w:rsidP="00D45ADF">
    <w:pPr>
      <w:pStyle w:val="Footer"/>
      <w:tabs>
        <w:tab w:val="clear" w:pos="4513"/>
        <w:tab w:val="clear" w:pos="9026"/>
        <w:tab w:val="right" w:pos="10206"/>
      </w:tabs>
      <w:spacing w:before="480"/>
      <w:rPr>
        <w:sz w:val="16"/>
        <w:szCs w:val="16"/>
      </w:rPr>
    </w:pPr>
    <w:r>
      <w:rPr>
        <w:noProof/>
        <w:lang w:eastAsia="en-GB"/>
      </w:rPr>
      <mc:AlternateContent>
        <mc:Choice Requires="wps">
          <w:drawing>
            <wp:anchor distT="0" distB="0" distL="114300" distR="114300" simplePos="0" relativeHeight="251656192" behindDoc="0" locked="0" layoutInCell="1" allowOverlap="1" wp14:anchorId="211C2F88" wp14:editId="515837FE">
              <wp:simplePos x="0" y="0"/>
              <wp:positionH relativeFrom="column">
                <wp:align>center</wp:align>
              </wp:positionH>
              <wp:positionV relativeFrom="page">
                <wp:align>bottom</wp:align>
              </wp:positionV>
              <wp:extent cx="7700645" cy="396240"/>
              <wp:effectExtent l="0" t="0" r="0" b="381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645" cy="396240"/>
                      </a:xfrm>
                      <a:prstGeom prst="rect">
                        <a:avLst/>
                      </a:prstGeom>
                      <a:solidFill>
                        <a:schemeClr val="bg1">
                          <a:lumMod val="65000"/>
                        </a:schemeClr>
                      </a:solidFill>
                      <a:ln w="9525">
                        <a:noFill/>
                        <a:miter lim="800000"/>
                        <a:headEnd/>
                        <a:tailEnd/>
                      </a:ln>
                    </wps:spPr>
                    <wps:txbx>
                      <w:txbxContent>
                        <w:p w14:paraId="419856CA" w14:textId="77777777" w:rsidR="00B304DE" w:rsidRPr="00F20A7C" w:rsidRDefault="00B304DE" w:rsidP="00514CBA">
                          <w:pPr>
                            <w:spacing w:after="0"/>
                            <w:jc w:val="center"/>
                            <w:rPr>
                              <w:color w:val="FFFFFF" w:themeColor="background1"/>
                            </w:rPr>
                          </w:pPr>
                          <w:r w:rsidRPr="00514CBA">
                            <w:rPr>
                              <w:color w:val="FFFFFF" w:themeColor="background1"/>
                            </w:rPr>
                            <w:t>Please</w:t>
                          </w:r>
                          <w:r w:rsidRPr="00F20A7C">
                            <w:rPr>
                              <w:color w:val="FFFFFF" w:themeColor="background1"/>
                            </w:rPr>
                            <w:t xml:space="preserv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11C2F88" id="_x0000_t202" coordsize="21600,21600" o:spt="202" path="m,l,21600r21600,l21600,xe">
              <v:stroke joinstyle="miter"/>
              <v:path gradientshapeok="t" o:connecttype="rect"/>
            </v:shapetype>
            <v:shape id="_x0000_s1032" type="#_x0000_t202" style="position:absolute;margin-left:0;margin-top:0;width:606.35pt;height:31.2pt;z-index:251656192;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" fillcolor="#a5a5a5 [2092]" stroked="f">
              <v:textbox>
                <w:txbxContent>
                  <w:p w14:paraId="419856CA" w14:textId="77777777" w:rsidR="00B304DE" w:rsidRPr="00F20A7C" w:rsidRDefault="00B304DE" w:rsidP="00514CBA">
                    <w:pPr>
                      <w:spacing w:after="0"/>
                      <w:jc w:val="center"/>
                      <w:rPr>
                        <w:color w:val="FFFFFF" w:themeColor="background1"/>
                      </w:rPr>
                    </w:pPr>
                    <w:r w:rsidRPr="00514CBA">
                      <w:rPr>
                        <w:color w:val="FFFFFF" w:themeColor="background1"/>
                      </w:rPr>
                      <w:t>Please</w:t>
                    </w:r>
                    <w:r w:rsidRPr="00F20A7C">
                      <w:rPr>
                        <w:color w:val="FFFFFF" w:themeColor="background1"/>
                      </w:rPr>
                      <w:t xml:space="preserve"> do not adjust margins</w:t>
                    </w:r>
                  </w:p>
                </w:txbxContent>
              </v:textbox>
              <w10:wrap anchory="page"/>
            </v:shape>
          </w:pict>
        </mc:Fallback>
      </mc:AlternateContent>
    </w:r>
    <w:r w:rsidR="00B304DE" w:rsidRPr="002C0803">
      <w:rPr>
        <w:noProof/>
        <w:spacing w:val="2"/>
        <w:sz w:val="16"/>
        <w:szCs w:val="16"/>
      </w:rPr>
      <w:t xml:space="preserve">This journal is </w:t>
    </w:r>
    <w:r w:rsidR="00B304DE" w:rsidRPr="002C0803">
      <w:rPr>
        <w:rFonts w:cs="Calibri"/>
        <w:noProof/>
        <w:spacing w:val="2"/>
        <w:sz w:val="16"/>
        <w:szCs w:val="16"/>
      </w:rPr>
      <w:t>©</w:t>
    </w:r>
    <w:r w:rsidR="00B304DE" w:rsidRPr="002C0803">
      <w:rPr>
        <w:noProof/>
        <w:spacing w:val="2"/>
        <w:sz w:val="16"/>
        <w:szCs w:val="16"/>
      </w:rPr>
      <w:t xml:space="preserve"> The</w:t>
    </w:r>
    <w:r w:rsidR="00B304DE">
      <w:rPr>
        <w:noProof/>
        <w:spacing w:val="2"/>
        <w:sz w:val="16"/>
        <w:szCs w:val="16"/>
      </w:rPr>
      <w:t xml:space="preserve"> Royal Society of Chemistry 20xx</w:t>
    </w:r>
    <w:r w:rsidR="00B304DE" w:rsidRPr="006602F1">
      <w:rPr>
        <w:i/>
        <w:noProof/>
        <w:sz w:val="16"/>
        <w:szCs w:val="16"/>
      </w:rPr>
      <w:tab/>
    </w:r>
    <w:r w:rsidR="00B304DE">
      <w:rPr>
        <w:i/>
        <w:noProof/>
        <w:spacing w:val="10"/>
        <w:sz w:val="16"/>
        <w:szCs w:val="16"/>
      </w:rPr>
      <w:t>J</w:t>
    </w:r>
    <w:r w:rsidR="00B304DE" w:rsidRPr="002C0803">
      <w:rPr>
        <w:i/>
        <w:noProof/>
        <w:spacing w:val="10"/>
        <w:sz w:val="16"/>
        <w:szCs w:val="16"/>
      </w:rPr>
      <w:t xml:space="preserve">. </w:t>
    </w:r>
    <w:r w:rsidR="00B304DE">
      <w:rPr>
        <w:i/>
        <w:noProof/>
        <w:spacing w:val="10"/>
        <w:sz w:val="16"/>
        <w:szCs w:val="16"/>
      </w:rPr>
      <w:t>Name</w:t>
    </w:r>
    <w:r w:rsidR="00B304DE" w:rsidRPr="002C0803">
      <w:rPr>
        <w:noProof/>
        <w:spacing w:val="10"/>
        <w:sz w:val="16"/>
        <w:szCs w:val="16"/>
      </w:rPr>
      <w:t>., 201</w:t>
    </w:r>
    <w:r w:rsidR="00B304DE">
      <w:rPr>
        <w:noProof/>
        <w:spacing w:val="10"/>
        <w:sz w:val="16"/>
        <w:szCs w:val="16"/>
      </w:rPr>
      <w:t>3</w:t>
    </w:r>
    <w:r w:rsidR="00B304DE" w:rsidRPr="002C0803">
      <w:rPr>
        <w:noProof/>
        <w:spacing w:val="10"/>
        <w:sz w:val="16"/>
        <w:szCs w:val="16"/>
      </w:rPr>
      <w:t xml:space="preserve">, </w:t>
    </w:r>
    <w:r w:rsidR="00B304DE" w:rsidRPr="002C0803">
      <w:rPr>
        <w:b/>
        <w:noProof/>
        <w:spacing w:val="10"/>
        <w:sz w:val="16"/>
        <w:szCs w:val="16"/>
      </w:rPr>
      <w:t>00</w:t>
    </w:r>
    <w:r w:rsidR="00B304DE" w:rsidRPr="002C0803">
      <w:rPr>
        <w:noProof/>
        <w:spacing w:val="10"/>
        <w:sz w:val="16"/>
        <w:szCs w:val="16"/>
      </w:rPr>
      <w:t>, 1-3</w:t>
    </w:r>
    <w:r w:rsidR="00B304DE" w:rsidRPr="002C0803">
      <w:rPr>
        <w:spacing w:val="10"/>
        <w:sz w:val="16"/>
        <w:szCs w:val="16"/>
      </w:rPr>
      <w:t xml:space="preserve"> | </w:t>
    </w:r>
    <w:r w:rsidR="00B304DE" w:rsidRPr="008C1387">
      <w:rPr>
        <w:b/>
        <w:spacing w:val="10"/>
        <w:sz w:val="16"/>
        <w:szCs w:val="16"/>
      </w:rPr>
      <w:fldChar w:fldCharType="begin"/>
    </w:r>
    <w:r w:rsidR="00B304DE" w:rsidRPr="008C1387">
      <w:rPr>
        <w:b/>
        <w:spacing w:val="10"/>
        <w:sz w:val="16"/>
        <w:szCs w:val="16"/>
      </w:rPr>
      <w:instrText xml:space="preserve"> PAGE   \* MERGEFORMAT </w:instrText>
    </w:r>
    <w:r w:rsidR="00B304DE" w:rsidRPr="008C1387">
      <w:rPr>
        <w:b/>
        <w:spacing w:val="10"/>
        <w:sz w:val="16"/>
        <w:szCs w:val="16"/>
      </w:rPr>
      <w:fldChar w:fldCharType="separate"/>
    </w:r>
    <w:r w:rsidR="00EC666F">
      <w:rPr>
        <w:b/>
        <w:noProof/>
        <w:spacing w:val="10"/>
        <w:sz w:val="16"/>
        <w:szCs w:val="16"/>
      </w:rPr>
      <w:t>1</w:t>
    </w:r>
    <w:r w:rsidR="00B304DE" w:rsidRPr="008C1387">
      <w:rPr>
        <w:b/>
        <w:spacing w:val="10"/>
        <w:sz w:val="16"/>
        <w:szCs w:val="16"/>
      </w:rPr>
      <w:fldChar w:fldCharType="end"/>
    </w:r>
    <w:r w:rsidR="00B304DE" w:rsidRPr="00CC2E25">
      <w:rPr>
        <w:noProof/>
        <w:spacing w:val="2"/>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FB8B34" w14:textId="77777777" w:rsidR="0003666B" w:rsidRDefault="0003666B" w:rsidP="00E547DB">
      <w:pPr>
        <w:spacing w:after="0" w:line="240" w:lineRule="auto"/>
      </w:pPr>
      <w:r>
        <w:separator/>
      </w:r>
    </w:p>
    <w:p w14:paraId="66184F1C" w14:textId="77777777" w:rsidR="0003666B" w:rsidRDefault="0003666B"/>
    <w:p w14:paraId="4D9FE3E0" w14:textId="77777777" w:rsidR="0003666B" w:rsidRDefault="0003666B"/>
    <w:p w14:paraId="09F5E823" w14:textId="77777777" w:rsidR="0003666B" w:rsidRDefault="0003666B"/>
    <w:p w14:paraId="39D73F70" w14:textId="77777777" w:rsidR="0003666B" w:rsidRDefault="0003666B"/>
    <w:p w14:paraId="11A9726C" w14:textId="77777777" w:rsidR="0003666B" w:rsidRDefault="0003666B"/>
  </w:footnote>
  <w:footnote w:type="continuationSeparator" w:id="0">
    <w:p w14:paraId="461894C0" w14:textId="77777777" w:rsidR="0003666B" w:rsidRDefault="0003666B" w:rsidP="00E547DB">
      <w:pPr>
        <w:spacing w:after="0" w:line="240" w:lineRule="auto"/>
      </w:pPr>
      <w:r>
        <w:continuationSeparator/>
      </w:r>
    </w:p>
    <w:p w14:paraId="380F6B88" w14:textId="77777777" w:rsidR="0003666B" w:rsidRDefault="0003666B"/>
    <w:p w14:paraId="429D1BD2" w14:textId="77777777" w:rsidR="0003666B" w:rsidRDefault="0003666B"/>
    <w:p w14:paraId="204111D8" w14:textId="77777777" w:rsidR="0003666B" w:rsidRDefault="0003666B"/>
    <w:p w14:paraId="7B565B0A" w14:textId="77777777" w:rsidR="0003666B" w:rsidRDefault="0003666B"/>
    <w:p w14:paraId="3AEF8B17" w14:textId="77777777" w:rsidR="0003666B" w:rsidRDefault="0003666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38182F" w14:textId="77777777" w:rsidR="00B304DE" w:rsidRPr="00E70DCE" w:rsidRDefault="005A1A2D" w:rsidP="00D45ADF">
    <w:pPr>
      <w:pStyle w:val="Header"/>
      <w:tabs>
        <w:tab w:val="clear" w:pos="4513"/>
        <w:tab w:val="clear" w:pos="9026"/>
        <w:tab w:val="right" w:pos="10206"/>
      </w:tabs>
      <w:spacing w:after="240"/>
      <w:rPr>
        <w:rFonts w:cs="Calibri"/>
        <w:color w:val="999999"/>
        <w:sz w:val="20"/>
        <w:szCs w:val="20"/>
      </w:rPr>
    </w:pPr>
    <w:r>
      <w:rPr>
        <w:noProof/>
        <w:lang w:eastAsia="en-GB"/>
      </w:rPr>
      <mc:AlternateContent>
        <mc:Choice Requires="wps">
          <w:drawing>
            <wp:anchor distT="0" distB="0" distL="114300" distR="114300" simplePos="0" relativeHeight="251658240" behindDoc="0" locked="0" layoutInCell="1" allowOverlap="1" wp14:anchorId="20D7B2BC" wp14:editId="0DF0A174">
              <wp:simplePos x="0" y="0"/>
              <wp:positionH relativeFrom="column">
                <wp:align>center</wp:align>
              </wp:positionH>
              <wp:positionV relativeFrom="page">
                <wp:align>bottom</wp:align>
              </wp:positionV>
              <wp:extent cx="7700645" cy="396240"/>
              <wp:effectExtent l="0" t="0" r="0" b="381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645" cy="396240"/>
                      </a:xfrm>
                      <a:prstGeom prst="rect">
                        <a:avLst/>
                      </a:prstGeom>
                      <a:solidFill>
                        <a:schemeClr val="bg1">
                          <a:lumMod val="65000"/>
                        </a:schemeClr>
                      </a:solidFill>
                      <a:ln w="9525">
                        <a:noFill/>
                        <a:miter lim="800000"/>
                        <a:headEnd/>
                        <a:tailEnd/>
                      </a:ln>
                    </wps:spPr>
                    <wps:txbx>
                      <w:txbxContent>
                        <w:p w14:paraId="59C13FAB" w14:textId="77777777" w:rsidR="00B304DE" w:rsidRPr="00F20A7C" w:rsidRDefault="00B304DE"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0D7B2BC" id="_x0000_t202" coordsize="21600,21600" o:spt="202" path="m,l,21600r21600,l21600,xe">
              <v:stroke joinstyle="miter"/>
              <v:path gradientshapeok="t" o:connecttype="rect"/>
            </v:shapetype>
            <v:shape id="_x0000_s1027" type="#_x0000_t202" style="position:absolute;margin-left:0;margin-top:0;width:606.35pt;height:31.2pt;z-index:251658240;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" fillcolor="#a5a5a5 [2092]" stroked="f">
              <v:textbox>
                <w:txbxContent>
                  <w:p w14:paraId="59C13FAB" w14:textId="77777777" w:rsidR="00B304DE" w:rsidRPr="00F20A7C" w:rsidRDefault="00B304DE"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noProof/>
        <w:lang w:eastAsia="en-GB"/>
      </w:rPr>
      <mc:AlternateContent>
        <mc:Choice Requires="wps">
          <w:drawing>
            <wp:anchor distT="0" distB="0" distL="114300" distR="114300" simplePos="0" relativeHeight="251657216" behindDoc="0" locked="0" layoutInCell="1" allowOverlap="1" wp14:anchorId="636E99BC" wp14:editId="250C9CC9">
              <wp:simplePos x="0" y="0"/>
              <wp:positionH relativeFrom="column">
                <wp:align>center</wp:align>
              </wp:positionH>
              <wp:positionV relativeFrom="page">
                <wp:align>top</wp:align>
              </wp:positionV>
              <wp:extent cx="7700645" cy="396240"/>
              <wp:effectExtent l="0" t="0" r="0" b="381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645" cy="396240"/>
                      </a:xfrm>
                      <a:prstGeom prst="rect">
                        <a:avLst/>
                      </a:prstGeom>
                      <a:solidFill>
                        <a:schemeClr val="bg1">
                          <a:lumMod val="65000"/>
                        </a:schemeClr>
                      </a:solidFill>
                      <a:ln w="9525">
                        <a:noFill/>
                        <a:miter lim="800000"/>
                        <a:headEnd/>
                        <a:tailEnd/>
                      </a:ln>
                    </wps:spPr>
                    <wps:txbx>
                      <w:txbxContent>
                        <w:p w14:paraId="55957890" w14:textId="77777777" w:rsidR="00B304DE" w:rsidRPr="00F20A7C" w:rsidRDefault="00B304DE"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36E99BC" id="_x0000_s1028" type="#_x0000_t202" style="position:absolute;margin-left:0;margin-top:0;width:606.35pt;height:31.2pt;z-index:251657216;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" fillcolor="#a5a5a5 [2092]" stroked="f">
              <v:textbox>
                <w:txbxContent>
                  <w:p w14:paraId="55957890" w14:textId="77777777" w:rsidR="00B304DE" w:rsidRPr="00F20A7C" w:rsidRDefault="00B304DE"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sidR="00B304DE">
      <w:rPr>
        <w:rFonts w:cs="Calibri"/>
        <w:b/>
        <w:color w:val="999999"/>
        <w:sz w:val="20"/>
        <w:szCs w:val="20"/>
      </w:rPr>
      <w:t>ARTICLE</w:t>
    </w:r>
    <w:r w:rsidR="00B304DE" w:rsidRPr="00E70DCE">
      <w:rPr>
        <w:rFonts w:cs="Calibri"/>
        <w:color w:val="999999"/>
        <w:sz w:val="20"/>
        <w:szCs w:val="20"/>
      </w:rPr>
      <w:tab/>
    </w:r>
    <w:r w:rsidR="00B304DE">
      <w:rPr>
        <w:rFonts w:cs="Calibri"/>
        <w:b/>
        <w:color w:val="999999"/>
        <w:sz w:val="20"/>
        <w:szCs w:val="20"/>
      </w:rPr>
      <w:t>Journal Name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8E3173" w14:textId="77777777" w:rsidR="00B304DE" w:rsidRPr="009316A6" w:rsidRDefault="005A1A2D" w:rsidP="00D45ADF">
    <w:pPr>
      <w:pStyle w:val="Header"/>
      <w:tabs>
        <w:tab w:val="clear" w:pos="4513"/>
        <w:tab w:val="clear" w:pos="9026"/>
        <w:tab w:val="right" w:pos="10206"/>
      </w:tabs>
      <w:spacing w:after="240"/>
      <w:rPr>
        <w:rFonts w:cs="Calibri"/>
        <w:b/>
        <w:color w:val="999999"/>
        <w:sz w:val="20"/>
        <w:szCs w:val="20"/>
      </w:rPr>
    </w:pPr>
    <w:r>
      <w:rPr>
        <w:noProof/>
        <w:lang w:eastAsia="en-GB"/>
      </w:rPr>
      <mc:AlternateContent>
        <mc:Choice Requires="wps">
          <w:drawing>
            <wp:anchor distT="0" distB="0" distL="114300" distR="114300" simplePos="0" relativeHeight="251660288" behindDoc="0" locked="0" layoutInCell="1" allowOverlap="1" wp14:anchorId="6FE79C8A" wp14:editId="236D4BF3">
              <wp:simplePos x="0" y="0"/>
              <wp:positionH relativeFrom="column">
                <wp:align>center</wp:align>
              </wp:positionH>
              <wp:positionV relativeFrom="page">
                <wp:align>bottom</wp:align>
              </wp:positionV>
              <wp:extent cx="7700645" cy="399415"/>
              <wp:effectExtent l="0" t="0" r="0" b="63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645" cy="399415"/>
                      </a:xfrm>
                      <a:prstGeom prst="rect">
                        <a:avLst/>
                      </a:prstGeom>
                      <a:solidFill>
                        <a:schemeClr val="bg1">
                          <a:lumMod val="65000"/>
                        </a:schemeClr>
                      </a:solidFill>
                      <a:ln w="9525">
                        <a:noFill/>
                        <a:miter lim="800000"/>
                        <a:headEnd/>
                        <a:tailEnd/>
                      </a:ln>
                    </wps:spPr>
                    <wps:txbx>
                      <w:txbxContent>
                        <w:p w14:paraId="2A3FF0C9" w14:textId="77777777" w:rsidR="00B304DE" w:rsidRPr="00F20A7C" w:rsidRDefault="00B304DE"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FE79C8A" id="_x0000_t202" coordsize="21600,21600" o:spt="202" path="m,l,21600r21600,l21600,xe">
              <v:stroke joinstyle="miter"/>
              <v:path gradientshapeok="t" o:connecttype="rect"/>
            </v:shapetype>
            <v:shape id="_x0000_s1029" type="#_x0000_t202" style="position:absolute;margin-left:0;margin-top:0;width:606.35pt;height:31.45pt;z-index:251660288;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" fillcolor="#a5a5a5 [2092]" stroked="f">
              <v:textbox>
                <w:txbxContent>
                  <w:p w14:paraId="2A3FF0C9" w14:textId="77777777" w:rsidR="00B304DE" w:rsidRPr="00F20A7C" w:rsidRDefault="00B304DE"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sidR="00B304DE">
      <w:rPr>
        <w:rFonts w:cs="Calibri"/>
        <w:b/>
        <w:color w:val="999999"/>
        <w:sz w:val="20"/>
        <w:szCs w:val="20"/>
      </w:rPr>
      <w:t>Journal Name</w:t>
    </w:r>
    <w:r>
      <w:rPr>
        <w:noProof/>
        <w:lang w:eastAsia="en-GB"/>
      </w:rPr>
      <mc:AlternateContent>
        <mc:Choice Requires="wps">
          <w:drawing>
            <wp:anchor distT="0" distB="0" distL="114300" distR="114300" simplePos="0" relativeHeight="251659264" behindDoc="0" locked="0" layoutInCell="1" allowOverlap="1" wp14:anchorId="33077FD2" wp14:editId="41BF6D43">
              <wp:simplePos x="0" y="0"/>
              <wp:positionH relativeFrom="column">
                <wp:align>center</wp:align>
              </wp:positionH>
              <wp:positionV relativeFrom="page">
                <wp:align>top</wp:align>
              </wp:positionV>
              <wp:extent cx="7700645" cy="424815"/>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645" cy="424815"/>
                      </a:xfrm>
                      <a:prstGeom prst="rect">
                        <a:avLst/>
                      </a:prstGeom>
                      <a:solidFill>
                        <a:schemeClr val="bg1">
                          <a:lumMod val="65000"/>
                        </a:schemeClr>
                      </a:solidFill>
                      <a:ln w="9525">
                        <a:noFill/>
                        <a:miter lim="800000"/>
                        <a:headEnd/>
                        <a:tailEnd/>
                      </a:ln>
                    </wps:spPr>
                    <wps:txbx>
                      <w:txbxContent>
                        <w:p w14:paraId="48626F99" w14:textId="77777777" w:rsidR="00B304DE" w:rsidRPr="00F20A7C" w:rsidRDefault="00B304DE"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3077FD2" id="_x0000_s1030" type="#_x0000_t202" style="position:absolute;margin-left:0;margin-top:0;width:606.35pt;height:33.45pt;z-index:251659264;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" fillcolor="#a5a5a5 [2092]" stroked="f">
              <v:textbox>
                <w:txbxContent>
                  <w:p w14:paraId="48626F99" w14:textId="77777777" w:rsidR="00B304DE" w:rsidRPr="00F20A7C" w:rsidRDefault="00B304DE"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sidR="00B304DE">
      <w:rPr>
        <w:rFonts w:cs="Calibri"/>
        <w:b/>
        <w:color w:val="999999"/>
        <w:sz w:val="20"/>
        <w:szCs w:val="20"/>
      </w:rPr>
      <w:ptab w:relativeTo="margin" w:alignment="right" w:leader="none"/>
    </w:r>
    <w:r w:rsidR="00B304DE" w:rsidRPr="00E46BDF">
      <w:rPr>
        <w:rFonts w:cs="Calibri"/>
        <w:b/>
        <w:color w:val="999999"/>
        <w:sz w:val="20"/>
        <w:szCs w:val="20"/>
      </w:rPr>
      <w:t xml:space="preserve"> </w:t>
    </w:r>
    <w:r w:rsidR="00B304DE">
      <w:rPr>
        <w:rFonts w:cs="Calibri"/>
        <w:b/>
        <w:color w:val="999999"/>
        <w:sz w:val="20"/>
        <w:szCs w:val="20"/>
      </w:rPr>
      <w:t>ARTICLE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C19686" w14:textId="77777777" w:rsidR="00B304DE" w:rsidRDefault="005A1A2D" w:rsidP="00180ABE">
    <w:pPr>
      <w:pStyle w:val="Header"/>
      <w:shd w:val="clear" w:color="auto" w:fill="FFFFFF" w:themeFill="background1"/>
      <w:tabs>
        <w:tab w:val="clear" w:pos="4513"/>
        <w:tab w:val="clear" w:pos="9026"/>
        <w:tab w:val="right" w:pos="10205"/>
      </w:tabs>
      <w:spacing w:after="240"/>
      <w:rPr>
        <w:b/>
        <w:sz w:val="32"/>
        <w:szCs w:val="32"/>
      </w:rPr>
    </w:pPr>
    <w:r>
      <w:rPr>
        <w:noProof/>
        <w:lang w:eastAsia="en-GB"/>
      </w:rPr>
      <mc:AlternateContent>
        <mc:Choice Requires="wps">
          <w:drawing>
            <wp:anchor distT="0" distB="0" distL="114300" distR="114300" simplePos="0" relativeHeight="251655168" behindDoc="0" locked="0" layoutInCell="1" allowOverlap="1" wp14:anchorId="67CF723D" wp14:editId="1C5E7244">
              <wp:simplePos x="0" y="0"/>
              <wp:positionH relativeFrom="column">
                <wp:align>center</wp:align>
              </wp:positionH>
              <wp:positionV relativeFrom="page">
                <wp:align>top</wp:align>
              </wp:positionV>
              <wp:extent cx="7700645" cy="399415"/>
              <wp:effectExtent l="0" t="0" r="0" b="63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645" cy="399415"/>
                      </a:xfrm>
                      <a:prstGeom prst="rect">
                        <a:avLst/>
                      </a:prstGeom>
                      <a:solidFill>
                        <a:schemeClr val="bg1">
                          <a:lumMod val="65000"/>
                        </a:schemeClr>
                      </a:solidFill>
                      <a:ln w="9525">
                        <a:noFill/>
                        <a:miter lim="800000"/>
                        <a:headEnd/>
                        <a:tailEnd/>
                      </a:ln>
                    </wps:spPr>
                    <wps:txbx>
                      <w:txbxContent>
                        <w:p w14:paraId="1863F899" w14:textId="77777777" w:rsidR="00B304DE" w:rsidRPr="00F20A7C" w:rsidRDefault="00B304DE"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7CF723D" id="_x0000_t202" coordsize="21600,21600" o:spt="202" path="m,l,21600r21600,l21600,xe">
              <v:stroke joinstyle="miter"/>
              <v:path gradientshapeok="t" o:connecttype="rect"/>
            </v:shapetype>
            <v:shape id="_x0000_s1031" type="#_x0000_t202" style="position:absolute;margin-left:0;margin-top:0;width:606.35pt;height:31.45pt;z-index:251655168;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" fillcolor="#a5a5a5 [2092]" stroked="f">
              <v:textbox>
                <w:txbxContent>
                  <w:p w14:paraId="1863F899" w14:textId="77777777" w:rsidR="00B304DE" w:rsidRPr="00F20A7C" w:rsidRDefault="00B304DE"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sidR="00B304DE">
      <w:rPr>
        <w:b/>
        <w:sz w:val="32"/>
        <w:szCs w:val="32"/>
      </w:rPr>
      <w:t>PCCP</w:t>
    </w:r>
    <w:r w:rsidR="00B304DE">
      <w:rPr>
        <w:b/>
        <w:sz w:val="32"/>
        <w:szCs w:val="32"/>
      </w:rPr>
      <w:tab/>
    </w:r>
    <w:r w:rsidR="008F70A5" w:rsidRPr="008F70A5">
      <w:rPr>
        <w:b/>
        <w:noProof/>
        <w:sz w:val="32"/>
        <w:szCs w:val="32"/>
        <w:lang w:eastAsia="en-GB"/>
      </w:rPr>
      <w:drawing>
        <wp:inline distT="0" distB="0" distL="0" distR="0" wp14:anchorId="6E5267F4" wp14:editId="6A6ADFE4">
          <wp:extent cx="963930" cy="636270"/>
          <wp:effectExtent l="0" t="0" r="0" b="0"/>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930" cy="636270"/>
                  </a:xfrm>
                  <a:prstGeom prst="rect">
                    <a:avLst/>
                  </a:prstGeom>
                  <a:noFill/>
                  <a:ln>
                    <a:noFill/>
                  </a:ln>
                </pic:spPr>
              </pic:pic>
            </a:graphicData>
          </a:graphic>
        </wp:inline>
      </w:drawing>
    </w:r>
  </w:p>
  <w:p w14:paraId="3AB864F4" w14:textId="77777777" w:rsidR="00B304DE" w:rsidRPr="00180ABE" w:rsidRDefault="00B304DE" w:rsidP="00180ABE">
    <w:pPr>
      <w:pStyle w:val="Header"/>
      <w:pBdr>
        <w:top w:val="single" w:sz="4" w:space="9" w:color="9CB8C7"/>
        <w:left w:val="single" w:sz="4" w:space="6" w:color="9CB8C7"/>
        <w:bottom w:val="single" w:sz="4" w:space="9" w:color="9CB8C7"/>
        <w:right w:val="single" w:sz="4" w:space="6" w:color="9CB8C7"/>
      </w:pBdr>
      <w:shd w:val="clear" w:color="auto" w:fill="9CB8C7"/>
      <w:spacing w:after="240"/>
      <w:ind w:left="170" w:right="170"/>
      <w:rPr>
        <w:rFonts w:cs="Calibri"/>
        <w:color w:val="FFFFFF" w:themeColor="background1"/>
        <w:sz w:val="32"/>
        <w:szCs w:val="32"/>
      </w:rPr>
    </w:pPr>
    <w:r>
      <w:rPr>
        <w:rFonts w:cs="Calibri"/>
        <w:color w:val="FFFFFF" w:themeColor="background1"/>
        <w:sz w:val="32"/>
        <w:szCs w:val="32"/>
      </w:rPr>
      <w:t>ARTICLE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7A02B7"/>
    <w:multiLevelType w:val="hybridMultilevel"/>
    <w:tmpl w:val="1A9AFCFC"/>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25CE18C1"/>
    <w:multiLevelType w:val="hybridMultilevel"/>
    <w:tmpl w:val="AD169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2B0EBB"/>
    <w:multiLevelType w:val="hybridMultilevel"/>
    <w:tmpl w:val="AAD643F4"/>
    <w:lvl w:ilvl="0" w:tplc="54A6E152">
      <w:start w:val="1"/>
      <w:numFmt w:val="lowerLetter"/>
      <w:pStyle w:val="RSCF01FootnoteAuthorAddress"/>
      <w:lvlText w:val="%1."/>
      <w:lvlJc w:val="left"/>
      <w:pPr>
        <w:ind w:left="720" w:hanging="360"/>
      </w:pPr>
      <w:rPr>
        <w:rFonts w:ascii="Calibri" w:hAnsi="Calibri" w:cs="Times New Roman" w:hint="default"/>
        <w:b w:val="0"/>
        <w:i/>
        <w:vertAlign w:val="superscrip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3CC4793E"/>
    <w:multiLevelType w:val="hybridMultilevel"/>
    <w:tmpl w:val="1E5E52AA"/>
    <w:lvl w:ilvl="0" w:tplc="A2DA1DF6">
      <w:start w:val="1"/>
      <w:numFmt w:val="decimal"/>
      <w:pStyle w:val="RSCR02References"/>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3DE4064A"/>
    <w:multiLevelType w:val="hybridMultilevel"/>
    <w:tmpl w:val="CFE8A9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DDD5E67"/>
    <w:multiLevelType w:val="hybridMultilevel"/>
    <w:tmpl w:val="918C1248"/>
    <w:lvl w:ilvl="0" w:tplc="F11A06DC">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2E7F39"/>
    <w:multiLevelType w:val="hybridMultilevel"/>
    <w:tmpl w:val="14BA6562"/>
    <w:lvl w:ilvl="0" w:tplc="98B861D8">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6"/>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embedTrueTypeFonts/>
  <w:attachedTemplate r:id="rId1"/>
  <w:stylePaneSortMethod w:val="0000"/>
  <w:defaultTabStop w:val="28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5A0"/>
    <w:rsid w:val="00005B8A"/>
    <w:rsid w:val="00017239"/>
    <w:rsid w:val="00022D8A"/>
    <w:rsid w:val="0003666B"/>
    <w:rsid w:val="000366E5"/>
    <w:rsid w:val="0003744F"/>
    <w:rsid w:val="0005073B"/>
    <w:rsid w:val="000622D1"/>
    <w:rsid w:val="00066B23"/>
    <w:rsid w:val="00071E41"/>
    <w:rsid w:val="00073639"/>
    <w:rsid w:val="00095F0C"/>
    <w:rsid w:val="000A2670"/>
    <w:rsid w:val="000A4C5C"/>
    <w:rsid w:val="000C0A9D"/>
    <w:rsid w:val="000C1744"/>
    <w:rsid w:val="000C6C2C"/>
    <w:rsid w:val="000D00C8"/>
    <w:rsid w:val="000D2FAC"/>
    <w:rsid w:val="000D5891"/>
    <w:rsid w:val="000D6963"/>
    <w:rsid w:val="000E7A32"/>
    <w:rsid w:val="000F0959"/>
    <w:rsid w:val="000F3A41"/>
    <w:rsid w:val="00120227"/>
    <w:rsid w:val="0012172C"/>
    <w:rsid w:val="00126027"/>
    <w:rsid w:val="001312B6"/>
    <w:rsid w:val="001508E9"/>
    <w:rsid w:val="001633D9"/>
    <w:rsid w:val="00167CAC"/>
    <w:rsid w:val="001712E8"/>
    <w:rsid w:val="001761A1"/>
    <w:rsid w:val="00180ABE"/>
    <w:rsid w:val="001923AB"/>
    <w:rsid w:val="001C1EB8"/>
    <w:rsid w:val="00206A82"/>
    <w:rsid w:val="00214BEC"/>
    <w:rsid w:val="00220786"/>
    <w:rsid w:val="002264EC"/>
    <w:rsid w:val="002276BE"/>
    <w:rsid w:val="00237C8A"/>
    <w:rsid w:val="0024022C"/>
    <w:rsid w:val="00241ACD"/>
    <w:rsid w:val="00242318"/>
    <w:rsid w:val="00253551"/>
    <w:rsid w:val="00253FE0"/>
    <w:rsid w:val="00270DD5"/>
    <w:rsid w:val="00271235"/>
    <w:rsid w:val="00272D6F"/>
    <w:rsid w:val="002A5421"/>
    <w:rsid w:val="002C0803"/>
    <w:rsid w:val="002C251C"/>
    <w:rsid w:val="002C3D7C"/>
    <w:rsid w:val="002E5B1D"/>
    <w:rsid w:val="002F52C3"/>
    <w:rsid w:val="00316114"/>
    <w:rsid w:val="00350BCA"/>
    <w:rsid w:val="00352029"/>
    <w:rsid w:val="00352AA4"/>
    <w:rsid w:val="00354579"/>
    <w:rsid w:val="00356F00"/>
    <w:rsid w:val="003720E8"/>
    <w:rsid w:val="00377481"/>
    <w:rsid w:val="00385965"/>
    <w:rsid w:val="003A7E95"/>
    <w:rsid w:val="003B739C"/>
    <w:rsid w:val="003C6313"/>
    <w:rsid w:val="003D4ECA"/>
    <w:rsid w:val="003D6715"/>
    <w:rsid w:val="003E55B2"/>
    <w:rsid w:val="003F5D4B"/>
    <w:rsid w:val="00405881"/>
    <w:rsid w:val="0043180D"/>
    <w:rsid w:val="004339EE"/>
    <w:rsid w:val="004414A5"/>
    <w:rsid w:val="0044700B"/>
    <w:rsid w:val="00467171"/>
    <w:rsid w:val="00467C80"/>
    <w:rsid w:val="00474052"/>
    <w:rsid w:val="004877C8"/>
    <w:rsid w:val="004901D3"/>
    <w:rsid w:val="004B5EA4"/>
    <w:rsid w:val="004C2B53"/>
    <w:rsid w:val="004C531E"/>
    <w:rsid w:val="004C6C90"/>
    <w:rsid w:val="004E502D"/>
    <w:rsid w:val="005037CD"/>
    <w:rsid w:val="00504795"/>
    <w:rsid w:val="00514CBA"/>
    <w:rsid w:val="0052630A"/>
    <w:rsid w:val="0053177A"/>
    <w:rsid w:val="00532650"/>
    <w:rsid w:val="00533EA1"/>
    <w:rsid w:val="00575F8B"/>
    <w:rsid w:val="005771C3"/>
    <w:rsid w:val="00577B54"/>
    <w:rsid w:val="00590F6D"/>
    <w:rsid w:val="005A1A2D"/>
    <w:rsid w:val="005A5A6D"/>
    <w:rsid w:val="005A5ED7"/>
    <w:rsid w:val="005C1A41"/>
    <w:rsid w:val="005C4565"/>
    <w:rsid w:val="005E05CD"/>
    <w:rsid w:val="0061572F"/>
    <w:rsid w:val="00631441"/>
    <w:rsid w:val="00641030"/>
    <w:rsid w:val="00645D52"/>
    <w:rsid w:val="0065133B"/>
    <w:rsid w:val="006556AC"/>
    <w:rsid w:val="006602F1"/>
    <w:rsid w:val="006658D3"/>
    <w:rsid w:val="00670ED4"/>
    <w:rsid w:val="00672928"/>
    <w:rsid w:val="00674A86"/>
    <w:rsid w:val="0069313B"/>
    <w:rsid w:val="006A69C8"/>
    <w:rsid w:val="006B3B5D"/>
    <w:rsid w:val="006D5ADC"/>
    <w:rsid w:val="006D6163"/>
    <w:rsid w:val="006E58B1"/>
    <w:rsid w:val="006F01C4"/>
    <w:rsid w:val="006F487B"/>
    <w:rsid w:val="006F740B"/>
    <w:rsid w:val="007057BD"/>
    <w:rsid w:val="00744A41"/>
    <w:rsid w:val="00780A41"/>
    <w:rsid w:val="00794787"/>
    <w:rsid w:val="007A37D8"/>
    <w:rsid w:val="007A4375"/>
    <w:rsid w:val="007C3D03"/>
    <w:rsid w:val="007C7705"/>
    <w:rsid w:val="007C7F29"/>
    <w:rsid w:val="007D1EFA"/>
    <w:rsid w:val="007D5FE4"/>
    <w:rsid w:val="008125A0"/>
    <w:rsid w:val="00821EA7"/>
    <w:rsid w:val="008252F3"/>
    <w:rsid w:val="00832E78"/>
    <w:rsid w:val="00836BDC"/>
    <w:rsid w:val="008560DE"/>
    <w:rsid w:val="00870EB9"/>
    <w:rsid w:val="0088525A"/>
    <w:rsid w:val="00890205"/>
    <w:rsid w:val="00892141"/>
    <w:rsid w:val="008A0D60"/>
    <w:rsid w:val="008C1387"/>
    <w:rsid w:val="008C5227"/>
    <w:rsid w:val="008C682F"/>
    <w:rsid w:val="008E509B"/>
    <w:rsid w:val="008F3CAE"/>
    <w:rsid w:val="008F4811"/>
    <w:rsid w:val="008F525A"/>
    <w:rsid w:val="008F70A5"/>
    <w:rsid w:val="009026D4"/>
    <w:rsid w:val="0092763E"/>
    <w:rsid w:val="009316A6"/>
    <w:rsid w:val="00936114"/>
    <w:rsid w:val="009400E9"/>
    <w:rsid w:val="00946446"/>
    <w:rsid w:val="00946830"/>
    <w:rsid w:val="00962779"/>
    <w:rsid w:val="009654EC"/>
    <w:rsid w:val="009918D9"/>
    <w:rsid w:val="009A392D"/>
    <w:rsid w:val="009D17C3"/>
    <w:rsid w:val="009D47C2"/>
    <w:rsid w:val="009E0DFF"/>
    <w:rsid w:val="009E1D9F"/>
    <w:rsid w:val="009E51F8"/>
    <w:rsid w:val="009F168F"/>
    <w:rsid w:val="009F2649"/>
    <w:rsid w:val="00A05364"/>
    <w:rsid w:val="00A074D7"/>
    <w:rsid w:val="00A17D23"/>
    <w:rsid w:val="00A208E1"/>
    <w:rsid w:val="00A521AB"/>
    <w:rsid w:val="00A55448"/>
    <w:rsid w:val="00A56CD0"/>
    <w:rsid w:val="00A61D3E"/>
    <w:rsid w:val="00A7643E"/>
    <w:rsid w:val="00A835C2"/>
    <w:rsid w:val="00A91882"/>
    <w:rsid w:val="00A9649E"/>
    <w:rsid w:val="00AA1341"/>
    <w:rsid w:val="00AA5875"/>
    <w:rsid w:val="00AB004E"/>
    <w:rsid w:val="00AB16D0"/>
    <w:rsid w:val="00AB2C1B"/>
    <w:rsid w:val="00AC3BF2"/>
    <w:rsid w:val="00AD5483"/>
    <w:rsid w:val="00AF0249"/>
    <w:rsid w:val="00AF150F"/>
    <w:rsid w:val="00AF4737"/>
    <w:rsid w:val="00AF6D58"/>
    <w:rsid w:val="00B0470A"/>
    <w:rsid w:val="00B2364D"/>
    <w:rsid w:val="00B304DE"/>
    <w:rsid w:val="00B53582"/>
    <w:rsid w:val="00B6239D"/>
    <w:rsid w:val="00B6323A"/>
    <w:rsid w:val="00B67630"/>
    <w:rsid w:val="00B70B18"/>
    <w:rsid w:val="00B722DE"/>
    <w:rsid w:val="00B80DDB"/>
    <w:rsid w:val="00B81EE1"/>
    <w:rsid w:val="00B9392D"/>
    <w:rsid w:val="00BA761E"/>
    <w:rsid w:val="00BB3FBE"/>
    <w:rsid w:val="00BC603D"/>
    <w:rsid w:val="00BE549D"/>
    <w:rsid w:val="00BE7069"/>
    <w:rsid w:val="00C03CE1"/>
    <w:rsid w:val="00C059D6"/>
    <w:rsid w:val="00C175D7"/>
    <w:rsid w:val="00C3016F"/>
    <w:rsid w:val="00C31922"/>
    <w:rsid w:val="00C32EDF"/>
    <w:rsid w:val="00C371C1"/>
    <w:rsid w:val="00C405FD"/>
    <w:rsid w:val="00C42573"/>
    <w:rsid w:val="00C5024A"/>
    <w:rsid w:val="00C57107"/>
    <w:rsid w:val="00C62C2D"/>
    <w:rsid w:val="00C9227C"/>
    <w:rsid w:val="00C9557D"/>
    <w:rsid w:val="00CA2740"/>
    <w:rsid w:val="00CC12E6"/>
    <w:rsid w:val="00CC2E25"/>
    <w:rsid w:val="00CC3671"/>
    <w:rsid w:val="00CC7C64"/>
    <w:rsid w:val="00CD0B47"/>
    <w:rsid w:val="00CF5F1A"/>
    <w:rsid w:val="00D010E8"/>
    <w:rsid w:val="00D02C04"/>
    <w:rsid w:val="00D04AE1"/>
    <w:rsid w:val="00D138E8"/>
    <w:rsid w:val="00D20259"/>
    <w:rsid w:val="00D208BA"/>
    <w:rsid w:val="00D21668"/>
    <w:rsid w:val="00D216BC"/>
    <w:rsid w:val="00D42B63"/>
    <w:rsid w:val="00D42F8F"/>
    <w:rsid w:val="00D45ADF"/>
    <w:rsid w:val="00D73250"/>
    <w:rsid w:val="00D8576D"/>
    <w:rsid w:val="00DA07F1"/>
    <w:rsid w:val="00DA5166"/>
    <w:rsid w:val="00DD06F4"/>
    <w:rsid w:val="00DD500F"/>
    <w:rsid w:val="00DE63B0"/>
    <w:rsid w:val="00DF53E4"/>
    <w:rsid w:val="00E2136E"/>
    <w:rsid w:val="00E25AF8"/>
    <w:rsid w:val="00E2733E"/>
    <w:rsid w:val="00E31A6A"/>
    <w:rsid w:val="00E46BDF"/>
    <w:rsid w:val="00E547DB"/>
    <w:rsid w:val="00E555BF"/>
    <w:rsid w:val="00E61949"/>
    <w:rsid w:val="00E67B67"/>
    <w:rsid w:val="00E70DCE"/>
    <w:rsid w:val="00EA446A"/>
    <w:rsid w:val="00EA7DC1"/>
    <w:rsid w:val="00EB5BA2"/>
    <w:rsid w:val="00EB5C28"/>
    <w:rsid w:val="00EC666F"/>
    <w:rsid w:val="00EC6DF8"/>
    <w:rsid w:val="00EC7EEC"/>
    <w:rsid w:val="00EE3AFB"/>
    <w:rsid w:val="00EE50A6"/>
    <w:rsid w:val="00EF0D19"/>
    <w:rsid w:val="00EF1577"/>
    <w:rsid w:val="00EF6BD4"/>
    <w:rsid w:val="00F05C18"/>
    <w:rsid w:val="00F157DD"/>
    <w:rsid w:val="00F15F90"/>
    <w:rsid w:val="00F20A7C"/>
    <w:rsid w:val="00F21465"/>
    <w:rsid w:val="00F549EF"/>
    <w:rsid w:val="00F6065C"/>
    <w:rsid w:val="00F61EB1"/>
    <w:rsid w:val="00F62C8B"/>
    <w:rsid w:val="00F74E08"/>
    <w:rsid w:val="00F802D4"/>
    <w:rsid w:val="00F91982"/>
    <w:rsid w:val="00FA2DA2"/>
    <w:rsid w:val="00FA311A"/>
    <w:rsid w:val="00FB16A8"/>
    <w:rsid w:val="00FB5266"/>
    <w:rsid w:val="00FC1AAD"/>
    <w:rsid w:val="00FE0FE8"/>
    <w:rsid w:val="00FF5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447F3A6"/>
  <w14:defaultImageDpi w14:val="0"/>
  <w15:docId w15:val="{028C9FE0-5140-4549-8432-87C91B1B7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F1577"/>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7DB"/>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E547DB"/>
    <w:rPr>
      <w:rFonts w:cs="Times New Roman"/>
    </w:rPr>
  </w:style>
  <w:style w:type="paragraph" w:styleId="Footer">
    <w:name w:val="footer"/>
    <w:basedOn w:val="Normal"/>
    <w:link w:val="FooterChar"/>
    <w:uiPriority w:val="99"/>
    <w:unhideWhenUsed/>
    <w:rsid w:val="00E547DB"/>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E547DB"/>
    <w:rPr>
      <w:rFonts w:cs="Times New Roman"/>
    </w:rPr>
  </w:style>
  <w:style w:type="paragraph" w:styleId="BalloonText">
    <w:name w:val="Balloon Text"/>
    <w:basedOn w:val="Normal"/>
    <w:link w:val="BalloonTextChar"/>
    <w:uiPriority w:val="99"/>
    <w:semiHidden/>
    <w:unhideWhenUsed/>
    <w:rsid w:val="00E547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547DB"/>
    <w:rPr>
      <w:rFonts w:ascii="Tahoma" w:hAnsi="Tahoma" w:cs="Tahoma"/>
      <w:sz w:val="16"/>
      <w:szCs w:val="16"/>
    </w:rPr>
  </w:style>
  <w:style w:type="paragraph" w:customStyle="1" w:styleId="RSCH01PaperTitle">
    <w:name w:val="RSC H01 Paper Title"/>
    <w:basedOn w:val="Normal"/>
    <w:next w:val="Normal"/>
    <w:link w:val="RSCH01PaperTitleChar"/>
    <w:qFormat/>
    <w:rsid w:val="00C32EDF"/>
    <w:pPr>
      <w:tabs>
        <w:tab w:val="left" w:pos="284"/>
      </w:tabs>
      <w:spacing w:before="400" w:after="160" w:line="240" w:lineRule="auto"/>
    </w:pPr>
    <w:rPr>
      <w:b/>
      <w:sz w:val="29"/>
      <w:szCs w:val="32"/>
    </w:rPr>
  </w:style>
  <w:style w:type="paragraph" w:customStyle="1" w:styleId="RSCH02PaperAuthorsandByline">
    <w:name w:val="RSC H02 Paper Authors and Byline"/>
    <w:basedOn w:val="Normal"/>
    <w:link w:val="RSCH02PaperAuthorsandBylineChar"/>
    <w:qFormat/>
    <w:rsid w:val="001633D9"/>
    <w:pPr>
      <w:spacing w:after="120" w:line="240" w:lineRule="exact"/>
    </w:pPr>
    <w:rPr>
      <w:sz w:val="20"/>
    </w:rPr>
  </w:style>
  <w:style w:type="paragraph" w:customStyle="1" w:styleId="RSCB01ARTAbstract">
    <w:name w:val="RSC B01 ART Abstract"/>
    <w:basedOn w:val="Normal"/>
    <w:link w:val="RSCB01ARTAbstractChar"/>
    <w:qFormat/>
    <w:rsid w:val="00FA2DA2"/>
    <w:pPr>
      <w:spacing w:line="240" w:lineRule="exact"/>
      <w:jc w:val="both"/>
    </w:pPr>
    <w:rPr>
      <w:noProof/>
      <w:sz w:val="16"/>
      <w:lang w:eastAsia="en-GB"/>
    </w:rPr>
  </w:style>
  <w:style w:type="table" w:styleId="TableGrid">
    <w:name w:val="Table Grid"/>
    <w:basedOn w:val="TableNormal"/>
    <w:uiPriority w:val="59"/>
    <w:rsid w:val="005771C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5BHeading">
    <w:name w:val="05 B Heading"/>
    <w:basedOn w:val="RSCB04AHeadingSection"/>
    <w:link w:val="05BHeadingChar"/>
    <w:rsid w:val="00AB16D0"/>
    <w:pPr>
      <w:spacing w:before="160" w:line="240" w:lineRule="exact"/>
    </w:pPr>
    <w:rPr>
      <w:rFonts w:ascii="Times New Roman" w:hAnsi="Times New Roman"/>
      <w:sz w:val="18"/>
      <w:szCs w:val="18"/>
    </w:rPr>
  </w:style>
  <w:style w:type="paragraph" w:customStyle="1" w:styleId="RSCB02ArticleText">
    <w:name w:val="RSC B02 Article Text"/>
    <w:basedOn w:val="Normal"/>
    <w:link w:val="RSCB02ArticleTextChar"/>
    <w:qFormat/>
    <w:rsid w:val="00EE3AFB"/>
    <w:pPr>
      <w:spacing w:after="0" w:line="240" w:lineRule="exact"/>
      <w:jc w:val="both"/>
    </w:pPr>
    <w:rPr>
      <w:w w:val="108"/>
      <w:sz w:val="18"/>
      <w:szCs w:val="18"/>
    </w:rPr>
  </w:style>
  <w:style w:type="character" w:customStyle="1" w:styleId="06CHeading">
    <w:name w:val="06 C Heading"/>
    <w:basedOn w:val="RSCB02ArticleTextChar"/>
    <w:uiPriority w:val="1"/>
    <w:rsid w:val="00EF1577"/>
    <w:rPr>
      <w:rFonts w:ascii="Times New Roman" w:hAnsi="Times New Roman" w:cs="Times New Roman"/>
      <w:b/>
      <w:smallCaps/>
      <w:w w:val="108"/>
      <w:sz w:val="18"/>
      <w:szCs w:val="18"/>
    </w:rPr>
  </w:style>
  <w:style w:type="character" w:customStyle="1" w:styleId="RSCB02ArticleTextChar">
    <w:name w:val="RSC B02 Article Text Char"/>
    <w:basedOn w:val="DefaultParagraphFont"/>
    <w:link w:val="RSCB02ArticleText"/>
    <w:locked/>
    <w:rsid w:val="00EE3AFB"/>
    <w:rPr>
      <w:rFonts w:cs="Times New Roman"/>
      <w:w w:val="108"/>
      <w:sz w:val="18"/>
      <w:szCs w:val="18"/>
    </w:rPr>
  </w:style>
  <w:style w:type="paragraph" w:customStyle="1" w:styleId="09ListText">
    <w:name w:val="09 List Text"/>
    <w:basedOn w:val="RSCB02ArticleText"/>
    <w:link w:val="09ListTextChar"/>
    <w:rsid w:val="00EF1577"/>
    <w:pPr>
      <w:widowControl w:val="0"/>
      <w:spacing w:line="230" w:lineRule="exact"/>
      <w:ind w:left="284" w:hanging="284"/>
    </w:pPr>
    <w:rPr>
      <w:lang w:eastAsia="en-GB"/>
    </w:rPr>
  </w:style>
  <w:style w:type="paragraph" w:customStyle="1" w:styleId="RSCF01FootnoteAuthorAddress">
    <w:name w:val="RSC F01 Footnote Author Address"/>
    <w:link w:val="RSCF01FootnoteAuthorAddressChar"/>
    <w:qFormat/>
    <w:rsid w:val="006556AC"/>
    <w:pPr>
      <w:numPr>
        <w:numId w:val="3"/>
      </w:numPr>
      <w:pBdr>
        <w:top w:val="single" w:sz="12" w:space="1" w:color="A6A6A6" w:themeColor="background1" w:themeShade="A6"/>
      </w:pBdr>
      <w:spacing w:after="0" w:line="240" w:lineRule="auto"/>
      <w:ind w:left="85" w:hanging="85"/>
      <w:suppressOverlap/>
    </w:pPr>
    <w:rPr>
      <w:rFonts w:cs="Times New Roman"/>
      <w:i/>
      <w:w w:val="105"/>
      <w:sz w:val="14"/>
      <w:szCs w:val="14"/>
    </w:rPr>
  </w:style>
  <w:style w:type="paragraph" w:customStyle="1" w:styleId="RSCI02FigureSchemeChartwithtopbar">
    <w:name w:val="RSC I02 Figure/Scheme/Chart with top bar"/>
    <w:basedOn w:val="Normal"/>
    <w:link w:val="RSCI02FigureSchemeChartwithtopbarChar"/>
    <w:qFormat/>
    <w:rsid w:val="006556AC"/>
    <w:pPr>
      <w:pBdr>
        <w:top w:val="single" w:sz="12" w:space="5" w:color="999999"/>
      </w:pBdr>
      <w:spacing w:before="120" w:after="40" w:line="240" w:lineRule="auto"/>
      <w:jc w:val="both"/>
    </w:pPr>
    <w:rPr>
      <w:w w:val="108"/>
      <w:sz w:val="14"/>
      <w:szCs w:val="18"/>
    </w:rPr>
  </w:style>
  <w:style w:type="paragraph" w:customStyle="1" w:styleId="RSCI01FigureSchemeChartwithbottombar">
    <w:name w:val="RSC I01 Figure/Scheme/Chart with bottom bar"/>
    <w:basedOn w:val="Normal"/>
    <w:link w:val="RSCI01FigureSchemeChartwithbottombarChar"/>
    <w:qFormat/>
    <w:rsid w:val="006556AC"/>
    <w:pPr>
      <w:pBdr>
        <w:bottom w:val="single" w:sz="12" w:space="5" w:color="999999"/>
      </w:pBdr>
      <w:spacing w:before="40" w:after="120" w:line="120" w:lineRule="exact"/>
      <w:jc w:val="both"/>
    </w:pPr>
    <w:rPr>
      <w:rFonts w:cs="Calibri"/>
      <w:w w:val="108"/>
      <w:sz w:val="14"/>
      <w:szCs w:val="14"/>
    </w:rPr>
  </w:style>
  <w:style w:type="paragraph" w:customStyle="1" w:styleId="RSCI03FigureSchemeChartUncaptioned">
    <w:name w:val="RSC I03 Figure/Scheme/Chart Uncaptioned"/>
    <w:basedOn w:val="Normal"/>
    <w:link w:val="RSCI03FigureSchemeChartUncaptionedChar"/>
    <w:qFormat/>
    <w:rsid w:val="006556AC"/>
    <w:pPr>
      <w:spacing w:before="160" w:after="160" w:line="240" w:lineRule="auto"/>
      <w:jc w:val="center"/>
    </w:pPr>
    <w:rPr>
      <w:sz w:val="16"/>
      <w:szCs w:val="16"/>
    </w:rPr>
  </w:style>
  <w:style w:type="paragraph" w:customStyle="1" w:styleId="RSCB03MathematicsGreeketc">
    <w:name w:val="RSC B03 Mathematics/Greek etc"/>
    <w:basedOn w:val="Normal"/>
    <w:link w:val="RSCB03MathematicsGreeketcChar"/>
    <w:qFormat/>
    <w:rsid w:val="007A37D8"/>
    <w:pPr>
      <w:tabs>
        <w:tab w:val="center" w:pos="2268"/>
        <w:tab w:val="right" w:pos="4536"/>
      </w:tabs>
      <w:spacing w:before="160" w:after="160" w:line="240" w:lineRule="auto"/>
    </w:pPr>
    <w:rPr>
      <w:rFonts w:ascii="Times New Roman" w:hAnsi="Times New Roman"/>
      <w:sz w:val="18"/>
    </w:rPr>
  </w:style>
  <w:style w:type="paragraph" w:customStyle="1" w:styleId="RSCB09Biography">
    <w:name w:val="RSC B09 Biography"/>
    <w:basedOn w:val="RSCB02ArticleText"/>
    <w:link w:val="RSCB09BiographyChar"/>
    <w:qFormat/>
    <w:rsid w:val="002E5B1D"/>
    <w:pPr>
      <w:pBdr>
        <w:top w:val="single" w:sz="6" w:space="1" w:color="auto"/>
      </w:pBdr>
    </w:pPr>
    <w:rPr>
      <w:i/>
    </w:rPr>
  </w:style>
  <w:style w:type="character" w:customStyle="1" w:styleId="RSCB09BiographyChar">
    <w:name w:val="RSC B09 Biography Char"/>
    <w:basedOn w:val="RSCB02ArticleTextChar"/>
    <w:link w:val="RSCB09Biography"/>
    <w:locked/>
    <w:rsid w:val="002E5B1D"/>
    <w:rPr>
      <w:rFonts w:cs="Times New Roman"/>
      <w:i/>
      <w:w w:val="108"/>
      <w:sz w:val="18"/>
      <w:szCs w:val="18"/>
    </w:rPr>
  </w:style>
  <w:style w:type="paragraph" w:customStyle="1" w:styleId="RSCF02FootnotestoTitleAuthors">
    <w:name w:val="RSC F02 Footnotes to Title/Authors"/>
    <w:basedOn w:val="Normal"/>
    <w:link w:val="RSCF02FootnotestoTitleAuthorsChar"/>
    <w:qFormat/>
    <w:rsid w:val="006556AC"/>
    <w:pPr>
      <w:tabs>
        <w:tab w:val="left" w:pos="284"/>
      </w:tabs>
      <w:spacing w:after="0" w:line="240" w:lineRule="auto"/>
      <w:suppressOverlap/>
      <w:jc w:val="both"/>
    </w:pPr>
    <w:rPr>
      <w:w w:val="105"/>
      <w:sz w:val="14"/>
      <w:szCs w:val="14"/>
    </w:rPr>
  </w:style>
  <w:style w:type="character" w:customStyle="1" w:styleId="RSCF01FootnoteAuthorAddressChar">
    <w:name w:val="RSC F01 Footnote Author Address Char"/>
    <w:basedOn w:val="DefaultParagraphFont"/>
    <w:link w:val="RSCF01FootnoteAuthorAddress"/>
    <w:locked/>
    <w:rsid w:val="006556AC"/>
    <w:rPr>
      <w:rFonts w:cs="Times New Roman"/>
      <w:i/>
      <w:w w:val="105"/>
      <w:sz w:val="14"/>
      <w:szCs w:val="14"/>
    </w:rPr>
  </w:style>
  <w:style w:type="paragraph" w:customStyle="1" w:styleId="RSCR02References">
    <w:name w:val="RSC R02 References"/>
    <w:basedOn w:val="RSCB02ArticleText"/>
    <w:link w:val="RSCR02ReferencesChar"/>
    <w:qFormat/>
    <w:rsid w:val="00CF5F1A"/>
    <w:pPr>
      <w:numPr>
        <w:numId w:val="2"/>
      </w:numPr>
      <w:spacing w:line="200" w:lineRule="exact"/>
      <w:ind w:left="284" w:hanging="284"/>
    </w:pPr>
    <w:rPr>
      <w:w w:val="105"/>
    </w:rPr>
  </w:style>
  <w:style w:type="character" w:customStyle="1" w:styleId="RSCF02FootnotestoTitleAuthorsChar">
    <w:name w:val="RSC F02 Footnotes to Title/Authors Char"/>
    <w:basedOn w:val="DefaultParagraphFont"/>
    <w:link w:val="RSCF02FootnotestoTitleAuthors"/>
    <w:locked/>
    <w:rsid w:val="006556AC"/>
    <w:rPr>
      <w:rFonts w:cs="Times New Roman"/>
      <w:w w:val="105"/>
      <w:sz w:val="14"/>
      <w:szCs w:val="14"/>
    </w:rPr>
  </w:style>
  <w:style w:type="paragraph" w:styleId="NoSpacing">
    <w:name w:val="No Spacing"/>
    <w:uiPriority w:val="1"/>
    <w:rsid w:val="00272D6F"/>
    <w:pPr>
      <w:spacing w:after="0" w:line="240" w:lineRule="auto"/>
    </w:pPr>
    <w:rPr>
      <w:rFonts w:cs="Times New Roman"/>
    </w:rPr>
  </w:style>
  <w:style w:type="character" w:customStyle="1" w:styleId="RSCR02ReferencesChar">
    <w:name w:val="RSC R02 References Char"/>
    <w:basedOn w:val="DefaultParagraphFont"/>
    <w:link w:val="RSCR02References"/>
    <w:locked/>
    <w:rsid w:val="00CF5F1A"/>
    <w:rPr>
      <w:rFonts w:cs="Times New Roman"/>
      <w:w w:val="105"/>
      <w:sz w:val="18"/>
      <w:szCs w:val="18"/>
    </w:rPr>
  </w:style>
  <w:style w:type="paragraph" w:customStyle="1" w:styleId="RSCB04AHeadingSection">
    <w:name w:val="RSC B04 A Heading (Section)"/>
    <w:basedOn w:val="Normal"/>
    <w:link w:val="RSCB04AHeadingSectionChar"/>
    <w:qFormat/>
    <w:rsid w:val="00EF6BD4"/>
    <w:pPr>
      <w:spacing w:before="400" w:after="80" w:line="240" w:lineRule="auto"/>
    </w:pPr>
    <w:rPr>
      <w:b/>
      <w:sz w:val="24"/>
    </w:rPr>
  </w:style>
  <w:style w:type="character" w:customStyle="1" w:styleId="RSCH01PaperTitleChar">
    <w:name w:val="RSC H01 Paper Title Char"/>
    <w:basedOn w:val="DefaultParagraphFont"/>
    <w:link w:val="RSCH01PaperTitle"/>
    <w:locked/>
    <w:rsid w:val="00C32EDF"/>
    <w:rPr>
      <w:rFonts w:cs="Times New Roman"/>
      <w:b/>
      <w:sz w:val="32"/>
      <w:szCs w:val="32"/>
    </w:rPr>
  </w:style>
  <w:style w:type="character" w:customStyle="1" w:styleId="RSCH02PaperAuthorsandBylineChar">
    <w:name w:val="RSC H02 Paper Authors and Byline Char"/>
    <w:basedOn w:val="DefaultParagraphFont"/>
    <w:link w:val="RSCH02PaperAuthorsandByline"/>
    <w:locked/>
    <w:rsid w:val="001633D9"/>
    <w:rPr>
      <w:rFonts w:cs="Times New Roman"/>
      <w:sz w:val="20"/>
    </w:rPr>
  </w:style>
  <w:style w:type="character" w:customStyle="1" w:styleId="RSCB01ARTAbstractChar">
    <w:name w:val="RSC B01 ART Abstract Char"/>
    <w:basedOn w:val="DefaultParagraphFont"/>
    <w:link w:val="RSCB01ARTAbstract"/>
    <w:locked/>
    <w:rsid w:val="00FA2DA2"/>
    <w:rPr>
      <w:rFonts w:cs="Times New Roman"/>
      <w:noProof/>
      <w:sz w:val="16"/>
      <w:lang w:eastAsia="en-GB"/>
    </w:rPr>
  </w:style>
  <w:style w:type="character" w:customStyle="1" w:styleId="09ListTextChar">
    <w:name w:val="09 List Text Char"/>
    <w:basedOn w:val="RSCB02ArticleTextChar"/>
    <w:link w:val="09ListText"/>
    <w:locked/>
    <w:rsid w:val="00EF1577"/>
    <w:rPr>
      <w:rFonts w:ascii="Times New Roman" w:hAnsi="Times New Roman" w:cs="Times New Roman"/>
      <w:w w:val="108"/>
      <w:sz w:val="18"/>
      <w:szCs w:val="18"/>
      <w:lang w:val="x-none" w:eastAsia="en-GB"/>
    </w:rPr>
  </w:style>
  <w:style w:type="character" w:customStyle="1" w:styleId="RSCB04AHeadingSectionChar">
    <w:name w:val="RSC B04 A Heading (Section) Char"/>
    <w:basedOn w:val="DefaultParagraphFont"/>
    <w:link w:val="RSCB04AHeadingSection"/>
    <w:locked/>
    <w:rsid w:val="00EF6BD4"/>
    <w:rPr>
      <w:rFonts w:cs="Times New Roman"/>
      <w:b/>
      <w:sz w:val="24"/>
    </w:rPr>
  </w:style>
  <w:style w:type="character" w:customStyle="1" w:styleId="05BHeadingChar">
    <w:name w:val="05 B Heading Char"/>
    <w:basedOn w:val="RSCB04AHeadingSectionChar"/>
    <w:link w:val="05BHeading"/>
    <w:locked/>
    <w:rsid w:val="00AB16D0"/>
    <w:rPr>
      <w:rFonts w:ascii="Times New Roman" w:hAnsi="Times New Roman" w:cs="Times New Roman"/>
      <w:b/>
      <w:sz w:val="18"/>
      <w:szCs w:val="18"/>
    </w:rPr>
  </w:style>
  <w:style w:type="paragraph" w:customStyle="1" w:styleId="RSCT01TableTitlewithtopbar">
    <w:name w:val="RSC T01 Table Title with top bar"/>
    <w:basedOn w:val="Normal"/>
    <w:link w:val="RSCT01TableTitlewithtopbarChar"/>
    <w:qFormat/>
    <w:rsid w:val="006556AC"/>
    <w:pPr>
      <w:keepNext/>
      <w:keepLines/>
      <w:pBdr>
        <w:top w:val="single" w:sz="12" w:space="1" w:color="999999"/>
        <w:bottom w:val="single" w:sz="6" w:space="1" w:color="auto"/>
      </w:pBdr>
      <w:spacing w:before="120" w:after="120" w:line="200" w:lineRule="exact"/>
      <w:jc w:val="both"/>
    </w:pPr>
    <w:rPr>
      <w:sz w:val="14"/>
      <w:szCs w:val="20"/>
      <w:lang w:eastAsia="en-GB"/>
    </w:rPr>
  </w:style>
  <w:style w:type="character" w:customStyle="1" w:styleId="RSCI02FigureSchemeChartwithtopbarChar">
    <w:name w:val="RSC I02 Figure/Scheme/Chart with top bar Char"/>
    <w:basedOn w:val="DefaultParagraphFont"/>
    <w:link w:val="RSCI02FigureSchemeChartwithtopbar"/>
    <w:locked/>
    <w:rsid w:val="006556AC"/>
    <w:rPr>
      <w:rFonts w:cs="Times New Roman"/>
      <w:w w:val="108"/>
      <w:sz w:val="18"/>
      <w:szCs w:val="18"/>
    </w:rPr>
  </w:style>
  <w:style w:type="character" w:customStyle="1" w:styleId="RSCI01FigureSchemeChartwithbottombarChar">
    <w:name w:val="RSC I01 Figure/Scheme/Chart with bottom bar Char"/>
    <w:basedOn w:val="DefaultParagraphFont"/>
    <w:link w:val="RSCI01FigureSchemeChartwithbottombar"/>
    <w:locked/>
    <w:rsid w:val="006556AC"/>
    <w:rPr>
      <w:rFonts w:cs="Calibri"/>
      <w:w w:val="108"/>
      <w:sz w:val="14"/>
      <w:szCs w:val="14"/>
    </w:rPr>
  </w:style>
  <w:style w:type="character" w:customStyle="1" w:styleId="RSCI03FigureSchemeChartUncaptionedChar">
    <w:name w:val="RSC I03 Figure/Scheme/Chart Uncaptioned Char"/>
    <w:basedOn w:val="DefaultParagraphFont"/>
    <w:link w:val="RSCI03FigureSchemeChartUncaptioned"/>
    <w:locked/>
    <w:rsid w:val="006556AC"/>
    <w:rPr>
      <w:rFonts w:cs="Times New Roman"/>
      <w:sz w:val="16"/>
      <w:szCs w:val="16"/>
    </w:rPr>
  </w:style>
  <w:style w:type="character" w:customStyle="1" w:styleId="RSCB03MathematicsGreeketcChar">
    <w:name w:val="RSC B03 Mathematics/Greek etc Char"/>
    <w:basedOn w:val="DefaultParagraphFont"/>
    <w:link w:val="RSCB03MathematicsGreeketc"/>
    <w:locked/>
    <w:rsid w:val="007A37D8"/>
    <w:rPr>
      <w:rFonts w:ascii="Times New Roman" w:hAnsi="Times New Roman" w:cs="Times New Roman"/>
      <w:sz w:val="18"/>
    </w:rPr>
  </w:style>
  <w:style w:type="paragraph" w:customStyle="1" w:styleId="RSCT03TableBody">
    <w:name w:val="RSC T03 Table Body"/>
    <w:basedOn w:val="Normal"/>
    <w:link w:val="RSCT03TableBodyChar"/>
    <w:qFormat/>
    <w:rsid w:val="00B0470A"/>
    <w:pPr>
      <w:keepNext/>
      <w:keepLines/>
      <w:spacing w:after="0" w:line="220" w:lineRule="exact"/>
      <w:jc w:val="center"/>
    </w:pPr>
    <w:rPr>
      <w:sz w:val="16"/>
      <w:szCs w:val="16"/>
      <w:lang w:eastAsia="en-GB"/>
    </w:rPr>
  </w:style>
  <w:style w:type="character" w:customStyle="1" w:styleId="RSCT01TableTitlewithtopbarChar">
    <w:name w:val="RSC T01 Table Title with top bar Char"/>
    <w:basedOn w:val="DefaultParagraphFont"/>
    <w:link w:val="RSCT01TableTitlewithtopbar"/>
    <w:locked/>
    <w:rsid w:val="006556AC"/>
    <w:rPr>
      <w:rFonts w:eastAsia="Times New Roman" w:cs="Times New Roman"/>
      <w:sz w:val="20"/>
      <w:szCs w:val="20"/>
      <w:lang w:val="x-none" w:eastAsia="en-GB"/>
    </w:rPr>
  </w:style>
  <w:style w:type="paragraph" w:customStyle="1" w:styleId="RSCT04TableFootnotewithbottombar">
    <w:name w:val="RSC T04 Table Footnote with bottom bar"/>
    <w:basedOn w:val="Normal"/>
    <w:link w:val="RSCT04TableFootnotewithbottombarChar"/>
    <w:qFormat/>
    <w:rsid w:val="006556AC"/>
    <w:pPr>
      <w:keepLines/>
      <w:pBdr>
        <w:bottom w:val="single" w:sz="12" w:space="1" w:color="999999"/>
      </w:pBdr>
      <w:spacing w:before="120" w:after="160" w:line="200" w:lineRule="exact"/>
      <w:jc w:val="both"/>
    </w:pPr>
    <w:rPr>
      <w:sz w:val="15"/>
      <w:szCs w:val="20"/>
      <w:lang w:eastAsia="en-GB"/>
    </w:rPr>
  </w:style>
  <w:style w:type="character" w:customStyle="1" w:styleId="RSCT03TableBodyChar">
    <w:name w:val="RSC T03 Table Body Char"/>
    <w:basedOn w:val="DefaultParagraphFont"/>
    <w:link w:val="RSCT03TableBody"/>
    <w:locked/>
    <w:rsid w:val="00B0470A"/>
    <w:rPr>
      <w:rFonts w:eastAsia="Times New Roman" w:cs="Times New Roman"/>
      <w:sz w:val="16"/>
      <w:szCs w:val="16"/>
      <w:lang w:val="x-none" w:eastAsia="en-GB"/>
    </w:rPr>
  </w:style>
  <w:style w:type="character" w:customStyle="1" w:styleId="RSCT04TableFootnotewithbottombarChar">
    <w:name w:val="RSC T04 Table Footnote with bottom bar Char"/>
    <w:basedOn w:val="DefaultParagraphFont"/>
    <w:link w:val="RSCT04TableFootnotewithbottombar"/>
    <w:locked/>
    <w:rsid w:val="006556AC"/>
    <w:rPr>
      <w:rFonts w:eastAsia="Times New Roman" w:cs="Times New Roman"/>
      <w:sz w:val="20"/>
      <w:szCs w:val="20"/>
      <w:lang w:val="x-none" w:eastAsia="en-GB"/>
    </w:rPr>
  </w:style>
  <w:style w:type="character" w:styleId="Hyperlink">
    <w:name w:val="Hyperlink"/>
    <w:basedOn w:val="DefaultParagraphFont"/>
    <w:uiPriority w:val="99"/>
    <w:unhideWhenUsed/>
    <w:rsid w:val="005037CD"/>
    <w:rPr>
      <w:rFonts w:cs="Times New Roman"/>
      <w:color w:val="0000FF" w:themeColor="hyperlink"/>
      <w:u w:val="single"/>
    </w:rPr>
  </w:style>
  <w:style w:type="paragraph" w:styleId="ListParagraph">
    <w:name w:val="List Paragraph"/>
    <w:basedOn w:val="Normal"/>
    <w:uiPriority w:val="34"/>
    <w:qFormat/>
    <w:rsid w:val="00F15F90"/>
    <w:pPr>
      <w:ind w:left="720"/>
      <w:contextualSpacing/>
    </w:pPr>
  </w:style>
  <w:style w:type="paragraph" w:styleId="Revision">
    <w:name w:val="Revision"/>
    <w:hidden/>
    <w:uiPriority w:val="99"/>
    <w:semiHidden/>
    <w:rsid w:val="000D5891"/>
    <w:pPr>
      <w:spacing w:after="0" w:line="240" w:lineRule="auto"/>
    </w:pPr>
    <w:rPr>
      <w:rFonts w:cs="Times New Roman"/>
    </w:rPr>
  </w:style>
  <w:style w:type="paragraph" w:styleId="FootnoteText">
    <w:name w:val="footnote text"/>
    <w:basedOn w:val="Normal"/>
    <w:link w:val="FootnoteTextChar"/>
    <w:uiPriority w:val="99"/>
    <w:semiHidden/>
    <w:unhideWhenUsed/>
    <w:rsid w:val="00CA2740"/>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CA2740"/>
    <w:rPr>
      <w:rFonts w:cs="Times New Roman"/>
      <w:sz w:val="20"/>
      <w:szCs w:val="20"/>
    </w:rPr>
  </w:style>
  <w:style w:type="character" w:styleId="FootnoteReference">
    <w:name w:val="footnote reference"/>
    <w:basedOn w:val="DefaultParagraphFont"/>
    <w:uiPriority w:val="99"/>
    <w:semiHidden/>
    <w:unhideWhenUsed/>
    <w:rsid w:val="00CA2740"/>
    <w:rPr>
      <w:rFonts w:cs="Times New Roman"/>
      <w:vertAlign w:val="superscript"/>
    </w:rPr>
  </w:style>
  <w:style w:type="paragraph" w:styleId="NormalWeb">
    <w:name w:val="Normal (Web)"/>
    <w:basedOn w:val="Normal"/>
    <w:uiPriority w:val="99"/>
    <w:semiHidden/>
    <w:unhideWhenUsed/>
    <w:rsid w:val="00946830"/>
    <w:pPr>
      <w:spacing w:before="100" w:beforeAutospacing="1" w:after="100" w:afterAutospacing="1" w:line="240" w:lineRule="auto"/>
    </w:pPr>
    <w:rPr>
      <w:rFonts w:ascii="Times New Roman" w:hAnsi="Times New Roman"/>
      <w:sz w:val="24"/>
      <w:szCs w:val="24"/>
      <w:lang w:eastAsia="en-GB"/>
    </w:rPr>
  </w:style>
  <w:style w:type="paragraph" w:styleId="Caption">
    <w:name w:val="caption"/>
    <w:basedOn w:val="Normal"/>
    <w:next w:val="Normal"/>
    <w:uiPriority w:val="35"/>
    <w:unhideWhenUsed/>
    <w:rsid w:val="00B0470A"/>
    <w:pPr>
      <w:spacing w:line="200" w:lineRule="exact"/>
    </w:pPr>
    <w:rPr>
      <w:bCs/>
      <w:sz w:val="14"/>
      <w:szCs w:val="18"/>
    </w:rPr>
  </w:style>
  <w:style w:type="paragraph" w:customStyle="1" w:styleId="Style1">
    <w:name w:val="Style1"/>
    <w:basedOn w:val="RSCB02ArticleText"/>
    <w:link w:val="Style1Char"/>
    <w:rsid w:val="00B0470A"/>
  </w:style>
  <w:style w:type="paragraph" w:customStyle="1" w:styleId="RSCT05TableFootnotewithoutbottombar">
    <w:name w:val="RSC T05 Table Footnote without bottom bar"/>
    <w:basedOn w:val="RSCT04TableFootnotewithbottombar"/>
    <w:link w:val="RSCT05TableFootnotewithoutbottombarChar"/>
    <w:qFormat/>
    <w:rsid w:val="00B0470A"/>
    <w:pPr>
      <w:pBdr>
        <w:bottom w:val="none" w:sz="0" w:space="0" w:color="auto"/>
      </w:pBdr>
    </w:pPr>
  </w:style>
  <w:style w:type="character" w:customStyle="1" w:styleId="Style1Char">
    <w:name w:val="Style1 Char"/>
    <w:basedOn w:val="RSCB02ArticleTextChar"/>
    <w:link w:val="Style1"/>
    <w:locked/>
    <w:rsid w:val="00B0470A"/>
    <w:rPr>
      <w:rFonts w:cs="Times New Roman"/>
      <w:w w:val="108"/>
      <w:sz w:val="18"/>
      <w:szCs w:val="18"/>
    </w:rPr>
  </w:style>
  <w:style w:type="paragraph" w:customStyle="1" w:styleId="RSCT02Tabletitlewithouttopbar">
    <w:name w:val="RSC T02 Table title without top bar"/>
    <w:basedOn w:val="RSCT01TableTitlewithtopbar"/>
    <w:link w:val="RSCT02TabletitlewithouttopbarChar"/>
    <w:qFormat/>
    <w:rsid w:val="00B0470A"/>
    <w:pPr>
      <w:pBdr>
        <w:top w:val="none" w:sz="0" w:space="0" w:color="auto"/>
      </w:pBdr>
    </w:pPr>
  </w:style>
  <w:style w:type="character" w:customStyle="1" w:styleId="RSCT05TableFootnotewithoutbottombarChar">
    <w:name w:val="RSC T05 Table Footnote without bottom bar Char"/>
    <w:basedOn w:val="RSCT04TableFootnotewithbottombarChar"/>
    <w:link w:val="RSCT05TableFootnotewithoutbottombar"/>
    <w:locked/>
    <w:rsid w:val="00B0470A"/>
    <w:rPr>
      <w:rFonts w:eastAsia="Times New Roman" w:cs="Times New Roman"/>
      <w:sz w:val="20"/>
      <w:szCs w:val="20"/>
      <w:lang w:val="x-none" w:eastAsia="en-GB"/>
    </w:rPr>
  </w:style>
  <w:style w:type="paragraph" w:customStyle="1" w:styleId="RSCI04CaptiontoFigureSchemeChart">
    <w:name w:val="RSC I04 Caption to Figure/Scheme/Chart"/>
    <w:link w:val="RSCI04CaptiontoFigureSchemeChartChar"/>
    <w:qFormat/>
    <w:rsid w:val="006556AC"/>
    <w:pPr>
      <w:spacing w:line="200" w:lineRule="exact"/>
      <w:jc w:val="both"/>
    </w:pPr>
    <w:rPr>
      <w:rFonts w:cs="Times New Roman"/>
      <w:bCs/>
      <w:sz w:val="14"/>
      <w:szCs w:val="18"/>
    </w:rPr>
  </w:style>
  <w:style w:type="character" w:customStyle="1" w:styleId="RSCT02TabletitlewithouttopbarChar">
    <w:name w:val="RSC T02 Table title without top bar Char"/>
    <w:basedOn w:val="RSCT01TableTitlewithtopbarChar"/>
    <w:link w:val="RSCT02Tabletitlewithouttopbar"/>
    <w:locked/>
    <w:rsid w:val="00B0470A"/>
    <w:rPr>
      <w:rFonts w:eastAsia="Times New Roman" w:cs="Times New Roman"/>
      <w:sz w:val="20"/>
      <w:szCs w:val="20"/>
      <w:lang w:val="x-none" w:eastAsia="en-GB"/>
    </w:rPr>
  </w:style>
  <w:style w:type="paragraph" w:customStyle="1" w:styleId="RSCR01Footnotestomaintext">
    <w:name w:val="RSC R01 Footnotes to main text"/>
    <w:link w:val="RSCR01FootnotestomaintextChar"/>
    <w:qFormat/>
    <w:rsid w:val="006556AC"/>
    <w:pPr>
      <w:spacing w:line="200" w:lineRule="exact"/>
      <w:jc w:val="both"/>
    </w:pPr>
    <w:rPr>
      <w:rFonts w:cs="Times New Roman"/>
      <w:bCs/>
      <w:sz w:val="18"/>
      <w:szCs w:val="18"/>
    </w:rPr>
  </w:style>
  <w:style w:type="character" w:customStyle="1" w:styleId="RSCI04CaptiontoFigureSchemeChartChar">
    <w:name w:val="RSC I04 Caption to Figure/Scheme/Chart Char"/>
    <w:basedOn w:val="DefaultParagraphFont"/>
    <w:link w:val="RSCI04CaptiontoFigureSchemeChart"/>
    <w:locked/>
    <w:rsid w:val="006556AC"/>
    <w:rPr>
      <w:rFonts w:cs="Times New Roman"/>
      <w:bCs/>
      <w:sz w:val="18"/>
      <w:szCs w:val="18"/>
    </w:rPr>
  </w:style>
  <w:style w:type="paragraph" w:customStyle="1" w:styleId="RSCM01ReceivedAccepted">
    <w:name w:val="RSC M01 Received/Accepted"/>
    <w:basedOn w:val="Normal"/>
    <w:link w:val="RSCM01ReceivedAcceptedChar"/>
    <w:qFormat/>
    <w:rsid w:val="004C531E"/>
    <w:pPr>
      <w:spacing w:before="960" w:after="0" w:line="180" w:lineRule="exact"/>
      <w:contextualSpacing/>
    </w:pPr>
    <w:rPr>
      <w:rFonts w:eastAsiaTheme="minorEastAsia"/>
      <w:noProof/>
      <w:sz w:val="14"/>
      <w:szCs w:val="14"/>
      <w:lang w:eastAsia="en-GB"/>
    </w:rPr>
  </w:style>
  <w:style w:type="character" w:customStyle="1" w:styleId="RSCR01FootnotestomaintextChar">
    <w:name w:val="RSC R01 Footnotes to main text Char"/>
    <w:basedOn w:val="RSCI04CaptiontoFigureSchemeChartChar"/>
    <w:link w:val="RSCR01Footnotestomaintext"/>
    <w:locked/>
    <w:rsid w:val="006556AC"/>
    <w:rPr>
      <w:rFonts w:cs="Times New Roman"/>
      <w:bCs/>
      <w:sz w:val="18"/>
      <w:szCs w:val="18"/>
    </w:rPr>
  </w:style>
  <w:style w:type="paragraph" w:customStyle="1" w:styleId="RSCM02DOI">
    <w:name w:val="RSC M02 DOI"/>
    <w:basedOn w:val="Normal"/>
    <w:link w:val="RSCM02DOIChar"/>
    <w:qFormat/>
    <w:rsid w:val="004C531E"/>
    <w:pPr>
      <w:spacing w:before="180" w:after="0" w:line="180" w:lineRule="exact"/>
    </w:pPr>
    <w:rPr>
      <w:sz w:val="14"/>
      <w:szCs w:val="14"/>
    </w:rPr>
  </w:style>
  <w:style w:type="character" w:customStyle="1" w:styleId="RSCM01ReceivedAcceptedChar">
    <w:name w:val="RSC M01 Received/Accepted Char"/>
    <w:basedOn w:val="DefaultParagraphFont"/>
    <w:link w:val="RSCM01ReceivedAccepted"/>
    <w:locked/>
    <w:rsid w:val="004C531E"/>
    <w:rPr>
      <w:rFonts w:eastAsiaTheme="minorEastAsia" w:cs="Times New Roman"/>
      <w:noProof/>
      <w:sz w:val="14"/>
      <w:szCs w:val="14"/>
      <w:lang w:eastAsia="en-GB"/>
    </w:rPr>
  </w:style>
  <w:style w:type="paragraph" w:customStyle="1" w:styleId="RSCM03Website">
    <w:name w:val="RSC M03 Website"/>
    <w:basedOn w:val="Normal"/>
    <w:link w:val="RSCM03WebsiteChar"/>
    <w:qFormat/>
    <w:rsid w:val="004C531E"/>
    <w:pPr>
      <w:spacing w:line="400" w:lineRule="exact"/>
    </w:pPr>
    <w:rPr>
      <w:b/>
      <w:sz w:val="14"/>
      <w:szCs w:val="14"/>
    </w:rPr>
  </w:style>
  <w:style w:type="character" w:customStyle="1" w:styleId="RSCM02DOIChar">
    <w:name w:val="RSC M02 DOI Char"/>
    <w:basedOn w:val="DefaultParagraphFont"/>
    <w:link w:val="RSCM02DOI"/>
    <w:locked/>
    <w:rsid w:val="004C531E"/>
    <w:rPr>
      <w:rFonts w:cs="Times New Roman"/>
      <w:sz w:val="14"/>
      <w:szCs w:val="14"/>
    </w:rPr>
  </w:style>
  <w:style w:type="paragraph" w:customStyle="1" w:styleId="RSCB05AHeadingSection-standalone">
    <w:name w:val="RSC B05 A Heading (Section - stand alone)"/>
    <w:link w:val="RSCB05AHeadingSection-standaloneChar"/>
    <w:qFormat/>
    <w:rsid w:val="00EF6BD4"/>
    <w:pPr>
      <w:spacing w:before="400" w:after="160" w:line="240" w:lineRule="auto"/>
    </w:pPr>
    <w:rPr>
      <w:rFonts w:cs="Times New Roman"/>
      <w:sz w:val="24"/>
    </w:rPr>
  </w:style>
  <w:style w:type="character" w:customStyle="1" w:styleId="RSCM03WebsiteChar">
    <w:name w:val="RSC M03 Website Char"/>
    <w:basedOn w:val="DefaultParagraphFont"/>
    <w:link w:val="RSCM03Website"/>
    <w:locked/>
    <w:rsid w:val="004C531E"/>
    <w:rPr>
      <w:rFonts w:cs="Times New Roman"/>
      <w:b/>
      <w:sz w:val="14"/>
      <w:szCs w:val="14"/>
    </w:rPr>
  </w:style>
  <w:style w:type="paragraph" w:customStyle="1" w:styleId="RSCB06BHeadingSub-Section">
    <w:name w:val="RSC B06 B Heading (Sub-Section)"/>
    <w:link w:val="RSCB06BHeadingSub-SectionChar"/>
    <w:qFormat/>
    <w:rsid w:val="00EF6BD4"/>
    <w:pPr>
      <w:spacing w:after="80" w:line="240" w:lineRule="exact"/>
    </w:pPr>
    <w:rPr>
      <w:rFonts w:cs="Times New Roman"/>
      <w:b/>
      <w:sz w:val="18"/>
    </w:rPr>
  </w:style>
  <w:style w:type="character" w:customStyle="1" w:styleId="RSCB05AHeadingSection-standaloneChar">
    <w:name w:val="RSC B05 A Heading (Section - stand alone) Char"/>
    <w:basedOn w:val="RSCH02PaperAuthorsandBylineChar"/>
    <w:link w:val="RSCB05AHeadingSection-standalone"/>
    <w:locked/>
    <w:rsid w:val="00EF6BD4"/>
    <w:rPr>
      <w:rFonts w:cs="Times New Roman"/>
      <w:sz w:val="24"/>
    </w:rPr>
  </w:style>
  <w:style w:type="paragraph" w:customStyle="1" w:styleId="RSCB07BHeadingSub-Section-standalone">
    <w:name w:val="RSC B07 B Heading (Sub-Section - stand alone)"/>
    <w:link w:val="RSCB07BHeadingSub-Section-standaloneChar"/>
    <w:qFormat/>
    <w:rsid w:val="00EF6BD4"/>
    <w:pPr>
      <w:spacing w:before="160" w:after="80" w:line="240" w:lineRule="exact"/>
    </w:pPr>
    <w:rPr>
      <w:rFonts w:cs="Times New Roman"/>
      <w:b/>
      <w:sz w:val="18"/>
    </w:rPr>
  </w:style>
  <w:style w:type="character" w:customStyle="1" w:styleId="RSCB06BHeadingSub-SectionChar">
    <w:name w:val="RSC B06 B Heading (Sub-Section) Char"/>
    <w:basedOn w:val="DefaultParagraphFont"/>
    <w:link w:val="RSCB06BHeadingSub-Section"/>
    <w:locked/>
    <w:rsid w:val="00EF6BD4"/>
    <w:rPr>
      <w:rFonts w:cs="Times New Roman"/>
      <w:b/>
      <w:sz w:val="18"/>
    </w:rPr>
  </w:style>
  <w:style w:type="paragraph" w:customStyle="1" w:styleId="RSCB08CHeadingIn-line">
    <w:name w:val="RSC B08 C Heading (In-line)"/>
    <w:link w:val="RSCB08CHeadingIn-lineChar"/>
    <w:qFormat/>
    <w:rsid w:val="00EF6BD4"/>
    <w:pPr>
      <w:spacing w:after="0"/>
    </w:pPr>
    <w:rPr>
      <w:rFonts w:cs="Times New Roman"/>
      <w:b/>
      <w:sz w:val="18"/>
    </w:rPr>
  </w:style>
  <w:style w:type="character" w:customStyle="1" w:styleId="RSCB07BHeadingSub-Section-standaloneChar">
    <w:name w:val="RSC B07 B Heading (Sub-Section - stand alone) Char"/>
    <w:basedOn w:val="DefaultParagraphFont"/>
    <w:link w:val="RSCB07BHeadingSub-Section-standalone"/>
    <w:locked/>
    <w:rsid w:val="00EF6BD4"/>
    <w:rPr>
      <w:rFonts w:cs="Times New Roman"/>
      <w:b/>
      <w:sz w:val="18"/>
    </w:rPr>
  </w:style>
  <w:style w:type="character" w:customStyle="1" w:styleId="RSCB08CHeadingIn-lineChar">
    <w:name w:val="RSC B08 C Heading (In-line) Char"/>
    <w:basedOn w:val="DefaultParagraphFont"/>
    <w:link w:val="RSCB08CHeadingIn-line"/>
    <w:locked/>
    <w:rsid w:val="00EF6BD4"/>
    <w:rPr>
      <w:rFonts w:cs="Times New Roman"/>
      <w:b/>
      <w:sz w:val="18"/>
    </w:rPr>
  </w:style>
  <w:style w:type="paragraph" w:customStyle="1" w:styleId="RSCI05CaptiontoFigureSchemeChartwithbottombar">
    <w:name w:val="RSC I05 Caption to Figure/Scheme/Chart with bottom bar"/>
    <w:link w:val="RSCI05CaptiontoFigureSchemeChartwithbottombarChar"/>
    <w:qFormat/>
    <w:rsid w:val="006556AC"/>
    <w:pPr>
      <w:pBdr>
        <w:bottom w:val="single" w:sz="12" w:space="1" w:color="A6A6A6" w:themeColor="background1" w:themeShade="A6"/>
      </w:pBdr>
      <w:jc w:val="both"/>
    </w:pPr>
    <w:rPr>
      <w:rFonts w:cs="Times New Roman"/>
      <w:bCs/>
      <w:sz w:val="14"/>
      <w:szCs w:val="18"/>
    </w:rPr>
  </w:style>
  <w:style w:type="character" w:customStyle="1" w:styleId="RSCI05CaptiontoFigureSchemeChartwithbottombarChar">
    <w:name w:val="RSC I05 Caption to Figure/Scheme/Chart with bottom bar Char"/>
    <w:basedOn w:val="RSCI04CaptiontoFigureSchemeChartChar"/>
    <w:link w:val="RSCI05CaptiontoFigureSchemeChartwithbottombar"/>
    <w:locked/>
    <w:rsid w:val="006556AC"/>
    <w:rPr>
      <w:rFonts w:cs="Times New Roman"/>
      <w:bCs/>
      <w:sz w:val="18"/>
      <w:szCs w:val="18"/>
    </w:rPr>
  </w:style>
  <w:style w:type="paragraph" w:customStyle="1" w:styleId="04AHeading">
    <w:name w:val="04 A Heading"/>
    <w:basedOn w:val="Normal"/>
    <w:next w:val="Normal"/>
    <w:link w:val="04AHeadingChar"/>
    <w:rsid w:val="00FA2DA2"/>
    <w:pPr>
      <w:spacing w:before="240" w:after="120" w:line="240" w:lineRule="auto"/>
    </w:pPr>
    <w:rPr>
      <w:rFonts w:ascii="Calibri" w:hAnsi="Calibri"/>
      <w:b/>
    </w:rPr>
  </w:style>
  <w:style w:type="character" w:customStyle="1" w:styleId="04AHeadingChar">
    <w:name w:val="04 A Heading Char"/>
    <w:link w:val="04AHeading"/>
    <w:locked/>
    <w:rsid w:val="00FA2DA2"/>
    <w:rPr>
      <w:rFonts w:ascii="Calibri" w:hAnsi="Calibri"/>
      <w:b/>
    </w:rPr>
  </w:style>
  <w:style w:type="paragraph" w:customStyle="1" w:styleId="08ArticleText">
    <w:name w:val="08 Article Text"/>
    <w:basedOn w:val="Normal"/>
    <w:link w:val="08ArticleTextChar"/>
    <w:rsid w:val="00FA2DA2"/>
    <w:pPr>
      <w:tabs>
        <w:tab w:val="left" w:pos="284"/>
      </w:tabs>
      <w:spacing w:after="0" w:line="240" w:lineRule="exact"/>
      <w:jc w:val="both"/>
    </w:pPr>
    <w:rPr>
      <w:rFonts w:ascii="Times New Roman" w:hAnsi="Times New Roman"/>
      <w:w w:val="108"/>
      <w:sz w:val="18"/>
      <w:szCs w:val="18"/>
    </w:rPr>
  </w:style>
  <w:style w:type="character" w:customStyle="1" w:styleId="08ArticleTextChar">
    <w:name w:val="08 Article Text Char"/>
    <w:link w:val="08ArticleText"/>
    <w:locked/>
    <w:rsid w:val="00FA2DA2"/>
    <w:rPr>
      <w:rFonts w:ascii="Times New Roman" w:hAnsi="Times New Roman"/>
      <w:w w:val="108"/>
      <w:sz w:val="18"/>
    </w:rPr>
  </w:style>
  <w:style w:type="character" w:styleId="FollowedHyperlink">
    <w:name w:val="FollowedHyperlink"/>
    <w:basedOn w:val="DefaultParagraphFont"/>
    <w:uiPriority w:val="99"/>
    <w:semiHidden/>
    <w:unhideWhenUsed/>
    <w:rsid w:val="0024022C"/>
    <w:rPr>
      <w:rFonts w:cs="Times New Roman"/>
      <w:color w:val="800080" w:themeColor="followedHyperlink"/>
      <w:u w:val="single"/>
    </w:rPr>
  </w:style>
  <w:style w:type="character" w:styleId="EndnoteReference">
    <w:name w:val="endnote reference"/>
    <w:basedOn w:val="DefaultParagraphFont"/>
    <w:uiPriority w:val="99"/>
    <w:semiHidden/>
    <w:unhideWhenUsed/>
    <w:rsid w:val="00E67B67"/>
    <w:rPr>
      <w:rFonts w:cs="Times New Roman"/>
      <w:vertAlign w:val="superscript"/>
    </w:rPr>
  </w:style>
  <w:style w:type="paragraph" w:styleId="EndnoteText">
    <w:name w:val="endnote text"/>
    <w:basedOn w:val="Normal"/>
    <w:link w:val="EndnoteTextChar"/>
    <w:uiPriority w:val="99"/>
    <w:unhideWhenUsed/>
    <w:rsid w:val="00E67B67"/>
    <w:pPr>
      <w:spacing w:after="0" w:line="240" w:lineRule="auto"/>
    </w:pPr>
    <w:rPr>
      <w:sz w:val="20"/>
      <w:szCs w:val="20"/>
      <w:lang w:val="pl-PL"/>
    </w:rPr>
  </w:style>
  <w:style w:type="character" w:customStyle="1" w:styleId="EndnoteTextChar">
    <w:name w:val="Endnote Text Char"/>
    <w:basedOn w:val="DefaultParagraphFont"/>
    <w:link w:val="EndnoteText"/>
    <w:uiPriority w:val="99"/>
    <w:locked/>
    <w:rsid w:val="00E67B67"/>
    <w:rPr>
      <w:rFonts w:cs="Times New Roman"/>
      <w:sz w:val="20"/>
      <w:szCs w:val="20"/>
      <w:lang w:val="pl-PL" w:eastAsia="x-none"/>
    </w:rPr>
  </w:style>
  <w:style w:type="character" w:styleId="Strong">
    <w:name w:val="Strong"/>
    <w:basedOn w:val="DefaultParagraphFont"/>
    <w:uiPriority w:val="22"/>
    <w:qFormat/>
    <w:rsid w:val="00E67B67"/>
    <w:rPr>
      <w:rFonts w:cs="Times New Roman"/>
      <w:b/>
      <w:bCs/>
    </w:rPr>
  </w:style>
  <w:style w:type="character" w:styleId="HTMLCite">
    <w:name w:val="HTML Cite"/>
    <w:basedOn w:val="DefaultParagraphFont"/>
    <w:uiPriority w:val="99"/>
    <w:semiHidden/>
    <w:unhideWhenUsed/>
    <w:rsid w:val="00E67B67"/>
    <w:rPr>
      <w:rFonts w:cs="Times New Roman"/>
      <w:i/>
      <w:iCs/>
    </w:rPr>
  </w:style>
  <w:style w:type="character" w:customStyle="1" w:styleId="citationyear">
    <w:name w:val="citation_year"/>
    <w:basedOn w:val="DefaultParagraphFont"/>
    <w:rsid w:val="00E67B67"/>
    <w:rPr>
      <w:rFonts w:cs="Times New Roman"/>
    </w:rPr>
  </w:style>
  <w:style w:type="character" w:customStyle="1" w:styleId="citationvolume">
    <w:name w:val="citation_volume"/>
    <w:basedOn w:val="DefaultParagraphFont"/>
    <w:rsid w:val="00E67B67"/>
    <w:rPr>
      <w:rFonts w:cs="Times New Roman"/>
    </w:rPr>
  </w:style>
  <w:style w:type="character" w:customStyle="1" w:styleId="articleauthor-link">
    <w:name w:val="article__author-link"/>
    <w:basedOn w:val="DefaultParagraphFont"/>
    <w:rsid w:val="00E67B67"/>
    <w:rPr>
      <w:rFonts w:cs="Times New Roman"/>
    </w:rPr>
  </w:style>
  <w:style w:type="paragraph" w:styleId="CommentText">
    <w:name w:val="annotation text"/>
    <w:basedOn w:val="Normal"/>
    <w:link w:val="CommentTextChar"/>
    <w:uiPriority w:val="99"/>
    <w:unhideWhenUsed/>
    <w:rsid w:val="00E67B67"/>
    <w:pPr>
      <w:spacing w:after="160" w:line="240" w:lineRule="auto"/>
    </w:pPr>
    <w:rPr>
      <w:sz w:val="20"/>
      <w:szCs w:val="20"/>
      <w:lang w:val="en-US"/>
    </w:rPr>
  </w:style>
  <w:style w:type="character" w:customStyle="1" w:styleId="CommentTextChar">
    <w:name w:val="Comment Text Char"/>
    <w:basedOn w:val="DefaultParagraphFont"/>
    <w:link w:val="CommentText"/>
    <w:uiPriority w:val="99"/>
    <w:locked/>
    <w:rsid w:val="00E67B67"/>
    <w:rPr>
      <w:rFonts w:cs="Times New Roman"/>
      <w:sz w:val="20"/>
      <w:szCs w:val="20"/>
      <w:lang w:val="en-US" w:eastAsia="x-none"/>
    </w:rPr>
  </w:style>
  <w:style w:type="paragraph" w:customStyle="1" w:styleId="TAMainText">
    <w:name w:val="TA_Main_Text"/>
    <w:basedOn w:val="Normal"/>
    <w:rsid w:val="00E67B67"/>
    <w:pPr>
      <w:spacing w:after="0" w:line="480" w:lineRule="auto"/>
      <w:ind w:firstLine="202"/>
      <w:jc w:val="both"/>
    </w:pPr>
    <w:rPr>
      <w:rFonts w:ascii="Times" w:hAnsi="Times"/>
      <w:sz w:val="24"/>
      <w:szCs w:val="20"/>
      <w:lang w:val="en-US"/>
    </w:rPr>
  </w:style>
  <w:style w:type="paragraph" w:customStyle="1" w:styleId="VDTableTitle">
    <w:name w:val="VD_Table_Title"/>
    <w:basedOn w:val="Normal"/>
    <w:next w:val="Normal"/>
    <w:rsid w:val="00E67B67"/>
    <w:pPr>
      <w:spacing w:line="480" w:lineRule="auto"/>
      <w:jc w:val="both"/>
    </w:pPr>
    <w:rPr>
      <w:rFonts w:ascii="Times" w:hAnsi="Times"/>
      <w:sz w:val="24"/>
      <w:szCs w:val="20"/>
      <w:lang w:val="en-US"/>
    </w:rPr>
  </w:style>
  <w:style w:type="paragraph" w:customStyle="1" w:styleId="FETableFootnote">
    <w:name w:val="FE_Table_Footnote"/>
    <w:basedOn w:val="Normal"/>
    <w:next w:val="Normal"/>
    <w:rsid w:val="00E67B67"/>
    <w:pPr>
      <w:spacing w:line="240" w:lineRule="auto"/>
      <w:ind w:firstLine="187"/>
      <w:jc w:val="both"/>
    </w:pPr>
    <w:rPr>
      <w:rFonts w:ascii="Times" w:hAnsi="Times"/>
      <w:sz w:val="24"/>
      <w:szCs w:val="20"/>
      <w:lang w:val="en-US"/>
    </w:rPr>
  </w:style>
  <w:style w:type="paragraph" w:customStyle="1" w:styleId="TCTableBody">
    <w:name w:val="TC_Table_Body"/>
    <w:basedOn w:val="Normal"/>
    <w:rsid w:val="00E67B67"/>
    <w:pPr>
      <w:spacing w:line="240" w:lineRule="auto"/>
      <w:jc w:val="both"/>
    </w:pPr>
    <w:rPr>
      <w:rFonts w:ascii="Times" w:hAnsi="Times"/>
      <w:sz w:val="24"/>
      <w:szCs w:val="20"/>
      <w:lang w:val="en-US"/>
    </w:rPr>
  </w:style>
  <w:style w:type="table" w:styleId="PlainTable2">
    <w:name w:val="Plain Table 2"/>
    <w:basedOn w:val="TableNormal"/>
    <w:uiPriority w:val="42"/>
    <w:rsid w:val="00E67B67"/>
    <w:pPr>
      <w:spacing w:after="0" w:line="240" w:lineRule="auto"/>
    </w:pPr>
    <w:rPr>
      <w:rFonts w:cs="Times New Roman"/>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rFonts w:cs="Times New Roman"/>
        <w:b/>
        <w:bCs/>
      </w:rPr>
      <w:tblPr/>
      <w:tcPr>
        <w:tcBorders>
          <w:bottom w:val="single" w:sz="4" w:space="0" w:color="7F7F7F" w:themeColor="text1" w:themeTint="80"/>
        </w:tcBorders>
      </w:tcPr>
    </w:tblStylePr>
    <w:tblStylePr w:type="lastRow">
      <w:rPr>
        <w:rFonts w:cs="Times New Roman"/>
        <w:b/>
        <w:bCs/>
      </w:rPr>
      <w:tblPr/>
      <w:tcPr>
        <w:tcBorders>
          <w:top w:val="single" w:sz="4" w:space="0" w:color="7F7F7F" w:themeColor="text1" w:themeTint="8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single" w:sz="4" w:space="0" w:color="7F7F7F" w:themeColor="text1" w:themeTint="80"/>
          <w:right w:val="single" w:sz="4" w:space="0" w:color="7F7F7F" w:themeColor="text1" w:themeTint="80"/>
        </w:tcBorders>
      </w:tcPr>
    </w:tblStylePr>
    <w:tblStylePr w:type="band2Vert">
      <w:rPr>
        <w:rFonts w:cs="Times New Roman"/>
      </w:rPr>
      <w:tblPr/>
      <w:tcPr>
        <w:tcBorders>
          <w:left w:val="single" w:sz="4" w:space="0" w:color="7F7F7F" w:themeColor="text1" w:themeTint="80"/>
          <w:right w:val="single" w:sz="4" w:space="0" w:color="7F7F7F" w:themeColor="text1" w:themeTint="80"/>
        </w:tcBorders>
      </w:tcPr>
    </w:tblStylePr>
    <w:tblStylePr w:type="band1Horz">
      <w:rPr>
        <w:rFonts w:cs="Times New Roman"/>
      </w:rPr>
      <w:tblPr/>
      <w:tcPr>
        <w:tcBorders>
          <w:top w:val="single" w:sz="4" w:space="0" w:color="7F7F7F" w:themeColor="text1" w:themeTint="80"/>
          <w:bottom w:val="single" w:sz="4" w:space="0" w:color="7F7F7F" w:themeColor="text1" w:themeTint="80"/>
        </w:tcBorders>
      </w:tcPr>
    </w:tblStylePr>
  </w:style>
  <w:style w:type="character" w:styleId="CommentReference">
    <w:name w:val="annotation reference"/>
    <w:basedOn w:val="DefaultParagraphFont"/>
    <w:uiPriority w:val="99"/>
    <w:semiHidden/>
    <w:unhideWhenUsed/>
    <w:rsid w:val="008C5227"/>
    <w:rPr>
      <w:sz w:val="16"/>
      <w:szCs w:val="16"/>
    </w:rPr>
  </w:style>
  <w:style w:type="paragraph" w:styleId="CommentSubject">
    <w:name w:val="annotation subject"/>
    <w:basedOn w:val="CommentText"/>
    <w:next w:val="CommentText"/>
    <w:link w:val="CommentSubjectChar"/>
    <w:uiPriority w:val="99"/>
    <w:semiHidden/>
    <w:unhideWhenUsed/>
    <w:rsid w:val="008C5227"/>
    <w:pPr>
      <w:spacing w:after="200"/>
    </w:pPr>
    <w:rPr>
      <w:b/>
      <w:bCs/>
      <w:lang w:val="en-GB"/>
    </w:rPr>
  </w:style>
  <w:style w:type="character" w:customStyle="1" w:styleId="CommentSubjectChar">
    <w:name w:val="Comment Subject Char"/>
    <w:basedOn w:val="CommentTextChar"/>
    <w:link w:val="CommentSubject"/>
    <w:uiPriority w:val="99"/>
    <w:semiHidden/>
    <w:rsid w:val="008C5227"/>
    <w:rPr>
      <w:rFonts w:cs="Times New Roman"/>
      <w:b/>
      <w:bCs/>
      <w:sz w:val="20"/>
      <w:szCs w:val="20"/>
      <w:lang w:val="en-U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3093237">
      <w:marLeft w:val="0"/>
      <w:marRight w:val="0"/>
      <w:marTop w:val="0"/>
      <w:marBottom w:val="0"/>
      <w:divBdr>
        <w:top w:val="none" w:sz="0" w:space="0" w:color="auto"/>
        <w:left w:val="none" w:sz="0" w:space="0" w:color="auto"/>
        <w:bottom w:val="none" w:sz="0" w:space="0" w:color="auto"/>
        <w:right w:val="none" w:sz="0" w:space="0" w:color="auto"/>
      </w:divBdr>
    </w:div>
    <w:div w:id="1703093238">
      <w:marLeft w:val="0"/>
      <w:marRight w:val="0"/>
      <w:marTop w:val="0"/>
      <w:marBottom w:val="0"/>
      <w:divBdr>
        <w:top w:val="none" w:sz="0" w:space="0" w:color="auto"/>
        <w:left w:val="none" w:sz="0" w:space="0" w:color="auto"/>
        <w:bottom w:val="none" w:sz="0" w:space="0" w:color="auto"/>
        <w:right w:val="none" w:sz="0" w:space="0" w:color="auto"/>
      </w:divBdr>
    </w:div>
    <w:div w:id="1703093239">
      <w:marLeft w:val="0"/>
      <w:marRight w:val="0"/>
      <w:marTop w:val="0"/>
      <w:marBottom w:val="0"/>
      <w:divBdr>
        <w:top w:val="none" w:sz="0" w:space="0" w:color="auto"/>
        <w:left w:val="none" w:sz="0" w:space="0" w:color="auto"/>
        <w:bottom w:val="none" w:sz="0" w:space="0" w:color="auto"/>
        <w:right w:val="none" w:sz="0" w:space="0" w:color="auto"/>
      </w:divBdr>
    </w:div>
    <w:div w:id="1703093240">
      <w:marLeft w:val="0"/>
      <w:marRight w:val="0"/>
      <w:marTop w:val="0"/>
      <w:marBottom w:val="0"/>
      <w:divBdr>
        <w:top w:val="none" w:sz="0" w:space="0" w:color="auto"/>
        <w:left w:val="none" w:sz="0" w:space="0" w:color="auto"/>
        <w:bottom w:val="none" w:sz="0" w:space="0" w:color="auto"/>
        <w:right w:val="none" w:sz="0" w:space="0" w:color="auto"/>
      </w:divBdr>
    </w:div>
    <w:div w:id="1703093241">
      <w:marLeft w:val="0"/>
      <w:marRight w:val="0"/>
      <w:marTop w:val="0"/>
      <w:marBottom w:val="0"/>
      <w:divBdr>
        <w:top w:val="none" w:sz="0" w:space="0" w:color="auto"/>
        <w:left w:val="none" w:sz="0" w:space="0" w:color="auto"/>
        <w:bottom w:val="none" w:sz="0" w:space="0" w:color="auto"/>
        <w:right w:val="none" w:sz="0" w:space="0" w:color="auto"/>
      </w:divBdr>
    </w:div>
    <w:div w:id="1703093242">
      <w:marLeft w:val="0"/>
      <w:marRight w:val="0"/>
      <w:marTop w:val="0"/>
      <w:marBottom w:val="0"/>
      <w:divBdr>
        <w:top w:val="none" w:sz="0" w:space="0" w:color="auto"/>
        <w:left w:val="none" w:sz="0" w:space="0" w:color="auto"/>
        <w:bottom w:val="none" w:sz="0" w:space="0" w:color="auto"/>
        <w:right w:val="none" w:sz="0" w:space="0" w:color="auto"/>
      </w:divBdr>
    </w:div>
    <w:div w:id="1703093243">
      <w:marLeft w:val="0"/>
      <w:marRight w:val="0"/>
      <w:marTop w:val="0"/>
      <w:marBottom w:val="0"/>
      <w:divBdr>
        <w:top w:val="none" w:sz="0" w:space="0" w:color="auto"/>
        <w:left w:val="none" w:sz="0" w:space="0" w:color="auto"/>
        <w:bottom w:val="none" w:sz="0" w:space="0" w:color="auto"/>
        <w:right w:val="none" w:sz="0" w:space="0" w:color="auto"/>
      </w:divBdr>
    </w:div>
    <w:div w:id="1703093244">
      <w:marLeft w:val="0"/>
      <w:marRight w:val="0"/>
      <w:marTop w:val="0"/>
      <w:marBottom w:val="0"/>
      <w:divBdr>
        <w:top w:val="none" w:sz="0" w:space="0" w:color="auto"/>
        <w:left w:val="none" w:sz="0" w:space="0" w:color="auto"/>
        <w:bottom w:val="none" w:sz="0" w:space="0" w:color="auto"/>
        <w:right w:val="none" w:sz="0" w:space="0" w:color="auto"/>
      </w:divBdr>
    </w:div>
    <w:div w:id="1703093245">
      <w:marLeft w:val="0"/>
      <w:marRight w:val="0"/>
      <w:marTop w:val="0"/>
      <w:marBottom w:val="0"/>
      <w:divBdr>
        <w:top w:val="none" w:sz="0" w:space="0" w:color="auto"/>
        <w:left w:val="none" w:sz="0" w:space="0" w:color="auto"/>
        <w:bottom w:val="none" w:sz="0" w:space="0" w:color="auto"/>
        <w:right w:val="none" w:sz="0" w:space="0" w:color="auto"/>
      </w:divBdr>
    </w:div>
    <w:div w:id="1703093246">
      <w:marLeft w:val="0"/>
      <w:marRight w:val="0"/>
      <w:marTop w:val="0"/>
      <w:marBottom w:val="0"/>
      <w:divBdr>
        <w:top w:val="none" w:sz="0" w:space="0" w:color="auto"/>
        <w:left w:val="none" w:sz="0" w:space="0" w:color="auto"/>
        <w:bottom w:val="none" w:sz="0" w:space="0" w:color="auto"/>
        <w:right w:val="none" w:sz="0" w:space="0" w:color="auto"/>
      </w:divBdr>
    </w:div>
    <w:div w:id="1703093247">
      <w:marLeft w:val="0"/>
      <w:marRight w:val="0"/>
      <w:marTop w:val="0"/>
      <w:marBottom w:val="0"/>
      <w:divBdr>
        <w:top w:val="none" w:sz="0" w:space="0" w:color="auto"/>
        <w:left w:val="none" w:sz="0" w:space="0" w:color="auto"/>
        <w:bottom w:val="none" w:sz="0" w:space="0" w:color="auto"/>
        <w:right w:val="none" w:sz="0" w:space="0" w:color="auto"/>
      </w:divBdr>
    </w:div>
    <w:div w:id="1703093248">
      <w:marLeft w:val="0"/>
      <w:marRight w:val="0"/>
      <w:marTop w:val="0"/>
      <w:marBottom w:val="0"/>
      <w:divBdr>
        <w:top w:val="none" w:sz="0" w:space="0" w:color="auto"/>
        <w:left w:val="none" w:sz="0" w:space="0" w:color="auto"/>
        <w:bottom w:val="none" w:sz="0" w:space="0" w:color="auto"/>
        <w:right w:val="none" w:sz="0" w:space="0" w:color="auto"/>
      </w:divBdr>
    </w:div>
    <w:div w:id="1703093249">
      <w:marLeft w:val="0"/>
      <w:marRight w:val="0"/>
      <w:marTop w:val="0"/>
      <w:marBottom w:val="0"/>
      <w:divBdr>
        <w:top w:val="none" w:sz="0" w:space="0" w:color="auto"/>
        <w:left w:val="none" w:sz="0" w:space="0" w:color="auto"/>
        <w:bottom w:val="none" w:sz="0" w:space="0" w:color="auto"/>
        <w:right w:val="none" w:sz="0" w:space="0" w:color="auto"/>
      </w:divBdr>
    </w:div>
    <w:div w:id="1703093250">
      <w:marLeft w:val="0"/>
      <w:marRight w:val="0"/>
      <w:marTop w:val="0"/>
      <w:marBottom w:val="0"/>
      <w:divBdr>
        <w:top w:val="none" w:sz="0" w:space="0" w:color="auto"/>
        <w:left w:val="none" w:sz="0" w:space="0" w:color="auto"/>
        <w:bottom w:val="none" w:sz="0" w:space="0" w:color="auto"/>
        <w:right w:val="none" w:sz="0" w:space="0" w:color="auto"/>
      </w:divBdr>
    </w:div>
    <w:div w:id="17030932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24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wmf"/><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jp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7.jp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pubs.rsc.org/-/results?searchtext=Author%3AG.%20Luna-B%C3%A1rcenas" TargetMode="External"/><Relationship Id="rId2" Type="http://schemas.openxmlformats.org/officeDocument/2006/relationships/hyperlink" Target="http://pubs.rsc.org/-/results?searchtext=Author%3AJ.%20A.%20Pojman" TargetMode="External"/><Relationship Id="rId1" Type="http://schemas.openxmlformats.org/officeDocument/2006/relationships/hyperlink" Target="http://pubs.rsc.org/-/results?searchtext=Author%3AR.%20J.%20S%C3%A1nchez-Leija" TargetMode="External"/><Relationship Id="rId4" Type="http://schemas.openxmlformats.org/officeDocument/2006/relationships/hyperlink" Target="http://pubs.rsc.org/-/results?searchtext=Author%3AJ.%20D.%20Mota-Morale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Q:\Customer%20Services%20Team\Author%20Tools%20&amp;%20Services\Author%20templates\art-template-1.7_ol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C5DE1-3806-4B22-B126-CEFD6D0AD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art-template-1.7_old.dotx</Template>
  <TotalTime>1</TotalTime>
  <Pages>8</Pages>
  <Words>4215</Words>
  <Characters>24027</Characters>
  <Application>Microsoft Office Word</Application>
  <DocSecurity>0</DocSecurity>
  <Lines>200</Lines>
  <Paragraphs>56</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The Royal Society of Chemistry</Company>
  <LinksUpToDate>false</LinksUpToDate>
  <CharactersWithSpaces>28186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McCallum</dc:creator>
  <cp:keywords/>
  <dc:description/>
  <cp:lastModifiedBy>Lidia Tajber</cp:lastModifiedBy>
  <cp:revision>2</cp:revision>
  <cp:lastPrinted>2018-09-19T11:01:00Z</cp:lastPrinted>
  <dcterms:created xsi:type="dcterms:W3CDTF">2019-10-05T20:49:00Z</dcterms:created>
  <dcterms:modified xsi:type="dcterms:W3CDTF">2019-10-05T20:49:00Z</dcterms:modified>
</cp:coreProperties>
</file>