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87D" w:rsidRPr="000E087D" w:rsidRDefault="000E087D" w:rsidP="000E087D">
      <w:pPr>
        <w:autoSpaceDE w:val="0"/>
        <w:autoSpaceDN w:val="0"/>
        <w:adjustRightInd w:val="0"/>
        <w:spacing w:after="0" w:line="240" w:lineRule="auto"/>
        <w:rPr>
          <w:rFonts w:cstheme="minorHAnsi"/>
          <w:sz w:val="40"/>
          <w:szCs w:val="40"/>
        </w:rPr>
      </w:pPr>
      <w:r w:rsidRPr="000E087D">
        <w:rPr>
          <w:rFonts w:cstheme="minorHAnsi"/>
          <w:sz w:val="40"/>
          <w:szCs w:val="40"/>
        </w:rPr>
        <w:t>Engaging with materialism and material reality: critical disability studies and economic recession</w:t>
      </w:r>
    </w:p>
    <w:p w:rsidR="000E087D" w:rsidRPr="000E087D" w:rsidRDefault="000E087D" w:rsidP="000E087D">
      <w:pPr>
        <w:autoSpaceDE w:val="0"/>
        <w:autoSpaceDN w:val="0"/>
        <w:adjustRightInd w:val="0"/>
        <w:spacing w:after="0" w:line="240" w:lineRule="auto"/>
        <w:rPr>
          <w:rFonts w:cstheme="minorHAnsi"/>
          <w:sz w:val="28"/>
          <w:szCs w:val="28"/>
        </w:rPr>
      </w:pPr>
      <w:r w:rsidRPr="000E087D">
        <w:rPr>
          <w:rFonts w:cstheme="minorHAnsi"/>
          <w:sz w:val="28"/>
          <w:szCs w:val="28"/>
        </w:rPr>
        <w:t>Susan Flynn</w:t>
      </w:r>
    </w:p>
    <w:p w:rsidR="000E087D" w:rsidRDefault="000E087D" w:rsidP="0065432F">
      <w:pPr>
        <w:autoSpaceDE w:val="0"/>
        <w:autoSpaceDN w:val="0"/>
        <w:adjustRightInd w:val="0"/>
        <w:spacing w:after="0" w:line="240" w:lineRule="auto"/>
        <w:rPr>
          <w:rFonts w:ascii="ArialUnicodeMS" w:hAnsi="ArialUnicodeMS" w:cs="ArialUnicodeMS"/>
          <w:sz w:val="20"/>
          <w:szCs w:val="20"/>
        </w:rPr>
      </w:pPr>
    </w:p>
    <w:p w:rsidR="0065432F" w:rsidRDefault="000E087D" w:rsidP="0065432F">
      <w:pPr>
        <w:autoSpaceDE w:val="0"/>
        <w:autoSpaceDN w:val="0"/>
        <w:adjustRightInd w:val="0"/>
        <w:spacing w:after="0" w:line="240" w:lineRule="auto"/>
        <w:rPr>
          <w:rFonts w:ascii="ArialUnicodeMS" w:hAnsi="ArialUnicodeMS" w:cs="ArialUnicodeMS"/>
          <w:sz w:val="20"/>
          <w:szCs w:val="20"/>
        </w:rPr>
      </w:pPr>
      <w:r>
        <w:rPr>
          <w:rFonts w:ascii="ArialUnicodeMS" w:hAnsi="ArialUnicodeMS" w:cs="ArialUnicodeMS"/>
          <w:sz w:val="20"/>
          <w:szCs w:val="20"/>
        </w:rPr>
        <w:t xml:space="preserve">Citation (added after by author): </w:t>
      </w:r>
      <w:r w:rsidR="0065432F">
        <w:rPr>
          <w:rFonts w:ascii="ArialUnicodeMS" w:hAnsi="ArialUnicodeMS" w:cs="ArialUnicodeMS"/>
          <w:sz w:val="20"/>
          <w:szCs w:val="20"/>
        </w:rPr>
        <w:t>Susan Flynn (2017) Engaging with materialism and material reality:</w:t>
      </w:r>
    </w:p>
    <w:p w:rsidR="0065432F" w:rsidRDefault="0065432F" w:rsidP="0065432F">
      <w:pPr>
        <w:autoSpaceDE w:val="0"/>
        <w:autoSpaceDN w:val="0"/>
        <w:adjustRightInd w:val="0"/>
        <w:spacing w:after="0" w:line="240" w:lineRule="auto"/>
        <w:rPr>
          <w:rFonts w:ascii="ArialUnicodeMS" w:hAnsi="ArialUnicodeMS" w:cs="ArialUnicodeMS"/>
          <w:sz w:val="20"/>
          <w:szCs w:val="20"/>
        </w:rPr>
      </w:pPr>
      <w:r>
        <w:rPr>
          <w:rFonts w:ascii="ArialUnicodeMS" w:hAnsi="ArialUnicodeMS" w:cs="ArialUnicodeMS"/>
          <w:sz w:val="20"/>
          <w:szCs w:val="20"/>
        </w:rPr>
        <w:t>critical disability studies and economic recession, Disability &amp; Society, 32:2, 143-159, DOI:</w:t>
      </w:r>
    </w:p>
    <w:p w:rsidR="000E087D" w:rsidRDefault="0065432F" w:rsidP="0065432F">
      <w:pPr>
        <w:rPr>
          <w:rFonts w:ascii="ArialUnicodeMS" w:hAnsi="ArialUnicodeMS" w:cs="ArialUnicodeMS"/>
          <w:sz w:val="20"/>
          <w:szCs w:val="20"/>
        </w:rPr>
      </w:pPr>
      <w:r>
        <w:rPr>
          <w:rFonts w:ascii="ArialUnicodeMS" w:hAnsi="ArialUnicodeMS" w:cs="ArialUnicodeMS"/>
          <w:sz w:val="20"/>
          <w:szCs w:val="20"/>
        </w:rPr>
        <w:t>10.1080/09687599.2017.1284650</w:t>
      </w:r>
    </w:p>
    <w:p w:rsidR="000E087D" w:rsidRPr="000E087D" w:rsidRDefault="000E087D" w:rsidP="000E087D">
      <w:pPr>
        <w:rPr>
          <w:b/>
        </w:rPr>
      </w:pPr>
      <w:r w:rsidRPr="000E087D">
        <w:rPr>
          <w:b/>
        </w:rPr>
        <w:t>ABSTRACT</w:t>
      </w:r>
    </w:p>
    <w:p w:rsidR="000E087D" w:rsidRDefault="000E087D" w:rsidP="000E087D">
      <w:pPr>
        <w:jc w:val="both"/>
      </w:pPr>
      <w:r>
        <w:t xml:space="preserve">Critical disability studies </w:t>
      </w:r>
      <w:proofErr w:type="gramStart"/>
      <w:r>
        <w:t>has</w:t>
      </w:r>
      <w:proofErr w:type="gramEnd"/>
      <w:r>
        <w:t xml:space="preserve"> been accused of preoccupation with cultural, lingual and discursive matters, and in doing so failing to adequately engage with the often-harsh material reality of disability. This has contributed to a circumstance in which disability studies has produced a lack of material focused directly upon economic processes. Concurrently, disabled people have encountered a momentous economic recession that has threatened their basic economic and human rights. This article seeks to address what is evidently a gap in the burgeoning critical disability and disability studies literature. That is, a gap largely uninhabited by attempts to apply a critical disability studies perspective to macro-economic processes. The article focuses predominantly on two facets of critical disability studies as identified by Goodley: the self and other, and intersectionality. The article concludes that critical disability studies has much to offer through the production of new understandings of economic processes.</w:t>
      </w:r>
    </w:p>
    <w:p w:rsidR="000E087D" w:rsidRPr="000E087D" w:rsidRDefault="000E087D" w:rsidP="000E087D">
      <w:pPr>
        <w:jc w:val="both"/>
        <w:rPr>
          <w:b/>
        </w:rPr>
      </w:pPr>
      <w:r w:rsidRPr="000E087D">
        <w:rPr>
          <w:b/>
        </w:rPr>
        <w:t>Points of interest</w:t>
      </w:r>
    </w:p>
    <w:p w:rsidR="000E087D" w:rsidRDefault="000E087D" w:rsidP="000E087D">
      <w:pPr>
        <w:jc w:val="both"/>
      </w:pPr>
      <w:r>
        <w:t>•This article looks at how critical disability studies relates to both economic recession and the way money and wealth is owned and moves in society.</w:t>
      </w:r>
    </w:p>
    <w:p w:rsidR="000E087D" w:rsidRDefault="000E087D" w:rsidP="000E087D">
      <w:pPr>
        <w:jc w:val="both"/>
      </w:pPr>
      <w:r>
        <w:t>•The article looks at how critical disability studies relates to material reality.</w:t>
      </w:r>
    </w:p>
    <w:p w:rsidR="000E087D" w:rsidRDefault="000E087D" w:rsidP="000E087D">
      <w:pPr>
        <w:jc w:val="both"/>
      </w:pPr>
      <w:r>
        <w:t>•The article focuses on two aspects of critical disability studies. One concerns the way in which we think about disabled and non-disabled people as different groups. The other aspect is about disability studies and its connection to other agendas such as feminism.</w:t>
      </w:r>
    </w:p>
    <w:p w:rsidR="000E087D" w:rsidRDefault="000E087D" w:rsidP="000E087D">
      <w:pPr>
        <w:jc w:val="both"/>
      </w:pPr>
      <w:r>
        <w:t>•The article concludes that critical disability studies can be useful in understanding the impact and experience of economic processes such as economic recession.</w:t>
      </w:r>
    </w:p>
    <w:p w:rsidR="000E087D" w:rsidRDefault="000E087D" w:rsidP="000E087D">
      <w:pPr>
        <w:jc w:val="both"/>
      </w:pPr>
    </w:p>
    <w:p w:rsidR="000E087D" w:rsidRDefault="000E087D"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0E087D" w:rsidRPr="000E087D" w:rsidRDefault="000E087D" w:rsidP="000E087D">
      <w:pPr>
        <w:jc w:val="both"/>
        <w:rPr>
          <w:b/>
        </w:rPr>
      </w:pPr>
      <w:r w:rsidRPr="000E087D">
        <w:rPr>
          <w:b/>
        </w:rPr>
        <w:lastRenderedPageBreak/>
        <w:t>Introduction</w:t>
      </w:r>
    </w:p>
    <w:p w:rsidR="000E087D" w:rsidRPr="000E087D" w:rsidRDefault="000E087D" w:rsidP="000E087D">
      <w:pPr>
        <w:pStyle w:val="BodyText"/>
        <w:spacing w:line="254" w:lineRule="auto"/>
        <w:ind w:right="112" w:firstLine="120"/>
        <w:jc w:val="both"/>
        <w:rPr>
          <w:rStyle w:val="Emphasis"/>
          <w:i w:val="0"/>
          <w:sz w:val="22"/>
          <w:szCs w:val="22"/>
        </w:rPr>
      </w:pPr>
      <w:r w:rsidRPr="000E087D">
        <w:rPr>
          <w:rStyle w:val="Emphasis"/>
          <w:i w:val="0"/>
          <w:sz w:val="22"/>
          <w:szCs w:val="22"/>
        </w:rPr>
        <w:t>For some, the recent economic recession was a social artefact (Gamble 2009). To Polanyi (1944), for instance, recessions are not about economic determinism. Rather, they are about how a capitalist crisis concurrently forms a social crisis where the free forces of the market</w:t>
      </w:r>
      <w:r w:rsidRPr="000E087D">
        <w:rPr>
          <w:rStyle w:val="Emphasis"/>
          <w:i w:val="0"/>
          <w:sz w:val="22"/>
          <w:szCs w:val="22"/>
        </w:rPr>
        <w:t xml:space="preserve"> </w:t>
      </w:r>
      <w:r w:rsidRPr="000E087D">
        <w:rPr>
          <w:rStyle w:val="Emphasis"/>
          <w:i w:val="0"/>
          <w:sz w:val="22"/>
          <w:szCs w:val="22"/>
        </w:rPr>
        <w:t xml:space="preserve">damage social bonds (Dodd </w:t>
      </w:r>
      <w:hyperlink w:anchor="_bookmark90" w:history="1">
        <w:r w:rsidRPr="000E087D">
          <w:rPr>
            <w:rStyle w:val="Emphasis"/>
            <w:i w:val="0"/>
            <w:sz w:val="22"/>
            <w:szCs w:val="22"/>
          </w:rPr>
          <w:t>2016</w:t>
        </w:r>
      </w:hyperlink>
      <w:r w:rsidRPr="000E087D">
        <w:rPr>
          <w:rStyle w:val="Emphasis"/>
          <w:i w:val="0"/>
          <w:sz w:val="22"/>
          <w:szCs w:val="22"/>
        </w:rPr>
        <w:t>). Although Polanyi’s w</w:t>
      </w:r>
      <w:bookmarkStart w:id="0" w:name="_bookmark3"/>
      <w:bookmarkEnd w:id="0"/>
      <w:r w:rsidRPr="000E087D">
        <w:rPr>
          <w:rStyle w:val="Emphasis"/>
          <w:i w:val="0"/>
          <w:sz w:val="22"/>
          <w:szCs w:val="22"/>
        </w:rPr>
        <w:t xml:space="preserve">ork is historical and focused upon the early </w:t>
      </w:r>
      <w:proofErr w:type="spellStart"/>
      <w:r w:rsidRPr="000E087D">
        <w:rPr>
          <w:rStyle w:val="Emphasis"/>
          <w:i w:val="0"/>
          <w:sz w:val="22"/>
          <w:szCs w:val="22"/>
        </w:rPr>
        <w:t>globalisation</w:t>
      </w:r>
      <w:proofErr w:type="spellEnd"/>
      <w:r w:rsidRPr="000E087D">
        <w:rPr>
          <w:rStyle w:val="Emphasis"/>
          <w:i w:val="0"/>
          <w:sz w:val="22"/>
          <w:szCs w:val="22"/>
        </w:rPr>
        <w:t xml:space="preserve"> of capitalism, many contemporary articulations of the recession such as within </w:t>
      </w:r>
      <w:proofErr w:type="spellStart"/>
      <w:r w:rsidRPr="000E087D">
        <w:rPr>
          <w:rStyle w:val="Emphasis"/>
          <w:i w:val="0"/>
          <w:sz w:val="22"/>
          <w:szCs w:val="22"/>
        </w:rPr>
        <w:t>Keirnan</w:t>
      </w:r>
      <w:proofErr w:type="spellEnd"/>
      <w:r w:rsidRPr="000E087D">
        <w:rPr>
          <w:rStyle w:val="Emphasis"/>
          <w:i w:val="0"/>
          <w:sz w:val="22"/>
          <w:szCs w:val="22"/>
        </w:rPr>
        <w:t xml:space="preserve"> Allen’s (2009, 2012) work, and complementarities (Gamble </w:t>
      </w:r>
      <w:hyperlink w:anchor="_bookmark96" w:history="1">
        <w:r w:rsidRPr="000E087D">
          <w:rPr>
            <w:rStyle w:val="Emphasis"/>
            <w:i w:val="0"/>
            <w:sz w:val="22"/>
            <w:szCs w:val="22"/>
          </w:rPr>
          <w:t>2009</w:t>
        </w:r>
      </w:hyperlink>
      <w:r w:rsidRPr="000E087D">
        <w:rPr>
          <w:rStyle w:val="Emphasis"/>
          <w:i w:val="0"/>
          <w:sz w:val="22"/>
          <w:szCs w:val="22"/>
        </w:rPr>
        <w:t>), also approach the recession foremost as a source of social suffering based upon socially con- structed inequality within society. This understanding is an alternative to thinking about economic recession in terms only of finance, material and monetary depravation, based upon essentialist ideas alone. Rather, such alternative positions better align themselves, albeit often unintentionally, with a ‘materialist’ social model of disability; materialism in this sense broadly relating to critique of the distribution of wealth and economic structures in society, as discussed in more detail later.</w:t>
      </w:r>
    </w:p>
    <w:p w:rsidR="000E087D" w:rsidRPr="000E087D" w:rsidRDefault="000E087D" w:rsidP="000E087D">
      <w:pPr>
        <w:pStyle w:val="BodyText"/>
        <w:spacing w:line="254" w:lineRule="auto"/>
        <w:ind w:right="115" w:firstLine="120"/>
        <w:jc w:val="both"/>
        <w:rPr>
          <w:rStyle w:val="Emphasis"/>
          <w:i w:val="0"/>
          <w:sz w:val="22"/>
          <w:szCs w:val="22"/>
        </w:rPr>
      </w:pPr>
      <w:r w:rsidRPr="000E087D">
        <w:rPr>
          <w:rStyle w:val="Emphasis"/>
          <w:i w:val="0"/>
          <w:sz w:val="22"/>
          <w:szCs w:val="22"/>
        </w:rPr>
        <w:t xml:space="preserve">The social model is about understanding disability as a consequence of society rather than as an individual issue, or expression of tragedy or chance (Oliver </w:t>
      </w:r>
      <w:hyperlink w:anchor="_bookmark123" w:history="1">
        <w:r w:rsidRPr="000E087D">
          <w:rPr>
            <w:rStyle w:val="Emphasis"/>
            <w:i w:val="0"/>
            <w:sz w:val="22"/>
            <w:szCs w:val="22"/>
          </w:rPr>
          <w:t>1983</w:t>
        </w:r>
      </w:hyperlink>
      <w:r w:rsidRPr="000E087D">
        <w:rPr>
          <w:rStyle w:val="Emphasis"/>
          <w:i w:val="0"/>
          <w:sz w:val="22"/>
          <w:szCs w:val="22"/>
        </w:rPr>
        <w:t xml:space="preserve">, </w:t>
      </w:r>
      <w:hyperlink w:anchor="_bookmark126" w:history="1">
        <w:r w:rsidRPr="000E087D">
          <w:rPr>
            <w:rStyle w:val="Emphasis"/>
            <w:i w:val="0"/>
            <w:sz w:val="22"/>
            <w:szCs w:val="22"/>
          </w:rPr>
          <w:t>2013</w:t>
        </w:r>
      </w:hyperlink>
      <w:r w:rsidRPr="000E087D">
        <w:rPr>
          <w:rStyle w:val="Emphasis"/>
          <w:i w:val="0"/>
          <w:sz w:val="22"/>
          <w:szCs w:val="22"/>
        </w:rPr>
        <w:t>). Whilst</w:t>
      </w:r>
      <w:bookmarkStart w:id="1" w:name="_bookmark5"/>
      <w:bookmarkEnd w:id="1"/>
      <w:r w:rsidRPr="000E087D">
        <w:rPr>
          <w:rStyle w:val="Emphasis"/>
          <w:i w:val="0"/>
          <w:sz w:val="22"/>
          <w:szCs w:val="22"/>
        </w:rPr>
        <w:t xml:space="preserve"> the social model may now be described as outdated or ideological (Shakespeare and Watson </w:t>
      </w:r>
      <w:hyperlink w:anchor="_bookmark131" w:history="1">
        <w:r w:rsidRPr="000E087D">
          <w:rPr>
            <w:rStyle w:val="Emphasis"/>
            <w:i w:val="0"/>
            <w:sz w:val="22"/>
            <w:szCs w:val="22"/>
          </w:rPr>
          <w:t>1997</w:t>
        </w:r>
      </w:hyperlink>
      <w:r w:rsidRPr="000E087D">
        <w:rPr>
          <w:rStyle w:val="Emphasis"/>
          <w:i w:val="0"/>
          <w:sz w:val="22"/>
          <w:szCs w:val="22"/>
        </w:rPr>
        <w:t xml:space="preserve">), in some respects it is a fitting stance for the appraisal of the recession, due to its reconfiguration of the issue of disability firmly towards the societal context and away from </w:t>
      </w:r>
      <w:proofErr w:type="spellStart"/>
      <w:r w:rsidRPr="000E087D">
        <w:rPr>
          <w:rStyle w:val="Emphasis"/>
          <w:i w:val="0"/>
          <w:sz w:val="22"/>
          <w:szCs w:val="22"/>
        </w:rPr>
        <w:t>individualised</w:t>
      </w:r>
      <w:proofErr w:type="spellEnd"/>
      <w:r w:rsidRPr="000E087D">
        <w:rPr>
          <w:rStyle w:val="Emphasis"/>
          <w:i w:val="0"/>
          <w:sz w:val="22"/>
          <w:szCs w:val="22"/>
        </w:rPr>
        <w:t xml:space="preserve"> medical and psychological interpretations of disability (Oliver </w:t>
      </w:r>
      <w:hyperlink w:anchor="_bookmark123" w:history="1">
        <w:r w:rsidRPr="000E087D">
          <w:rPr>
            <w:rStyle w:val="Emphasis"/>
            <w:i w:val="0"/>
            <w:sz w:val="22"/>
            <w:szCs w:val="22"/>
          </w:rPr>
          <w:t>1983</w:t>
        </w:r>
      </w:hyperlink>
      <w:r w:rsidRPr="000E087D">
        <w:rPr>
          <w:rStyle w:val="Emphasis"/>
          <w:i w:val="0"/>
          <w:sz w:val="22"/>
          <w:szCs w:val="22"/>
        </w:rPr>
        <w:t xml:space="preserve">). In this sense, the social model has lost some of its momentum as new approaches have evolved and expanded; for instance, post-structuralism, post-modernism and critical disability studies. Yet, despite the election of critical disability studies as somewhat of a focal protagonist within this article, some engagement with the social model is still necessary in order to avoid the hasty abandonment of one of the most significant perspectives on disability within previous decades (Oliver </w:t>
      </w:r>
      <w:hyperlink w:anchor="_bookmark126" w:history="1">
        <w:r w:rsidRPr="000E087D">
          <w:rPr>
            <w:rStyle w:val="Emphasis"/>
            <w:i w:val="0"/>
            <w:sz w:val="22"/>
            <w:szCs w:val="22"/>
          </w:rPr>
          <w:t>2013</w:t>
        </w:r>
      </w:hyperlink>
      <w:r w:rsidRPr="000E087D">
        <w:rPr>
          <w:rStyle w:val="Emphasis"/>
          <w:i w:val="0"/>
          <w:sz w:val="22"/>
          <w:szCs w:val="22"/>
        </w:rPr>
        <w:t>). Just as it would be unconstructive to reduce the complex nature of disability to a rudimentary dichotomy that holds the medical model/biological</w:t>
      </w:r>
      <w:bookmarkStart w:id="2" w:name="_bookmark4"/>
      <w:bookmarkEnd w:id="2"/>
      <w:r w:rsidRPr="000E087D">
        <w:rPr>
          <w:rStyle w:val="Emphasis"/>
          <w:i w:val="0"/>
          <w:sz w:val="22"/>
          <w:szCs w:val="22"/>
        </w:rPr>
        <w:t xml:space="preserve"> essentialism on the one hand, and social model/social constructionism on the other (Bollard </w:t>
      </w:r>
      <w:hyperlink w:anchor="_bookmark77" w:history="1">
        <w:r w:rsidRPr="000E087D">
          <w:rPr>
            <w:rStyle w:val="Emphasis"/>
            <w:i w:val="0"/>
            <w:sz w:val="22"/>
            <w:szCs w:val="22"/>
          </w:rPr>
          <w:t>2009</w:t>
        </w:r>
      </w:hyperlink>
      <w:r w:rsidRPr="000E087D">
        <w:rPr>
          <w:rStyle w:val="Emphasis"/>
          <w:i w:val="0"/>
          <w:sz w:val="22"/>
          <w:szCs w:val="22"/>
        </w:rPr>
        <w:t>), so too might it be unwise to entirely disregard the potential of the social model through a new and exclusive infatuation with critical disability studies  or  post-structuralism.</w:t>
      </w:r>
    </w:p>
    <w:p w:rsidR="000E087D" w:rsidRPr="000E087D" w:rsidRDefault="000E087D" w:rsidP="000E087D">
      <w:pPr>
        <w:ind w:firstLine="120"/>
        <w:jc w:val="both"/>
        <w:rPr>
          <w:rStyle w:val="Emphasis"/>
          <w:i w:val="0"/>
        </w:rPr>
      </w:pPr>
      <w:r w:rsidRPr="000E087D">
        <w:rPr>
          <w:rStyle w:val="Emphasis"/>
          <w:i w:val="0"/>
        </w:rPr>
        <w:t>Mike Oliver (</w:t>
      </w:r>
      <w:hyperlink w:anchor="_bookmark123" w:history="1">
        <w:r w:rsidRPr="000E087D">
          <w:rPr>
            <w:rStyle w:val="Emphasis"/>
            <w:i w:val="0"/>
          </w:rPr>
          <w:t>1983</w:t>
        </w:r>
      </w:hyperlink>
      <w:r w:rsidRPr="000E087D">
        <w:rPr>
          <w:rStyle w:val="Emphasis"/>
          <w:i w:val="0"/>
        </w:rPr>
        <w:t xml:space="preserve">, </w:t>
      </w:r>
      <w:hyperlink w:anchor="_bookmark124" w:history="1">
        <w:r w:rsidRPr="000E087D">
          <w:rPr>
            <w:rStyle w:val="Emphasis"/>
            <w:i w:val="0"/>
          </w:rPr>
          <w:t>1990</w:t>
        </w:r>
      </w:hyperlink>
      <w:r w:rsidRPr="000E087D">
        <w:rPr>
          <w:rStyle w:val="Emphasis"/>
          <w:i w:val="0"/>
        </w:rPr>
        <w:t xml:space="preserve">, </w:t>
      </w:r>
      <w:hyperlink w:anchor="_bookmark126" w:history="1">
        <w:r w:rsidRPr="000E087D">
          <w:rPr>
            <w:rStyle w:val="Emphasis"/>
            <w:i w:val="0"/>
          </w:rPr>
          <w:t>2013</w:t>
        </w:r>
      </w:hyperlink>
      <w:r w:rsidRPr="000E087D">
        <w:rPr>
          <w:rStyle w:val="Emphasis"/>
          <w:i w:val="0"/>
        </w:rPr>
        <w:t>), associat</w:t>
      </w:r>
      <w:bookmarkStart w:id="3" w:name="_bookmark6"/>
      <w:bookmarkEnd w:id="3"/>
      <w:r w:rsidRPr="000E087D">
        <w:rPr>
          <w:rStyle w:val="Emphasis"/>
          <w:i w:val="0"/>
        </w:rPr>
        <w:t>ed with the development of the social model, revisits and reinvigorates the message and agenda of the model in the context of the recent recession. He claims that social model rhetoric, abundant in the economic boom, took on a deeper consequence when the economic downturn devastated many disabled people through severe cutbacks to (and indeed eradications of) benefits and services. Whilst these examples are materialistic in the sense that they are concerned with economic structures and the distribution of wealth, they are also naturally concomitant to the British social model. In this sense, it is important to note that the social model is not a materialistic or Marxist theory of disability, but rather a perspective that challenges individualistic interpretations of disability. One does not need to adhere to Marxism or give primacy to economic factors in order to embrace the social model. Nonetheless, Goodley (</w:t>
      </w:r>
      <w:hyperlink w:anchor="_bookmark105" w:history="1">
        <w:r w:rsidRPr="000E087D">
          <w:rPr>
            <w:rStyle w:val="Emphasis"/>
            <w:i w:val="0"/>
          </w:rPr>
          <w:t>2011</w:t>
        </w:r>
      </w:hyperlink>
      <w:r w:rsidRPr="000E087D">
        <w:rPr>
          <w:rStyle w:val="Emphasis"/>
          <w:i w:val="0"/>
        </w:rPr>
        <w:t xml:space="preserve">) would suggest that the social model has been often mobilised to expose or challenge the maldistribution of wealth that is disabling. This materialist line found within the social approach has not been without its contestations (Goodley </w:t>
      </w:r>
      <w:hyperlink w:anchor="_bookmark105" w:history="1">
        <w:r w:rsidRPr="000E087D">
          <w:rPr>
            <w:rStyle w:val="Emphasis"/>
            <w:i w:val="0"/>
          </w:rPr>
          <w:t>2011</w:t>
        </w:r>
      </w:hyperlink>
      <w:r w:rsidRPr="000E087D">
        <w:rPr>
          <w:rStyle w:val="Emphasis"/>
          <w:i w:val="0"/>
        </w:rPr>
        <w:t>). For Goodley, the legacy of socio-political activism galvanised by the materialist social model, and its proponents such as Oliver (</w:t>
      </w:r>
      <w:hyperlink w:anchor="_bookmark123" w:history="1">
        <w:r w:rsidRPr="000E087D">
          <w:rPr>
            <w:rStyle w:val="Emphasis"/>
            <w:i w:val="0"/>
          </w:rPr>
          <w:t>1983</w:t>
        </w:r>
      </w:hyperlink>
      <w:r w:rsidRPr="000E087D">
        <w:rPr>
          <w:rStyle w:val="Emphasis"/>
          <w:i w:val="0"/>
        </w:rPr>
        <w:t xml:space="preserve">, </w:t>
      </w:r>
      <w:hyperlink w:anchor="_bookmark124" w:history="1">
        <w:r w:rsidRPr="000E087D">
          <w:rPr>
            <w:rStyle w:val="Emphasis"/>
            <w:i w:val="0"/>
          </w:rPr>
          <w:t>1990</w:t>
        </w:r>
      </w:hyperlink>
      <w:r w:rsidRPr="000E087D">
        <w:rPr>
          <w:rStyle w:val="Emphasis"/>
          <w:i w:val="0"/>
        </w:rPr>
        <w:t xml:space="preserve">), has been a useful politicisation of disability through a re-focus upon the material sources of disablement. However, critical disability studies as a novel and interdisciplinary approach arose in protest to the materialistic inclination in more traditional </w:t>
      </w:r>
      <w:bookmarkStart w:id="4" w:name="_bookmark7"/>
      <w:bookmarkEnd w:id="4"/>
      <w:r w:rsidRPr="000E087D">
        <w:rPr>
          <w:rStyle w:val="Emphasis"/>
          <w:i w:val="0"/>
        </w:rPr>
        <w:t>approaches to the study of disability (</w:t>
      </w:r>
      <w:proofErr w:type="spellStart"/>
      <w:r w:rsidRPr="000E087D">
        <w:rPr>
          <w:rStyle w:val="Emphasis"/>
          <w:i w:val="0"/>
        </w:rPr>
        <w:t>Vehmas</w:t>
      </w:r>
      <w:proofErr w:type="spellEnd"/>
      <w:r w:rsidRPr="000E087D">
        <w:rPr>
          <w:rStyle w:val="Emphasis"/>
          <w:i w:val="0"/>
        </w:rPr>
        <w:t xml:space="preserve"> and Watson </w:t>
      </w:r>
      <w:hyperlink w:anchor="_bookmark142" w:history="1">
        <w:r w:rsidRPr="000E087D">
          <w:rPr>
            <w:rStyle w:val="Emphasis"/>
            <w:i w:val="0"/>
          </w:rPr>
          <w:t>2014</w:t>
        </w:r>
      </w:hyperlink>
      <w:r w:rsidRPr="000E087D">
        <w:rPr>
          <w:rStyle w:val="Emphasis"/>
          <w:i w:val="0"/>
        </w:rPr>
        <w:t>); for example, the social model.</w:t>
      </w:r>
      <w:r w:rsidRPr="000E087D">
        <w:rPr>
          <w:rStyle w:val="Emphasis"/>
          <w:i w:val="0"/>
        </w:rPr>
        <w:t xml:space="preserve"> </w:t>
      </w:r>
      <w:r w:rsidRPr="000E087D">
        <w:rPr>
          <w:rStyle w:val="Emphasis"/>
          <w:i w:val="0"/>
        </w:rPr>
        <w:t xml:space="preserve">This antagonism towards materialism, and indeed towards matter as related to the realm of the physical, might place critical disability studies in an uneasy relationship to economic recession. If anything, within academic inquiry the effects of recession as a phenomenon, </w:t>
      </w:r>
      <w:r w:rsidRPr="000E087D">
        <w:rPr>
          <w:rStyle w:val="Emphasis"/>
          <w:i w:val="0"/>
        </w:rPr>
        <w:lastRenderedPageBreak/>
        <w:t>construct or process are often reduced to the material territories of basic deprivation, eco- nomic inequality or matters that are not socially focused, such as financial globalisation or the regulation of banking (Martin 2011). Whilst perhaps unfairly (</w:t>
      </w:r>
      <w:proofErr w:type="spellStart"/>
      <w:r w:rsidRPr="000E087D">
        <w:rPr>
          <w:rStyle w:val="Emphasis"/>
          <w:i w:val="0"/>
        </w:rPr>
        <w:t>Shildrick</w:t>
      </w:r>
      <w:proofErr w:type="spellEnd"/>
      <w:r w:rsidRPr="000E087D">
        <w:rPr>
          <w:rStyle w:val="Emphasis"/>
          <w:i w:val="0"/>
        </w:rPr>
        <w:t xml:space="preserve"> 2012), on the other hand, critical disability studies </w:t>
      </w:r>
      <w:proofErr w:type="gramStart"/>
      <w:r w:rsidRPr="000E087D">
        <w:rPr>
          <w:rStyle w:val="Emphasis"/>
          <w:i w:val="0"/>
        </w:rPr>
        <w:t>is</w:t>
      </w:r>
      <w:proofErr w:type="gramEnd"/>
      <w:r w:rsidRPr="000E087D">
        <w:rPr>
          <w:rStyle w:val="Emphasis"/>
          <w:i w:val="0"/>
        </w:rPr>
        <w:t xml:space="preserve"> often reduced to a perspective only concerned with cultural and discursive issues, criticised for having no real material application.</w:t>
      </w:r>
    </w:p>
    <w:p w:rsidR="000E087D" w:rsidRPr="000E087D" w:rsidRDefault="000E087D" w:rsidP="000E087D">
      <w:pPr>
        <w:spacing w:after="0"/>
        <w:jc w:val="both"/>
      </w:pPr>
      <w:r w:rsidRPr="000E087D">
        <w:t>In this sense, post-structuralist approaches allied to critical disability studies have been criticised for failing to engage with the material world within which disabled people encounter barriers (Feely 2016). Feely reveals numerous examples in the literature. Shakespeare (2014), for instance, alludes to the favouritism of critical disability scholars for literature and discourses, above the lived reality of disabled people. Additionally, Barnes’ (2012) criticism is that the exigent economic forces behind disablement are diverged from, in favour of a focus upon culture, discourse and/or language. In this way, whilst post-structuralist and post-modernist approaches form only ingredients rather than a summation of critical disability studies, their conceptual potency to address the ‘real’ damage and deleterious consequences of economic recession might be questioned by peers in materialist, Marxist and social camps. This leaves critical disability studies open to criticism as a conceptual standpoint for the critique of recession which, according to many disabled people and their allies, has led to harsh material realities that devastate them in everyday ways (Centre for Independent Living 2011; Disability Federation of Ireland 2010).</w:t>
      </w:r>
    </w:p>
    <w:p w:rsidR="000E087D" w:rsidRPr="000E087D" w:rsidRDefault="000E087D" w:rsidP="000E087D">
      <w:pPr>
        <w:spacing w:after="0"/>
        <w:ind w:firstLine="720"/>
        <w:jc w:val="both"/>
      </w:pPr>
      <w:r w:rsidRPr="000E087D">
        <w:t xml:space="preserve">In this article I wish to explore an alternative position. I argue that despite its oppositional detachment from materialism/Marxist positions, and indeed from the realm of physical matter, critical disability scholarship has a lot to offer in terms of developing new understandings of economic recession. Here I focus upon two </w:t>
      </w:r>
      <w:proofErr w:type="gramStart"/>
      <w:r w:rsidRPr="000E087D">
        <w:t>particular attributes</w:t>
      </w:r>
      <w:proofErr w:type="gramEnd"/>
      <w:r w:rsidRPr="000E087D">
        <w:t xml:space="preserve"> of critical disability studies, referred to as intersectionality and as the self and other (Goodley 2013). Within this, I offer some explanation for why</w:t>
      </w:r>
      <w:proofErr w:type="gramStart"/>
      <w:r w:rsidRPr="000E087D">
        <w:t>, in particular, these</w:t>
      </w:r>
      <w:proofErr w:type="gramEnd"/>
      <w:r w:rsidRPr="000E087D">
        <w:t xml:space="preserve"> attributes were considered useful in progressing the overall argument of the article. First, however, some further definition is offered for the </w:t>
      </w:r>
      <w:proofErr w:type="gramStart"/>
      <w:r w:rsidRPr="000E087D">
        <w:t>terms</w:t>
      </w:r>
      <w:proofErr w:type="gramEnd"/>
      <w:r w:rsidRPr="000E087D">
        <w:t xml:space="preserve"> ‘materialism’ and ‘material reality’. This leads to a discussion focused upon critical disability studies’ alleged opposition to materialism. I then follow the tradition of critical disability studies by moving beyond an isolated fixation on disability and towards an engagement with ‘other transformative areas’ (Goodley 2011, 157; 2013). In this way I discuss the recession, and intersectionality as a notion concerned with drawing upon other agendas; for instance, feminist, post-colonial, queer and class constituencies (Goodley 2013). I then discuss the notion of the self and </w:t>
      </w:r>
      <w:proofErr w:type="gramStart"/>
      <w:r w:rsidRPr="000E087D">
        <w:t>other, and</w:t>
      </w:r>
      <w:proofErr w:type="gramEnd"/>
      <w:r w:rsidRPr="000E087D">
        <w:t xml:space="preserve"> look to draw further insights to inform a critical disability studies perspective on recession. Finally, I draw the article to a close with a critical and unifying discussion.</w:t>
      </w:r>
    </w:p>
    <w:p w:rsidR="000E087D" w:rsidRPr="000E087D" w:rsidRDefault="000E087D" w:rsidP="000E087D">
      <w:pPr>
        <w:spacing w:after="0"/>
        <w:ind w:firstLine="720"/>
        <w:jc w:val="both"/>
        <w:rPr>
          <w:rStyle w:val="Emphasis"/>
          <w:i w:val="0"/>
        </w:rPr>
      </w:pPr>
      <w:r w:rsidRPr="000E087D">
        <w:t xml:space="preserve">Overall, through focusing upon a critical disability perspective, I attempt to remain engaged with both the material reality and the corporeality of impairment. In part, this engagement is also useful now because of the temporal opportunities of economic recession. For example, the way in which the economic downturn as a process in time has usefully led to reformulations of what is meant by disability and </w:t>
      </w:r>
      <w:r w:rsidRPr="000E087D">
        <w:rPr>
          <w:rStyle w:val="Emphasis"/>
          <w:i w:val="0"/>
        </w:rPr>
        <w:t>forces the question of how useful current theories of disability are (Goodley 2013). In doing so, the hope is to contribute to the critique of a phenomenon that is of great significance in the lives of disabled people, and yet is traditionally beyond the natural focus of disability studies (Dodd 2016). This allows for the advancement of the current state of knowledge in a relatively new and beneficial direction because, according to Dodd (</w:t>
      </w:r>
      <w:hyperlink w:anchor="_bookmark90" w:history="1">
        <w:r w:rsidRPr="000E087D">
          <w:rPr>
            <w:rStyle w:val="Emphasis"/>
            <w:i w:val="0"/>
          </w:rPr>
          <w:t>2016</w:t>
        </w:r>
      </w:hyperlink>
      <w:r w:rsidRPr="000E087D">
        <w:rPr>
          <w:rStyle w:val="Emphasis"/>
          <w:i w:val="0"/>
        </w:rPr>
        <w:t>), disability studies must become more focused upon larger macro-level economic challenges and not just the cultural and discursive preoccupations normative in disability studies.</w:t>
      </w:r>
    </w:p>
    <w:p w:rsidR="000E087D" w:rsidRPr="000E087D" w:rsidRDefault="000E087D" w:rsidP="000E087D">
      <w:pPr>
        <w:spacing w:after="0"/>
        <w:ind w:firstLine="720"/>
        <w:jc w:val="both"/>
        <w:rPr>
          <w:rStyle w:val="Emphasis"/>
          <w:i w:val="0"/>
        </w:rPr>
      </w:pPr>
      <w:r w:rsidRPr="000E087D">
        <w:rPr>
          <w:rStyle w:val="Emphasis"/>
          <w:i w:val="0"/>
        </w:rPr>
        <w:t xml:space="preserve">In addition, I rather covertly draw upon literature that specifically considers the economic recession within Ireland and the United Kingdom. This is because economic recession, neo-liberalism and other such processes appear to present themselves differently depending upon their geo-political </w:t>
      </w:r>
      <w:r w:rsidRPr="000E087D">
        <w:rPr>
          <w:rStyle w:val="Emphasis"/>
          <w:i w:val="0"/>
        </w:rPr>
        <w:lastRenderedPageBreak/>
        <w:t xml:space="preserve">location. I seek also to achieve a consistent base (Ireland and the United Kingdom) from which to draw generalisations (Garrett </w:t>
      </w:r>
      <w:hyperlink w:anchor="_bookmark101" w:history="1">
        <w:r w:rsidRPr="000E087D">
          <w:rPr>
            <w:rStyle w:val="Emphasis"/>
            <w:i w:val="0"/>
          </w:rPr>
          <w:t>2015</w:t>
        </w:r>
      </w:hyperlink>
      <w:r w:rsidRPr="000E087D">
        <w:rPr>
          <w:rStyle w:val="Emphasis"/>
          <w:i w:val="0"/>
        </w:rPr>
        <w:t xml:space="preserve">; </w:t>
      </w:r>
      <w:proofErr w:type="spellStart"/>
      <w:r w:rsidRPr="000E087D">
        <w:rPr>
          <w:rStyle w:val="Emphasis"/>
          <w:i w:val="0"/>
        </w:rPr>
        <w:t>Mladenov</w:t>
      </w:r>
      <w:proofErr w:type="spellEnd"/>
      <w:r w:rsidRPr="000E087D">
        <w:rPr>
          <w:rStyle w:val="Emphasis"/>
          <w:i w:val="0"/>
        </w:rPr>
        <w:t xml:space="preserve"> </w:t>
      </w:r>
      <w:hyperlink w:anchor="_bookmark121" w:history="1">
        <w:r w:rsidRPr="000E087D">
          <w:rPr>
            <w:rStyle w:val="Emphasis"/>
            <w:i w:val="0"/>
          </w:rPr>
          <w:t>2015</w:t>
        </w:r>
      </w:hyperlink>
      <w:r w:rsidRPr="000E087D">
        <w:rPr>
          <w:rStyle w:val="Emphasis"/>
          <w:i w:val="0"/>
        </w:rPr>
        <w:t xml:space="preserve">). Finally, as the tradition of critical disability studies is an approach </w:t>
      </w:r>
      <w:bookmarkStart w:id="5" w:name="_bookmark19"/>
      <w:bookmarkEnd w:id="5"/>
      <w:r w:rsidRPr="000E087D">
        <w:rPr>
          <w:rStyle w:val="Emphasis"/>
          <w:i w:val="0"/>
        </w:rPr>
        <w:t>that is self-reflexively critical (</w:t>
      </w:r>
      <w:proofErr w:type="spellStart"/>
      <w:r w:rsidRPr="000E087D">
        <w:rPr>
          <w:rStyle w:val="Emphasis"/>
          <w:i w:val="0"/>
        </w:rPr>
        <w:t>Meekosha</w:t>
      </w:r>
      <w:proofErr w:type="spellEnd"/>
      <w:r w:rsidRPr="000E087D">
        <w:rPr>
          <w:rStyle w:val="Emphasis"/>
          <w:i w:val="0"/>
        </w:rPr>
        <w:t xml:space="preserve"> and Shuttleworth </w:t>
      </w:r>
      <w:hyperlink w:anchor="_bookmark120" w:history="1">
        <w:r w:rsidRPr="000E087D">
          <w:rPr>
            <w:rStyle w:val="Emphasis"/>
            <w:i w:val="0"/>
          </w:rPr>
          <w:t>2009</w:t>
        </w:r>
      </w:hyperlink>
      <w:r w:rsidRPr="000E087D">
        <w:rPr>
          <w:rStyle w:val="Emphasis"/>
          <w:i w:val="0"/>
        </w:rPr>
        <w:t xml:space="preserve">), I too acknowledge within the following account my position of predictable partiality. The inevitable bias of the human condition, which in my case favours the argument that disabled people have been disproportionately and severely disadvantaged by recession, should be acknowledged. In this context, a more robust and meaningful engagement with this material reality is required amidst the theorisation of disability scholars. This perspective is framed within a wider acceptance that all theoretical standpoints come with some inevitable assumptions and limitations (Corker </w:t>
      </w:r>
      <w:hyperlink w:anchor="_bookmark87" w:history="1">
        <w:r w:rsidRPr="000E087D">
          <w:rPr>
            <w:rStyle w:val="Emphasis"/>
            <w:i w:val="0"/>
          </w:rPr>
          <w:t>1999</w:t>
        </w:r>
      </w:hyperlink>
      <w:r w:rsidRPr="000E087D">
        <w:rPr>
          <w:rStyle w:val="Emphasis"/>
          <w:i w:val="0"/>
        </w:rPr>
        <w:t>).</w:t>
      </w:r>
    </w:p>
    <w:p w:rsidR="000E087D" w:rsidRDefault="000E087D" w:rsidP="000E087D">
      <w:pPr>
        <w:jc w:val="both"/>
      </w:pPr>
    </w:p>
    <w:p w:rsidR="000E087D" w:rsidRPr="000E087D" w:rsidRDefault="000E087D" w:rsidP="000E087D">
      <w:pPr>
        <w:jc w:val="both"/>
        <w:rPr>
          <w:b/>
        </w:rPr>
      </w:pPr>
      <w:r w:rsidRPr="000E087D">
        <w:rPr>
          <w:b/>
        </w:rPr>
        <w:t>Materialism and material reality</w:t>
      </w:r>
    </w:p>
    <w:p w:rsidR="000E087D" w:rsidRDefault="000E087D" w:rsidP="001C62B6">
      <w:pPr>
        <w:spacing w:after="0"/>
        <w:jc w:val="both"/>
      </w:pPr>
      <w:r>
        <w:t xml:space="preserve">When considering economic recession, disability and critical disability studies, two further notions emerge as important. These are notions of materialism and material reality. Critically, they are not considered to be interchangeable despite sharing </w:t>
      </w:r>
      <w:proofErr w:type="gramStart"/>
      <w:r>
        <w:t>a number of</w:t>
      </w:r>
      <w:proofErr w:type="gramEnd"/>
      <w:r>
        <w:t xml:space="preserve"> commonalities and convergent spaces.</w:t>
      </w:r>
      <w:r>
        <w:t xml:space="preserve"> </w:t>
      </w:r>
      <w:r>
        <w:t>The term ‘materialism’ has acquired different meanings. In the field of marketing, for instance, it is a value, where materialistic people or materialists accentuate the significance of material possessions and acquiring them (</w:t>
      </w:r>
      <w:proofErr w:type="spellStart"/>
      <w:r>
        <w:t>Sunyee</w:t>
      </w:r>
      <w:proofErr w:type="spellEnd"/>
      <w:r>
        <w:t xml:space="preserve"> and </w:t>
      </w:r>
      <w:proofErr w:type="spellStart"/>
      <w:r>
        <w:t>Hyeongmin</w:t>
      </w:r>
      <w:proofErr w:type="spellEnd"/>
      <w:r>
        <w:t xml:space="preserve"> Christian 2016). The usage of the term ‘materialism’ in this article is employed in a more analytical sense and better aligned with an analytic Marxist meaning of the term. This meaning is associated with such theoretical developments as historical materialism and related to the Marxist theory of capitalism (Bukharin 2011). The word materialism in this article broadly relates to the analysis and critique of economic redistribution in society and economic structures, such as the way property is owned or the division of labour. This is relevant given the focus within this article on economic recession and the distribution of capital in society.</w:t>
      </w:r>
    </w:p>
    <w:p w:rsidR="000E087D" w:rsidRDefault="000E087D" w:rsidP="001C62B6">
      <w:pPr>
        <w:spacing w:after="0"/>
        <w:ind w:firstLine="720"/>
        <w:jc w:val="both"/>
      </w:pPr>
      <w:r>
        <w:t xml:space="preserve">Nonetheless, this usage of the term is not entirely divorced from its counterpart notion of material reality, maintaining links through the philosophy of materialism. This philosophy ultimately considers matter to be something that exists beyond human perception. It dictates, for instance, that waves crashing against the shore will do so with the same sound and effect </w:t>
      </w:r>
      <w:proofErr w:type="gramStart"/>
      <w:r>
        <w:t>whether or not</w:t>
      </w:r>
      <w:proofErr w:type="gramEnd"/>
      <w:r>
        <w:t xml:space="preserve"> humans are in observation – in this sense, the world of objects exists outside that of human perception. This understanding of the world can then fit coherently with, rather than being contradictive of, the former explanation of the term materialism (</w:t>
      </w:r>
      <w:proofErr w:type="spellStart"/>
      <w:r>
        <w:t>Morera</w:t>
      </w:r>
      <w:proofErr w:type="spellEnd"/>
      <w:r>
        <w:t xml:space="preserve"> 2014).</w:t>
      </w:r>
    </w:p>
    <w:p w:rsidR="000E087D" w:rsidRDefault="000E087D" w:rsidP="000E087D">
      <w:pPr>
        <w:spacing w:after="0"/>
        <w:ind w:firstLine="720"/>
        <w:jc w:val="both"/>
      </w:pPr>
      <w:r>
        <w:t>Finally, the term ‘material reality’ is employed as a reference to matter as a physical actuality. Material reality is then juxtaposed against other non-material considerations such as culture and discourses. The purpose of this is to discuss the implications of critical disability studies’ alleged preoccupation with cultural, lingual and discursive matters; a preoccupation</w:t>
      </w:r>
      <w:r w:rsidR="001C62B6">
        <w:t xml:space="preserve"> </w:t>
      </w:r>
      <w:r>
        <w:t>that translates into some detachment from the realm of physical matter (Feely 2016). The argument is that in times of economic austerity, the focus of disability scholars on non-material concerns such as culture and language may diminish the relevance of their work to the concerns of disabled people who endure material deprivation within the adverse effects of austerity.</w:t>
      </w:r>
    </w:p>
    <w:p w:rsidR="000E087D" w:rsidRPr="000E087D" w:rsidRDefault="000E087D" w:rsidP="000E087D">
      <w:pPr>
        <w:jc w:val="both"/>
        <w:rPr>
          <w:b/>
        </w:rPr>
      </w:pPr>
    </w:p>
    <w:p w:rsidR="000E087D" w:rsidRPr="000E087D" w:rsidRDefault="000E087D" w:rsidP="000E087D">
      <w:pPr>
        <w:jc w:val="both"/>
        <w:rPr>
          <w:b/>
        </w:rPr>
      </w:pPr>
      <w:r w:rsidRPr="000E087D">
        <w:rPr>
          <w:b/>
        </w:rPr>
        <w:t>Critical disability studies as a perspective on economic recession</w:t>
      </w:r>
    </w:p>
    <w:p w:rsidR="000E087D" w:rsidRDefault="000E087D" w:rsidP="000E087D">
      <w:pPr>
        <w:spacing w:after="0"/>
        <w:jc w:val="both"/>
      </w:pPr>
      <w:r>
        <w:t>One could argue that critical disability studies is useful in contemplating recession on two levels. In a rudimentary sense, it offers a relatively new approach that stimulates the pro- duction of critical thinking (</w:t>
      </w:r>
      <w:proofErr w:type="spellStart"/>
      <w:r>
        <w:t>Meekosha</w:t>
      </w:r>
      <w:proofErr w:type="spellEnd"/>
      <w:r>
        <w:t xml:space="preserve"> and Shuttleworth 2009; </w:t>
      </w:r>
      <w:proofErr w:type="spellStart"/>
      <w:r>
        <w:t>Shildrick</w:t>
      </w:r>
      <w:proofErr w:type="spellEnd"/>
      <w:r>
        <w:t xml:space="preserve"> 2012), in some ways less constrained than older models of thought. Critical disability studies, for instance, partly came into being as liberation from the tensions related to the reaction to the more dictatorial Marxism and economic determinism associated with the social model (</w:t>
      </w:r>
      <w:proofErr w:type="spellStart"/>
      <w:r>
        <w:t>Meekosha</w:t>
      </w:r>
      <w:proofErr w:type="spellEnd"/>
      <w:r>
        <w:t xml:space="preserve"> and Shuttleworth 2009). Critical disability studies </w:t>
      </w:r>
      <w:proofErr w:type="gramStart"/>
      <w:r>
        <w:lastRenderedPageBreak/>
        <w:t>expands</w:t>
      </w:r>
      <w:proofErr w:type="gramEnd"/>
      <w:r>
        <w:t xml:space="preserve"> the boundaries of knowledge in a liberating way by provoking both the asking of new questions and interrogation of old answers (</w:t>
      </w:r>
      <w:proofErr w:type="spellStart"/>
      <w:r>
        <w:t>Shildrick</w:t>
      </w:r>
      <w:proofErr w:type="spellEnd"/>
      <w:r>
        <w:t xml:space="preserve"> 2012). On a second level, it also generates a different kind of knowledge that is by its nature then ‘marketable’ in different intellectual spaces. In this sense, the social model’s materialist focus was fundamental in promoting socio-political activism through attracting the politically minded seeking answers outside of biological reductionism (Goodley 2011). Similarly, the critical disability studies perspective, through its positioning within wider debates on disability, broadens the theorisation of both recession and disability beyond socio-political activism. It brings the critique of recession and disability into a new focus by taking a more contemporary and nuanced perspective through avenues such as post-structural, post-conventional and post-modernist thinking (</w:t>
      </w:r>
      <w:proofErr w:type="spellStart"/>
      <w:r>
        <w:t>Shildrick</w:t>
      </w:r>
      <w:proofErr w:type="spellEnd"/>
      <w:r>
        <w:t xml:space="preserve"> 2012).</w:t>
      </w:r>
    </w:p>
    <w:p w:rsidR="000E087D" w:rsidRDefault="000E087D" w:rsidP="000E087D">
      <w:pPr>
        <w:ind w:firstLine="720"/>
        <w:jc w:val="both"/>
      </w:pPr>
      <w:r>
        <w:t xml:space="preserve">In expanding this </w:t>
      </w:r>
      <w:proofErr w:type="gramStart"/>
      <w:r>
        <w:t>argument</w:t>
      </w:r>
      <w:proofErr w:type="gramEnd"/>
      <w:r>
        <w:t xml:space="preserve"> a little more, Sheldon (2009) highlights how some disability studies’ scholars have drawn upon Marxist economics in order to reflect upon the social location of people with impairments and significant shifts in the mode of production. This response to recession, she claims, is mournfully underdeveloped and broadly saturated with post-modernist writings considered to be less pressing than ‘real’ issues of access or cutbacks to payments and supports. Yet Sheldon says that, in the context of recession, the causal relationship between global economy and the oppression of disabled people has never been more important to convey at political and intellectual levels. It is here, Sheldon concedes, that more nuanced post-modernist statements, under the Marxist economics umbrella, constitute an invaluable framework for understanding economic recession within political and intellectual realms. Indeed overall, according to </w:t>
      </w:r>
      <w:proofErr w:type="spellStart"/>
      <w:r>
        <w:t>Groce</w:t>
      </w:r>
      <w:proofErr w:type="spellEnd"/>
      <w:r>
        <w:t xml:space="preserve"> et al. (2011), the relationship between disability and poverty is one that is under-researched and poorly understood. The use of critique as a mechanism of critical disability studies allows for the destabilisation of concepts such as ‘disability’ that extend as far as questioning the very fundamentals of disability studies itself (</w:t>
      </w:r>
      <w:proofErr w:type="spellStart"/>
      <w:r>
        <w:t>Meekosha</w:t>
      </w:r>
      <w:proofErr w:type="spellEnd"/>
      <w:r>
        <w:t xml:space="preserve"> and Shuttleworth 2009; </w:t>
      </w:r>
      <w:proofErr w:type="spellStart"/>
      <w:r>
        <w:t>Shildrick</w:t>
      </w:r>
      <w:proofErr w:type="spellEnd"/>
      <w:r>
        <w:t xml:space="preserve"> 2012). In this way, critique provides a standpoint to better understand the relationship between disability and poverty. Critical disability studies and new avenues such as post-conventional and post-modernist theories offer novel ways of considering disability that </w:t>
      </w:r>
      <w:proofErr w:type="spellStart"/>
      <w:r>
        <w:t>Shildrick</w:t>
      </w:r>
      <w:proofErr w:type="spellEnd"/>
      <w:r>
        <w:t xml:space="preserve"> (2012) advises do have material application. At the same time, this is not to make the case that older models, for instance the social model, are wrong and should be substituted. Rather, it</w:t>
      </w:r>
      <w:r w:rsidRPr="000E087D">
        <w:t xml:space="preserve"> </w:t>
      </w:r>
      <w:r>
        <w:t>is the contention that critical disability studies can meaningfully progress understandings of economic processes and events.</w:t>
      </w:r>
    </w:p>
    <w:p w:rsidR="000E087D" w:rsidRDefault="000E087D" w:rsidP="000E087D">
      <w:pPr>
        <w:jc w:val="both"/>
      </w:pPr>
    </w:p>
    <w:p w:rsidR="000E087D" w:rsidRPr="000E087D" w:rsidRDefault="000E087D" w:rsidP="000E087D">
      <w:pPr>
        <w:jc w:val="both"/>
        <w:rPr>
          <w:b/>
        </w:rPr>
      </w:pPr>
      <w:r w:rsidRPr="000E087D">
        <w:rPr>
          <w:b/>
        </w:rPr>
        <w:t>Critical disability studies’ detachment from materialism and material reality</w:t>
      </w:r>
    </w:p>
    <w:p w:rsidR="000E087D" w:rsidRDefault="000E087D" w:rsidP="000E087D">
      <w:pPr>
        <w:spacing w:after="0"/>
        <w:jc w:val="both"/>
      </w:pPr>
      <w:r>
        <w:t xml:space="preserve">Critical disability studies’ detachment from both materialism and material reality brings with </w:t>
      </w:r>
      <w:proofErr w:type="gramStart"/>
      <w:r>
        <w:t>it</w:t>
      </w:r>
      <w:proofErr w:type="gramEnd"/>
      <w:r>
        <w:t xml:space="preserve"> opportunities as well as constraints. Overall, the critical disability studies perspective is concerned with the creation of ideologies that impinge upon disability (</w:t>
      </w:r>
      <w:proofErr w:type="spellStart"/>
      <w:r>
        <w:t>Vehmas</w:t>
      </w:r>
      <w:proofErr w:type="spellEnd"/>
      <w:r>
        <w:t xml:space="preserve"> and Watson 2014). Mark </w:t>
      </w:r>
      <w:proofErr w:type="spellStart"/>
      <w:r>
        <w:t>Preistley</w:t>
      </w:r>
      <w:proofErr w:type="spellEnd"/>
      <w:r>
        <w:t xml:space="preserve">, back in 1998, advocated for a fourfold typology that encompassed not only the binary divide between individual and social models of disability, but also an </w:t>
      </w:r>
      <w:proofErr w:type="spellStart"/>
      <w:r>
        <w:t>oppo</w:t>
      </w:r>
      <w:proofErr w:type="spellEnd"/>
      <w:r>
        <w:t xml:space="preserve">- </w:t>
      </w:r>
      <w:proofErr w:type="spellStart"/>
      <w:r>
        <w:t>sitional</w:t>
      </w:r>
      <w:proofErr w:type="spellEnd"/>
      <w:r>
        <w:t xml:space="preserve"> dualism between materialistic and idealistic dimensions. Here are highlighted the poles of opposition between materialist analyses primarily Marxian in nature that emphasise the centrality of economy in influencing culture, and, in contrast, idealistic primarily Weberian analyses. Because critical disability studies </w:t>
      </w:r>
      <w:proofErr w:type="gramStart"/>
      <w:r>
        <w:t>takes</w:t>
      </w:r>
      <w:proofErr w:type="gramEnd"/>
      <w:r>
        <w:t xml:space="preserve"> as its foremost objective the deconstruction of ideas and idealisms of disability (</w:t>
      </w:r>
      <w:proofErr w:type="spellStart"/>
      <w:r>
        <w:t>Vehmas</w:t>
      </w:r>
      <w:proofErr w:type="spellEnd"/>
      <w:r>
        <w:t xml:space="preserve"> and Watson 2014), critical disability studies then reconfigures the theorisation of disability and impairment away from materialist prerogatives.</w:t>
      </w:r>
    </w:p>
    <w:p w:rsidR="000E087D" w:rsidRDefault="000E087D" w:rsidP="000E087D">
      <w:pPr>
        <w:spacing w:after="0"/>
        <w:ind w:firstLine="720"/>
        <w:jc w:val="both"/>
      </w:pPr>
      <w:r>
        <w:t xml:space="preserve">With this in mind, critical disability studies perhaps </w:t>
      </w:r>
      <w:proofErr w:type="gramStart"/>
      <w:r>
        <w:t>does</w:t>
      </w:r>
      <w:proofErr w:type="gramEnd"/>
      <w:r>
        <w:t xml:space="preserve"> not need to entirely embrace materialism, or indeed material reality, in seeking to address the negative effects of economic recession for disabled people. The work of Foucault offers some influence here. Foucault’s work on </w:t>
      </w:r>
      <w:r>
        <w:lastRenderedPageBreak/>
        <w:t xml:space="preserve">problematisation has influenced disability (Yates 2010) and critical disability scholars who seek to rupture, blur and interrogate common assumptions about disability. Critical disability studies </w:t>
      </w:r>
      <w:proofErr w:type="gramStart"/>
      <w:r>
        <w:t>has</w:t>
      </w:r>
      <w:proofErr w:type="gramEnd"/>
      <w:r>
        <w:t>, for instance, questioned modernist ideas of what constitutes the human body, through avenues such as examining prosthesis and technology, as a means not to compensate bodily lack, but rather to enhance beyond the ordinary human realm of potential (</w:t>
      </w:r>
      <w:proofErr w:type="spellStart"/>
      <w:r>
        <w:t>Shildrick</w:t>
      </w:r>
      <w:proofErr w:type="spellEnd"/>
      <w:r>
        <w:t xml:space="preserve"> 2013, 2015). Post-structuralist anti-dualists within critical disability studies seek to discard embedded binary opposites such as male/female or disabled/able-bodied (</w:t>
      </w:r>
      <w:proofErr w:type="spellStart"/>
      <w:r>
        <w:t>Vehmas</w:t>
      </w:r>
      <w:proofErr w:type="spellEnd"/>
      <w:r>
        <w:t xml:space="preserve"> and Watson 2014) through a consciousness of discourse and language. Despite the potential positives within these developments for the critique of economic recession, as will be expanded upon further, it would be remiss to portray them as entirely uncontested. </w:t>
      </w:r>
      <w:proofErr w:type="spellStart"/>
      <w:r>
        <w:t>Vehmas</w:t>
      </w:r>
      <w:proofErr w:type="spellEnd"/>
      <w:r>
        <w:t xml:space="preserve"> and Watson (2014) point out that the disability movement and its gains were founded and dependent upon a positive sense of difference. Yet, whilst not refuting that this difference exists, </w:t>
      </w:r>
      <w:proofErr w:type="gramStart"/>
      <w:r>
        <w:t>it would appear that critical</w:t>
      </w:r>
      <w:proofErr w:type="gramEnd"/>
      <w:r>
        <w:t xml:space="preserve"> disability studies treats social group differences as though they are adverse and harmful. </w:t>
      </w:r>
      <w:proofErr w:type="spellStart"/>
      <w:r>
        <w:t>Vehmas</w:t>
      </w:r>
      <w:proofErr w:type="spellEnd"/>
      <w:r>
        <w:t xml:space="preserve"> and Watson (2014) further contend that this is not necessarily helpful, because one would be challenged to envision or articulate how a society without group differences could even manifest. Further, they assert that eradicating such differences </w:t>
      </w:r>
      <w:proofErr w:type="gramStart"/>
      <w:r>
        <w:t>in itself would</w:t>
      </w:r>
      <w:proofErr w:type="gramEnd"/>
      <w:r>
        <w:t xml:space="preserve"> not bring about tangible change and therefore is neither ethically nor politically helpful.</w:t>
      </w:r>
    </w:p>
    <w:p w:rsidR="000E087D" w:rsidRPr="000E087D" w:rsidRDefault="000E087D" w:rsidP="000E087D">
      <w:pPr>
        <w:spacing w:after="0"/>
        <w:ind w:firstLine="720"/>
        <w:jc w:val="both"/>
      </w:pPr>
      <w:r>
        <w:t xml:space="preserve">Whilst acknowledging </w:t>
      </w:r>
      <w:proofErr w:type="spellStart"/>
      <w:r>
        <w:t>Vehmas</w:t>
      </w:r>
      <w:proofErr w:type="spellEnd"/>
      <w:r>
        <w:t xml:space="preserve"> and Watson’s critical insights, </w:t>
      </w:r>
      <w:proofErr w:type="gramStart"/>
      <w:r>
        <w:t>it would appear that deconstructing</w:t>
      </w:r>
      <w:proofErr w:type="gramEnd"/>
      <w:r>
        <w:t xml:space="preserve"> differences might bring with it some possibilities. Although affiliated to, but notably distancing himself from, post-structuralist and post-modernist enterprises (</w:t>
      </w:r>
      <w:proofErr w:type="spellStart"/>
      <w:r>
        <w:t>Tremain</w:t>
      </w:r>
      <w:proofErr w:type="spellEnd"/>
      <w:r>
        <w:t xml:space="preserve"> 2005), Foucault – alongside contributions from Judith Butler (Salih and Butler 2004) – has had a significant influence upon critical disability studies (</w:t>
      </w:r>
      <w:proofErr w:type="spellStart"/>
      <w:r>
        <w:t>Shildrick</w:t>
      </w:r>
      <w:proofErr w:type="spellEnd"/>
      <w:r>
        <w:t xml:space="preserve"> 2012) and is in this sense often juxtaposed against perspectives on material reality. Despite the notable detachment in such critical disability studies from material reality, post-structuralism may still be usefully mobilised to better understand the effects of recession – more specifically, interrogating the</w:t>
      </w:r>
      <w:r w:rsidRPr="000E087D">
        <w:t xml:space="preserve"> </w:t>
      </w:r>
      <w:r>
        <w:t>underlying premises of capitalism, and of neo-liberalism as a doctrine that has been broadly established to be damaging for disabled people in the face of economic crisis (Harris, Owen, and Gould 2011). Doing so is not to form a simple expression of what Ganev (2005, 345) refers to as the</w:t>
      </w:r>
      <w:r w:rsidR="001C62B6">
        <w:t xml:space="preserve"> </w:t>
      </w:r>
      <w:r>
        <w:t xml:space="preserve">‘anti-neoliberal orthodoxy’ in modern academia. Nor is it to drive discussions of the implications of the recession to a realm too abstract to have potency or practical relevance for disabled people and their allies. Rather, as will be explained further, post-structuralism can contest essentialist categories upon which neo-liberalism is dependent </w:t>
      </w:r>
      <w:proofErr w:type="gramStart"/>
      <w:r>
        <w:t>and in this way</w:t>
      </w:r>
      <w:proofErr w:type="gramEnd"/>
      <w:r>
        <w:t xml:space="preserve"> undermine its </w:t>
      </w:r>
      <w:r w:rsidRPr="000E087D">
        <w:t>foundations.</w:t>
      </w:r>
    </w:p>
    <w:p w:rsidR="000E087D" w:rsidRPr="000E087D" w:rsidRDefault="000E087D" w:rsidP="000E087D">
      <w:pPr>
        <w:spacing w:after="0"/>
        <w:ind w:firstLine="720"/>
        <w:jc w:val="both"/>
      </w:pPr>
      <w:r w:rsidRPr="000E087D">
        <w:t xml:space="preserve">The doctrine of neo-liberalism has been an important focus of critique for disability scholars, particularly social </w:t>
      </w:r>
      <w:proofErr w:type="spellStart"/>
      <w:r w:rsidRPr="000E087D">
        <w:t>modellists</w:t>
      </w:r>
      <w:proofErr w:type="spellEnd"/>
      <w:r w:rsidRPr="000E087D">
        <w:t xml:space="preserve"> seeking to understand how capitalism becomes constraining for disabled people (</w:t>
      </w:r>
      <w:proofErr w:type="spellStart"/>
      <w:r w:rsidRPr="000E087D">
        <w:t>Mladenov</w:t>
      </w:r>
      <w:proofErr w:type="spellEnd"/>
      <w:r w:rsidRPr="000E087D">
        <w:t xml:space="preserve"> 2015). Nevertheless, the relationship between neo-liberalism and recession is one in which the neo-liberalist approach broadly benefits. Neo-liberalism is presented as being a solution to economic crisis, going against the evidence that suggests its culpability in initially bringing about the crisis (Flynn 2016; Peck, Theodore, and Brenner 2012). Perhaps regrettably, the traditional critical focus on neo-liberalism and capitalism within the social model has been somewhat lost on critical disability studies. Yet critical disability studies’ own focus on the self and the ‘Other’ (Goodley 2013) is optimally equipped to blur and undermine the distinction between disabled and non-disabled people. This theoretical armament can then be mobilised usefully against the underpinnings of capitalist ideology. For instance, </w:t>
      </w:r>
      <w:proofErr w:type="spellStart"/>
      <w:r w:rsidRPr="000E087D">
        <w:t>Erevelles</w:t>
      </w:r>
      <w:proofErr w:type="spellEnd"/>
      <w:r w:rsidRPr="000E087D">
        <w:t xml:space="preserve"> (2014) posits that without the concept of a liberated and autonomous social actor, capitalism cannot defend its social and economic arrangements. When disabled people resist characterisation into deviant exceptions, they begin to cloud the water of the capitalist ‘free’ social actor/subject. This exposes cracks in the system; the systemic sources of exclusion.</w:t>
      </w:r>
    </w:p>
    <w:p w:rsidR="000E087D" w:rsidRDefault="000E087D" w:rsidP="000E087D">
      <w:pPr>
        <w:spacing w:after="0"/>
        <w:ind w:firstLine="720"/>
        <w:jc w:val="both"/>
      </w:pPr>
      <w:r w:rsidRPr="000E087D">
        <w:t xml:space="preserve">Yet the tensions in the relationship between materialism/Marxism and critical disability studies are very real. According to </w:t>
      </w:r>
      <w:proofErr w:type="spellStart"/>
      <w:r w:rsidRPr="000E087D">
        <w:t>Vehmas</w:t>
      </w:r>
      <w:proofErr w:type="spellEnd"/>
      <w:r w:rsidRPr="000E087D">
        <w:t xml:space="preserve"> and Watson (2014), critical disability studies </w:t>
      </w:r>
      <w:proofErr w:type="gramStart"/>
      <w:r w:rsidRPr="000E087D">
        <w:t>actually arose</w:t>
      </w:r>
      <w:proofErr w:type="gramEnd"/>
      <w:r w:rsidRPr="000E087D">
        <w:t xml:space="preserve"> </w:t>
      </w:r>
      <w:r w:rsidRPr="000E087D">
        <w:lastRenderedPageBreak/>
        <w:t xml:space="preserve">originally as a challenge to the materialist/Marxist conventions of traditional dis- ability scholarship. Ostensibly, this presents difficulties for the present analysis because ultimately one would be challenged in seeking to theorise economic recession and disability, without an engagement with Marxism (Goodley 2011). At the same time, in the tradition of critical disability scholarship, it is important to avoid being lured here towards a subtle relegation to basic essentialism and binary opposition. For instance, according to Fuss (1989) within essentialist ways of thinking, it is presumed that for every article or entity (e.g. a female body) there is an array or selection of absolute essential characteristics which it must possess (Butler 2011; Colligan 1999; Feely 2016; Fuss 1989). Critical disability studies </w:t>
      </w:r>
      <w:proofErr w:type="gramStart"/>
      <w:r w:rsidRPr="000E087D">
        <w:t>tries</w:t>
      </w:r>
      <w:proofErr w:type="gramEnd"/>
      <w:r w:rsidRPr="000E087D">
        <w:t xml:space="preserve"> to oppose this way of thinking, in the same sense as feminism has contested biological essentialism to refute the assumption that biology must equal destiny (Butler 2011). Critical disability studies </w:t>
      </w:r>
      <w:proofErr w:type="gramStart"/>
      <w:r w:rsidRPr="000E087D">
        <w:t>tries</w:t>
      </w:r>
      <w:proofErr w:type="gramEnd"/>
      <w:r w:rsidRPr="000E087D">
        <w:t xml:space="preserve"> to avoid thinking in dichotomous terms; for example, male/female, black/white or dis- abled/able-bodied (Goodley 2013; </w:t>
      </w:r>
      <w:proofErr w:type="spellStart"/>
      <w:r w:rsidRPr="000E087D">
        <w:t>Shildrick</w:t>
      </w:r>
      <w:proofErr w:type="spellEnd"/>
      <w:r w:rsidRPr="000E087D">
        <w:t xml:space="preserve"> 2012).</w:t>
      </w:r>
    </w:p>
    <w:p w:rsidR="000E087D" w:rsidRPr="000E087D" w:rsidRDefault="000E087D" w:rsidP="000E087D">
      <w:pPr>
        <w:spacing w:after="0"/>
        <w:ind w:firstLine="720"/>
        <w:jc w:val="both"/>
      </w:pPr>
      <w:proofErr w:type="gramStart"/>
      <w:r w:rsidRPr="000E087D">
        <w:t>With this in mind, it</w:t>
      </w:r>
      <w:proofErr w:type="gramEnd"/>
      <w:r w:rsidRPr="000E087D">
        <w:t xml:space="preserve"> is perhaps not beneficial within the politics of theory to readily reduce oneself to essentialist understandings or oppositional dualisms either (e.g. social constructionism versus essentialism). Rather, critical disability scholarship must maintain attention to ‘political, ontological and theoretical complexity’ (Goodley 2011, 157). Goodley, for instance, explains how early critical disability studies retained a Marxist stance. Whilst pre- serving the perspective that disability is essentially a socio-economic issue, it sought to develop and address the aspect of disability that is relational, and within this the</w:t>
      </w:r>
      <w:r w:rsidRPr="000E087D">
        <w:t xml:space="preserve"> </w:t>
      </w:r>
      <w:proofErr w:type="spellStart"/>
      <w:r w:rsidRPr="000E087D">
        <w:t>marginalisation</w:t>
      </w:r>
      <w:proofErr w:type="spellEnd"/>
      <w:r w:rsidRPr="000E087D">
        <w:t xml:space="preserve"> born from social practices between disabled and non-disabled people. As critical</w:t>
      </w:r>
      <w:r w:rsidRPr="000E087D">
        <w:rPr>
          <w:spacing w:val="-13"/>
        </w:rPr>
        <w:t xml:space="preserve"> </w:t>
      </w:r>
      <w:r w:rsidRPr="000E087D">
        <w:t>disability</w:t>
      </w:r>
      <w:r w:rsidRPr="000E087D">
        <w:rPr>
          <w:spacing w:val="-13"/>
        </w:rPr>
        <w:t xml:space="preserve"> </w:t>
      </w:r>
      <w:r w:rsidRPr="000E087D">
        <w:t>scholarship</w:t>
      </w:r>
      <w:r w:rsidRPr="000E087D">
        <w:rPr>
          <w:spacing w:val="-12"/>
        </w:rPr>
        <w:t xml:space="preserve"> </w:t>
      </w:r>
      <w:r w:rsidRPr="000E087D">
        <w:t>has</w:t>
      </w:r>
      <w:r w:rsidRPr="000E087D">
        <w:rPr>
          <w:spacing w:val="-13"/>
        </w:rPr>
        <w:t xml:space="preserve"> </w:t>
      </w:r>
      <w:r w:rsidRPr="000E087D">
        <w:t>evolved,</w:t>
      </w:r>
      <w:r w:rsidRPr="000E087D">
        <w:rPr>
          <w:spacing w:val="-13"/>
        </w:rPr>
        <w:t xml:space="preserve"> </w:t>
      </w:r>
      <w:r w:rsidRPr="000E087D">
        <w:t>a</w:t>
      </w:r>
      <w:r w:rsidRPr="000E087D">
        <w:rPr>
          <w:spacing w:val="-12"/>
        </w:rPr>
        <w:t xml:space="preserve"> </w:t>
      </w:r>
      <w:r w:rsidRPr="000E087D">
        <w:t>distancing</w:t>
      </w:r>
      <w:r w:rsidRPr="000E087D">
        <w:rPr>
          <w:spacing w:val="-13"/>
        </w:rPr>
        <w:t xml:space="preserve"> </w:t>
      </w:r>
      <w:r w:rsidRPr="000E087D">
        <w:t>from</w:t>
      </w:r>
      <w:r w:rsidRPr="000E087D">
        <w:rPr>
          <w:spacing w:val="-13"/>
        </w:rPr>
        <w:t xml:space="preserve"> </w:t>
      </w:r>
      <w:r w:rsidRPr="000E087D">
        <w:t>the</w:t>
      </w:r>
      <w:r w:rsidRPr="000E087D">
        <w:rPr>
          <w:spacing w:val="-12"/>
        </w:rPr>
        <w:t xml:space="preserve"> </w:t>
      </w:r>
      <w:r w:rsidRPr="000E087D">
        <w:t>materialist</w:t>
      </w:r>
      <w:r w:rsidRPr="000E087D">
        <w:rPr>
          <w:spacing w:val="-13"/>
        </w:rPr>
        <w:t xml:space="preserve"> </w:t>
      </w:r>
      <w:r w:rsidRPr="000E087D">
        <w:t>agenda</w:t>
      </w:r>
      <w:r w:rsidRPr="000E087D">
        <w:rPr>
          <w:spacing w:val="-13"/>
        </w:rPr>
        <w:t xml:space="preserve"> </w:t>
      </w:r>
      <w:r w:rsidRPr="000E087D">
        <w:t>is</w:t>
      </w:r>
      <w:r w:rsidRPr="000E087D">
        <w:rPr>
          <w:spacing w:val="-12"/>
        </w:rPr>
        <w:t xml:space="preserve"> </w:t>
      </w:r>
      <w:r w:rsidRPr="000E087D">
        <w:t xml:space="preserve">palpable because it opens itself more to new possibilities, such as post-modernism (Goodley </w:t>
      </w:r>
      <w:hyperlink w:anchor="_bookmark105" w:history="1">
        <w:r w:rsidRPr="000E087D">
          <w:t>2011</w:t>
        </w:r>
      </w:hyperlink>
      <w:r w:rsidRPr="000E087D">
        <w:t>). Nevertheless,</w:t>
      </w:r>
      <w:r w:rsidRPr="000E087D">
        <w:rPr>
          <w:spacing w:val="-9"/>
        </w:rPr>
        <w:t xml:space="preserve"> </w:t>
      </w:r>
      <w:proofErr w:type="gramStart"/>
      <w:r w:rsidRPr="000E087D">
        <w:t>it</w:t>
      </w:r>
      <w:r w:rsidRPr="000E087D">
        <w:rPr>
          <w:spacing w:val="-9"/>
        </w:rPr>
        <w:t xml:space="preserve"> </w:t>
      </w:r>
      <w:r w:rsidRPr="000E087D">
        <w:t>is</w:t>
      </w:r>
      <w:r w:rsidRPr="000E087D">
        <w:rPr>
          <w:spacing w:val="-9"/>
        </w:rPr>
        <w:t xml:space="preserve"> </w:t>
      </w:r>
      <w:r w:rsidRPr="000E087D">
        <w:t>clear</w:t>
      </w:r>
      <w:r w:rsidRPr="000E087D">
        <w:rPr>
          <w:spacing w:val="-9"/>
        </w:rPr>
        <w:t xml:space="preserve"> </w:t>
      </w:r>
      <w:r w:rsidRPr="000E087D">
        <w:t>that</w:t>
      </w:r>
      <w:r w:rsidRPr="000E087D">
        <w:rPr>
          <w:spacing w:val="-9"/>
        </w:rPr>
        <w:t xml:space="preserve"> </w:t>
      </w:r>
      <w:r w:rsidRPr="000E087D">
        <w:t>critical</w:t>
      </w:r>
      <w:proofErr w:type="gramEnd"/>
      <w:r w:rsidRPr="000E087D">
        <w:rPr>
          <w:spacing w:val="-9"/>
        </w:rPr>
        <w:t xml:space="preserve"> </w:t>
      </w:r>
      <w:r w:rsidRPr="000E087D">
        <w:t>disability</w:t>
      </w:r>
      <w:r w:rsidRPr="000E087D">
        <w:rPr>
          <w:spacing w:val="-8"/>
        </w:rPr>
        <w:t xml:space="preserve"> </w:t>
      </w:r>
      <w:r w:rsidRPr="000E087D">
        <w:t>studies</w:t>
      </w:r>
      <w:r w:rsidRPr="000E087D">
        <w:rPr>
          <w:spacing w:val="-9"/>
        </w:rPr>
        <w:t xml:space="preserve"> </w:t>
      </w:r>
      <w:r w:rsidRPr="000E087D">
        <w:t>can</w:t>
      </w:r>
      <w:r w:rsidRPr="000E087D">
        <w:rPr>
          <w:spacing w:val="-9"/>
        </w:rPr>
        <w:t xml:space="preserve"> </w:t>
      </w:r>
      <w:r w:rsidRPr="000E087D">
        <w:t>negotiate</w:t>
      </w:r>
      <w:r w:rsidRPr="000E087D">
        <w:rPr>
          <w:spacing w:val="-9"/>
        </w:rPr>
        <w:t xml:space="preserve"> </w:t>
      </w:r>
      <w:r w:rsidRPr="000E087D">
        <w:t>its</w:t>
      </w:r>
      <w:r w:rsidRPr="000E087D">
        <w:rPr>
          <w:spacing w:val="-9"/>
        </w:rPr>
        <w:t xml:space="preserve"> </w:t>
      </w:r>
      <w:r w:rsidRPr="000E087D">
        <w:t>inherent</w:t>
      </w:r>
      <w:r w:rsidRPr="000E087D">
        <w:rPr>
          <w:spacing w:val="-9"/>
        </w:rPr>
        <w:t xml:space="preserve"> </w:t>
      </w:r>
      <w:r w:rsidRPr="000E087D">
        <w:t>tensions</w:t>
      </w:r>
      <w:r w:rsidRPr="000E087D">
        <w:rPr>
          <w:spacing w:val="-9"/>
        </w:rPr>
        <w:t xml:space="preserve"> </w:t>
      </w:r>
      <w:r w:rsidRPr="000E087D">
        <w:t xml:space="preserve">with materialism, present in its particular modus operandi, without being forced </w:t>
      </w:r>
      <w:bookmarkStart w:id="6" w:name="_bookmark41"/>
      <w:bookmarkEnd w:id="6"/>
      <w:r w:rsidRPr="000E087D">
        <w:t>to abandon materialist</w:t>
      </w:r>
      <w:r w:rsidRPr="000E087D">
        <w:rPr>
          <w:spacing w:val="-25"/>
        </w:rPr>
        <w:t xml:space="preserve"> </w:t>
      </w:r>
      <w:r w:rsidRPr="000E087D">
        <w:t>Marxism</w:t>
      </w:r>
      <w:r w:rsidRPr="000E087D">
        <w:rPr>
          <w:spacing w:val="-24"/>
        </w:rPr>
        <w:t xml:space="preserve"> </w:t>
      </w:r>
      <w:r w:rsidRPr="000E087D">
        <w:t>altogether.</w:t>
      </w:r>
      <w:r w:rsidRPr="000E087D">
        <w:rPr>
          <w:spacing w:val="-24"/>
        </w:rPr>
        <w:t xml:space="preserve"> </w:t>
      </w:r>
      <w:proofErr w:type="spellStart"/>
      <w:r w:rsidRPr="000E087D">
        <w:t>McRuer</w:t>
      </w:r>
      <w:proofErr w:type="spellEnd"/>
      <w:r w:rsidRPr="000E087D">
        <w:rPr>
          <w:spacing w:val="-24"/>
        </w:rPr>
        <w:t xml:space="preserve"> </w:t>
      </w:r>
      <w:r w:rsidRPr="000E087D">
        <w:t>(</w:t>
      </w:r>
      <w:hyperlink w:anchor="_bookmark119" w:history="1">
        <w:r w:rsidRPr="000E087D">
          <w:t>2006</w:t>
        </w:r>
      </w:hyperlink>
      <w:r w:rsidRPr="000E087D">
        <w:t>),</w:t>
      </w:r>
      <w:r w:rsidRPr="000E087D">
        <w:rPr>
          <w:spacing w:val="-24"/>
        </w:rPr>
        <w:t xml:space="preserve"> </w:t>
      </w:r>
      <w:r w:rsidRPr="000E087D">
        <w:t>for</w:t>
      </w:r>
      <w:r w:rsidRPr="000E087D">
        <w:rPr>
          <w:spacing w:val="-24"/>
        </w:rPr>
        <w:t xml:space="preserve"> </w:t>
      </w:r>
      <w:r w:rsidRPr="000E087D">
        <w:t>instance,</w:t>
      </w:r>
      <w:r w:rsidRPr="000E087D">
        <w:rPr>
          <w:spacing w:val="-25"/>
        </w:rPr>
        <w:t xml:space="preserve"> </w:t>
      </w:r>
      <w:r w:rsidRPr="000E087D">
        <w:t>associated</w:t>
      </w:r>
      <w:r w:rsidRPr="000E087D">
        <w:rPr>
          <w:spacing w:val="-24"/>
        </w:rPr>
        <w:t xml:space="preserve"> </w:t>
      </w:r>
      <w:r w:rsidRPr="000E087D">
        <w:t>with</w:t>
      </w:r>
      <w:r w:rsidRPr="000E087D">
        <w:rPr>
          <w:spacing w:val="-24"/>
        </w:rPr>
        <w:t xml:space="preserve"> </w:t>
      </w:r>
      <w:r w:rsidRPr="000E087D">
        <w:t>the</w:t>
      </w:r>
      <w:r w:rsidRPr="000E087D">
        <w:rPr>
          <w:spacing w:val="-24"/>
        </w:rPr>
        <w:t xml:space="preserve"> </w:t>
      </w:r>
      <w:r w:rsidRPr="000E087D">
        <w:t xml:space="preserve">development of Crip Theory, offers an example of an engagement with economics through a position of post-structuralism. Here </w:t>
      </w:r>
      <w:proofErr w:type="spellStart"/>
      <w:r w:rsidRPr="000E087D">
        <w:t>McRuer</w:t>
      </w:r>
      <w:proofErr w:type="spellEnd"/>
      <w:r w:rsidRPr="000E087D">
        <w:t xml:space="preserve"> adopts a cultural materialist perspective that is a hybrid blend of post-structuralist processes concerned with language and meanings, and a materialist agenda that seeks to link or anchor them to economic processes and</w:t>
      </w:r>
      <w:r w:rsidRPr="000E087D">
        <w:rPr>
          <w:spacing w:val="44"/>
        </w:rPr>
        <w:t xml:space="preserve"> </w:t>
      </w:r>
      <w:r w:rsidRPr="000E087D">
        <w:t>structures.</w:t>
      </w:r>
    </w:p>
    <w:p w:rsidR="000E087D" w:rsidRDefault="000E087D" w:rsidP="000E087D"/>
    <w:p w:rsidR="000E087D" w:rsidRPr="000E087D" w:rsidRDefault="000E087D" w:rsidP="000E087D">
      <w:pPr>
        <w:rPr>
          <w:b/>
        </w:rPr>
      </w:pPr>
      <w:bookmarkStart w:id="7" w:name="Materialism,_intersectionality_and_the_s"/>
      <w:bookmarkEnd w:id="7"/>
      <w:r w:rsidRPr="000E087D">
        <w:rPr>
          <w:b/>
          <w:w w:val="110"/>
        </w:rPr>
        <w:t>Materialism, intersectionality and the self and other</w:t>
      </w:r>
    </w:p>
    <w:p w:rsidR="000E087D" w:rsidRDefault="000E087D" w:rsidP="000E087D">
      <w:pPr>
        <w:spacing w:after="0"/>
        <w:jc w:val="both"/>
      </w:pPr>
      <w:r>
        <w:t xml:space="preserve">Thus </w:t>
      </w:r>
      <w:r>
        <w:rPr>
          <w:spacing w:val="-3"/>
        </w:rPr>
        <w:t xml:space="preserve">far, </w:t>
      </w:r>
      <w:r>
        <w:t xml:space="preserve">insights have been generated around the possibility of critical disability studies </w:t>
      </w:r>
      <w:r>
        <w:rPr>
          <w:spacing w:val="-6"/>
        </w:rPr>
        <w:t>as</w:t>
      </w:r>
      <w:r>
        <w:rPr>
          <w:spacing w:val="33"/>
        </w:rPr>
        <w:t xml:space="preserve"> </w:t>
      </w:r>
      <w:r>
        <w:t xml:space="preserve">a strategy for the analysis of economic problems faced by disabled people in times of austerity. The </w:t>
      </w:r>
      <w:proofErr w:type="gramStart"/>
      <w:r>
        <w:t>particular challenge</w:t>
      </w:r>
      <w:proofErr w:type="gramEnd"/>
      <w:r>
        <w:t xml:space="preserve"> addressed within this is how to reconcile the divide within disability studies between materialist and non-materialistic agendas (for instance, those focused</w:t>
      </w:r>
      <w:r>
        <w:rPr>
          <w:spacing w:val="-8"/>
        </w:rPr>
        <w:t xml:space="preserve"> </w:t>
      </w:r>
      <w:r>
        <w:t>on</w:t>
      </w:r>
      <w:r>
        <w:rPr>
          <w:spacing w:val="-7"/>
        </w:rPr>
        <w:t xml:space="preserve"> </w:t>
      </w:r>
      <w:r>
        <w:t>cultural,</w:t>
      </w:r>
      <w:r>
        <w:rPr>
          <w:spacing w:val="-7"/>
        </w:rPr>
        <w:t xml:space="preserve"> </w:t>
      </w:r>
      <w:r>
        <w:t>lingual</w:t>
      </w:r>
      <w:r>
        <w:rPr>
          <w:spacing w:val="-7"/>
        </w:rPr>
        <w:t xml:space="preserve"> </w:t>
      </w:r>
      <w:r>
        <w:t>and</w:t>
      </w:r>
      <w:r>
        <w:rPr>
          <w:spacing w:val="-7"/>
        </w:rPr>
        <w:t xml:space="preserve"> </w:t>
      </w:r>
      <w:r>
        <w:t>discursive</w:t>
      </w:r>
      <w:r>
        <w:rPr>
          <w:spacing w:val="-7"/>
        </w:rPr>
        <w:t xml:space="preserve"> </w:t>
      </w:r>
      <w:r>
        <w:t>issues).</w:t>
      </w:r>
      <w:r>
        <w:rPr>
          <w:spacing w:val="-7"/>
        </w:rPr>
        <w:t xml:space="preserve"> </w:t>
      </w:r>
      <w:r>
        <w:t>In</w:t>
      </w:r>
      <w:r>
        <w:rPr>
          <w:spacing w:val="-8"/>
        </w:rPr>
        <w:t xml:space="preserve"> </w:t>
      </w:r>
      <w:r>
        <w:t>the</w:t>
      </w:r>
      <w:r>
        <w:rPr>
          <w:spacing w:val="-7"/>
        </w:rPr>
        <w:t xml:space="preserve"> </w:t>
      </w:r>
      <w:r>
        <w:t>following</w:t>
      </w:r>
      <w:r>
        <w:rPr>
          <w:spacing w:val="-7"/>
        </w:rPr>
        <w:t xml:space="preserve"> </w:t>
      </w:r>
      <w:r>
        <w:t>sections,</w:t>
      </w:r>
      <w:r>
        <w:rPr>
          <w:spacing w:val="-7"/>
        </w:rPr>
        <w:t xml:space="preserve"> </w:t>
      </w:r>
      <w:proofErr w:type="gramStart"/>
      <w:r>
        <w:t>particular</w:t>
      </w:r>
      <w:r>
        <w:rPr>
          <w:spacing w:val="-7"/>
        </w:rPr>
        <w:t xml:space="preserve"> </w:t>
      </w:r>
      <w:r>
        <w:t>developments</w:t>
      </w:r>
      <w:proofErr w:type="gramEnd"/>
      <w:r>
        <w:t xml:space="preserve"> within critical disability studies referred to as intersectionality and as the self and other (Goodley </w:t>
      </w:r>
      <w:hyperlink w:anchor="_bookmark105" w:history="1">
        <w:r>
          <w:rPr>
            <w:color w:val="000080"/>
          </w:rPr>
          <w:t>2011</w:t>
        </w:r>
      </w:hyperlink>
      <w:r>
        <w:t xml:space="preserve">) are employed in order to progress this discussion. First, some justification will be offered for why these developments </w:t>
      </w:r>
      <w:proofErr w:type="gramStart"/>
      <w:r>
        <w:t>in particular were</w:t>
      </w:r>
      <w:proofErr w:type="gramEnd"/>
      <w:r>
        <w:t xml:space="preserve"> </w:t>
      </w:r>
      <w:proofErr w:type="spellStart"/>
      <w:r>
        <w:t>utilised</w:t>
      </w:r>
      <w:proofErr w:type="spellEnd"/>
      <w:r>
        <w:t>. This will be done</w:t>
      </w:r>
      <w:r>
        <w:rPr>
          <w:spacing w:val="-14"/>
        </w:rPr>
        <w:t xml:space="preserve"> </w:t>
      </w:r>
      <w:r>
        <w:t>by</w:t>
      </w:r>
      <w:r>
        <w:rPr>
          <w:spacing w:val="-13"/>
        </w:rPr>
        <w:t xml:space="preserve"> </w:t>
      </w:r>
      <w:r>
        <w:t>outlining</w:t>
      </w:r>
      <w:r>
        <w:rPr>
          <w:spacing w:val="-13"/>
        </w:rPr>
        <w:t xml:space="preserve"> </w:t>
      </w:r>
      <w:r>
        <w:t>the</w:t>
      </w:r>
      <w:r>
        <w:rPr>
          <w:spacing w:val="-13"/>
        </w:rPr>
        <w:t xml:space="preserve"> </w:t>
      </w:r>
      <w:proofErr w:type="gramStart"/>
      <w:r>
        <w:t>manner</w:t>
      </w:r>
      <w:r>
        <w:rPr>
          <w:spacing w:val="-13"/>
        </w:rPr>
        <w:t xml:space="preserve"> </w:t>
      </w:r>
      <w:r>
        <w:t>in</w:t>
      </w:r>
      <w:r>
        <w:rPr>
          <w:spacing w:val="-13"/>
        </w:rPr>
        <w:t xml:space="preserve"> </w:t>
      </w:r>
      <w:r>
        <w:t>which</w:t>
      </w:r>
      <w:proofErr w:type="gramEnd"/>
      <w:r>
        <w:rPr>
          <w:spacing w:val="-13"/>
        </w:rPr>
        <w:t xml:space="preserve"> </w:t>
      </w:r>
      <w:r>
        <w:t>they</w:t>
      </w:r>
      <w:r>
        <w:rPr>
          <w:spacing w:val="-13"/>
        </w:rPr>
        <w:t xml:space="preserve"> </w:t>
      </w:r>
      <w:r>
        <w:t>relate</w:t>
      </w:r>
      <w:r>
        <w:rPr>
          <w:spacing w:val="-14"/>
        </w:rPr>
        <w:t xml:space="preserve"> </w:t>
      </w:r>
      <w:r>
        <w:t>to</w:t>
      </w:r>
      <w:r>
        <w:rPr>
          <w:spacing w:val="-13"/>
        </w:rPr>
        <w:t xml:space="preserve"> </w:t>
      </w:r>
      <w:r>
        <w:t>materialism,</w:t>
      </w:r>
      <w:r>
        <w:rPr>
          <w:spacing w:val="-13"/>
        </w:rPr>
        <w:t xml:space="preserve"> </w:t>
      </w:r>
      <w:r>
        <w:t>as</w:t>
      </w:r>
      <w:r>
        <w:rPr>
          <w:spacing w:val="-13"/>
        </w:rPr>
        <w:t xml:space="preserve"> </w:t>
      </w:r>
      <w:r>
        <w:t>a</w:t>
      </w:r>
      <w:r>
        <w:rPr>
          <w:spacing w:val="-13"/>
        </w:rPr>
        <w:t xml:space="preserve"> </w:t>
      </w:r>
      <w:r>
        <w:t>key</w:t>
      </w:r>
      <w:r>
        <w:rPr>
          <w:spacing w:val="-13"/>
        </w:rPr>
        <w:t xml:space="preserve"> </w:t>
      </w:r>
      <w:r>
        <w:t>focus</w:t>
      </w:r>
      <w:r>
        <w:rPr>
          <w:spacing w:val="-13"/>
        </w:rPr>
        <w:t xml:space="preserve"> </w:t>
      </w:r>
      <w:r>
        <w:t>of</w:t>
      </w:r>
      <w:r>
        <w:rPr>
          <w:spacing w:val="-13"/>
        </w:rPr>
        <w:t xml:space="preserve"> </w:t>
      </w:r>
      <w:r>
        <w:t>the</w:t>
      </w:r>
      <w:r>
        <w:rPr>
          <w:spacing w:val="-14"/>
        </w:rPr>
        <w:t xml:space="preserve"> </w:t>
      </w:r>
      <w:r>
        <w:t>overall discussion.</w:t>
      </w:r>
    </w:p>
    <w:p w:rsidR="000E087D" w:rsidRDefault="000E087D" w:rsidP="000E087D">
      <w:pPr>
        <w:spacing w:after="0"/>
        <w:ind w:firstLine="720"/>
        <w:jc w:val="both"/>
      </w:pPr>
      <w:r>
        <w:t>Intersectionality</w:t>
      </w:r>
      <w:r>
        <w:rPr>
          <w:spacing w:val="-13"/>
        </w:rPr>
        <w:t xml:space="preserve"> </w:t>
      </w:r>
      <w:r>
        <w:t>has</w:t>
      </w:r>
      <w:r>
        <w:rPr>
          <w:spacing w:val="-13"/>
        </w:rPr>
        <w:t xml:space="preserve"> </w:t>
      </w:r>
      <w:r>
        <w:t>been</w:t>
      </w:r>
      <w:r>
        <w:rPr>
          <w:spacing w:val="-13"/>
        </w:rPr>
        <w:t xml:space="preserve"> </w:t>
      </w:r>
      <w:r>
        <w:t>chosen</w:t>
      </w:r>
      <w:r>
        <w:rPr>
          <w:spacing w:val="-13"/>
        </w:rPr>
        <w:t xml:space="preserve"> </w:t>
      </w:r>
      <w:r>
        <w:t>for</w:t>
      </w:r>
      <w:r>
        <w:rPr>
          <w:spacing w:val="-13"/>
        </w:rPr>
        <w:t xml:space="preserve"> </w:t>
      </w:r>
      <w:r>
        <w:t>its</w:t>
      </w:r>
      <w:r>
        <w:rPr>
          <w:spacing w:val="-13"/>
        </w:rPr>
        <w:t xml:space="preserve"> </w:t>
      </w:r>
      <w:r>
        <w:t>capacity</w:t>
      </w:r>
      <w:r>
        <w:rPr>
          <w:spacing w:val="-12"/>
        </w:rPr>
        <w:t xml:space="preserve"> </w:t>
      </w:r>
      <w:r>
        <w:t>to</w:t>
      </w:r>
      <w:r>
        <w:rPr>
          <w:spacing w:val="-13"/>
        </w:rPr>
        <w:t xml:space="preserve"> </w:t>
      </w:r>
      <w:r>
        <w:t>reveal</w:t>
      </w:r>
      <w:r>
        <w:rPr>
          <w:spacing w:val="-13"/>
        </w:rPr>
        <w:t xml:space="preserve"> </w:t>
      </w:r>
      <w:r>
        <w:t>how</w:t>
      </w:r>
      <w:r>
        <w:rPr>
          <w:spacing w:val="-13"/>
        </w:rPr>
        <w:t xml:space="preserve"> </w:t>
      </w:r>
      <w:r>
        <w:t>issues</w:t>
      </w:r>
      <w:r>
        <w:rPr>
          <w:spacing w:val="-13"/>
        </w:rPr>
        <w:t xml:space="preserve"> </w:t>
      </w:r>
      <w:r>
        <w:t>of</w:t>
      </w:r>
      <w:r>
        <w:rPr>
          <w:spacing w:val="-13"/>
        </w:rPr>
        <w:t xml:space="preserve"> </w:t>
      </w:r>
      <w:r>
        <w:t>identity</w:t>
      </w:r>
      <w:r>
        <w:rPr>
          <w:spacing w:val="-13"/>
        </w:rPr>
        <w:t xml:space="preserve"> </w:t>
      </w:r>
      <w:r>
        <w:t xml:space="preserve">(inclusive of social </w:t>
      </w:r>
      <w:proofErr w:type="spellStart"/>
      <w:r>
        <w:t>categorisations</w:t>
      </w:r>
      <w:proofErr w:type="spellEnd"/>
      <w:r>
        <w:t xml:space="preserve"> such as race, gender, </w:t>
      </w:r>
      <w:bookmarkStart w:id="8" w:name="_bookmark42"/>
      <w:bookmarkEnd w:id="8"/>
      <w:r>
        <w:t xml:space="preserve">disability), and within this issues of identity culture (Goodley </w:t>
      </w:r>
      <w:hyperlink w:anchor="_bookmark106" w:history="1">
        <w:r>
          <w:rPr>
            <w:color w:val="000080"/>
          </w:rPr>
          <w:t>2013</w:t>
        </w:r>
      </w:hyperlink>
      <w:r>
        <w:t xml:space="preserve">, </w:t>
      </w:r>
      <w:hyperlink w:anchor="_bookmark107" w:history="1">
        <w:r>
          <w:rPr>
            <w:color w:val="000080"/>
          </w:rPr>
          <w:t>2014</w:t>
        </w:r>
      </w:hyperlink>
      <w:r>
        <w:t xml:space="preserve">), interface with issues of economy. </w:t>
      </w:r>
      <w:r>
        <w:rPr>
          <w:spacing w:val="-3"/>
        </w:rPr>
        <w:t xml:space="preserve">For </w:t>
      </w:r>
      <w:r>
        <w:t xml:space="preserve">instance, the way in which the maldistribution of wealth and division of </w:t>
      </w:r>
      <w:proofErr w:type="spellStart"/>
      <w:r>
        <w:t>labour</w:t>
      </w:r>
      <w:proofErr w:type="spellEnd"/>
      <w:r>
        <w:t xml:space="preserve"> in a given society, as concerns of materialism,</w:t>
      </w:r>
      <w:r>
        <w:rPr>
          <w:spacing w:val="-3"/>
        </w:rPr>
        <w:t xml:space="preserve"> </w:t>
      </w:r>
      <w:r>
        <w:t>relate</w:t>
      </w:r>
      <w:r>
        <w:rPr>
          <w:spacing w:val="-3"/>
        </w:rPr>
        <w:t xml:space="preserve"> </w:t>
      </w:r>
      <w:r>
        <w:t>to</w:t>
      </w:r>
      <w:r>
        <w:rPr>
          <w:spacing w:val="-3"/>
        </w:rPr>
        <w:t xml:space="preserve"> </w:t>
      </w:r>
      <w:r>
        <w:t>the</w:t>
      </w:r>
      <w:r>
        <w:rPr>
          <w:spacing w:val="-2"/>
        </w:rPr>
        <w:t xml:space="preserve"> </w:t>
      </w:r>
      <w:proofErr w:type="gramStart"/>
      <w:r>
        <w:t>manner</w:t>
      </w:r>
      <w:r>
        <w:rPr>
          <w:spacing w:val="-3"/>
        </w:rPr>
        <w:t xml:space="preserve"> </w:t>
      </w:r>
      <w:r>
        <w:t>in</w:t>
      </w:r>
      <w:r>
        <w:rPr>
          <w:spacing w:val="-3"/>
        </w:rPr>
        <w:t xml:space="preserve"> </w:t>
      </w:r>
      <w:r>
        <w:t>which</w:t>
      </w:r>
      <w:proofErr w:type="gramEnd"/>
      <w:r>
        <w:rPr>
          <w:spacing w:val="-3"/>
        </w:rPr>
        <w:t xml:space="preserve"> </w:t>
      </w:r>
      <w:r>
        <w:t>identity</w:t>
      </w:r>
      <w:r>
        <w:rPr>
          <w:spacing w:val="-2"/>
        </w:rPr>
        <w:t xml:space="preserve"> </w:t>
      </w:r>
      <w:r>
        <w:t>culture</w:t>
      </w:r>
      <w:r>
        <w:rPr>
          <w:spacing w:val="-3"/>
        </w:rPr>
        <w:t xml:space="preserve"> </w:t>
      </w:r>
      <w:r>
        <w:t>in</w:t>
      </w:r>
      <w:r>
        <w:rPr>
          <w:spacing w:val="-3"/>
        </w:rPr>
        <w:t xml:space="preserve"> </w:t>
      </w:r>
      <w:r>
        <w:t>society</w:t>
      </w:r>
      <w:r>
        <w:rPr>
          <w:spacing w:val="-3"/>
        </w:rPr>
        <w:t xml:space="preserve"> </w:t>
      </w:r>
      <w:r>
        <w:t>serves</w:t>
      </w:r>
      <w:r>
        <w:rPr>
          <w:spacing w:val="-2"/>
        </w:rPr>
        <w:t xml:space="preserve"> </w:t>
      </w:r>
      <w:r>
        <w:t>to</w:t>
      </w:r>
      <w:r>
        <w:rPr>
          <w:spacing w:val="-3"/>
        </w:rPr>
        <w:t xml:space="preserve"> </w:t>
      </w:r>
      <w:r>
        <w:t>disadvantage particular groups. Goodley (</w:t>
      </w:r>
      <w:hyperlink w:anchor="_bookmark107" w:history="1">
        <w:r>
          <w:rPr>
            <w:color w:val="000080"/>
          </w:rPr>
          <w:t>2014</w:t>
        </w:r>
      </w:hyperlink>
      <w:r>
        <w:t xml:space="preserve">) establishes that racism, </w:t>
      </w:r>
      <w:proofErr w:type="spellStart"/>
      <w:r>
        <w:t>disableism</w:t>
      </w:r>
      <w:proofErr w:type="spellEnd"/>
      <w:r>
        <w:t xml:space="preserve"> and other oppressive categorical processes are directly relatable to economic recession, austerity and material conditions that are disabling. Further, he confirms the use of intersectionality as a viable mode</w:t>
      </w:r>
      <w:r>
        <w:rPr>
          <w:spacing w:val="-20"/>
        </w:rPr>
        <w:t xml:space="preserve"> </w:t>
      </w:r>
      <w:r>
        <w:t>to</w:t>
      </w:r>
      <w:r>
        <w:rPr>
          <w:spacing w:val="-20"/>
        </w:rPr>
        <w:t xml:space="preserve"> </w:t>
      </w:r>
      <w:r>
        <w:t>interrelate</w:t>
      </w:r>
      <w:r>
        <w:rPr>
          <w:spacing w:val="-20"/>
        </w:rPr>
        <w:t xml:space="preserve"> </w:t>
      </w:r>
      <w:r>
        <w:t>such</w:t>
      </w:r>
      <w:r>
        <w:rPr>
          <w:spacing w:val="-20"/>
        </w:rPr>
        <w:t xml:space="preserve"> </w:t>
      </w:r>
      <w:r>
        <w:t>concerns.</w:t>
      </w:r>
      <w:r>
        <w:rPr>
          <w:spacing w:val="-20"/>
        </w:rPr>
        <w:t xml:space="preserve"> </w:t>
      </w:r>
      <w:r>
        <w:t>Intersectionality</w:t>
      </w:r>
      <w:r>
        <w:rPr>
          <w:spacing w:val="-19"/>
        </w:rPr>
        <w:t xml:space="preserve"> </w:t>
      </w:r>
      <w:r>
        <w:lastRenderedPageBreak/>
        <w:t>therefore</w:t>
      </w:r>
      <w:r>
        <w:rPr>
          <w:spacing w:val="-20"/>
        </w:rPr>
        <w:t xml:space="preserve"> </w:t>
      </w:r>
      <w:r>
        <w:t>functions</w:t>
      </w:r>
      <w:r>
        <w:rPr>
          <w:spacing w:val="-20"/>
        </w:rPr>
        <w:t xml:space="preserve"> </w:t>
      </w:r>
      <w:r>
        <w:t>as</w:t>
      </w:r>
      <w:r>
        <w:rPr>
          <w:spacing w:val="-20"/>
        </w:rPr>
        <w:t xml:space="preserve"> </w:t>
      </w:r>
      <w:r>
        <w:t>a</w:t>
      </w:r>
      <w:r>
        <w:rPr>
          <w:spacing w:val="-20"/>
        </w:rPr>
        <w:t xml:space="preserve"> </w:t>
      </w:r>
      <w:r>
        <w:t>tool</w:t>
      </w:r>
      <w:r>
        <w:rPr>
          <w:spacing w:val="-19"/>
        </w:rPr>
        <w:t xml:space="preserve"> </w:t>
      </w:r>
      <w:r>
        <w:t>to</w:t>
      </w:r>
      <w:r>
        <w:rPr>
          <w:spacing w:val="-20"/>
        </w:rPr>
        <w:t xml:space="preserve"> </w:t>
      </w:r>
      <w:r>
        <w:t xml:space="preserve">effectively bring together identity culture issues (and within </w:t>
      </w:r>
      <w:proofErr w:type="gramStart"/>
      <w:r>
        <w:t>this agendas</w:t>
      </w:r>
      <w:proofErr w:type="gramEnd"/>
      <w:r>
        <w:t xml:space="preserve"> such as feminism and queer theory) with the concerns of materialism; for instance, the ownership of capital in</w:t>
      </w:r>
      <w:r>
        <w:rPr>
          <w:spacing w:val="2"/>
        </w:rPr>
        <w:t xml:space="preserve"> </w:t>
      </w:r>
      <w:r>
        <w:t>society.</w:t>
      </w:r>
    </w:p>
    <w:p w:rsidR="000E087D" w:rsidRDefault="000E087D" w:rsidP="000E087D">
      <w:pPr>
        <w:spacing w:after="0"/>
        <w:ind w:firstLine="720"/>
        <w:jc w:val="both"/>
      </w:pPr>
      <w:r>
        <w:t xml:space="preserve">Alternatively, the self and other is useful </w:t>
      </w:r>
      <w:proofErr w:type="gramStart"/>
      <w:r>
        <w:t>as a means to</w:t>
      </w:r>
      <w:proofErr w:type="gramEnd"/>
      <w:r>
        <w:t xml:space="preserve"> expose how the ‘othering’ of dis- abled people serves to enable the maldistribution of wealth, in such a manner as to eco- nomically disadvantage disabled people. The notion of the self and other therefore relates to the distributional concerns of materialism, which are central in times of economic recession (Gamble </w:t>
      </w:r>
      <w:hyperlink w:anchor="_bookmark96" w:history="1">
        <w:r>
          <w:rPr>
            <w:color w:val="000080"/>
          </w:rPr>
          <w:t>2009</w:t>
        </w:r>
      </w:hyperlink>
      <w:r>
        <w:t>), because arguably putting disabled people into a position of ‘other’ makes the maldistribution of wealth more viable. The self and other therefore offers a conceptual instrument to reposition disability into a central, rather than a peripheral position, when considering the concerns of materialism. Overall, both intersectionality and the self and</w:t>
      </w:r>
      <w:r>
        <w:rPr>
          <w:spacing w:val="-4"/>
        </w:rPr>
        <w:t xml:space="preserve"> </w:t>
      </w:r>
      <w:r>
        <w:t>other</w:t>
      </w:r>
      <w:r>
        <w:rPr>
          <w:spacing w:val="-4"/>
        </w:rPr>
        <w:t xml:space="preserve"> </w:t>
      </w:r>
      <w:r>
        <w:t>will</w:t>
      </w:r>
      <w:r>
        <w:rPr>
          <w:spacing w:val="-4"/>
        </w:rPr>
        <w:t xml:space="preserve"> </w:t>
      </w:r>
      <w:r>
        <w:t>assist</w:t>
      </w:r>
      <w:r>
        <w:rPr>
          <w:spacing w:val="-3"/>
        </w:rPr>
        <w:t xml:space="preserve"> </w:t>
      </w:r>
      <w:r>
        <w:t>with</w:t>
      </w:r>
      <w:r>
        <w:rPr>
          <w:spacing w:val="-4"/>
        </w:rPr>
        <w:t xml:space="preserve"> </w:t>
      </w:r>
      <w:r>
        <w:t>relating</w:t>
      </w:r>
      <w:r>
        <w:rPr>
          <w:spacing w:val="-4"/>
        </w:rPr>
        <w:t xml:space="preserve"> </w:t>
      </w:r>
      <w:r>
        <w:t>issues</w:t>
      </w:r>
      <w:r>
        <w:rPr>
          <w:spacing w:val="-4"/>
        </w:rPr>
        <w:t xml:space="preserve"> </w:t>
      </w:r>
      <w:r>
        <w:t>of</w:t>
      </w:r>
      <w:r>
        <w:rPr>
          <w:spacing w:val="-3"/>
        </w:rPr>
        <w:t xml:space="preserve"> </w:t>
      </w:r>
      <w:r>
        <w:t>identity</w:t>
      </w:r>
      <w:r>
        <w:rPr>
          <w:spacing w:val="-4"/>
        </w:rPr>
        <w:t xml:space="preserve"> </w:t>
      </w:r>
      <w:r>
        <w:t>to</w:t>
      </w:r>
      <w:r>
        <w:rPr>
          <w:spacing w:val="-4"/>
        </w:rPr>
        <w:t xml:space="preserve"> </w:t>
      </w:r>
      <w:r>
        <w:t>the</w:t>
      </w:r>
      <w:r>
        <w:rPr>
          <w:spacing w:val="-4"/>
        </w:rPr>
        <w:t xml:space="preserve"> </w:t>
      </w:r>
      <w:r>
        <w:t>concerns</w:t>
      </w:r>
      <w:r>
        <w:rPr>
          <w:spacing w:val="-3"/>
        </w:rPr>
        <w:t xml:space="preserve"> </w:t>
      </w:r>
      <w:r>
        <w:t>of</w:t>
      </w:r>
      <w:r>
        <w:rPr>
          <w:spacing w:val="-4"/>
        </w:rPr>
        <w:t xml:space="preserve"> </w:t>
      </w:r>
      <w:r>
        <w:t>materialism</w:t>
      </w:r>
      <w:r>
        <w:rPr>
          <w:spacing w:val="-4"/>
        </w:rPr>
        <w:t xml:space="preserve"> </w:t>
      </w:r>
      <w:r>
        <w:t>within</w:t>
      </w:r>
      <w:r>
        <w:rPr>
          <w:spacing w:val="-4"/>
        </w:rPr>
        <w:t xml:space="preserve"> </w:t>
      </w:r>
      <w:r>
        <w:t>the coming</w:t>
      </w:r>
      <w:r>
        <w:rPr>
          <w:spacing w:val="-3"/>
        </w:rPr>
        <w:t xml:space="preserve"> </w:t>
      </w:r>
      <w:r>
        <w:t>sections.</w:t>
      </w:r>
    </w:p>
    <w:p w:rsidR="000E087D" w:rsidRDefault="000E087D" w:rsidP="000E087D">
      <w:pPr>
        <w:jc w:val="both"/>
      </w:pPr>
    </w:p>
    <w:p w:rsidR="000E087D" w:rsidRPr="000E087D" w:rsidRDefault="000E087D" w:rsidP="000E087D">
      <w:pPr>
        <w:jc w:val="both"/>
        <w:rPr>
          <w:b/>
        </w:rPr>
      </w:pPr>
      <w:r w:rsidRPr="000E087D">
        <w:rPr>
          <w:b/>
        </w:rPr>
        <w:t>Intersectionality, disability and recession</w:t>
      </w:r>
    </w:p>
    <w:p w:rsidR="000E087D" w:rsidRDefault="000E087D" w:rsidP="000E087D">
      <w:pPr>
        <w:spacing w:after="0"/>
        <w:jc w:val="both"/>
      </w:pPr>
      <w:r>
        <w:t xml:space="preserve">Intersectionality can be usefully deployed in progressing the central argument that critical disability studies can enhance understandings of economic processes such as recession. This development is about moving beyond an isolated and singular fixation on disability, and engaging with other transformative agendas such as feminism, critical race theory, post-colonialism, Marxism and queer theory (Goodley 2011, 2013; Goodley and </w:t>
      </w:r>
      <w:proofErr w:type="spellStart"/>
      <w:r>
        <w:t>Runswick</w:t>
      </w:r>
      <w:proofErr w:type="spellEnd"/>
      <w:r>
        <w:t xml:space="preserve">‐Cole 2010). Critical disability studies </w:t>
      </w:r>
      <w:proofErr w:type="gramStart"/>
      <w:r>
        <w:t>uses</w:t>
      </w:r>
      <w:proofErr w:type="gramEnd"/>
      <w:r>
        <w:t xml:space="preserve"> intersectionality as a way of engaging these positions of difference, and of developing allegiances with them, cross-fertilisation between them and recognition of the inevitable convergent space between classifications of difference (Goodley 2011). This opens new possibilities; for instance, Sherry (2004) cross-examines queer theory and disability </w:t>
      </w:r>
      <w:proofErr w:type="gramStart"/>
      <w:r>
        <w:t>studies, and</w:t>
      </w:r>
      <w:proofErr w:type="gramEnd"/>
      <w:r>
        <w:t xml:space="preserve"> highlights how seminal disability studies texts have traditionally and problematically depended upon gender binaries (male/female). Fortunately, critical disability studies </w:t>
      </w:r>
      <w:proofErr w:type="gramStart"/>
      <w:r>
        <w:t>is</w:t>
      </w:r>
      <w:proofErr w:type="gramEnd"/>
      <w:r>
        <w:t xml:space="preserve"> well placed to surpass these limitations and recognise shared experiences; for instance, those of social exclusion generated by austerity. Within this, intersectionality may be used to combine the concerns of materialism such as the maldistribution of wealth, with the concerns of identity (e.g. shared experiences of social exclusion) rendering visible causal links between the two.</w:t>
      </w:r>
    </w:p>
    <w:p w:rsidR="000E087D" w:rsidRDefault="000E087D" w:rsidP="000E087D">
      <w:pPr>
        <w:spacing w:after="0"/>
        <w:ind w:firstLine="720"/>
        <w:jc w:val="both"/>
      </w:pPr>
      <w:proofErr w:type="gramStart"/>
      <w:r>
        <w:t xml:space="preserve">With this in mind, </w:t>
      </w:r>
      <w:proofErr w:type="spellStart"/>
      <w:r>
        <w:t>Strier</w:t>
      </w:r>
      <w:proofErr w:type="spellEnd"/>
      <w:proofErr w:type="gramEnd"/>
      <w:r>
        <w:t xml:space="preserve"> (2013) explains how a number of distinct social groups regularly feature in the politics of vulnerability associated with the recession; for instance, ‘the sick’ or ‘the elderly’. At the same time, Allen’s (2009, 2012) work has exposed how those social groups most privileged in the economic boom times have largely engineered their continued privilege during the aftermath of the recession. As a result, broadly speaking, those most eco- nomically disadvantaged and marginalised remain so (Allen 2009, 2012; Garrett 2015; </w:t>
      </w:r>
      <w:proofErr w:type="spellStart"/>
      <w:r>
        <w:t>Gaughan</w:t>
      </w:r>
      <w:proofErr w:type="spellEnd"/>
      <w:r>
        <w:t xml:space="preserve"> and Garrett 2012). In this context, disabled people are expected to overcome austerity following the economic downturn by adhering to the ideals of ableism, and the demands of reigning neo-liberal ableist capitalism (Goodley, </w:t>
      </w:r>
      <w:proofErr w:type="spellStart"/>
      <w:r>
        <w:t>Lawthom</w:t>
      </w:r>
      <w:proofErr w:type="spellEnd"/>
      <w:r>
        <w:t xml:space="preserve">, and </w:t>
      </w:r>
      <w:proofErr w:type="spellStart"/>
      <w:r>
        <w:t>Runswick</w:t>
      </w:r>
      <w:proofErr w:type="spellEnd"/>
      <w:r>
        <w:t>-Cole 2014). Intersectionality recognises the limitations of considering this circumstance in terms of disability alone. In doing so it can begin to amalgamate identity issues, related to social categorisations such as gender and race, with the concerns of materialism, such as austere distribution of capital.</w:t>
      </w:r>
    </w:p>
    <w:p w:rsidR="000E087D" w:rsidRDefault="000E087D" w:rsidP="000E087D">
      <w:pPr>
        <w:spacing w:after="0"/>
        <w:ind w:firstLine="720"/>
        <w:jc w:val="both"/>
      </w:pPr>
      <w:r>
        <w:t xml:space="preserve">Notwithstanding this, </w:t>
      </w:r>
      <w:proofErr w:type="spellStart"/>
      <w:r>
        <w:t>Shildrick</w:t>
      </w:r>
      <w:proofErr w:type="spellEnd"/>
      <w:r>
        <w:t xml:space="preserve"> (2012) makes an argument that appears, ostensibly, to be incontestable. In advising that the social model is useful but not all encompassing, and that the very process of critique and asking questions is generative of useful knowledge, one poses what seems like a safe argument. Yet there is a perhaps justifiable sense in the literature that whilst one is critiquing, one cannot also be engaged in the practicalities of political activism. Intersectionality as a facet of critical disability studies is relevant to this discussion. Intersectionality in the critique of economic recession is important given the ways in which the recession disadvantages numerous and particular </w:t>
      </w:r>
      <w:r>
        <w:lastRenderedPageBreak/>
        <w:t xml:space="preserve">social groups (Allen 2009); whilst at the same time neo-liberalisation erodes social bonds and promotes competitive individualism (Butler 2015). Whelan and </w:t>
      </w:r>
      <w:proofErr w:type="spellStart"/>
      <w:r>
        <w:t>Maitre</w:t>
      </w:r>
      <w:proofErr w:type="spellEnd"/>
      <w:r>
        <w:t xml:space="preserve"> (2012) observe a post-recession discourse typified by urgency to ‘protect the helpless’. This urgency, they advise, is driven by a meandering focus between a select number of social groups (e.g. ‘the elderly’, ‘the disabled’), with no accordance as to who is most deserving.</w:t>
      </w:r>
    </w:p>
    <w:p w:rsidR="000E087D" w:rsidRDefault="000E087D" w:rsidP="000E087D">
      <w:pPr>
        <w:spacing w:after="0"/>
        <w:ind w:firstLine="720"/>
        <w:jc w:val="both"/>
      </w:pPr>
      <w:proofErr w:type="gramStart"/>
      <w:r>
        <w:t>With this in mind, intersectionality</w:t>
      </w:r>
      <w:proofErr w:type="gramEnd"/>
      <w:r>
        <w:t>, as Goodley (2011) advises, pushes disability studies into useful theoretical and political allegiances with other marginalised positions and their</w:t>
      </w:r>
      <w:r w:rsidRPr="000E087D">
        <w:t xml:space="preserve"> </w:t>
      </w:r>
      <w:r>
        <w:t xml:space="preserve">points of political activism. Campbell (2008b), for instance, usefully deploys insights from critical race theory to better understand ableism, whilst Garland-Thompson merges feminist and critical disability studies (2002, 2005) perspectives. The intersections of disability studies and queer theory offer new and exciting possibilities to progress and </w:t>
      </w:r>
      <w:proofErr w:type="spellStart"/>
      <w:r>
        <w:t>crip</w:t>
      </w:r>
      <w:proofErr w:type="spellEnd"/>
      <w:r>
        <w:t xml:space="preserve"> the conversation started here that cannot unfortunately be indulged fully within the confines of this article (</w:t>
      </w:r>
      <w:proofErr w:type="spellStart"/>
      <w:r>
        <w:t>McRuer</w:t>
      </w:r>
      <w:proofErr w:type="spellEnd"/>
      <w:r>
        <w:t xml:space="preserve"> 2006). Overall, however, engagements such as these can push critical disability studies away from a singular and politically benign practice of critique focused upon disability alone, and towards the practice of fostering allegiances.</w:t>
      </w:r>
    </w:p>
    <w:p w:rsidR="000E087D" w:rsidRDefault="000E087D" w:rsidP="000E087D">
      <w:pPr>
        <w:spacing w:after="0"/>
        <w:ind w:firstLine="720"/>
        <w:jc w:val="both"/>
      </w:pPr>
      <w:r>
        <w:t xml:space="preserve">In this way, critical disability studies may draw together wider identity culture issues associated with social categorisations such as gender and race, allowing these issues to be connected to the concerns of materialism in times of austerity (Goodley 2014). Just as </w:t>
      </w:r>
      <w:proofErr w:type="spellStart"/>
      <w:r>
        <w:t>Vehmas</w:t>
      </w:r>
      <w:proofErr w:type="spellEnd"/>
      <w:r>
        <w:t xml:space="preserve"> and Watson (2014) contended that social categories have in fact permitted constructive political activism (the very social group differences that they find critical disability studies to be hostile towards, e.g. disabled/able-bodied, black/white), fostering allegiances between agendas such as feminism and disability studies may also facilitate a unified basis for change</w:t>
      </w:r>
    </w:p>
    <w:p w:rsidR="000E087D" w:rsidRDefault="000E087D" w:rsidP="000E087D">
      <w:pPr>
        <w:spacing w:after="0"/>
        <w:jc w:val="both"/>
      </w:pPr>
      <w:r>
        <w:t xml:space="preserve">– in this way rendering visible shared concerns, collectivising those seeking remedial action for them and combining insights. As </w:t>
      </w:r>
      <w:proofErr w:type="spellStart"/>
      <w:r>
        <w:t>Vehmas</w:t>
      </w:r>
      <w:proofErr w:type="spellEnd"/>
      <w:r>
        <w:t xml:space="preserve"> and Watson (2014) argue, having a group identified as ‘disabled’ then provides a necessary basis for that group to mobilise politically against shared concerns. Through unifying agendas, intersectional analysis may uncover important issues, such as how the shifting and classifying boundaries of particular social groups are manipulated in times of austerity to permit the maldistribution of wealth away from their prerogatives, as discussed within the following.</w:t>
      </w:r>
    </w:p>
    <w:p w:rsidR="000E087D" w:rsidRDefault="000E087D" w:rsidP="000E087D">
      <w:pPr>
        <w:spacing w:after="0"/>
        <w:ind w:firstLine="720"/>
        <w:jc w:val="both"/>
      </w:pPr>
      <w:r>
        <w:t xml:space="preserve">Intersectionality reminds us of the fluidity of disability as a cross-cutting construct, and   a position that we are all liable at one time or another to identify with. In this sense, according to Goodley (2011), critical disability studies </w:t>
      </w:r>
      <w:proofErr w:type="gramStart"/>
      <w:r>
        <w:t>is</w:t>
      </w:r>
      <w:proofErr w:type="gramEnd"/>
      <w:r>
        <w:t xml:space="preserve"> attuned to the intricate politics of identity where, in the ambience of economic downturn, new reformulations of the meaning of dis- ability are taking place. For instance, within cutbacks to services provoked by economic recession, amendments to entitlement criteria for social services have shifted the very definition of disability and impairment to exclude people once deemed ‘disabled’ (Oliver 1990). By tightening assessment criteria for disability allowances, for instance, many once deemed ‘disabled’ may come not to be recognised as such. Further, Campbell (2009) acknowledges that it is a relatively new occurrence that disability is being considered economically and culturally constructed. In this new fiscal environment of change, revolutionary responses to oppression become a possibility.</w:t>
      </w:r>
    </w:p>
    <w:p w:rsidR="000E087D" w:rsidRDefault="000E087D" w:rsidP="000E087D">
      <w:pPr>
        <w:spacing w:after="0"/>
        <w:ind w:firstLine="720"/>
        <w:jc w:val="both"/>
      </w:pPr>
      <w:r>
        <w:t>Judith Butler (2015) refers to the present time of neo-liberal economics in which economic self-sufficiency is a moral imperative, under conditions where economic self-sufficiency is impossible, leaving some communities faced with a devastating contradiction. The individualising nature of neo-liberalism has eroded supporting social structures for people, whilst the process that Butler refers to as ‘</w:t>
      </w:r>
      <w:proofErr w:type="spellStart"/>
      <w:r>
        <w:t>precaritization</w:t>
      </w:r>
      <w:proofErr w:type="spellEnd"/>
      <w:r>
        <w:t xml:space="preserve">’ accustoms people to a sense of insecurity and despondency. Here Nancy Fraser (2013, 1) contends that as ‘rising neo-liberalism declared war on social equality’, a resurgence of feminism became a possibility that could be allied with other emancipatory agendas in order to rightly detain free markets within the confines of democracy. Here Fraser envisages a reincarnation of revolutionary feminism with the potential to address economic crisis on a global scale. Opportunities perhaps present them- selves for disability studies as kindred agenda, because, as Goodley (2007) </w:t>
      </w:r>
      <w:r>
        <w:lastRenderedPageBreak/>
        <w:t>explains, in this atmosphere of marketisation and individualism the scene is set for experimenting with new</w:t>
      </w:r>
      <w:r w:rsidRPr="000E087D">
        <w:t xml:space="preserve"> </w:t>
      </w:r>
      <w:r>
        <w:t>possibilities. Within this, intersectionality becomes a mechanism to bind the insights of agendas related to identity, such as feminism and disability studies, and foster productive allegiances between them. This enhances and sophisticates the capacity of these agendas to contest concerns related to materialism, such as the maldistribution of wealth or the unjust ownership of capital.</w:t>
      </w:r>
    </w:p>
    <w:p w:rsidR="000E087D" w:rsidRPr="000E087D" w:rsidRDefault="000E087D" w:rsidP="000E087D">
      <w:pPr>
        <w:jc w:val="both"/>
        <w:rPr>
          <w:b/>
        </w:rPr>
      </w:pPr>
    </w:p>
    <w:p w:rsidR="000E087D" w:rsidRPr="000E087D" w:rsidRDefault="000E087D" w:rsidP="000E087D">
      <w:pPr>
        <w:jc w:val="both"/>
        <w:rPr>
          <w:b/>
        </w:rPr>
      </w:pPr>
      <w:r w:rsidRPr="000E087D">
        <w:rPr>
          <w:b/>
        </w:rPr>
        <w:t>The recession and the self and other</w:t>
      </w:r>
    </w:p>
    <w:p w:rsidR="000E087D" w:rsidRDefault="000E087D" w:rsidP="000E087D">
      <w:pPr>
        <w:spacing w:after="0"/>
        <w:jc w:val="both"/>
      </w:pPr>
      <w:r>
        <w:t xml:space="preserve">Another central area of development within critical disability studies has been the </w:t>
      </w:r>
      <w:r w:rsidR="001C62B6">
        <w:t>notion of</w:t>
      </w:r>
      <w:r>
        <w:t xml:space="preserve"> ‘the self and other’ (Goodley 2013). As </w:t>
      </w:r>
      <w:proofErr w:type="spellStart"/>
      <w:r>
        <w:t>Shildrick</w:t>
      </w:r>
      <w:proofErr w:type="spellEnd"/>
      <w:r>
        <w:t xml:space="preserve"> (2012) explains, critical disability studies </w:t>
      </w:r>
      <w:proofErr w:type="gramStart"/>
      <w:r>
        <w:t>moves</w:t>
      </w:r>
      <w:proofErr w:type="gramEnd"/>
      <w:r>
        <w:t xml:space="preserve"> disability away from a peripheral concern regarding the human condition, and instead re-territorialises discourse on the human being by starting with disability as the central point from which we may then begin to learn about all human bodies. Ontologically, as </w:t>
      </w:r>
      <w:proofErr w:type="spellStart"/>
      <w:r>
        <w:t>Shildrick</w:t>
      </w:r>
      <w:proofErr w:type="spellEnd"/>
      <w:r>
        <w:t xml:space="preserve"> explains, this requires one to really re-think the whole idea of the self and other; an idea that Goodley (2013) clarifies well through some explication of </w:t>
      </w:r>
      <w:proofErr w:type="spellStart"/>
      <w:r>
        <w:t>Rosi</w:t>
      </w:r>
      <w:proofErr w:type="spellEnd"/>
      <w:r>
        <w:t xml:space="preserve"> </w:t>
      </w:r>
      <w:proofErr w:type="spellStart"/>
      <w:r>
        <w:t>Braidotti’s</w:t>
      </w:r>
      <w:proofErr w:type="spellEnd"/>
      <w:r>
        <w:t xml:space="preserve"> (2003) work. Here, rather than judging disabled people within the context of many ‘others’ posed against one idealised white masculine heterosexual ‘self’, critical disability studies reconfigure disability to the position from which to judge all other able-bodied positions (Campbell 2008a). Here Goodley (2013) explains that just as the female must consider herself against the male as the dominant other, the disabled person is expected to judge oneself against a dominant able-bodied alternative (Marks 1999). Critical disability studies </w:t>
      </w:r>
      <w:proofErr w:type="gramStart"/>
      <w:r>
        <w:t>seeks</w:t>
      </w:r>
      <w:proofErr w:type="gramEnd"/>
      <w:r>
        <w:t xml:space="preserve"> to destabilise these entrenched oppositional binaries. Doing so may begin to reveal concerns such as how the ‘othering’ of disabled people serves to enable the maldistribution of wealth, in such a manner as to economically disadvantage disabled people.</w:t>
      </w:r>
    </w:p>
    <w:p w:rsidR="000E087D" w:rsidRDefault="000E087D" w:rsidP="000E087D">
      <w:pPr>
        <w:spacing w:after="0"/>
        <w:ind w:firstLine="720"/>
        <w:jc w:val="both"/>
      </w:pPr>
      <w:r>
        <w:t xml:space="preserve">In this way, arguably, notions of ‘the self and other’ are also central to the politics of identity that is associated with economic recession. According to Gamble (2009), in times of recession, distributional concerns become central, as does the </w:t>
      </w:r>
      <w:proofErr w:type="gramStart"/>
      <w:r>
        <w:t>manner in which</w:t>
      </w:r>
      <w:proofErr w:type="gramEnd"/>
      <w:r>
        <w:t xml:space="preserve"> reductions to income affect different social groups. Dodd (2016) refers to ‘</w:t>
      </w:r>
      <w:proofErr w:type="spellStart"/>
      <w:r>
        <w:t>disableist</w:t>
      </w:r>
      <w:proofErr w:type="spellEnd"/>
      <w:r>
        <w:t xml:space="preserve"> austerity’ as the disproportionately negative impact of austerity economics on disabled people. Alongside other writers such as </w:t>
      </w:r>
      <w:proofErr w:type="spellStart"/>
      <w:r>
        <w:t>Strier</w:t>
      </w:r>
      <w:proofErr w:type="spellEnd"/>
      <w:r>
        <w:t xml:space="preserve"> (2013), Dodd locates the grand and debilitating cutbacks and losses that marginalised communities such as disabled people have incurred within </w:t>
      </w:r>
      <w:proofErr w:type="gramStart"/>
      <w:r>
        <w:t>a number of</w:t>
      </w:r>
      <w:proofErr w:type="gramEnd"/>
      <w:r>
        <w:t xml:space="preserve"> cultural issues that have evolved concurrently. Dodd (2016) concedes that the mass media have demonised disabled people and depicted them as burdens, conceptualising disability as a benefits problem. Similarly, </w:t>
      </w:r>
      <w:proofErr w:type="spellStart"/>
      <w:r>
        <w:t>Strier</w:t>
      </w:r>
      <w:proofErr w:type="spellEnd"/>
      <w:r>
        <w:t xml:space="preserve"> (2013) demonstrates how the recession has re-ignited old antagonism towards social service provision. At the same time, these services are an essential combatant against the marginalisation of vulnerable communities: a marginalisation only progressed further by economic recession (Allen 2009, 2012; Garrett 2015; </w:t>
      </w:r>
      <w:proofErr w:type="spellStart"/>
      <w:r>
        <w:t>Gaughan</w:t>
      </w:r>
      <w:proofErr w:type="spellEnd"/>
      <w:r>
        <w:t xml:space="preserve"> and Garrett 2012).</w:t>
      </w:r>
    </w:p>
    <w:p w:rsidR="000E087D" w:rsidRDefault="000E087D" w:rsidP="000E087D">
      <w:pPr>
        <w:spacing w:after="0"/>
        <w:ind w:firstLine="720"/>
        <w:jc w:val="both"/>
      </w:pPr>
      <w:r>
        <w:t>Here disabled people are expected to defend their position against the wider able-bodied other. Critical disability studies, however, seeks to shift the focus from disability onto able-</w:t>
      </w:r>
      <w:proofErr w:type="spellStart"/>
      <w:r>
        <w:t>bodiedness</w:t>
      </w:r>
      <w:proofErr w:type="spellEnd"/>
      <w:r>
        <w:t xml:space="preserve"> (Campbell 2008a). The benefit of this can be seen in the example of disabled people who are claiming social welfare entitlements in times of economic recession. Within this, there is a harmful sense that somehow, through claiming entitlements, disabled people either are wrongfully avoiding paid work, are responsible for economic recession, are pre- venting economic recovery or are producing and prolonging austerity experienced by those not in receipt of social welfare payments. In this way, disabled people are depicted as</w:t>
      </w:r>
      <w:r w:rsidRPr="000E087D">
        <w:t xml:space="preserve"> </w:t>
      </w:r>
      <w:r>
        <w:t xml:space="preserve">burdensome (Dodd 2016; </w:t>
      </w:r>
      <w:proofErr w:type="spellStart"/>
      <w:r>
        <w:t>Strier</w:t>
      </w:r>
      <w:proofErr w:type="spellEnd"/>
      <w:r>
        <w:t xml:space="preserve"> 2013). However, through moving focus away from the negative critique of disabled people, and onto the able-bodied alternative, it becomes reassuring rather than discouraging that the social welfare system is appropriately operating within times of economic recession. Particularly because these are times when it is required as a measure of insurance for all human bodies. Taking this alternative line of thought, one might then ask </w:t>
      </w:r>
      <w:r>
        <w:lastRenderedPageBreak/>
        <w:t xml:space="preserve">what role does social service provision have for the able-bodied? Or what can </w:t>
      </w:r>
      <w:proofErr w:type="spellStart"/>
      <w:r>
        <w:t>disableist</w:t>
      </w:r>
      <w:proofErr w:type="spellEnd"/>
      <w:r>
        <w:t xml:space="preserve"> austerity teach us about able-</w:t>
      </w:r>
      <w:proofErr w:type="spellStart"/>
      <w:r>
        <w:t>bodiedness</w:t>
      </w:r>
      <w:proofErr w:type="spellEnd"/>
      <w:r>
        <w:t xml:space="preserve"> in the aftermath of economic recession? Here the precarious nature of the corporeal ideal comes into focus, uncomfortably raising questions about what it is to be able-bodied (Marks 1999) in a time of economic austerity. This further provokes the question of how the ‘othering’ of disabled people can make the disabling maldistribution of wealth more viable. In this sense, the irony of the antagonism against welfare provision becomes clearer in the context of the fragility of the human condition, and the instability of categories such as disabled and able-bodied (Davis 2002). This is because, as </w:t>
      </w:r>
      <w:proofErr w:type="spellStart"/>
      <w:r>
        <w:t>Strier</w:t>
      </w:r>
      <w:proofErr w:type="spellEnd"/>
      <w:r>
        <w:t xml:space="preserve"> (2013) reiterates, the original intent of the welfare state was to afford a measure of insurance (for all human bodies) against the cyclical nature of capitalism.</w:t>
      </w:r>
    </w:p>
    <w:p w:rsidR="000E087D" w:rsidRPr="000E087D" w:rsidRDefault="000E087D" w:rsidP="000E087D">
      <w:pPr>
        <w:jc w:val="both"/>
        <w:rPr>
          <w:b/>
        </w:rPr>
      </w:pPr>
      <w:r w:rsidRPr="000E087D">
        <w:rPr>
          <w:b/>
        </w:rPr>
        <w:t>Discussion: what it all means</w:t>
      </w:r>
    </w:p>
    <w:p w:rsidR="000E087D" w:rsidRDefault="000E087D" w:rsidP="000E087D">
      <w:pPr>
        <w:spacing w:after="0"/>
        <w:jc w:val="both"/>
      </w:pPr>
      <w:r>
        <w:t>So far, the prerogative here has been to spark and progress a conversation around economic recession and a critical disability studies perspective. This has obliged a preliminary discussion on the relationship of critical disability studies to materialism, and as a separate but related concern its relationship to material reality. In addition, I have focused upon intersectionality, followed by an engagement with the notion of the self and other. These examinations have borne some useful insights that, whilst starting with disability, hopefully have not remained with it in isolation (Goodley 2011). In drawing this article to a conclusion, the next logical progression is to question what these insights, when coherently merged together, have to offer critical disability studies in terms of wider understanding.</w:t>
      </w:r>
    </w:p>
    <w:p w:rsidR="000E087D" w:rsidRDefault="000E087D" w:rsidP="000E087D">
      <w:pPr>
        <w:spacing w:after="0"/>
        <w:ind w:firstLine="720"/>
        <w:jc w:val="both"/>
      </w:pPr>
      <w:r>
        <w:t xml:space="preserve">For instance, previously I have made the case that critical disability studies can generate understandings of economic processes that harbour real potential for material application. Anchoring previous insights to a number of the mundane, </w:t>
      </w:r>
      <w:proofErr w:type="spellStart"/>
      <w:r>
        <w:t>everyday</w:t>
      </w:r>
      <w:proofErr w:type="spellEnd"/>
      <w:r>
        <w:t>, ‘material realities’ of austerity may help to progress this argument. Useful, lest we forget that the consequences of disability lie also in the everyday and the mundane (Goodley, Hughes, and Davis 2012; Hughes 2007). Therefore, in fascination with the mundane, deploying some illustration within the following of austerity measures and effects that have had an everyday impact assists with bridging the divide between theory and reality. This is important because the case has been made that critical disability studies requires some reconnection with, and reconcilement for its detachment from, material reality (Barnes 2012; Feely 2016; Shakespeare 2014). This ensures its insights do not become so abstract as to lose practical relevance for disabled people.</w:t>
      </w:r>
    </w:p>
    <w:p w:rsidR="000E087D" w:rsidRDefault="000E087D" w:rsidP="000E087D">
      <w:pPr>
        <w:spacing w:after="0"/>
        <w:ind w:firstLine="720"/>
        <w:jc w:val="both"/>
      </w:pPr>
      <w:r>
        <w:t xml:space="preserve">Goodley (2013) refers to Marks (1999) in claiming that critical disability studies emerged in recognition of the limitations of considering disability as only a socio-economic problem. For some, a more complex definition and approach was warranted. Critical disability studies sought to take account of the complexity of the experience of disability across psychological, relational and cultural domains (Goodley 2013; </w:t>
      </w:r>
      <w:proofErr w:type="spellStart"/>
      <w:r>
        <w:t>Meekosha</w:t>
      </w:r>
      <w:proofErr w:type="spellEnd"/>
      <w:r>
        <w:t xml:space="preserve"> and Shuttleworth 2009). It is this characteristic that may better equip it for engaging with the reality of the recession as it is dispersed within people’s lives in everyday, mundane and intricate ways. In the case of</w:t>
      </w:r>
      <w:r w:rsidRPr="000E087D">
        <w:t xml:space="preserve"> </w:t>
      </w:r>
      <w:r>
        <w:t xml:space="preserve">budget cuts to Sunbeam House service in 2013, a combined sum of €189,461 was withdrawn. The charity provided a day service facility to disabled people and was forced to cut transport provision, leaving families encumbered with this responsibility (‘HSE cuts €189,461’ 2013). The subsequent entanglement of consequences becomes as much relational and psycho- logical as it is about material losses. </w:t>
      </w:r>
      <w:proofErr w:type="gramStart"/>
      <w:r>
        <w:t>Similar to</w:t>
      </w:r>
      <w:proofErr w:type="gramEnd"/>
      <w:r>
        <w:t xml:space="preserve"> the case of the Respite Care Grant budget cut from €1700 to €1375 in 2013 (a payment offering some financial relief to families to achieve crucial respite), negative emotions such as anger, shock and disappointment were reported (</w:t>
      </w:r>
      <w:proofErr w:type="spellStart"/>
      <w:r>
        <w:t>McCreevy</w:t>
      </w:r>
      <w:proofErr w:type="spellEnd"/>
      <w:r>
        <w:t xml:space="preserve"> 2013; ‘HSE cuts €189,461’ 2013). Yet, within this, the psychological and cultural cannot be coherently divorced from the material. Lived experiences of shock and disappointment connect to a further devaluation of the identity of disability as a cultural and social construct. National newspaper The Irish Times reported on disabled people’s intention to protest march in 2010, accentuating the cultural </w:t>
      </w:r>
      <w:r>
        <w:lastRenderedPageBreak/>
        <w:t>devaluation of disabled people evident to advocates through the implicit disrespect inherent in the cutbacks (O’Brien 2010). This devaluation supplements, rather than remaining divorced from, suffering experienced within material reality from reported consequences such as disabled people being left with inadequate heating in their homes (</w:t>
      </w:r>
      <w:proofErr w:type="spellStart"/>
      <w:r>
        <w:t>McCreevy</w:t>
      </w:r>
      <w:proofErr w:type="spellEnd"/>
      <w:r>
        <w:t xml:space="preserve"> 2013).</w:t>
      </w:r>
    </w:p>
    <w:p w:rsidR="000E087D" w:rsidRDefault="000E087D" w:rsidP="000E087D">
      <w:pPr>
        <w:spacing w:after="0"/>
        <w:ind w:firstLine="720"/>
        <w:jc w:val="both"/>
      </w:pPr>
      <w:r>
        <w:t xml:space="preserve">It would appear that critical disability studies </w:t>
      </w:r>
      <w:proofErr w:type="gramStart"/>
      <w:r>
        <w:t>is</w:t>
      </w:r>
      <w:proofErr w:type="gramEnd"/>
      <w:r>
        <w:t xml:space="preserve"> perhaps better placed to consider the relational, cultural and psychological implications of disability in the context austerity than the social model’s more simplistic materialist focus. This is not to disregard the viable criticisms levelled against the critical disability studies perspective. To be more specific, it may lack the necessary force and function to complement its theory, and to construct practically useful change (</w:t>
      </w:r>
      <w:proofErr w:type="spellStart"/>
      <w:r>
        <w:t>Vehmas</w:t>
      </w:r>
      <w:proofErr w:type="spellEnd"/>
      <w:r>
        <w:t xml:space="preserve"> and Watson 2014). Rather, if critical disability studies </w:t>
      </w:r>
      <w:proofErr w:type="gramStart"/>
      <w:r>
        <w:t>was</w:t>
      </w:r>
      <w:proofErr w:type="gramEnd"/>
      <w:r>
        <w:t xml:space="preserve"> better connected to materialism and material reality within an evolving role, its contribution to wider debate of those relational, psychological and cultural issues so difficult to articulate would be even more invaluable. This is important in the context of austerity because, as we have seen, economic recession is not just about material loss. UNICEF (2013) demonstrates the </w:t>
      </w:r>
      <w:proofErr w:type="gramStart"/>
      <w:r>
        <w:t>manner in which</w:t>
      </w:r>
      <w:proofErr w:type="gramEnd"/>
      <w:r>
        <w:t xml:space="preserve"> the effects of recession come also to be about perceptions, unmet expectations and other physically intangible actualities, sometimes deeply personal and unique to varying lived experiences.</w:t>
      </w:r>
    </w:p>
    <w:p w:rsidR="000E087D" w:rsidRDefault="000E087D" w:rsidP="000E087D">
      <w:pPr>
        <w:spacing w:after="0"/>
        <w:ind w:firstLine="720"/>
        <w:jc w:val="both"/>
      </w:pPr>
      <w:r>
        <w:t xml:space="preserve">Earlier it was also outlined how critical disability studies act to blur and interrogate the binary divide between able-bodied and disabled (Goodley 2013; </w:t>
      </w:r>
      <w:proofErr w:type="spellStart"/>
      <w:r>
        <w:t>Shildrick</w:t>
      </w:r>
      <w:proofErr w:type="spellEnd"/>
      <w:r>
        <w:t xml:space="preserve"> 2012). The notion of the self and other was embraced to make the argument that through the ‘othering’ of disabled people, the maldistribution of wealth may be enabled. Hypothetically speaking, when disabled people and the concerns of disability become viewed in society as being less anomalous or deviant, ableism also reconfigures. The common mode of morally obliged sympathy, by well-meaning privileged ‘outsiders’, begins to shift towards the meaningful embrace of a relevant agenda for all. Dodd (2016) takes up Nancy Fraser’s work, and therein confirms the ‘othering’ of disabled people through the medium of cultural injustice or mis- recognition, juxtaposed against economic injustice or maldistribution. If one dismisses dis- ability as expressed through an able-bodied/disabled binary, and indeed pronounced through cultural misrecognition, and instead embraces the notion of disability as a gradient, a heightened awareness can be achieved of the precarious nature of the body as an ever-changing, never-permanent and amorphous article. Here people such as Mark Wood and Rachel Watt remind us of the role of cutbacks in disability entitlements, not just in affecting disabled people but in inciting disability, and even death. In Rachel’s case social care cutbacks reportedly resigned her to the indignity and discomfort of sleeping in her</w:t>
      </w:r>
      <w:r w:rsidRPr="000E087D">
        <w:t xml:space="preserve"> </w:t>
      </w:r>
      <w:r>
        <w:t>wheelchair (Gregory 2015), whilst tragically Mark Wood passed away weighing only 5 stone 8 lbs after being determined ‘fit for work’ by an assessment that retracted his entitlements (Gentleman 2014). Their important stories remind us of the socially constructed character of disability, the precarious nature of the body and, perhaps most vividly, the unacceptable harsh material realities of disability in an age of austerity.</w:t>
      </w:r>
    </w:p>
    <w:p w:rsidR="000E087D" w:rsidRDefault="000E087D" w:rsidP="000E087D">
      <w:pPr>
        <w:spacing w:after="0"/>
        <w:ind w:firstLine="720"/>
        <w:jc w:val="both"/>
      </w:pPr>
      <w:r>
        <w:t xml:space="preserve">Finally, intersectional analysis as a component of critical disability studies (Goodley 2013) has been another preoccupation of this article. Intersectionality has been utilised to link issues of identity (inclusive of social categorisations such as race, gender, disability), and within </w:t>
      </w:r>
      <w:proofErr w:type="gramStart"/>
      <w:r>
        <w:t>this issues of identity</w:t>
      </w:r>
      <w:proofErr w:type="gramEnd"/>
      <w:r>
        <w:t xml:space="preserve"> culture (Goodley 2013, 2014), with issues of economy and materialism. In Rachel and Mark’s cases the role of feminist and class issues, for instance, can be provoked in better understanding their lived experiences and possible multiple sites of oppression. This allows the interrelated nature of social categorisations of race, gender and disability to be realised in proximity to materialist analyses of the recession.</w:t>
      </w:r>
    </w:p>
    <w:p w:rsidR="000E087D" w:rsidRDefault="000E087D" w:rsidP="000E087D">
      <w:pPr>
        <w:spacing w:after="0"/>
        <w:ind w:firstLine="720"/>
        <w:jc w:val="both"/>
      </w:pPr>
    </w:p>
    <w:p w:rsidR="000E087D" w:rsidRPr="000E087D" w:rsidRDefault="000E087D" w:rsidP="000E087D">
      <w:pPr>
        <w:jc w:val="both"/>
        <w:rPr>
          <w:b/>
        </w:rPr>
      </w:pPr>
      <w:r w:rsidRPr="000E087D">
        <w:rPr>
          <w:b/>
        </w:rPr>
        <w:t>Conclusion</w:t>
      </w:r>
    </w:p>
    <w:p w:rsidR="000E087D" w:rsidRDefault="000E087D" w:rsidP="000E087D">
      <w:pPr>
        <w:spacing w:after="0"/>
        <w:jc w:val="both"/>
      </w:pPr>
      <w:r>
        <w:lastRenderedPageBreak/>
        <w:t xml:space="preserve">Critical disability studies </w:t>
      </w:r>
      <w:proofErr w:type="gramStart"/>
      <w:r>
        <w:t>has</w:t>
      </w:r>
      <w:proofErr w:type="gramEnd"/>
      <w:r>
        <w:t xml:space="preserve"> been accused of focusing upon language, culture and dis- courses, yet remaining divorced from the corporeality of impairment, and avoiding the apparent indignities of material reality (Barnes 2012; Shakespeare 2014). Through many pathways, from wider post-structuralist theory, to Butlerian performativity, to the linguistic, semiotic, interpretative and cultural turns in critical theory (Barad 2003), worldly ‘things’ are now being conceived of as lingual or cultural representations (Barad 2003; Feely 2016; Thompson 2011). As Barad (2003, 801) concludes, ‘Language matters. Discourse matters. Culture matters. There is an important sense that the only thing that does not seem to matter anymore is matter. (Puns intended).’ In this article, I have posed the question of how we might come to understand this circumstance, in the wake of a momentous economic recession, in which what matters appears to be exactly that – matter, or more precisely the lack thereof. Naturally, the account provided in this article has in some respects been a limited one. In this sense, the insights of post-colonialism have not been highlighted; nor has the disconnect been addressed that exists between the Global North and the Global South in terms of disability and poverty (</w:t>
      </w:r>
      <w:proofErr w:type="spellStart"/>
      <w:r>
        <w:t>Erevelles</w:t>
      </w:r>
      <w:proofErr w:type="spellEnd"/>
      <w:r>
        <w:t xml:space="preserve"> 2011). Within all accounts are limitations. Herein has been articulated my nomadic engagement between social, economic and discursive spaces that is privileged by my own social location; a location detached from geographies in which disability proliferates as a result of militarised brutality, poverty, lack of healthcare and/or racial and gendered violence (</w:t>
      </w:r>
      <w:proofErr w:type="spellStart"/>
      <w:r>
        <w:t>Erevelles</w:t>
      </w:r>
      <w:proofErr w:type="spellEnd"/>
      <w:r>
        <w:t xml:space="preserve"> 2011, 2014). The material reality of disability means different things in different nation-states where colonial rule or economic recession creates</w:t>
      </w:r>
      <w:r>
        <w:t xml:space="preserve"> </w:t>
      </w:r>
      <w:r>
        <w:t>material conditions that incite disability at immense rates.</w:t>
      </w:r>
    </w:p>
    <w:p w:rsidR="000E087D" w:rsidRDefault="000E087D" w:rsidP="000E087D">
      <w:pPr>
        <w:spacing w:after="0"/>
        <w:ind w:firstLine="720"/>
        <w:jc w:val="both"/>
      </w:pPr>
      <w:r>
        <w:t>Yet the purpose of this article has been humble – to arouse a preliminary, direct and more meaningful conversation between critical disability studies and economic recession, and in doing so to reclaim some space for disability studies within the critique of capitalist and neo-liberalist agendas. Within this, the assumption of incompatibility has not been automatic; rather it would seem that, as I draw the article to a close, critical disability studies can in fact generate insights into economic phenomena that do offer some material application. Specifically, I have focused within this article on two developing and exciting aspects of critical disability studies, namely the notion of ‘the self and other’ and intersectionality.</w:t>
      </w:r>
    </w:p>
    <w:p w:rsidR="000E087D" w:rsidRDefault="000E087D" w:rsidP="000E087D">
      <w:pPr>
        <w:spacing w:after="0"/>
        <w:ind w:firstLine="720"/>
        <w:jc w:val="both"/>
      </w:pPr>
    </w:p>
    <w:p w:rsidR="000E087D" w:rsidRPr="000E087D" w:rsidRDefault="000E087D" w:rsidP="000E087D">
      <w:pPr>
        <w:jc w:val="both"/>
        <w:rPr>
          <w:b/>
        </w:rPr>
      </w:pPr>
      <w:r w:rsidRPr="000E087D">
        <w:rPr>
          <w:b/>
        </w:rPr>
        <w:t>Acknowledgements</w:t>
      </w:r>
    </w:p>
    <w:p w:rsidR="000E087D" w:rsidRDefault="000E087D" w:rsidP="000E087D">
      <w:pPr>
        <w:jc w:val="both"/>
      </w:pPr>
      <w:r>
        <w:t>The author would like to thank Professor Caroline McGregor and the anonymous reviewers for their kind consideration.</w:t>
      </w:r>
    </w:p>
    <w:p w:rsidR="000E087D" w:rsidRPr="000E087D" w:rsidRDefault="000E087D" w:rsidP="000E087D">
      <w:pPr>
        <w:jc w:val="both"/>
        <w:rPr>
          <w:b/>
        </w:rPr>
      </w:pPr>
      <w:r w:rsidRPr="000E087D">
        <w:rPr>
          <w:b/>
        </w:rPr>
        <w:t>Disclosure statement</w:t>
      </w:r>
    </w:p>
    <w:p w:rsidR="000E087D" w:rsidRDefault="000E087D" w:rsidP="000E087D">
      <w:pPr>
        <w:jc w:val="both"/>
      </w:pPr>
      <w:r>
        <w:t>No potential conflict of interest was reported by the author.</w:t>
      </w:r>
    </w:p>
    <w:p w:rsidR="000E087D" w:rsidRPr="000E087D" w:rsidRDefault="000E087D" w:rsidP="000E087D">
      <w:pPr>
        <w:jc w:val="both"/>
        <w:rPr>
          <w:b/>
        </w:rPr>
      </w:pPr>
      <w:r w:rsidRPr="000E087D">
        <w:rPr>
          <w:b/>
        </w:rPr>
        <w:t>Funding</w:t>
      </w:r>
    </w:p>
    <w:p w:rsidR="000E087D" w:rsidRDefault="000E087D" w:rsidP="000E087D">
      <w:pPr>
        <w:jc w:val="both"/>
      </w:pPr>
      <w:r>
        <w:t>There is no funding to declare.</w:t>
      </w: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pPr>
    </w:p>
    <w:p w:rsidR="001C62B6" w:rsidRDefault="001C62B6" w:rsidP="000E087D">
      <w:pPr>
        <w:jc w:val="both"/>
        <w:rPr>
          <w:rFonts w:eastAsia="Calibri" w:cstheme="minorHAnsi"/>
          <w:b/>
          <w:bCs/>
          <w:w w:val="105"/>
          <w:sz w:val="20"/>
          <w:szCs w:val="20"/>
          <w:lang w:val="en-US"/>
        </w:rPr>
      </w:pP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lastRenderedPageBreak/>
        <w:t>References</w:t>
      </w:r>
    </w:p>
    <w:p w:rsidR="001C62B6" w:rsidRPr="001C62B6" w:rsidRDefault="001C62B6" w:rsidP="001C62B6">
      <w:pPr>
        <w:jc w:val="both"/>
        <w:rPr>
          <w:rFonts w:eastAsia="Calibri" w:cstheme="minorHAnsi"/>
          <w:bCs/>
          <w:w w:val="105"/>
          <w:sz w:val="20"/>
          <w:szCs w:val="20"/>
          <w:lang w:val="en-US"/>
        </w:rPr>
      </w:pPr>
      <w:bookmarkStart w:id="9" w:name="_bookmark73"/>
      <w:bookmarkStart w:id="10" w:name="_bookmark74"/>
      <w:bookmarkEnd w:id="9"/>
      <w:bookmarkEnd w:id="10"/>
      <w:r w:rsidRPr="001C62B6">
        <w:rPr>
          <w:rFonts w:eastAsia="Calibri" w:cstheme="minorHAnsi"/>
          <w:bCs/>
          <w:w w:val="105"/>
          <w:sz w:val="20"/>
          <w:szCs w:val="20"/>
          <w:lang w:val="en-US"/>
        </w:rPr>
        <w:t xml:space="preserve">Allen, K. </w:t>
      </w:r>
      <w:hyperlink w:anchor="_bookmark44" w:history="1">
        <w:r w:rsidRPr="001C62B6">
          <w:rPr>
            <w:rStyle w:val="Hyperlink"/>
            <w:rFonts w:eastAsia="Calibri" w:cstheme="minorHAnsi"/>
            <w:bCs/>
            <w:w w:val="105"/>
            <w:sz w:val="20"/>
            <w:szCs w:val="20"/>
            <w:lang w:val="en-US"/>
          </w:rPr>
          <w:t>2009</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Ireland’s Economic Crash: A Radical Agenda for Change</w:t>
      </w:r>
      <w:r w:rsidRPr="001C62B6">
        <w:rPr>
          <w:rFonts w:eastAsia="Calibri" w:cstheme="minorHAnsi"/>
          <w:bCs/>
          <w:w w:val="105"/>
          <w:sz w:val="20"/>
          <w:szCs w:val="20"/>
          <w:lang w:val="en-US"/>
        </w:rPr>
        <w:t xml:space="preserve">. Dublin: The </w:t>
      </w:r>
      <w:proofErr w:type="spellStart"/>
      <w:r w:rsidRPr="001C62B6">
        <w:rPr>
          <w:rFonts w:eastAsia="Calibri" w:cstheme="minorHAnsi"/>
          <w:bCs/>
          <w:w w:val="105"/>
          <w:sz w:val="20"/>
          <w:szCs w:val="20"/>
          <w:lang w:val="en-US"/>
        </w:rPr>
        <w:t>Liffey</w:t>
      </w:r>
      <w:proofErr w:type="spellEnd"/>
      <w:r w:rsidRPr="001C62B6">
        <w:rPr>
          <w:rFonts w:eastAsia="Calibri" w:cstheme="minorHAnsi"/>
          <w:bCs/>
          <w:w w:val="105"/>
          <w:sz w:val="20"/>
          <w:szCs w:val="20"/>
          <w:lang w:val="en-US"/>
        </w:rPr>
        <w:t xml:space="preserve"> Press.</w:t>
      </w:r>
    </w:p>
    <w:p w:rsidR="001C62B6" w:rsidRPr="001C62B6" w:rsidRDefault="001C62B6" w:rsidP="001C62B6">
      <w:pPr>
        <w:jc w:val="both"/>
        <w:rPr>
          <w:rFonts w:eastAsia="Calibri" w:cstheme="minorHAnsi"/>
          <w:bCs/>
          <w:i/>
          <w:w w:val="105"/>
          <w:sz w:val="20"/>
          <w:szCs w:val="20"/>
          <w:lang w:val="en-US"/>
        </w:rPr>
      </w:pPr>
      <w:r w:rsidRPr="001C62B6">
        <w:rPr>
          <w:rFonts w:eastAsia="Calibri" w:cstheme="minorHAnsi"/>
          <w:bCs/>
          <w:w w:val="105"/>
          <w:sz w:val="20"/>
          <w:szCs w:val="20"/>
          <w:lang w:val="en-US"/>
        </w:rPr>
        <w:t xml:space="preserve">Allen, K. </w:t>
      </w:r>
      <w:hyperlink w:anchor="_bookmark45" w:history="1">
        <w:r w:rsidRPr="001C62B6">
          <w:rPr>
            <w:rStyle w:val="Hyperlink"/>
            <w:rFonts w:eastAsia="Calibri" w:cstheme="minorHAnsi"/>
            <w:bCs/>
            <w:w w:val="105"/>
            <w:sz w:val="20"/>
            <w:szCs w:val="20"/>
            <w:lang w:val="en-US"/>
          </w:rPr>
          <w:t>2012</w:t>
        </w:r>
      </w:hyperlink>
      <w:r w:rsidRPr="001C62B6">
        <w:rPr>
          <w:rFonts w:eastAsia="Calibri" w:cstheme="minorHAnsi"/>
          <w:bCs/>
          <w:w w:val="105"/>
          <w:sz w:val="20"/>
          <w:szCs w:val="20"/>
          <w:lang w:val="en-US"/>
        </w:rPr>
        <w:t xml:space="preserve">.“The Model Pupil Who Faked the Test: Social Policy in the Irish Crisis.” </w:t>
      </w:r>
      <w:r w:rsidRPr="001C62B6">
        <w:rPr>
          <w:rFonts w:eastAsia="Calibri" w:cstheme="minorHAnsi"/>
          <w:bCs/>
          <w:i/>
          <w:w w:val="105"/>
          <w:sz w:val="20"/>
          <w:szCs w:val="20"/>
          <w:lang w:val="en-US"/>
        </w:rPr>
        <w:t>Critical Social Policy</w:t>
      </w:r>
      <w:bookmarkStart w:id="11" w:name="_bookmark75"/>
      <w:bookmarkEnd w:id="11"/>
      <w:r>
        <w:rPr>
          <w:rFonts w:eastAsia="Calibri" w:cstheme="minorHAnsi"/>
          <w:bCs/>
          <w:i/>
          <w:w w:val="105"/>
          <w:sz w:val="20"/>
          <w:szCs w:val="20"/>
          <w:lang w:val="en-US"/>
        </w:rPr>
        <w:t xml:space="preserve"> </w:t>
      </w:r>
      <w:r w:rsidRPr="001C62B6">
        <w:rPr>
          <w:rFonts w:eastAsia="Calibri" w:cstheme="minorHAnsi"/>
          <w:bCs/>
          <w:w w:val="105"/>
          <w:sz w:val="20"/>
          <w:szCs w:val="20"/>
          <w:lang w:val="en-US"/>
        </w:rPr>
        <w:t>32 (3): 422–439.</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Barad, K. M. </w:t>
      </w:r>
      <w:hyperlink w:anchor="_bookmark72" w:history="1">
        <w:r w:rsidRPr="001C62B6">
          <w:rPr>
            <w:rStyle w:val="Hyperlink"/>
            <w:rFonts w:eastAsia="Calibri" w:cstheme="minorHAnsi"/>
            <w:bCs/>
            <w:w w:val="105"/>
            <w:sz w:val="20"/>
            <w:szCs w:val="20"/>
            <w:lang w:val="en-US"/>
          </w:rPr>
          <w:t>2003</w:t>
        </w:r>
      </w:hyperlink>
      <w:r w:rsidRPr="001C62B6">
        <w:rPr>
          <w:rFonts w:eastAsia="Calibri" w:cstheme="minorHAnsi"/>
          <w:bCs/>
          <w:w w:val="105"/>
          <w:sz w:val="20"/>
          <w:szCs w:val="20"/>
          <w:lang w:val="en-US"/>
        </w:rPr>
        <w:t>. “Post-Humanist Performativity: Toward an Understanding of How Matter Comes to</w:t>
      </w:r>
      <w:bookmarkStart w:id="12" w:name="_bookmark76"/>
      <w:bookmarkEnd w:id="12"/>
      <w:r w:rsidRPr="001C62B6">
        <w:rPr>
          <w:rFonts w:eastAsia="Calibri" w:cstheme="minorHAnsi"/>
          <w:bCs/>
          <w:w w:val="105"/>
          <w:sz w:val="20"/>
          <w:szCs w:val="20"/>
          <w:lang w:val="en-US"/>
        </w:rPr>
        <w:t xml:space="preserve"> Matter.” </w:t>
      </w:r>
      <w:r w:rsidRPr="001C62B6">
        <w:rPr>
          <w:rFonts w:eastAsia="Calibri" w:cstheme="minorHAnsi"/>
          <w:bCs/>
          <w:i/>
          <w:w w:val="105"/>
          <w:sz w:val="20"/>
          <w:szCs w:val="20"/>
          <w:lang w:val="en-US"/>
        </w:rPr>
        <w:t xml:space="preserve">Signa </w:t>
      </w:r>
      <w:r w:rsidRPr="001C62B6">
        <w:rPr>
          <w:rFonts w:eastAsia="Calibri" w:cstheme="minorHAnsi"/>
          <w:bCs/>
          <w:w w:val="105"/>
          <w:sz w:val="20"/>
          <w:szCs w:val="20"/>
          <w:lang w:val="en-US"/>
        </w:rPr>
        <w:t>28 (3): 801–831.</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Barnes, C. </w:t>
      </w:r>
      <w:hyperlink w:anchor="_bookmark18" w:history="1">
        <w:r w:rsidRPr="001C62B6">
          <w:rPr>
            <w:rStyle w:val="Hyperlink"/>
            <w:rFonts w:eastAsia="Calibri" w:cstheme="minorHAnsi"/>
            <w:bCs/>
            <w:w w:val="105"/>
            <w:sz w:val="20"/>
            <w:szCs w:val="20"/>
            <w:lang w:val="en-US"/>
          </w:rPr>
          <w:t>2012</w:t>
        </w:r>
      </w:hyperlink>
      <w:r w:rsidRPr="001C62B6">
        <w:rPr>
          <w:rFonts w:eastAsia="Calibri" w:cstheme="minorHAnsi"/>
          <w:bCs/>
          <w:w w:val="105"/>
          <w:sz w:val="20"/>
          <w:szCs w:val="20"/>
          <w:lang w:val="en-US"/>
        </w:rPr>
        <w:t xml:space="preserve">. “Understanding the Social Model: Past, Present and Future.” In </w:t>
      </w:r>
      <w:proofErr w:type="gramStart"/>
      <w:r w:rsidRPr="001C62B6">
        <w:rPr>
          <w:rFonts w:eastAsia="Calibri" w:cstheme="minorHAnsi"/>
          <w:bCs/>
          <w:i/>
          <w:w w:val="105"/>
          <w:sz w:val="20"/>
          <w:szCs w:val="20"/>
          <w:lang w:val="en-US"/>
        </w:rPr>
        <w:t>The</w:t>
      </w:r>
      <w:proofErr w:type="gramEnd"/>
      <w:r w:rsidRPr="001C62B6">
        <w:rPr>
          <w:rFonts w:eastAsia="Calibri" w:cstheme="minorHAnsi"/>
          <w:bCs/>
          <w:i/>
          <w:w w:val="105"/>
          <w:sz w:val="20"/>
          <w:szCs w:val="20"/>
          <w:lang w:val="en-US"/>
        </w:rPr>
        <w:t xml:space="preserve"> Routledge Handbook</w:t>
      </w:r>
      <w:bookmarkStart w:id="13" w:name="_bookmark77"/>
      <w:bookmarkEnd w:id="13"/>
      <w:r w:rsidRPr="001C62B6">
        <w:rPr>
          <w:rFonts w:eastAsia="Calibri" w:cstheme="minorHAnsi"/>
          <w:bCs/>
          <w:i/>
          <w:w w:val="105"/>
          <w:sz w:val="20"/>
          <w:szCs w:val="20"/>
          <w:lang w:val="en-US"/>
        </w:rPr>
        <w:t xml:space="preserve"> of Disability Studies</w:t>
      </w:r>
      <w:r w:rsidRPr="001C62B6">
        <w:rPr>
          <w:rFonts w:eastAsia="Calibri" w:cstheme="minorHAnsi"/>
          <w:bCs/>
          <w:w w:val="105"/>
          <w:sz w:val="20"/>
          <w:szCs w:val="20"/>
          <w:lang w:val="en-US"/>
        </w:rPr>
        <w:t xml:space="preserve">, edited by N. Watson, A. </w:t>
      </w:r>
      <w:proofErr w:type="spellStart"/>
      <w:r w:rsidRPr="001C62B6">
        <w:rPr>
          <w:rFonts w:eastAsia="Calibri" w:cstheme="minorHAnsi"/>
          <w:bCs/>
          <w:w w:val="105"/>
          <w:sz w:val="20"/>
          <w:szCs w:val="20"/>
          <w:lang w:val="en-US"/>
        </w:rPr>
        <w:t>Roulstone</w:t>
      </w:r>
      <w:proofErr w:type="spellEnd"/>
      <w:r w:rsidRPr="001C62B6">
        <w:rPr>
          <w:rFonts w:eastAsia="Calibri" w:cstheme="minorHAnsi"/>
          <w:bCs/>
          <w:w w:val="105"/>
          <w:sz w:val="20"/>
          <w:szCs w:val="20"/>
          <w:lang w:val="en-US"/>
        </w:rPr>
        <w:t xml:space="preserve"> and C. Thomas, 12–29. London: Routledge.</w:t>
      </w:r>
    </w:p>
    <w:p w:rsidR="001C62B6" w:rsidRPr="001C62B6" w:rsidRDefault="001C62B6" w:rsidP="001C62B6">
      <w:pPr>
        <w:jc w:val="both"/>
        <w:rPr>
          <w:rFonts w:eastAsia="Calibri" w:cstheme="minorHAnsi"/>
          <w:bCs/>
          <w:w w:val="105"/>
          <w:sz w:val="20"/>
          <w:szCs w:val="20"/>
          <w:lang w:val="en-US"/>
        </w:rPr>
      </w:pPr>
      <w:bookmarkStart w:id="14" w:name="_bookmark78"/>
      <w:bookmarkEnd w:id="14"/>
      <w:r w:rsidRPr="001C62B6">
        <w:rPr>
          <w:rFonts w:eastAsia="Calibri" w:cstheme="minorHAnsi"/>
          <w:bCs/>
          <w:w w:val="105"/>
          <w:sz w:val="20"/>
          <w:szCs w:val="20"/>
          <w:lang w:val="en-US"/>
        </w:rPr>
        <w:t xml:space="preserve">Bollard, M. </w:t>
      </w:r>
      <w:hyperlink w:anchor="_bookmark4" w:history="1">
        <w:r w:rsidRPr="001C62B6">
          <w:rPr>
            <w:rStyle w:val="Hyperlink"/>
            <w:rFonts w:eastAsia="Calibri" w:cstheme="minorHAnsi"/>
            <w:bCs/>
            <w:w w:val="105"/>
            <w:sz w:val="20"/>
            <w:szCs w:val="20"/>
            <w:lang w:val="en-US"/>
          </w:rPr>
          <w:t>2009</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Intellectual Disability and Social Inclusion: A Critical Review</w:t>
      </w:r>
      <w:r w:rsidRPr="001C62B6">
        <w:rPr>
          <w:rFonts w:eastAsia="Calibri" w:cstheme="minorHAnsi"/>
          <w:bCs/>
          <w:w w:val="105"/>
          <w:sz w:val="20"/>
          <w:szCs w:val="20"/>
          <w:lang w:val="en-US"/>
        </w:rPr>
        <w:t xml:space="preserve">. Edinburgh: Elsevier. </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Braidotti</w:t>
      </w:r>
      <w:proofErr w:type="spellEnd"/>
      <w:r w:rsidRPr="001C62B6">
        <w:rPr>
          <w:rFonts w:eastAsia="Calibri" w:cstheme="minorHAnsi"/>
          <w:bCs/>
          <w:w w:val="105"/>
          <w:sz w:val="20"/>
          <w:szCs w:val="20"/>
          <w:lang w:val="en-US"/>
        </w:rPr>
        <w:t xml:space="preserve">, R. </w:t>
      </w:r>
      <w:hyperlink w:anchor="_bookmark60" w:history="1">
        <w:r w:rsidRPr="001C62B6">
          <w:rPr>
            <w:rStyle w:val="Hyperlink"/>
            <w:rFonts w:eastAsia="Calibri" w:cstheme="minorHAnsi"/>
            <w:bCs/>
            <w:w w:val="105"/>
            <w:sz w:val="20"/>
            <w:szCs w:val="20"/>
            <w:lang w:val="en-US"/>
          </w:rPr>
          <w:t>2003</w:t>
        </w:r>
      </w:hyperlink>
      <w:r w:rsidRPr="001C62B6">
        <w:rPr>
          <w:rFonts w:eastAsia="Calibri" w:cstheme="minorHAnsi"/>
          <w:bCs/>
          <w:w w:val="105"/>
          <w:sz w:val="20"/>
          <w:szCs w:val="20"/>
          <w:lang w:val="en-US"/>
        </w:rPr>
        <w:t xml:space="preserve">. “Becoming Woman: Or Sexual Difference Revisited.” </w:t>
      </w:r>
      <w:r w:rsidRPr="001C62B6">
        <w:rPr>
          <w:rFonts w:eastAsia="Calibri" w:cstheme="minorHAnsi"/>
          <w:bCs/>
          <w:i/>
          <w:w w:val="105"/>
          <w:sz w:val="20"/>
          <w:szCs w:val="20"/>
          <w:lang w:val="en-US"/>
        </w:rPr>
        <w:t xml:space="preserve">Theory, Culture &amp; Society </w:t>
      </w:r>
      <w:r w:rsidRPr="001C62B6">
        <w:rPr>
          <w:rFonts w:eastAsia="Calibri" w:cstheme="minorHAnsi"/>
          <w:bCs/>
          <w:w w:val="105"/>
          <w:sz w:val="20"/>
          <w:szCs w:val="20"/>
          <w:lang w:val="en-US"/>
        </w:rPr>
        <w:t>20 (3):</w:t>
      </w:r>
      <w:bookmarkStart w:id="15" w:name="_bookmark79"/>
      <w:bookmarkEnd w:id="15"/>
      <w:r w:rsidRPr="001C62B6">
        <w:rPr>
          <w:rFonts w:eastAsia="Calibri" w:cstheme="minorHAnsi"/>
          <w:bCs/>
          <w:w w:val="105"/>
          <w:sz w:val="20"/>
          <w:szCs w:val="20"/>
          <w:lang w:val="en-US"/>
        </w:rPr>
        <w:t>43–64.</w:t>
      </w:r>
    </w:p>
    <w:p w:rsidR="001C62B6" w:rsidRPr="001C62B6" w:rsidRDefault="001C62B6" w:rsidP="001C62B6">
      <w:pPr>
        <w:jc w:val="both"/>
        <w:rPr>
          <w:rFonts w:eastAsia="Calibri" w:cstheme="minorHAnsi"/>
          <w:bCs/>
          <w:w w:val="105"/>
          <w:sz w:val="20"/>
          <w:szCs w:val="20"/>
          <w:lang w:val="en-US"/>
        </w:rPr>
      </w:pPr>
      <w:bookmarkStart w:id="16" w:name="_bookmark80"/>
      <w:bookmarkEnd w:id="16"/>
      <w:r w:rsidRPr="001C62B6">
        <w:rPr>
          <w:rFonts w:eastAsia="Calibri" w:cstheme="minorHAnsi"/>
          <w:bCs/>
          <w:w w:val="105"/>
          <w:sz w:val="20"/>
          <w:szCs w:val="20"/>
          <w:lang w:val="en-US"/>
        </w:rPr>
        <w:t xml:space="preserve">Bukharin, N. </w:t>
      </w:r>
      <w:hyperlink w:anchor="_bookmark20" w:history="1">
        <w:r w:rsidRPr="001C62B6">
          <w:rPr>
            <w:rStyle w:val="Hyperlink"/>
            <w:rFonts w:eastAsia="Calibri" w:cstheme="minorHAnsi"/>
            <w:bCs/>
            <w:w w:val="105"/>
            <w:sz w:val="20"/>
            <w:szCs w:val="20"/>
            <w:lang w:val="en-US"/>
          </w:rPr>
          <w:t>2011</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Historical Materialism: A System of Sociology</w:t>
      </w:r>
      <w:r w:rsidRPr="001C62B6">
        <w:rPr>
          <w:rFonts w:eastAsia="Calibri" w:cstheme="minorHAnsi"/>
          <w:bCs/>
          <w:w w:val="105"/>
          <w:sz w:val="20"/>
          <w:szCs w:val="20"/>
          <w:lang w:val="en-US"/>
        </w:rPr>
        <w:t>. Oxon: Routledge.</w:t>
      </w:r>
    </w:p>
    <w:p w:rsidR="001C62B6" w:rsidRPr="001C62B6" w:rsidRDefault="001C62B6" w:rsidP="001C62B6">
      <w:pPr>
        <w:jc w:val="both"/>
        <w:rPr>
          <w:rFonts w:eastAsia="Calibri" w:cstheme="minorHAnsi"/>
          <w:bCs/>
          <w:w w:val="105"/>
          <w:sz w:val="20"/>
          <w:szCs w:val="20"/>
          <w:lang w:val="en-US"/>
        </w:rPr>
      </w:pPr>
      <w:bookmarkStart w:id="17" w:name="_bookmark81"/>
      <w:bookmarkEnd w:id="17"/>
      <w:r w:rsidRPr="001C62B6">
        <w:rPr>
          <w:rFonts w:eastAsia="Calibri" w:cstheme="minorHAnsi"/>
          <w:bCs/>
          <w:w w:val="105"/>
          <w:sz w:val="20"/>
          <w:szCs w:val="20"/>
          <w:lang w:val="en-US"/>
        </w:rPr>
        <w:t xml:space="preserve">Butler, J. </w:t>
      </w:r>
      <w:hyperlink w:anchor="_bookmark36" w:history="1">
        <w:r w:rsidRPr="001C62B6">
          <w:rPr>
            <w:rStyle w:val="Hyperlink"/>
            <w:rFonts w:eastAsia="Calibri" w:cstheme="minorHAnsi"/>
            <w:bCs/>
            <w:w w:val="105"/>
            <w:sz w:val="20"/>
            <w:szCs w:val="20"/>
            <w:lang w:val="en-US"/>
          </w:rPr>
          <w:t>2011</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Gender Trouble: Feminism and the Subversion of Identity</w:t>
      </w:r>
      <w:r w:rsidRPr="001C62B6">
        <w:rPr>
          <w:rFonts w:eastAsia="Calibri" w:cstheme="minorHAnsi"/>
          <w:bCs/>
          <w:w w:val="105"/>
          <w:sz w:val="20"/>
          <w:szCs w:val="20"/>
          <w:lang w:val="en-US"/>
        </w:rPr>
        <w:t>. New York: Routledge.</w:t>
      </w:r>
    </w:p>
    <w:p w:rsidR="001C62B6" w:rsidRDefault="001C62B6" w:rsidP="001C62B6">
      <w:pPr>
        <w:jc w:val="both"/>
        <w:rPr>
          <w:rFonts w:eastAsia="Calibri" w:cstheme="minorHAnsi"/>
          <w:bCs/>
          <w:w w:val="105"/>
          <w:sz w:val="20"/>
          <w:szCs w:val="20"/>
          <w:lang w:val="en-US"/>
        </w:rPr>
      </w:pPr>
      <w:bookmarkStart w:id="18" w:name="_bookmark82"/>
      <w:bookmarkEnd w:id="18"/>
      <w:r w:rsidRPr="001C62B6">
        <w:rPr>
          <w:rFonts w:eastAsia="Calibri" w:cstheme="minorHAnsi"/>
          <w:bCs/>
          <w:w w:val="105"/>
          <w:sz w:val="20"/>
          <w:szCs w:val="20"/>
          <w:lang w:val="en-US"/>
        </w:rPr>
        <w:t xml:space="preserve">Butler, J. </w:t>
      </w:r>
      <w:hyperlink w:anchor="_bookmark49" w:history="1">
        <w:r w:rsidRPr="001C62B6">
          <w:rPr>
            <w:rStyle w:val="Hyperlink"/>
            <w:rFonts w:eastAsia="Calibri" w:cstheme="minorHAnsi"/>
            <w:bCs/>
            <w:w w:val="105"/>
            <w:sz w:val="20"/>
            <w:szCs w:val="20"/>
            <w:lang w:val="en-US"/>
          </w:rPr>
          <w:t>2015</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Notes toward a Performative Theory of Assembly</w:t>
      </w:r>
      <w:r w:rsidRPr="001C62B6">
        <w:rPr>
          <w:rFonts w:eastAsia="Calibri" w:cstheme="minorHAnsi"/>
          <w:bCs/>
          <w:w w:val="105"/>
          <w:sz w:val="20"/>
          <w:szCs w:val="20"/>
          <w:lang w:val="en-US"/>
        </w:rPr>
        <w:t xml:space="preserve">. United States: Harvard University Press. </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Campbell, F. K. </w:t>
      </w:r>
      <w:hyperlink w:anchor="_bookmark59" w:history="1">
        <w:r w:rsidRPr="001C62B6">
          <w:rPr>
            <w:rStyle w:val="Hyperlink"/>
            <w:rFonts w:eastAsia="Calibri" w:cstheme="minorHAnsi"/>
            <w:bCs/>
            <w:w w:val="105"/>
            <w:sz w:val="20"/>
            <w:szCs w:val="20"/>
            <w:lang w:val="en-US"/>
          </w:rPr>
          <w:t>2008a</w:t>
        </w:r>
      </w:hyperlink>
      <w:r w:rsidRPr="001C62B6">
        <w:rPr>
          <w:rFonts w:eastAsia="Calibri" w:cstheme="minorHAnsi"/>
          <w:bCs/>
          <w:w w:val="105"/>
          <w:sz w:val="20"/>
          <w:szCs w:val="20"/>
          <w:lang w:val="en-US"/>
        </w:rPr>
        <w:t xml:space="preserve">. “Refusing </w:t>
      </w:r>
      <w:proofErr w:type="gramStart"/>
      <w:r w:rsidRPr="001C62B6">
        <w:rPr>
          <w:rFonts w:eastAsia="Calibri" w:cstheme="minorHAnsi"/>
          <w:bCs/>
          <w:w w:val="105"/>
          <w:sz w:val="20"/>
          <w:szCs w:val="20"/>
          <w:lang w:val="en-US"/>
        </w:rPr>
        <w:t>Able(</w:t>
      </w:r>
      <w:proofErr w:type="gramEnd"/>
      <w:r w:rsidRPr="001C62B6">
        <w:rPr>
          <w:rFonts w:eastAsia="Calibri" w:cstheme="minorHAnsi"/>
          <w:bCs/>
          <w:w w:val="105"/>
          <w:sz w:val="20"/>
          <w:szCs w:val="20"/>
          <w:lang w:val="en-US"/>
        </w:rPr>
        <w:t xml:space="preserve">Ness): A Preliminary Conversation about Ableism.” </w:t>
      </w:r>
      <w:r w:rsidRPr="001C62B6">
        <w:rPr>
          <w:rFonts w:eastAsia="Calibri" w:cstheme="minorHAnsi"/>
          <w:bCs/>
          <w:i/>
          <w:w w:val="105"/>
          <w:sz w:val="20"/>
          <w:szCs w:val="20"/>
          <w:lang w:val="en-US"/>
        </w:rPr>
        <w:t xml:space="preserve">M/C – Media and Culture </w:t>
      </w:r>
      <w:r w:rsidRPr="001C62B6">
        <w:rPr>
          <w:rFonts w:eastAsia="Calibri" w:cstheme="minorHAnsi"/>
          <w:bCs/>
          <w:w w:val="105"/>
          <w:sz w:val="20"/>
          <w:szCs w:val="20"/>
          <w:lang w:val="en-US"/>
        </w:rPr>
        <w:t xml:space="preserve">11 (3). Accessed May 28, 2016. </w:t>
      </w:r>
      <w:hyperlink r:id="rId5">
        <w:r w:rsidRPr="001C62B6">
          <w:rPr>
            <w:rStyle w:val="Hyperlink"/>
            <w:rFonts w:eastAsia="Calibri" w:cstheme="minorHAnsi"/>
            <w:bCs/>
            <w:w w:val="105"/>
            <w:sz w:val="20"/>
            <w:szCs w:val="20"/>
            <w:lang w:val="en-US"/>
          </w:rPr>
          <w:t>http://journal.media-culture.org.au/index.php/mcjournal/</w:t>
        </w:r>
      </w:hyperlink>
      <w:bookmarkStart w:id="19" w:name="_bookmark83"/>
      <w:bookmarkEnd w:id="19"/>
      <w:r w:rsidRPr="001C62B6">
        <w:rPr>
          <w:rFonts w:eastAsia="Calibri" w:cstheme="minorHAnsi"/>
          <w:bCs/>
          <w:w w:val="105"/>
          <w:sz w:val="20"/>
          <w:szCs w:val="20"/>
          <w:lang w:val="en-US"/>
        </w:rPr>
        <w:fldChar w:fldCharType="begin"/>
      </w:r>
      <w:r w:rsidRPr="001C62B6">
        <w:rPr>
          <w:rFonts w:eastAsia="Calibri" w:cstheme="minorHAnsi"/>
          <w:bCs/>
          <w:w w:val="105"/>
          <w:sz w:val="20"/>
          <w:szCs w:val="20"/>
          <w:lang w:val="en-US"/>
        </w:rPr>
        <w:instrText xml:space="preserve"> HYPERLINK "http://journal.media-culture.org.au/index.php/mcjournal/article/viewArticle/46/" \h </w:instrText>
      </w:r>
      <w:r w:rsidRPr="001C62B6">
        <w:rPr>
          <w:rFonts w:eastAsia="Calibri" w:cstheme="minorHAnsi"/>
          <w:bCs/>
          <w:w w:val="105"/>
          <w:sz w:val="20"/>
          <w:szCs w:val="20"/>
          <w:lang w:val="en-US"/>
        </w:rPr>
        <w:fldChar w:fldCharType="separate"/>
      </w:r>
      <w:r w:rsidRPr="001C62B6">
        <w:rPr>
          <w:rStyle w:val="Hyperlink"/>
          <w:rFonts w:eastAsia="Calibri" w:cstheme="minorHAnsi"/>
          <w:bCs/>
          <w:w w:val="105"/>
          <w:sz w:val="20"/>
          <w:szCs w:val="20"/>
          <w:lang w:val="en-US"/>
        </w:rPr>
        <w:t>article/viewArticle/46/</w:t>
      </w:r>
      <w:r w:rsidRPr="001C62B6">
        <w:rPr>
          <w:rFonts w:eastAsia="Calibri" w:cstheme="minorHAnsi"/>
          <w:bCs/>
          <w:w w:val="105"/>
          <w:sz w:val="20"/>
          <w:szCs w:val="20"/>
          <w:lang w:val="en-US"/>
        </w:rPr>
        <w:fldChar w:fldCharType="end"/>
      </w:r>
    </w:p>
    <w:p w:rsidR="001C62B6" w:rsidRPr="001C62B6" w:rsidRDefault="001C62B6" w:rsidP="001C62B6">
      <w:pPr>
        <w:jc w:val="both"/>
        <w:rPr>
          <w:rFonts w:eastAsia="Calibri" w:cstheme="minorHAnsi"/>
          <w:bCs/>
          <w:i/>
          <w:w w:val="105"/>
          <w:sz w:val="20"/>
          <w:szCs w:val="20"/>
          <w:lang w:val="en-US"/>
        </w:rPr>
      </w:pPr>
      <w:r w:rsidRPr="001C62B6">
        <w:rPr>
          <w:rFonts w:eastAsia="Calibri" w:cstheme="minorHAnsi"/>
          <w:bCs/>
          <w:w w:val="105"/>
          <w:sz w:val="20"/>
          <w:szCs w:val="20"/>
          <w:lang w:val="en-US"/>
        </w:rPr>
        <w:t xml:space="preserve">Campbell, F. K. </w:t>
      </w:r>
      <w:hyperlink w:anchor="_bookmark52" w:history="1">
        <w:r w:rsidRPr="001C62B6">
          <w:rPr>
            <w:rStyle w:val="Hyperlink"/>
            <w:rFonts w:eastAsia="Calibri" w:cstheme="minorHAnsi"/>
            <w:bCs/>
            <w:w w:val="105"/>
            <w:sz w:val="20"/>
            <w:szCs w:val="20"/>
            <w:lang w:val="en-US"/>
          </w:rPr>
          <w:t>2008b</w:t>
        </w:r>
      </w:hyperlink>
      <w:r w:rsidRPr="001C62B6">
        <w:rPr>
          <w:rFonts w:eastAsia="Calibri" w:cstheme="minorHAnsi"/>
          <w:bCs/>
          <w:w w:val="105"/>
          <w:sz w:val="20"/>
          <w:szCs w:val="20"/>
          <w:lang w:val="en-US"/>
        </w:rPr>
        <w:t xml:space="preserve">. “Exploring Internalized Ableism Using Critical Race Theory.” </w:t>
      </w:r>
      <w:r w:rsidRPr="001C62B6">
        <w:rPr>
          <w:rFonts w:eastAsia="Calibri" w:cstheme="minorHAnsi"/>
          <w:bCs/>
          <w:i/>
          <w:w w:val="105"/>
          <w:sz w:val="20"/>
          <w:szCs w:val="20"/>
          <w:lang w:val="en-US"/>
        </w:rPr>
        <w:t>Disability &amp; Society</w:t>
      </w:r>
      <w:bookmarkStart w:id="20" w:name="_bookmark84"/>
      <w:bookmarkEnd w:id="20"/>
      <w:r w:rsidRPr="001C62B6">
        <w:rPr>
          <w:rFonts w:eastAsia="Calibri" w:cstheme="minorHAnsi"/>
          <w:bCs/>
          <w:w w:val="105"/>
          <w:sz w:val="20"/>
          <w:szCs w:val="20"/>
          <w:lang w:val="en-US"/>
        </w:rPr>
        <w:t>23 (2): 151–162.</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Campbell, F. K. </w:t>
      </w:r>
      <w:hyperlink w:anchor="_bookmark57" w:history="1">
        <w:r w:rsidRPr="001C62B6">
          <w:rPr>
            <w:rStyle w:val="Hyperlink"/>
            <w:rFonts w:eastAsia="Calibri" w:cstheme="minorHAnsi"/>
            <w:bCs/>
            <w:w w:val="105"/>
            <w:sz w:val="20"/>
            <w:szCs w:val="20"/>
            <w:lang w:val="en-US"/>
          </w:rPr>
          <w:t>2009</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Contours of Ableism: Territories, Objects, Disability and Desire</w:t>
      </w:r>
      <w:r w:rsidRPr="001C62B6">
        <w:rPr>
          <w:rFonts w:eastAsia="Calibri" w:cstheme="minorHAnsi"/>
          <w:bCs/>
          <w:w w:val="105"/>
          <w:sz w:val="20"/>
          <w:szCs w:val="20"/>
          <w:lang w:val="en-US"/>
        </w:rPr>
        <w:t>. London: Palgrave</w:t>
      </w:r>
      <w:bookmarkStart w:id="21" w:name="_bookmark85"/>
      <w:bookmarkEnd w:id="21"/>
      <w:r w:rsidRPr="001C62B6">
        <w:rPr>
          <w:rFonts w:eastAsia="Calibri" w:cstheme="minorHAnsi"/>
          <w:bCs/>
          <w:w w:val="105"/>
          <w:sz w:val="20"/>
          <w:szCs w:val="20"/>
          <w:lang w:val="en-US"/>
        </w:rPr>
        <w:t xml:space="preserve"> Macmillan.</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Centre for Independent Living. </w:t>
      </w:r>
      <w:hyperlink w:anchor="_bookmark12" w:history="1">
        <w:r w:rsidRPr="001C62B6">
          <w:rPr>
            <w:rStyle w:val="Hyperlink"/>
            <w:rFonts w:eastAsia="Calibri" w:cstheme="minorHAnsi"/>
            <w:bCs/>
            <w:w w:val="105"/>
            <w:sz w:val="20"/>
            <w:szCs w:val="20"/>
            <w:lang w:val="en-US"/>
          </w:rPr>
          <w:t>2011</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Pre-Budget Submission</w:t>
      </w:r>
      <w:r w:rsidRPr="001C62B6">
        <w:rPr>
          <w:rFonts w:eastAsia="Calibri" w:cstheme="minorHAnsi"/>
          <w:bCs/>
          <w:w w:val="105"/>
          <w:sz w:val="20"/>
          <w:szCs w:val="20"/>
          <w:lang w:val="en-US"/>
        </w:rPr>
        <w:t xml:space="preserve">. Accessed July 30, 2013. </w:t>
      </w:r>
      <w:hyperlink r:id="rId6">
        <w:r w:rsidRPr="001C62B6">
          <w:rPr>
            <w:rStyle w:val="Hyperlink"/>
            <w:rFonts w:eastAsia="Calibri" w:cstheme="minorHAnsi"/>
            <w:bCs/>
            <w:w w:val="105"/>
            <w:sz w:val="20"/>
            <w:szCs w:val="20"/>
            <w:lang w:val="en-US"/>
          </w:rPr>
          <w:t>http://www.</w:t>
        </w:r>
      </w:hyperlink>
      <w:r w:rsidRPr="001C62B6">
        <w:rPr>
          <w:rFonts w:eastAsia="Calibri" w:cstheme="minorHAnsi"/>
          <w:bCs/>
          <w:w w:val="105"/>
          <w:sz w:val="20"/>
          <w:szCs w:val="20"/>
          <w:lang w:val="en-US"/>
        </w:rPr>
        <w:t xml:space="preserve"> </w:t>
      </w:r>
      <w:hyperlink r:id="rId7">
        <w:r w:rsidRPr="001C62B6">
          <w:rPr>
            <w:rStyle w:val="Hyperlink"/>
            <w:rFonts w:eastAsia="Calibri" w:cstheme="minorHAnsi"/>
            <w:bCs/>
            <w:w w:val="105"/>
            <w:sz w:val="20"/>
            <w:szCs w:val="20"/>
            <w:lang w:val="en-US"/>
          </w:rPr>
          <w:t>socialjustice.ie/sites/default/files/file/Budget/Budget%202011/PreBudget%20Submissions/</w:t>
        </w:r>
      </w:hyperlink>
      <w:bookmarkStart w:id="22" w:name="_bookmark86"/>
      <w:bookmarkEnd w:id="22"/>
      <w:r w:rsidRPr="001C62B6">
        <w:rPr>
          <w:rFonts w:eastAsia="Calibri" w:cstheme="minorHAnsi"/>
          <w:bCs/>
          <w:w w:val="105"/>
          <w:sz w:val="20"/>
          <w:szCs w:val="20"/>
          <w:lang w:val="en-US"/>
        </w:rPr>
        <w:t xml:space="preserve"> </w:t>
      </w:r>
      <w:hyperlink r:id="rId8">
        <w:r w:rsidRPr="001C62B6">
          <w:rPr>
            <w:rStyle w:val="Hyperlink"/>
            <w:rFonts w:eastAsia="Calibri" w:cstheme="minorHAnsi"/>
            <w:bCs/>
            <w:w w:val="105"/>
            <w:sz w:val="20"/>
            <w:szCs w:val="20"/>
            <w:lang w:val="en-US"/>
          </w:rPr>
          <w:t>Centre%20for%20Independent%20Living%20Pre-Budget%20Submission.pdf</w:t>
        </w:r>
      </w:hyperlink>
      <w:r w:rsidRPr="001C62B6">
        <w:rPr>
          <w:rFonts w:eastAsia="Calibri" w:cstheme="minorHAnsi"/>
          <w:bCs/>
          <w:w w:val="105"/>
          <w:sz w:val="20"/>
          <w:szCs w:val="20"/>
          <w:lang w:val="en-US"/>
        </w:rPr>
        <w:t>.</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Colligan, S. E. </w:t>
      </w:r>
      <w:hyperlink w:anchor="_bookmark37" w:history="1">
        <w:r w:rsidRPr="001C62B6">
          <w:rPr>
            <w:rStyle w:val="Hyperlink"/>
            <w:rFonts w:eastAsia="Calibri" w:cstheme="minorHAnsi"/>
            <w:bCs/>
            <w:w w:val="105"/>
            <w:sz w:val="20"/>
            <w:szCs w:val="20"/>
            <w:lang w:val="en-US"/>
          </w:rPr>
          <w:t>1999</w:t>
        </w:r>
      </w:hyperlink>
      <w:r w:rsidRPr="001C62B6">
        <w:rPr>
          <w:rFonts w:eastAsia="Calibri" w:cstheme="minorHAnsi"/>
          <w:bCs/>
          <w:w w:val="105"/>
          <w:sz w:val="20"/>
          <w:szCs w:val="20"/>
          <w:lang w:val="en-US"/>
        </w:rPr>
        <w:t xml:space="preserve">. “Where Lie the ‘Secrets of Life?’: An Argument against Biological </w:t>
      </w:r>
      <w:proofErr w:type="spellStart"/>
      <w:r w:rsidRPr="001C62B6">
        <w:rPr>
          <w:rFonts w:eastAsia="Calibri" w:cstheme="minorHAnsi"/>
          <w:bCs/>
          <w:w w:val="105"/>
          <w:sz w:val="20"/>
          <w:szCs w:val="20"/>
          <w:lang w:val="en-US"/>
        </w:rPr>
        <w:t>Essentialism</w:t>
      </w:r>
      <w:proofErr w:type="gramStart"/>
      <w:r w:rsidRPr="001C62B6">
        <w:rPr>
          <w:rFonts w:eastAsia="Calibri" w:cstheme="minorHAnsi"/>
          <w:bCs/>
          <w:w w:val="105"/>
          <w:sz w:val="20"/>
          <w:szCs w:val="20"/>
          <w:lang w:val="en-US"/>
        </w:rPr>
        <w:t>.”</w:t>
      </w:r>
      <w:bookmarkStart w:id="23" w:name="_bookmark87"/>
      <w:bookmarkEnd w:id="23"/>
      <w:r w:rsidRPr="001C62B6">
        <w:rPr>
          <w:rFonts w:eastAsia="Calibri" w:cstheme="minorHAnsi"/>
          <w:bCs/>
          <w:i/>
          <w:w w:val="105"/>
          <w:sz w:val="20"/>
          <w:szCs w:val="20"/>
          <w:lang w:val="en-US"/>
        </w:rPr>
        <w:t>International</w:t>
      </w:r>
      <w:proofErr w:type="spellEnd"/>
      <w:proofErr w:type="gramEnd"/>
      <w:r w:rsidRPr="001C62B6">
        <w:rPr>
          <w:rFonts w:eastAsia="Calibri" w:cstheme="minorHAnsi"/>
          <w:bCs/>
          <w:i/>
          <w:w w:val="105"/>
          <w:sz w:val="20"/>
          <w:szCs w:val="20"/>
          <w:lang w:val="en-US"/>
        </w:rPr>
        <w:t xml:space="preserve"> Journal of Sexuality and Gender Studies </w:t>
      </w:r>
      <w:r w:rsidRPr="001C62B6">
        <w:rPr>
          <w:rFonts w:eastAsia="Calibri" w:cstheme="minorHAnsi"/>
          <w:bCs/>
          <w:w w:val="105"/>
          <w:sz w:val="20"/>
          <w:szCs w:val="20"/>
          <w:lang w:val="en-US"/>
        </w:rPr>
        <w:t>4 (1): 73–85.</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Corker, M. </w:t>
      </w:r>
      <w:hyperlink w:anchor="_bookmark25" w:history="1">
        <w:r w:rsidRPr="001C62B6">
          <w:rPr>
            <w:rStyle w:val="Hyperlink"/>
            <w:rFonts w:eastAsia="Calibri" w:cstheme="minorHAnsi"/>
            <w:bCs/>
            <w:w w:val="105"/>
            <w:sz w:val="20"/>
            <w:szCs w:val="20"/>
            <w:lang w:val="en-US"/>
          </w:rPr>
          <w:t>1999</w:t>
        </w:r>
      </w:hyperlink>
      <w:r w:rsidRPr="001C62B6">
        <w:rPr>
          <w:rFonts w:eastAsia="Calibri" w:cstheme="minorHAnsi"/>
          <w:bCs/>
          <w:w w:val="105"/>
          <w:sz w:val="20"/>
          <w:szCs w:val="20"/>
          <w:lang w:val="en-US"/>
        </w:rPr>
        <w:t>. “Differences, Conflations and Foundations: The Limits to ‘Accurate’ Theoretical</w:t>
      </w:r>
      <w:bookmarkStart w:id="24" w:name="_bookmark88"/>
      <w:bookmarkEnd w:id="24"/>
      <w:r w:rsidRPr="001C62B6">
        <w:rPr>
          <w:rFonts w:eastAsia="Calibri" w:cstheme="minorHAnsi"/>
          <w:bCs/>
          <w:w w:val="105"/>
          <w:sz w:val="20"/>
          <w:szCs w:val="20"/>
          <w:lang w:val="en-US"/>
        </w:rPr>
        <w:t xml:space="preserve"> Representation of Disabled People’s Experiences.” </w:t>
      </w:r>
      <w:r w:rsidRPr="001C62B6">
        <w:rPr>
          <w:rFonts w:eastAsia="Calibri" w:cstheme="minorHAnsi"/>
          <w:bCs/>
          <w:i/>
          <w:w w:val="105"/>
          <w:sz w:val="20"/>
          <w:szCs w:val="20"/>
          <w:lang w:val="en-US"/>
        </w:rPr>
        <w:t xml:space="preserve">Disability &amp; Society </w:t>
      </w:r>
      <w:r w:rsidRPr="001C62B6">
        <w:rPr>
          <w:rFonts w:eastAsia="Calibri" w:cstheme="minorHAnsi"/>
          <w:bCs/>
          <w:w w:val="105"/>
          <w:sz w:val="20"/>
          <w:szCs w:val="20"/>
          <w:lang w:val="en-US"/>
        </w:rPr>
        <w:t>14 (5): 627–642.</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Davis, L. </w:t>
      </w:r>
      <w:hyperlink w:anchor="_bookmark63" w:history="1">
        <w:r w:rsidRPr="001C62B6">
          <w:rPr>
            <w:rStyle w:val="Hyperlink"/>
            <w:rFonts w:eastAsia="Calibri" w:cstheme="minorHAnsi"/>
            <w:bCs/>
            <w:w w:val="105"/>
            <w:sz w:val="20"/>
            <w:szCs w:val="20"/>
            <w:lang w:val="en-US"/>
          </w:rPr>
          <w:t>2002</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 xml:space="preserve">Bending over Backwards: Disability, </w:t>
      </w:r>
      <w:proofErr w:type="spellStart"/>
      <w:r w:rsidRPr="001C62B6">
        <w:rPr>
          <w:rFonts w:eastAsia="Calibri" w:cstheme="minorHAnsi"/>
          <w:bCs/>
          <w:i/>
          <w:w w:val="105"/>
          <w:sz w:val="20"/>
          <w:szCs w:val="20"/>
          <w:lang w:val="en-US"/>
        </w:rPr>
        <w:t>Dismodernism</w:t>
      </w:r>
      <w:proofErr w:type="spellEnd"/>
      <w:r w:rsidRPr="001C62B6">
        <w:rPr>
          <w:rFonts w:eastAsia="Calibri" w:cstheme="minorHAnsi"/>
          <w:bCs/>
          <w:i/>
          <w:w w:val="105"/>
          <w:sz w:val="20"/>
          <w:szCs w:val="20"/>
          <w:lang w:val="en-US"/>
        </w:rPr>
        <w:t>, and Other Difficult Positions</w:t>
      </w:r>
      <w:r w:rsidRPr="001C62B6">
        <w:rPr>
          <w:rFonts w:eastAsia="Calibri" w:cstheme="minorHAnsi"/>
          <w:bCs/>
          <w:w w:val="105"/>
          <w:sz w:val="20"/>
          <w:szCs w:val="20"/>
          <w:lang w:val="en-US"/>
        </w:rPr>
        <w:t>. New York:</w:t>
      </w:r>
      <w:bookmarkStart w:id="25" w:name="_bookmark89"/>
      <w:bookmarkEnd w:id="25"/>
      <w:r w:rsidRPr="001C62B6">
        <w:rPr>
          <w:rFonts w:eastAsia="Calibri" w:cstheme="minorHAnsi"/>
          <w:bCs/>
          <w:w w:val="105"/>
          <w:sz w:val="20"/>
          <w:szCs w:val="20"/>
          <w:lang w:val="en-US"/>
        </w:rPr>
        <w:t xml:space="preserve"> New York University Press.</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Disability Federation of Ireland. </w:t>
      </w:r>
      <w:hyperlink w:anchor="_bookmark13" w:history="1">
        <w:r w:rsidRPr="001C62B6">
          <w:rPr>
            <w:rStyle w:val="Hyperlink"/>
            <w:rFonts w:eastAsia="Calibri" w:cstheme="minorHAnsi"/>
            <w:bCs/>
            <w:w w:val="105"/>
            <w:sz w:val="20"/>
            <w:szCs w:val="20"/>
            <w:lang w:val="en-US"/>
          </w:rPr>
          <w:t>2010</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A Research Report Examining the Impact of the Economic Downturn</w:t>
      </w:r>
      <w:bookmarkStart w:id="26" w:name="_bookmark90"/>
      <w:bookmarkEnd w:id="26"/>
      <w:r w:rsidRPr="001C62B6">
        <w:rPr>
          <w:rFonts w:eastAsia="Calibri" w:cstheme="minorHAnsi"/>
          <w:bCs/>
          <w:i/>
          <w:w w:val="105"/>
          <w:sz w:val="20"/>
          <w:szCs w:val="20"/>
          <w:lang w:val="en-US"/>
        </w:rPr>
        <w:t xml:space="preserve"> on Voluntary Disability Organizations in Ireland</w:t>
      </w:r>
      <w:r w:rsidRPr="001C62B6">
        <w:rPr>
          <w:rFonts w:eastAsia="Calibri" w:cstheme="minorHAnsi"/>
          <w:bCs/>
          <w:w w:val="105"/>
          <w:sz w:val="20"/>
          <w:szCs w:val="20"/>
          <w:lang w:val="en-US"/>
        </w:rPr>
        <w:t>. Dublin: The Stationary Office.</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Dodd, S. </w:t>
      </w:r>
      <w:hyperlink w:anchor="_bookmark3" w:history="1">
        <w:r w:rsidRPr="001C62B6">
          <w:rPr>
            <w:rStyle w:val="Hyperlink"/>
            <w:rFonts w:eastAsia="Calibri" w:cstheme="minorHAnsi"/>
            <w:bCs/>
            <w:w w:val="105"/>
            <w:sz w:val="20"/>
            <w:szCs w:val="20"/>
            <w:lang w:val="en-US"/>
          </w:rPr>
          <w:t>2016</w:t>
        </w:r>
      </w:hyperlink>
      <w:r w:rsidRPr="001C62B6">
        <w:rPr>
          <w:rFonts w:eastAsia="Calibri" w:cstheme="minorHAnsi"/>
          <w:bCs/>
          <w:w w:val="105"/>
          <w:sz w:val="20"/>
          <w:szCs w:val="20"/>
          <w:lang w:val="en-US"/>
        </w:rPr>
        <w:t xml:space="preserve">. “Orientating Disability Studies to </w:t>
      </w:r>
      <w:proofErr w:type="spellStart"/>
      <w:r w:rsidRPr="001C62B6">
        <w:rPr>
          <w:rFonts w:eastAsia="Calibri" w:cstheme="minorHAnsi"/>
          <w:bCs/>
          <w:w w:val="105"/>
          <w:sz w:val="20"/>
          <w:szCs w:val="20"/>
          <w:lang w:val="en-US"/>
        </w:rPr>
        <w:t>Disableist</w:t>
      </w:r>
      <w:proofErr w:type="spellEnd"/>
      <w:r w:rsidRPr="001C62B6">
        <w:rPr>
          <w:rFonts w:eastAsia="Calibri" w:cstheme="minorHAnsi"/>
          <w:bCs/>
          <w:w w:val="105"/>
          <w:sz w:val="20"/>
          <w:szCs w:val="20"/>
          <w:lang w:val="en-US"/>
        </w:rPr>
        <w:t xml:space="preserve"> Austerity: Applying Frasers Insights.” </w:t>
      </w:r>
      <w:r w:rsidRPr="001C62B6">
        <w:rPr>
          <w:rFonts w:eastAsia="Calibri" w:cstheme="minorHAnsi"/>
          <w:bCs/>
          <w:i/>
          <w:w w:val="105"/>
          <w:sz w:val="20"/>
          <w:szCs w:val="20"/>
          <w:lang w:val="en-US"/>
        </w:rPr>
        <w:t>Disability</w:t>
      </w:r>
      <w:bookmarkStart w:id="27" w:name="_bookmark91"/>
      <w:bookmarkEnd w:id="27"/>
      <w:r w:rsidRPr="001C62B6">
        <w:rPr>
          <w:rFonts w:eastAsia="Calibri" w:cstheme="minorHAnsi"/>
          <w:bCs/>
          <w:i/>
          <w:w w:val="105"/>
          <w:sz w:val="20"/>
          <w:szCs w:val="20"/>
          <w:lang w:val="en-US"/>
        </w:rPr>
        <w:t xml:space="preserve"> &amp; Society </w:t>
      </w:r>
      <w:r w:rsidRPr="001C62B6">
        <w:rPr>
          <w:rFonts w:eastAsia="Calibri" w:cstheme="minorHAnsi"/>
          <w:bCs/>
          <w:w w:val="105"/>
          <w:sz w:val="20"/>
          <w:szCs w:val="20"/>
          <w:lang w:val="en-US"/>
        </w:rPr>
        <w:t>31 (2): 149–165.</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Erevelles</w:t>
      </w:r>
      <w:proofErr w:type="spellEnd"/>
      <w:r w:rsidRPr="001C62B6">
        <w:rPr>
          <w:rFonts w:eastAsia="Calibri" w:cstheme="minorHAnsi"/>
          <w:bCs/>
          <w:w w:val="105"/>
          <w:sz w:val="20"/>
          <w:szCs w:val="20"/>
          <w:lang w:val="en-US"/>
        </w:rPr>
        <w:t xml:space="preserve">, N. </w:t>
      </w:r>
      <w:hyperlink w:anchor="_bookmark70" w:history="1">
        <w:r w:rsidRPr="001C62B6">
          <w:rPr>
            <w:rStyle w:val="Hyperlink"/>
            <w:rFonts w:eastAsia="Calibri" w:cstheme="minorHAnsi"/>
            <w:bCs/>
            <w:w w:val="105"/>
            <w:sz w:val="20"/>
            <w:szCs w:val="20"/>
            <w:lang w:val="en-US"/>
          </w:rPr>
          <w:t>2011</w:t>
        </w:r>
      </w:hyperlink>
      <w:r w:rsidRPr="001C62B6">
        <w:rPr>
          <w:rFonts w:eastAsia="Calibri" w:cstheme="minorHAnsi"/>
          <w:bCs/>
          <w:w w:val="105"/>
          <w:sz w:val="20"/>
          <w:szCs w:val="20"/>
          <w:lang w:val="en-US"/>
        </w:rPr>
        <w:t xml:space="preserve">. </w:t>
      </w:r>
      <w:r w:rsidRPr="001C62B6">
        <w:rPr>
          <w:rFonts w:eastAsia="Calibri" w:cstheme="minorHAnsi"/>
          <w:bCs/>
          <w:i/>
          <w:w w:val="105"/>
          <w:sz w:val="20"/>
          <w:szCs w:val="20"/>
          <w:lang w:val="en-US"/>
        </w:rPr>
        <w:t>Disability and Difference in Global Contexts: Enabling a Transformative Body Politic</w:t>
      </w:r>
      <w:r w:rsidRPr="001C62B6">
        <w:rPr>
          <w:rFonts w:eastAsia="Calibri" w:cstheme="minorHAnsi"/>
          <w:bCs/>
          <w:w w:val="105"/>
          <w:sz w:val="20"/>
          <w:szCs w:val="20"/>
          <w:lang w:val="en-US"/>
        </w:rPr>
        <w:t>.</w:t>
      </w:r>
      <w:bookmarkStart w:id="28" w:name="_bookmark92"/>
      <w:bookmarkEnd w:id="28"/>
      <w:r w:rsidRPr="001C62B6">
        <w:rPr>
          <w:rFonts w:eastAsia="Calibri" w:cstheme="minorHAnsi"/>
          <w:bCs/>
          <w:w w:val="105"/>
          <w:sz w:val="20"/>
          <w:szCs w:val="20"/>
          <w:lang w:val="en-US"/>
        </w:rPr>
        <w:t xml:space="preserve"> New York: Palgrave Macmillan.</w:t>
      </w:r>
    </w:p>
    <w:p w:rsid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Erevelles</w:t>
      </w:r>
      <w:proofErr w:type="spellEnd"/>
      <w:r w:rsidRPr="001C62B6">
        <w:rPr>
          <w:rFonts w:eastAsia="Calibri" w:cstheme="minorHAnsi"/>
          <w:bCs/>
          <w:w w:val="105"/>
          <w:sz w:val="20"/>
          <w:szCs w:val="20"/>
          <w:lang w:val="en-US"/>
        </w:rPr>
        <w:t xml:space="preserve">, N. </w:t>
      </w:r>
      <w:hyperlink w:anchor="_bookmark34" w:history="1">
        <w:r w:rsidRPr="001C62B6">
          <w:rPr>
            <w:rStyle w:val="Hyperlink"/>
            <w:rFonts w:eastAsia="Calibri" w:cstheme="minorHAnsi"/>
            <w:bCs/>
            <w:w w:val="105"/>
            <w:sz w:val="20"/>
            <w:szCs w:val="20"/>
            <w:lang w:val="en-US"/>
          </w:rPr>
          <w:t>2014</w:t>
        </w:r>
      </w:hyperlink>
      <w:r w:rsidRPr="001C62B6">
        <w:rPr>
          <w:rFonts w:eastAsia="Calibri" w:cstheme="minorHAnsi"/>
          <w:bCs/>
          <w:w w:val="105"/>
          <w:sz w:val="20"/>
          <w:szCs w:val="20"/>
          <w:lang w:val="en-US"/>
        </w:rPr>
        <w:t xml:space="preserve">. “Thinking with Disability Studies.” </w:t>
      </w:r>
      <w:r w:rsidRPr="001C62B6">
        <w:rPr>
          <w:rFonts w:eastAsia="Calibri" w:cstheme="minorHAnsi"/>
          <w:bCs/>
          <w:i/>
          <w:w w:val="105"/>
          <w:sz w:val="20"/>
          <w:szCs w:val="20"/>
          <w:lang w:val="en-US"/>
        </w:rPr>
        <w:t xml:space="preserve">Disability Studies Quarterly </w:t>
      </w:r>
      <w:r w:rsidRPr="001C62B6">
        <w:rPr>
          <w:rFonts w:eastAsia="Calibri" w:cstheme="minorHAnsi"/>
          <w:bCs/>
          <w:w w:val="105"/>
          <w:sz w:val="20"/>
          <w:szCs w:val="20"/>
          <w:lang w:val="en-US"/>
        </w:rPr>
        <w:t xml:space="preserve">34 (2). </w:t>
      </w:r>
      <w:hyperlink r:id="rId9">
        <w:r w:rsidRPr="001C62B6">
          <w:rPr>
            <w:rStyle w:val="Hyperlink"/>
            <w:rFonts w:eastAsia="Calibri" w:cstheme="minorHAnsi"/>
            <w:bCs/>
            <w:w w:val="105"/>
            <w:sz w:val="20"/>
            <w:szCs w:val="20"/>
            <w:lang w:val="en-US"/>
          </w:rPr>
          <w:t>http://dx.doi.</w:t>
        </w:r>
      </w:hyperlink>
      <w:r w:rsidRPr="001C62B6">
        <w:rPr>
          <w:rFonts w:eastAsia="Calibri" w:cstheme="minorHAnsi"/>
          <w:bCs/>
          <w:w w:val="105"/>
          <w:sz w:val="20"/>
          <w:szCs w:val="20"/>
          <w:lang w:val="en-US"/>
        </w:rPr>
        <w:t xml:space="preserve"> </w:t>
      </w:r>
      <w:hyperlink r:id="rId10">
        <w:r w:rsidRPr="001C62B6">
          <w:rPr>
            <w:rStyle w:val="Hyperlink"/>
            <w:rFonts w:eastAsia="Calibri" w:cstheme="minorHAnsi"/>
            <w:bCs/>
            <w:w w:val="105"/>
            <w:sz w:val="20"/>
            <w:szCs w:val="20"/>
            <w:lang w:val="en-US"/>
          </w:rPr>
          <w:t>org/10.18061/</w:t>
        </w:r>
        <w:proofErr w:type="gramStart"/>
        <w:r w:rsidRPr="001C62B6">
          <w:rPr>
            <w:rStyle w:val="Hyperlink"/>
            <w:rFonts w:eastAsia="Calibri" w:cstheme="minorHAnsi"/>
            <w:bCs/>
            <w:w w:val="105"/>
            <w:sz w:val="20"/>
            <w:szCs w:val="20"/>
            <w:lang w:val="en-US"/>
          </w:rPr>
          <w:t>dsq.v</w:t>
        </w:r>
        <w:proofErr w:type="gramEnd"/>
        <w:r w:rsidRPr="001C62B6">
          <w:rPr>
            <w:rStyle w:val="Hyperlink"/>
            <w:rFonts w:eastAsia="Calibri" w:cstheme="minorHAnsi"/>
            <w:bCs/>
            <w:w w:val="105"/>
            <w:sz w:val="20"/>
            <w:szCs w:val="20"/>
            <w:lang w:val="en-US"/>
          </w:rPr>
          <w:t>34i2</w:t>
        </w:r>
      </w:hyperlink>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Feely, M. 2016. “Disability Studies after the Ontological Turn: A Return to the Material World and Material Bodies without a Return to Essentialism.” Disability &amp; Society 31 (7): 863–883.</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lastRenderedPageBreak/>
        <w:t>Flynn, S. 2016. “Social Work Practice in an Economic Downturn: Understanding Austerity through an Anti-Oppressive Framework.” Practice. Advance online. doi:10.1080/09503153.2016.1201467.</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Fraser, N. 2013. Fortunes of Feminism: From State Managed Capitalism to Neoliberal Crisis. London: Verso. Fuss, D. 1989. Essentially Speaking: Feminism, Nature and Difference. New York: Routledge.</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Gamble, A. 2009. The </w:t>
      </w:r>
      <w:proofErr w:type="spellStart"/>
      <w:r w:rsidRPr="001C62B6">
        <w:rPr>
          <w:rFonts w:eastAsia="Calibri" w:cstheme="minorHAnsi"/>
          <w:bCs/>
          <w:w w:val="105"/>
          <w:sz w:val="20"/>
          <w:szCs w:val="20"/>
          <w:lang w:val="en-US"/>
        </w:rPr>
        <w:t>Spectre</w:t>
      </w:r>
      <w:proofErr w:type="spellEnd"/>
      <w:r w:rsidRPr="001C62B6">
        <w:rPr>
          <w:rFonts w:eastAsia="Calibri" w:cstheme="minorHAnsi"/>
          <w:bCs/>
          <w:w w:val="105"/>
          <w:sz w:val="20"/>
          <w:szCs w:val="20"/>
          <w:lang w:val="en-US"/>
        </w:rPr>
        <w:t xml:space="preserve"> at the Feast: Capitalist Crisis and the Politics of Recession. Basingstoke: Palgrave Macmillan.</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Ganev, V. 2005. “The ‘Triumph of Neoliberalism’ Reconsidered: Critical Remarks on Ideas </w:t>
      </w:r>
      <w:proofErr w:type="spellStart"/>
      <w:r w:rsidRPr="001C62B6">
        <w:rPr>
          <w:rFonts w:eastAsia="Calibri" w:cstheme="minorHAnsi"/>
          <w:bCs/>
          <w:w w:val="105"/>
          <w:sz w:val="20"/>
          <w:szCs w:val="20"/>
          <w:lang w:val="en-US"/>
        </w:rPr>
        <w:t>Centred</w:t>
      </w:r>
      <w:proofErr w:type="spellEnd"/>
      <w:r w:rsidRPr="001C62B6">
        <w:rPr>
          <w:rFonts w:eastAsia="Calibri" w:cstheme="minorHAnsi"/>
          <w:bCs/>
          <w:w w:val="105"/>
          <w:sz w:val="20"/>
          <w:szCs w:val="20"/>
          <w:lang w:val="en-US"/>
        </w:rPr>
        <w:t xml:space="preserve"> Analyses of Political and Economic Change in Post-Communism.” East European Politics and Societies 19 (3): 343–378.</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Garland Thomson, R. 2002. “Integrating Disability, Transforming Feminist Theory.” National Women’s Studies Association Journal 14 (2): 1–32.</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Garland Thomson, R. 2005. “Feminist Disability Studies.” Signs: Journal of Women in Culture and Society</w:t>
      </w:r>
      <w:r>
        <w:rPr>
          <w:rFonts w:eastAsia="Calibri" w:cstheme="minorHAnsi"/>
          <w:bCs/>
          <w:w w:val="105"/>
          <w:sz w:val="20"/>
          <w:szCs w:val="20"/>
          <w:lang w:val="en-US"/>
        </w:rPr>
        <w:t xml:space="preserve"> </w:t>
      </w:r>
      <w:r w:rsidRPr="001C62B6">
        <w:rPr>
          <w:rFonts w:eastAsia="Calibri" w:cstheme="minorHAnsi"/>
          <w:bCs/>
          <w:w w:val="105"/>
          <w:sz w:val="20"/>
          <w:szCs w:val="20"/>
          <w:lang w:val="en-US"/>
        </w:rPr>
        <w:t>30 (2): 1557–1587.</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Garrett, P. M. 2015. “Constraining and Confining Ethnic Minorities: Impoverishment and the Ethics of Control in Neoliberal Ireland.” Patterns of Prejudice 49 (4): 414–434.</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Gaughan</w:t>
      </w:r>
      <w:proofErr w:type="spellEnd"/>
      <w:r w:rsidRPr="001C62B6">
        <w:rPr>
          <w:rFonts w:eastAsia="Calibri" w:cstheme="minorHAnsi"/>
          <w:bCs/>
          <w:w w:val="105"/>
          <w:sz w:val="20"/>
          <w:szCs w:val="20"/>
          <w:lang w:val="en-US"/>
        </w:rPr>
        <w:t>, L., and P. M. Garrett. 2012. “The ‘Most Twisted and Unaccountable Force in the State’? Newspaper Accounts of Social Work in the Republic of Ireland in Troubled times.” Journal of Social Work 12 (3): 267–286.</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Gentleman, A. 2014. “Vulnerable Man Starved to Death after Benefits Were Cut.” The </w:t>
      </w:r>
      <w:proofErr w:type="spellStart"/>
      <w:r w:rsidRPr="001C62B6">
        <w:rPr>
          <w:rFonts w:eastAsia="Calibri" w:cstheme="minorHAnsi"/>
          <w:bCs/>
          <w:w w:val="105"/>
          <w:sz w:val="20"/>
          <w:szCs w:val="20"/>
          <w:lang w:val="en-US"/>
        </w:rPr>
        <w:t>Gaurdian</w:t>
      </w:r>
      <w:proofErr w:type="spellEnd"/>
      <w:r w:rsidRPr="001C62B6">
        <w:rPr>
          <w:rFonts w:eastAsia="Calibri" w:cstheme="minorHAnsi"/>
          <w:bCs/>
          <w:w w:val="105"/>
          <w:sz w:val="20"/>
          <w:szCs w:val="20"/>
          <w:lang w:val="en-US"/>
        </w:rPr>
        <w:t>, February 28.</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Goodley, D. 2007. “Towards Socially Just Pedagogies: </w:t>
      </w:r>
      <w:proofErr w:type="spellStart"/>
      <w:r w:rsidRPr="001C62B6">
        <w:rPr>
          <w:rFonts w:eastAsia="Calibri" w:cstheme="minorHAnsi"/>
          <w:bCs/>
          <w:w w:val="105"/>
          <w:sz w:val="20"/>
          <w:szCs w:val="20"/>
          <w:lang w:val="en-US"/>
        </w:rPr>
        <w:t>Deleuzoguattarian</w:t>
      </w:r>
      <w:proofErr w:type="spellEnd"/>
      <w:r w:rsidRPr="001C62B6">
        <w:rPr>
          <w:rFonts w:eastAsia="Calibri" w:cstheme="minorHAnsi"/>
          <w:bCs/>
          <w:w w:val="105"/>
          <w:sz w:val="20"/>
          <w:szCs w:val="20"/>
          <w:lang w:val="en-US"/>
        </w:rPr>
        <w:t xml:space="preserve"> Critical Disability Studies.”</w:t>
      </w:r>
      <w:r>
        <w:rPr>
          <w:rFonts w:eastAsia="Calibri" w:cstheme="minorHAnsi"/>
          <w:bCs/>
          <w:w w:val="105"/>
          <w:sz w:val="20"/>
          <w:szCs w:val="20"/>
          <w:lang w:val="en-US"/>
        </w:rPr>
        <w:t xml:space="preserve"> </w:t>
      </w:r>
      <w:r w:rsidRPr="001C62B6">
        <w:rPr>
          <w:rFonts w:eastAsia="Calibri" w:cstheme="minorHAnsi"/>
          <w:bCs/>
          <w:w w:val="105"/>
          <w:sz w:val="20"/>
          <w:szCs w:val="20"/>
          <w:lang w:val="en-US"/>
        </w:rPr>
        <w:t>International Journal of Inclusive Education 11 (3): 317–334.</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Goodley, D. 2011. Disability Studies: An Interdisciplinary Introduction. London: Sage publications. Goodley, D. 2013. “‘Dis/Entangling Critical Disability Studies.” Disability &amp; Society 28 (5): 631–644. Goodley, D. 2014. Dis/Ability Studies: </w:t>
      </w:r>
      <w:proofErr w:type="spellStart"/>
      <w:r w:rsidRPr="001C62B6">
        <w:rPr>
          <w:rFonts w:eastAsia="Calibri" w:cstheme="minorHAnsi"/>
          <w:bCs/>
          <w:w w:val="105"/>
          <w:sz w:val="20"/>
          <w:szCs w:val="20"/>
          <w:lang w:val="en-US"/>
        </w:rPr>
        <w:t>Theorising</w:t>
      </w:r>
      <w:proofErr w:type="spellEnd"/>
      <w:r w:rsidRPr="001C62B6">
        <w:rPr>
          <w:rFonts w:eastAsia="Calibri" w:cstheme="minorHAnsi"/>
          <w:bCs/>
          <w:w w:val="105"/>
          <w:sz w:val="20"/>
          <w:szCs w:val="20"/>
          <w:lang w:val="en-US"/>
        </w:rPr>
        <w:t xml:space="preserve"> </w:t>
      </w:r>
      <w:proofErr w:type="spellStart"/>
      <w:r w:rsidRPr="001C62B6">
        <w:rPr>
          <w:rFonts w:eastAsia="Calibri" w:cstheme="minorHAnsi"/>
          <w:bCs/>
          <w:w w:val="105"/>
          <w:sz w:val="20"/>
          <w:szCs w:val="20"/>
          <w:lang w:val="en-US"/>
        </w:rPr>
        <w:t>Disabelism</w:t>
      </w:r>
      <w:proofErr w:type="spellEnd"/>
      <w:r w:rsidRPr="001C62B6">
        <w:rPr>
          <w:rFonts w:eastAsia="Calibri" w:cstheme="minorHAnsi"/>
          <w:bCs/>
          <w:w w:val="105"/>
          <w:sz w:val="20"/>
          <w:szCs w:val="20"/>
          <w:lang w:val="en-US"/>
        </w:rPr>
        <w:t xml:space="preserve"> and Ableism. Oxon: Routledge.</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Goodley, D., and K. </w:t>
      </w:r>
      <w:proofErr w:type="spellStart"/>
      <w:r w:rsidRPr="001C62B6">
        <w:rPr>
          <w:rFonts w:eastAsia="Calibri" w:cstheme="minorHAnsi"/>
          <w:bCs/>
          <w:w w:val="105"/>
          <w:sz w:val="20"/>
          <w:szCs w:val="20"/>
          <w:lang w:val="en-US"/>
        </w:rPr>
        <w:t>Runswick</w:t>
      </w:r>
      <w:proofErr w:type="spellEnd"/>
      <w:r w:rsidRPr="001C62B6">
        <w:rPr>
          <w:rFonts w:eastAsia="Calibri" w:cstheme="minorHAnsi"/>
          <w:bCs/>
          <w:w w:val="105"/>
          <w:sz w:val="20"/>
          <w:szCs w:val="20"/>
          <w:lang w:val="en-US"/>
        </w:rPr>
        <w:t xml:space="preserve">‐Cole. 2010. “Lee Barton, Inclusion and Critical Disability Studies: </w:t>
      </w:r>
      <w:proofErr w:type="spellStart"/>
      <w:r w:rsidRPr="001C62B6">
        <w:rPr>
          <w:rFonts w:eastAsia="Calibri" w:cstheme="minorHAnsi"/>
          <w:bCs/>
          <w:w w:val="105"/>
          <w:sz w:val="20"/>
          <w:szCs w:val="20"/>
          <w:lang w:val="en-US"/>
        </w:rPr>
        <w:t>Theorising</w:t>
      </w:r>
      <w:proofErr w:type="spellEnd"/>
      <w:r w:rsidRPr="001C62B6">
        <w:rPr>
          <w:rFonts w:eastAsia="Calibri" w:cstheme="minorHAnsi"/>
          <w:bCs/>
          <w:w w:val="105"/>
          <w:sz w:val="20"/>
          <w:szCs w:val="20"/>
          <w:lang w:val="en-US"/>
        </w:rPr>
        <w:t xml:space="preserve"> Disabled Childhoods.” International Studies in Sociology of Education 20 (4): 273–290.</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Goodley, D., B. Hughes, and L. Davis. 2012. Disability and Social Theory: New Developments and Directions. Hampshire: Palgrave Macmillan.</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Goodley, D., R. </w:t>
      </w:r>
      <w:proofErr w:type="spellStart"/>
      <w:r w:rsidRPr="001C62B6">
        <w:rPr>
          <w:rFonts w:eastAsia="Calibri" w:cstheme="minorHAnsi"/>
          <w:bCs/>
          <w:w w:val="105"/>
          <w:sz w:val="20"/>
          <w:szCs w:val="20"/>
          <w:lang w:val="en-US"/>
        </w:rPr>
        <w:t>Lawthom</w:t>
      </w:r>
      <w:proofErr w:type="spellEnd"/>
      <w:r w:rsidRPr="001C62B6">
        <w:rPr>
          <w:rFonts w:eastAsia="Calibri" w:cstheme="minorHAnsi"/>
          <w:bCs/>
          <w:w w:val="105"/>
          <w:sz w:val="20"/>
          <w:szCs w:val="20"/>
          <w:lang w:val="en-US"/>
        </w:rPr>
        <w:t xml:space="preserve">, and K. </w:t>
      </w:r>
      <w:proofErr w:type="spellStart"/>
      <w:r w:rsidRPr="001C62B6">
        <w:rPr>
          <w:rFonts w:eastAsia="Calibri" w:cstheme="minorHAnsi"/>
          <w:bCs/>
          <w:w w:val="105"/>
          <w:sz w:val="20"/>
          <w:szCs w:val="20"/>
          <w:lang w:val="en-US"/>
        </w:rPr>
        <w:t>Runswick</w:t>
      </w:r>
      <w:proofErr w:type="spellEnd"/>
      <w:r w:rsidRPr="001C62B6">
        <w:rPr>
          <w:rFonts w:eastAsia="Calibri" w:cstheme="minorHAnsi"/>
          <w:bCs/>
          <w:w w:val="105"/>
          <w:sz w:val="20"/>
          <w:szCs w:val="20"/>
          <w:lang w:val="en-US"/>
        </w:rPr>
        <w:t>-Cole. 2014. “Dis/Ability and Austerity: Beyond Work and Slow Death.” Disability &amp; Society 29 (6): 980–984.</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Gregory, A. 2015. “Brutal Government Cuts Forcing Disabled People to Sleep in Wheelchairs and Wait 14 Hours to Use the </w:t>
      </w:r>
      <w:proofErr w:type="spellStart"/>
      <w:r w:rsidRPr="001C62B6">
        <w:rPr>
          <w:rFonts w:eastAsia="Calibri" w:cstheme="minorHAnsi"/>
          <w:bCs/>
          <w:w w:val="105"/>
          <w:sz w:val="20"/>
          <w:szCs w:val="20"/>
          <w:lang w:val="en-US"/>
        </w:rPr>
        <w:t>Tiolet</w:t>
      </w:r>
      <w:proofErr w:type="spellEnd"/>
      <w:r w:rsidRPr="001C62B6">
        <w:rPr>
          <w:rFonts w:eastAsia="Calibri" w:cstheme="minorHAnsi"/>
          <w:bCs/>
          <w:w w:val="105"/>
          <w:sz w:val="20"/>
          <w:szCs w:val="20"/>
          <w:lang w:val="en-US"/>
        </w:rPr>
        <w:t>.” Mirror, November 10.</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Groce</w:t>
      </w:r>
      <w:proofErr w:type="spellEnd"/>
      <w:r w:rsidRPr="001C62B6">
        <w:rPr>
          <w:rFonts w:eastAsia="Calibri" w:cstheme="minorHAnsi"/>
          <w:bCs/>
          <w:w w:val="105"/>
          <w:sz w:val="20"/>
          <w:szCs w:val="20"/>
          <w:lang w:val="en-US"/>
        </w:rPr>
        <w:t xml:space="preserve">, N., G. </w:t>
      </w:r>
      <w:proofErr w:type="spellStart"/>
      <w:r w:rsidRPr="001C62B6">
        <w:rPr>
          <w:rFonts w:eastAsia="Calibri" w:cstheme="minorHAnsi"/>
          <w:bCs/>
          <w:w w:val="105"/>
          <w:sz w:val="20"/>
          <w:szCs w:val="20"/>
          <w:lang w:val="en-US"/>
        </w:rPr>
        <w:t>Kembhavi</w:t>
      </w:r>
      <w:proofErr w:type="spellEnd"/>
      <w:r w:rsidRPr="001C62B6">
        <w:rPr>
          <w:rFonts w:eastAsia="Calibri" w:cstheme="minorHAnsi"/>
          <w:bCs/>
          <w:w w:val="105"/>
          <w:sz w:val="20"/>
          <w:szCs w:val="20"/>
          <w:lang w:val="en-US"/>
        </w:rPr>
        <w:t xml:space="preserve">, S. </w:t>
      </w:r>
      <w:proofErr w:type="spellStart"/>
      <w:r w:rsidRPr="001C62B6">
        <w:rPr>
          <w:rFonts w:eastAsia="Calibri" w:cstheme="minorHAnsi"/>
          <w:bCs/>
          <w:w w:val="105"/>
          <w:sz w:val="20"/>
          <w:szCs w:val="20"/>
          <w:lang w:val="en-US"/>
        </w:rPr>
        <w:t>Wirz</w:t>
      </w:r>
      <w:proofErr w:type="spellEnd"/>
      <w:r w:rsidRPr="001C62B6">
        <w:rPr>
          <w:rFonts w:eastAsia="Calibri" w:cstheme="minorHAnsi"/>
          <w:bCs/>
          <w:w w:val="105"/>
          <w:sz w:val="20"/>
          <w:szCs w:val="20"/>
          <w:lang w:val="en-US"/>
        </w:rPr>
        <w:t xml:space="preserve">, R. Lang, J. </w:t>
      </w:r>
      <w:proofErr w:type="spellStart"/>
      <w:r w:rsidRPr="001C62B6">
        <w:rPr>
          <w:rFonts w:eastAsia="Calibri" w:cstheme="minorHAnsi"/>
          <w:bCs/>
          <w:w w:val="105"/>
          <w:sz w:val="20"/>
          <w:szCs w:val="20"/>
          <w:lang w:val="en-US"/>
        </w:rPr>
        <w:t>Trani</w:t>
      </w:r>
      <w:proofErr w:type="spellEnd"/>
      <w:r w:rsidRPr="001C62B6">
        <w:rPr>
          <w:rFonts w:eastAsia="Calibri" w:cstheme="minorHAnsi"/>
          <w:bCs/>
          <w:w w:val="105"/>
          <w:sz w:val="20"/>
          <w:szCs w:val="20"/>
          <w:lang w:val="en-US"/>
        </w:rPr>
        <w:t xml:space="preserve"> and M. </w:t>
      </w:r>
      <w:proofErr w:type="spellStart"/>
      <w:r w:rsidRPr="001C62B6">
        <w:rPr>
          <w:rFonts w:eastAsia="Calibri" w:cstheme="minorHAnsi"/>
          <w:bCs/>
          <w:w w:val="105"/>
          <w:sz w:val="20"/>
          <w:szCs w:val="20"/>
          <w:lang w:val="en-US"/>
        </w:rPr>
        <w:t>Kett</w:t>
      </w:r>
      <w:proofErr w:type="spellEnd"/>
      <w:r w:rsidRPr="001C62B6">
        <w:rPr>
          <w:rFonts w:eastAsia="Calibri" w:cstheme="minorHAnsi"/>
          <w:bCs/>
          <w:w w:val="105"/>
          <w:sz w:val="20"/>
          <w:szCs w:val="20"/>
          <w:lang w:val="en-US"/>
        </w:rPr>
        <w:t xml:space="preserve">. 2011. “Poverty and Disability: A Critical Review of the Literature in </w:t>
      </w:r>
      <w:proofErr w:type="gramStart"/>
      <w:r w:rsidRPr="001C62B6">
        <w:rPr>
          <w:rFonts w:eastAsia="Calibri" w:cstheme="minorHAnsi"/>
          <w:bCs/>
          <w:w w:val="105"/>
          <w:sz w:val="20"/>
          <w:szCs w:val="20"/>
          <w:lang w:val="en-US"/>
        </w:rPr>
        <w:t>Low and Middle Income</w:t>
      </w:r>
      <w:proofErr w:type="gramEnd"/>
      <w:r w:rsidRPr="001C62B6">
        <w:rPr>
          <w:rFonts w:eastAsia="Calibri" w:cstheme="minorHAnsi"/>
          <w:bCs/>
          <w:w w:val="105"/>
          <w:sz w:val="20"/>
          <w:szCs w:val="20"/>
          <w:lang w:val="en-US"/>
        </w:rPr>
        <w:t xml:space="preserve"> Countries.” Accessed August 15, 2016. Https:// www.ucl.ac.uk/lcccr/centrepublications/workingpapers/WP16_Poverty_and_Disability_review.pdf. Harris, S. P., R. Owen, and R. Gould. 2011. “The Parity of Participation in Liberal Welfare States: Human</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Rights, Neoliberalism, Disability and Employment.” Disability &amp; Society 27 (6): 826–836. HSE cuts €189,461 from Sunbeam House’s Budget. 2013. The Journal, September 5.</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 xml:space="preserve">Hughes, B. 2007. “Being Disabled: Towards a Critical Social Ontology for Disability Studies.” </w:t>
      </w:r>
      <w:proofErr w:type="gramStart"/>
      <w:r w:rsidRPr="001C62B6">
        <w:rPr>
          <w:rFonts w:eastAsia="Calibri" w:cstheme="minorHAnsi"/>
          <w:bCs/>
          <w:w w:val="105"/>
          <w:sz w:val="20"/>
          <w:szCs w:val="20"/>
          <w:lang w:val="en-US"/>
        </w:rPr>
        <w:t>Disability  &amp;</w:t>
      </w:r>
      <w:proofErr w:type="gramEnd"/>
      <w:r w:rsidRPr="001C62B6">
        <w:rPr>
          <w:rFonts w:eastAsia="Calibri" w:cstheme="minorHAnsi"/>
          <w:bCs/>
          <w:w w:val="105"/>
          <w:sz w:val="20"/>
          <w:szCs w:val="20"/>
          <w:lang w:val="en-US"/>
        </w:rPr>
        <w:t xml:space="preserve"> Society 22 (7): 673–684.</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t>Marks, D. 1999. Disability: Controversial Debates and Psychosocial Issues. London: Routledge.</w:t>
      </w:r>
    </w:p>
    <w:p w:rsidR="001C62B6" w:rsidRPr="001C62B6" w:rsidRDefault="001C62B6" w:rsidP="001C62B6">
      <w:pPr>
        <w:jc w:val="both"/>
        <w:rPr>
          <w:rFonts w:eastAsia="Calibri" w:cstheme="minorHAnsi"/>
          <w:bCs/>
          <w:w w:val="105"/>
          <w:sz w:val="20"/>
          <w:szCs w:val="20"/>
          <w:lang w:val="en-US"/>
        </w:rPr>
      </w:pPr>
      <w:r w:rsidRPr="001C62B6">
        <w:rPr>
          <w:rFonts w:eastAsia="Calibri" w:cstheme="minorHAnsi"/>
          <w:bCs/>
          <w:w w:val="105"/>
          <w:sz w:val="20"/>
          <w:szCs w:val="20"/>
          <w:lang w:val="en-US"/>
        </w:rPr>
        <w:lastRenderedPageBreak/>
        <w:t>Martin, R. 2011. “The Local Geographies of the Financial Crisis: From the Housing Bubble to Economic Recession and beyond.” Journal of Economic Geography 11 (4): 587–618.</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McCreevy</w:t>
      </w:r>
      <w:proofErr w:type="spellEnd"/>
      <w:r w:rsidRPr="001C62B6">
        <w:rPr>
          <w:rFonts w:eastAsia="Calibri" w:cstheme="minorHAnsi"/>
          <w:bCs/>
          <w:w w:val="105"/>
          <w:sz w:val="20"/>
          <w:szCs w:val="20"/>
          <w:lang w:val="en-US"/>
        </w:rPr>
        <w:t xml:space="preserve"> R. 2013. “Respite Care Grant Cuts Leave </w:t>
      </w:r>
      <w:proofErr w:type="spellStart"/>
      <w:r w:rsidRPr="001C62B6">
        <w:rPr>
          <w:rFonts w:eastAsia="Calibri" w:cstheme="minorHAnsi"/>
          <w:bCs/>
          <w:w w:val="105"/>
          <w:sz w:val="20"/>
          <w:szCs w:val="20"/>
          <w:lang w:val="en-US"/>
        </w:rPr>
        <w:t>Carers</w:t>
      </w:r>
      <w:proofErr w:type="spellEnd"/>
      <w:r w:rsidRPr="001C62B6">
        <w:rPr>
          <w:rFonts w:eastAsia="Calibri" w:cstheme="minorHAnsi"/>
          <w:bCs/>
          <w:w w:val="105"/>
          <w:sz w:val="20"/>
          <w:szCs w:val="20"/>
          <w:lang w:val="en-US"/>
        </w:rPr>
        <w:t xml:space="preserve"> ‘Angry and Bitterly Disappointed’.” The Irish times, June 11th.</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McRuer</w:t>
      </w:r>
      <w:proofErr w:type="spellEnd"/>
      <w:r w:rsidRPr="001C62B6">
        <w:rPr>
          <w:rFonts w:eastAsia="Calibri" w:cstheme="minorHAnsi"/>
          <w:bCs/>
          <w:w w:val="105"/>
          <w:sz w:val="20"/>
          <w:szCs w:val="20"/>
          <w:lang w:val="en-US"/>
        </w:rPr>
        <w:t>, R. 2006. Crip Theory: Cultural Signs of Queerness and Disability. New York: New York University Press.</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Meekosha</w:t>
      </w:r>
      <w:proofErr w:type="spellEnd"/>
      <w:r w:rsidRPr="001C62B6">
        <w:rPr>
          <w:rFonts w:eastAsia="Calibri" w:cstheme="minorHAnsi"/>
          <w:bCs/>
          <w:w w:val="105"/>
          <w:sz w:val="20"/>
          <w:szCs w:val="20"/>
          <w:lang w:val="en-US"/>
        </w:rPr>
        <w:t xml:space="preserve">, H., and R. Shuttleworth. 2009. “What’s </w:t>
      </w:r>
      <w:proofErr w:type="spellStart"/>
      <w:proofErr w:type="gramStart"/>
      <w:r w:rsidRPr="001C62B6">
        <w:rPr>
          <w:rFonts w:eastAsia="Calibri" w:cstheme="minorHAnsi"/>
          <w:bCs/>
          <w:w w:val="105"/>
          <w:sz w:val="20"/>
          <w:szCs w:val="20"/>
          <w:lang w:val="en-US"/>
        </w:rPr>
        <w:t>So‘</w:t>
      </w:r>
      <w:proofErr w:type="gramEnd"/>
      <w:r w:rsidRPr="001C62B6">
        <w:rPr>
          <w:rFonts w:eastAsia="Calibri" w:cstheme="minorHAnsi"/>
          <w:bCs/>
          <w:w w:val="105"/>
          <w:sz w:val="20"/>
          <w:szCs w:val="20"/>
          <w:lang w:val="en-US"/>
        </w:rPr>
        <w:t>Critical</w:t>
      </w:r>
      <w:proofErr w:type="spellEnd"/>
      <w:r w:rsidRPr="001C62B6">
        <w:rPr>
          <w:rFonts w:eastAsia="Calibri" w:cstheme="minorHAnsi"/>
          <w:bCs/>
          <w:w w:val="105"/>
          <w:sz w:val="20"/>
          <w:szCs w:val="20"/>
          <w:lang w:val="en-US"/>
        </w:rPr>
        <w:t>’ about Critical Disability Studies?” Australian Journal of Human Rights 15 (1): 47–75.</w:t>
      </w:r>
    </w:p>
    <w:p w:rsidR="001C62B6" w:rsidRPr="001C62B6" w:rsidRDefault="001C62B6" w:rsidP="001C62B6">
      <w:pPr>
        <w:jc w:val="both"/>
        <w:rPr>
          <w:rFonts w:eastAsia="Calibri" w:cstheme="minorHAnsi"/>
          <w:bCs/>
          <w:w w:val="105"/>
          <w:sz w:val="20"/>
          <w:szCs w:val="20"/>
          <w:lang w:val="en-US"/>
        </w:rPr>
      </w:pPr>
      <w:proofErr w:type="spellStart"/>
      <w:r w:rsidRPr="001C62B6">
        <w:rPr>
          <w:rFonts w:eastAsia="Calibri" w:cstheme="minorHAnsi"/>
          <w:bCs/>
          <w:w w:val="105"/>
          <w:sz w:val="20"/>
          <w:szCs w:val="20"/>
          <w:lang w:val="en-US"/>
        </w:rPr>
        <w:t>Mladenov</w:t>
      </w:r>
      <w:proofErr w:type="spellEnd"/>
      <w:r w:rsidRPr="001C62B6">
        <w:rPr>
          <w:rFonts w:eastAsia="Calibri" w:cstheme="minorHAnsi"/>
          <w:bCs/>
          <w:w w:val="105"/>
          <w:sz w:val="20"/>
          <w:szCs w:val="20"/>
          <w:lang w:val="en-US"/>
        </w:rPr>
        <w:t xml:space="preserve">, T. 2015. “Neoliberalism, </w:t>
      </w:r>
      <w:proofErr w:type="spellStart"/>
      <w:r w:rsidRPr="001C62B6">
        <w:rPr>
          <w:rFonts w:eastAsia="Calibri" w:cstheme="minorHAnsi"/>
          <w:bCs/>
          <w:w w:val="105"/>
          <w:sz w:val="20"/>
          <w:szCs w:val="20"/>
          <w:lang w:val="en-US"/>
        </w:rPr>
        <w:t>Postsocialism</w:t>
      </w:r>
      <w:proofErr w:type="spellEnd"/>
      <w:r w:rsidRPr="001C62B6">
        <w:rPr>
          <w:rFonts w:eastAsia="Calibri" w:cstheme="minorHAnsi"/>
          <w:bCs/>
          <w:w w:val="105"/>
          <w:sz w:val="20"/>
          <w:szCs w:val="20"/>
          <w:lang w:val="en-US"/>
        </w:rPr>
        <w:t xml:space="preserve">, Disability.” Disability &amp; Society 30 (3): 445–459. </w:t>
      </w:r>
      <w:proofErr w:type="spellStart"/>
      <w:r w:rsidRPr="001C62B6">
        <w:rPr>
          <w:rFonts w:eastAsia="Calibri" w:cstheme="minorHAnsi"/>
          <w:bCs/>
          <w:w w:val="105"/>
          <w:sz w:val="20"/>
          <w:szCs w:val="20"/>
          <w:lang w:val="en-US"/>
        </w:rPr>
        <w:t>Morera</w:t>
      </w:r>
      <w:proofErr w:type="spellEnd"/>
      <w:r w:rsidRPr="001C62B6">
        <w:rPr>
          <w:rFonts w:eastAsia="Calibri" w:cstheme="minorHAnsi"/>
          <w:bCs/>
          <w:w w:val="105"/>
          <w:sz w:val="20"/>
          <w:szCs w:val="20"/>
          <w:lang w:val="en-US"/>
        </w:rPr>
        <w:t xml:space="preserve">, E. 2014. </w:t>
      </w:r>
      <w:proofErr w:type="spellStart"/>
      <w:r w:rsidRPr="001C62B6">
        <w:rPr>
          <w:rFonts w:eastAsia="Calibri" w:cstheme="minorHAnsi"/>
          <w:bCs/>
          <w:w w:val="105"/>
          <w:sz w:val="20"/>
          <w:szCs w:val="20"/>
          <w:lang w:val="en-US"/>
        </w:rPr>
        <w:t>Gramcsi</w:t>
      </w:r>
      <w:proofErr w:type="spellEnd"/>
      <w:r w:rsidRPr="001C62B6">
        <w:rPr>
          <w:rFonts w:eastAsia="Calibri" w:cstheme="minorHAnsi"/>
          <w:bCs/>
          <w:w w:val="105"/>
          <w:sz w:val="20"/>
          <w:szCs w:val="20"/>
          <w:lang w:val="en-US"/>
        </w:rPr>
        <w:t>, Materialism and Philosophy. New York: Routledge.</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 xml:space="preserve">O’Brien, C. 2010. “Thousands to March to </w:t>
      </w:r>
      <w:proofErr w:type="spellStart"/>
      <w:r w:rsidRPr="009A073A">
        <w:rPr>
          <w:rFonts w:eastAsia="Calibri" w:cstheme="minorHAnsi"/>
          <w:bCs/>
          <w:w w:val="105"/>
          <w:sz w:val="20"/>
          <w:szCs w:val="20"/>
          <w:lang w:val="en-US"/>
        </w:rPr>
        <w:t>Dail</w:t>
      </w:r>
      <w:proofErr w:type="spellEnd"/>
      <w:r w:rsidRPr="009A073A">
        <w:rPr>
          <w:rFonts w:eastAsia="Calibri" w:cstheme="minorHAnsi"/>
          <w:bCs/>
          <w:w w:val="105"/>
          <w:sz w:val="20"/>
          <w:szCs w:val="20"/>
          <w:lang w:val="en-US"/>
        </w:rPr>
        <w:t xml:space="preserve"> against Cuts to Disability Services.” The Irish times, July 6. Oliver, M. 1983. Social Work with Disabled People. Basingstoke: Macmillan.</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Oliver, M. 1990. The Politics of Disablement. Basingstoke: Macmillan.</w:t>
      </w:r>
    </w:p>
    <w:p w:rsid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 xml:space="preserve">Oliver, M. 2013. “The Social Model of Disability: Thirty Years on.” Disability &amp; Society 28 (7): 1024–1026. </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 xml:space="preserve">Peck, J., N. Theodore, and N. Brenner. 2012. “Neoliberalism </w:t>
      </w:r>
      <w:proofErr w:type="spellStart"/>
      <w:r w:rsidRPr="009A073A">
        <w:rPr>
          <w:rFonts w:eastAsia="Calibri" w:cstheme="minorHAnsi"/>
          <w:bCs/>
          <w:w w:val="105"/>
          <w:sz w:val="20"/>
          <w:szCs w:val="20"/>
          <w:lang w:val="en-US"/>
        </w:rPr>
        <w:t>Resugerent</w:t>
      </w:r>
      <w:proofErr w:type="spellEnd"/>
      <w:r w:rsidRPr="009A073A">
        <w:rPr>
          <w:rFonts w:eastAsia="Calibri" w:cstheme="minorHAnsi"/>
          <w:bCs/>
          <w:w w:val="105"/>
          <w:sz w:val="20"/>
          <w:szCs w:val="20"/>
          <w:lang w:val="en-US"/>
        </w:rPr>
        <w:t>? Market Rule after the Great</w:t>
      </w:r>
      <w:r>
        <w:rPr>
          <w:rFonts w:eastAsia="Calibri" w:cstheme="minorHAnsi"/>
          <w:bCs/>
          <w:w w:val="105"/>
          <w:sz w:val="20"/>
          <w:szCs w:val="20"/>
          <w:lang w:val="en-US"/>
        </w:rPr>
        <w:t xml:space="preserve"> </w:t>
      </w:r>
      <w:r w:rsidRPr="009A073A">
        <w:rPr>
          <w:rFonts w:eastAsia="Calibri" w:cstheme="minorHAnsi"/>
          <w:bCs/>
          <w:w w:val="105"/>
          <w:sz w:val="20"/>
          <w:szCs w:val="20"/>
          <w:lang w:val="en-US"/>
        </w:rPr>
        <w:t>Recession.” South Atlantic Quarterly 111 (2): 265–288.</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Polanyi, K. 1944. The Great Transformation. Boston, MA: Beacon Press. Salih, S., and J. Butler. 2004. The Judith Butler Reader. Oxford: Blackwell.</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Shakespeare, T. 2014. Disability Rights and Wrongs Revisited. Oxon: Routledge.</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Shakespeare, T., and N. Watson. 1997.“Defending the Social Model.” Disability &amp; Society 12 (2): 293–300. Sheldon, A. 2009. “Recession, Radicalism and the Road to Recovery?” Disability and Society 24 (5):</w:t>
      </w:r>
      <w:r>
        <w:rPr>
          <w:rFonts w:eastAsia="Calibri" w:cstheme="minorHAnsi"/>
          <w:bCs/>
          <w:w w:val="105"/>
          <w:sz w:val="20"/>
          <w:szCs w:val="20"/>
          <w:lang w:val="en-US"/>
        </w:rPr>
        <w:t xml:space="preserve"> </w:t>
      </w:r>
      <w:r w:rsidRPr="009A073A">
        <w:rPr>
          <w:rFonts w:eastAsia="Calibri" w:cstheme="minorHAnsi"/>
          <w:bCs/>
          <w:w w:val="105"/>
          <w:sz w:val="20"/>
          <w:szCs w:val="20"/>
          <w:lang w:val="en-US"/>
        </w:rPr>
        <w:t>667–671.</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 xml:space="preserve">Sherry, M. </w:t>
      </w:r>
      <w:proofErr w:type="gramStart"/>
      <w:r w:rsidRPr="009A073A">
        <w:rPr>
          <w:rFonts w:eastAsia="Calibri" w:cstheme="minorHAnsi"/>
          <w:bCs/>
          <w:w w:val="105"/>
          <w:sz w:val="20"/>
          <w:szCs w:val="20"/>
          <w:lang w:val="en-US"/>
        </w:rPr>
        <w:t>2004.“</w:t>
      </w:r>
      <w:proofErr w:type="gramEnd"/>
      <w:r w:rsidRPr="009A073A">
        <w:rPr>
          <w:rFonts w:eastAsia="Calibri" w:cstheme="minorHAnsi"/>
          <w:bCs/>
          <w:w w:val="105"/>
          <w:sz w:val="20"/>
          <w:szCs w:val="20"/>
          <w:lang w:val="en-US"/>
        </w:rPr>
        <w:t>Overlaps and Contradictions between Queer Theory and Disability Studies.” Disability &amp; Society 19 (7): 769–783.</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Shildrick</w:t>
      </w:r>
      <w:proofErr w:type="spellEnd"/>
      <w:r w:rsidRPr="009A073A">
        <w:rPr>
          <w:rFonts w:eastAsia="Calibri" w:cstheme="minorHAnsi"/>
          <w:bCs/>
          <w:w w:val="105"/>
          <w:sz w:val="20"/>
          <w:szCs w:val="20"/>
          <w:lang w:val="en-US"/>
        </w:rPr>
        <w:t xml:space="preserve">, M. 2012. “Critical Disability Studies: Rethinking the Conventions of the Age of Postmodernity.” In </w:t>
      </w:r>
      <w:proofErr w:type="gramStart"/>
      <w:r w:rsidRPr="009A073A">
        <w:rPr>
          <w:rFonts w:eastAsia="Calibri" w:cstheme="minorHAnsi"/>
          <w:bCs/>
          <w:w w:val="105"/>
          <w:sz w:val="20"/>
          <w:szCs w:val="20"/>
          <w:lang w:val="en-US"/>
        </w:rPr>
        <w:t>The</w:t>
      </w:r>
      <w:proofErr w:type="gramEnd"/>
      <w:r w:rsidRPr="009A073A">
        <w:rPr>
          <w:rFonts w:eastAsia="Calibri" w:cstheme="minorHAnsi"/>
          <w:bCs/>
          <w:w w:val="105"/>
          <w:sz w:val="20"/>
          <w:szCs w:val="20"/>
          <w:lang w:val="en-US"/>
        </w:rPr>
        <w:t xml:space="preserve"> Routledge Handbook of Disability Studies, edited by N. Watson, A. </w:t>
      </w:r>
      <w:proofErr w:type="spellStart"/>
      <w:r w:rsidRPr="009A073A">
        <w:rPr>
          <w:rFonts w:eastAsia="Calibri" w:cstheme="minorHAnsi"/>
          <w:bCs/>
          <w:w w:val="105"/>
          <w:sz w:val="20"/>
          <w:szCs w:val="20"/>
          <w:lang w:val="en-US"/>
        </w:rPr>
        <w:t>Roulstone</w:t>
      </w:r>
      <w:proofErr w:type="spellEnd"/>
      <w:r w:rsidRPr="009A073A">
        <w:rPr>
          <w:rFonts w:eastAsia="Calibri" w:cstheme="minorHAnsi"/>
          <w:bCs/>
          <w:w w:val="105"/>
          <w:sz w:val="20"/>
          <w:szCs w:val="20"/>
          <w:lang w:val="en-US"/>
        </w:rPr>
        <w:t xml:space="preserve"> and C. Thomas, 30–41. London: Routledge.</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Shildrick</w:t>
      </w:r>
      <w:proofErr w:type="spellEnd"/>
      <w:r w:rsidRPr="009A073A">
        <w:rPr>
          <w:rFonts w:eastAsia="Calibri" w:cstheme="minorHAnsi"/>
          <w:bCs/>
          <w:w w:val="105"/>
          <w:sz w:val="20"/>
          <w:szCs w:val="20"/>
          <w:lang w:val="en-US"/>
        </w:rPr>
        <w:t xml:space="preserve">, M. 2013. “Re-Imagining Embodiment: Protheses, Supplements, and Boundaries.” </w:t>
      </w:r>
      <w:proofErr w:type="spellStart"/>
      <w:r w:rsidRPr="009A073A">
        <w:rPr>
          <w:rFonts w:eastAsia="Calibri" w:cstheme="minorHAnsi"/>
          <w:bCs/>
          <w:w w:val="105"/>
          <w:sz w:val="20"/>
          <w:szCs w:val="20"/>
          <w:lang w:val="en-US"/>
        </w:rPr>
        <w:t>Somatechnics</w:t>
      </w:r>
      <w:proofErr w:type="spellEnd"/>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3 (2): 270–286.</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Shildrick</w:t>
      </w:r>
      <w:proofErr w:type="spellEnd"/>
      <w:r w:rsidRPr="009A073A">
        <w:rPr>
          <w:rFonts w:eastAsia="Calibri" w:cstheme="minorHAnsi"/>
          <w:bCs/>
          <w:w w:val="105"/>
          <w:sz w:val="20"/>
          <w:szCs w:val="20"/>
          <w:lang w:val="en-US"/>
        </w:rPr>
        <w:t xml:space="preserve">, M. 2015. “’Why Should Our Bodies End at the Skin? ‘: Embodiment, Boundaries and </w:t>
      </w:r>
      <w:proofErr w:type="spellStart"/>
      <w:r w:rsidRPr="009A073A">
        <w:rPr>
          <w:rFonts w:eastAsia="Calibri" w:cstheme="minorHAnsi"/>
          <w:bCs/>
          <w:w w:val="105"/>
          <w:sz w:val="20"/>
          <w:szCs w:val="20"/>
          <w:lang w:val="en-US"/>
        </w:rPr>
        <w:t>Somatechnics</w:t>
      </w:r>
      <w:proofErr w:type="spellEnd"/>
      <w:r w:rsidRPr="009A073A">
        <w:rPr>
          <w:rFonts w:eastAsia="Calibri" w:cstheme="minorHAnsi"/>
          <w:bCs/>
          <w:w w:val="105"/>
          <w:sz w:val="20"/>
          <w:szCs w:val="20"/>
          <w:lang w:val="en-US"/>
        </w:rPr>
        <w:t>.” Hypatia 30 (1): 13–29.</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Strier</w:t>
      </w:r>
      <w:proofErr w:type="spellEnd"/>
      <w:r w:rsidRPr="009A073A">
        <w:rPr>
          <w:rFonts w:eastAsia="Calibri" w:cstheme="minorHAnsi"/>
          <w:bCs/>
          <w:w w:val="105"/>
          <w:sz w:val="20"/>
          <w:szCs w:val="20"/>
          <w:lang w:val="en-US"/>
        </w:rPr>
        <w:t>, R. 2013. “Responding to the Global Economic Crisis: Inclusive Social Work Practice.” Social Work</w:t>
      </w:r>
      <w:r>
        <w:rPr>
          <w:rFonts w:eastAsia="Calibri" w:cstheme="minorHAnsi"/>
          <w:bCs/>
          <w:w w:val="105"/>
          <w:sz w:val="20"/>
          <w:szCs w:val="20"/>
          <w:lang w:val="en-US"/>
        </w:rPr>
        <w:t xml:space="preserve"> </w:t>
      </w:r>
      <w:r w:rsidRPr="009A073A">
        <w:rPr>
          <w:rFonts w:eastAsia="Calibri" w:cstheme="minorHAnsi"/>
          <w:bCs/>
          <w:w w:val="105"/>
          <w:sz w:val="20"/>
          <w:szCs w:val="20"/>
          <w:lang w:val="en-US"/>
        </w:rPr>
        <w:t>58 (4): 334–353.</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Sunyee</w:t>
      </w:r>
      <w:proofErr w:type="spellEnd"/>
      <w:r w:rsidRPr="009A073A">
        <w:rPr>
          <w:rFonts w:eastAsia="Calibri" w:cstheme="minorHAnsi"/>
          <w:bCs/>
          <w:w w:val="105"/>
          <w:sz w:val="20"/>
          <w:szCs w:val="20"/>
          <w:lang w:val="en-US"/>
        </w:rPr>
        <w:t xml:space="preserve">, Y., and K. </w:t>
      </w:r>
      <w:proofErr w:type="spellStart"/>
      <w:r w:rsidRPr="009A073A">
        <w:rPr>
          <w:rFonts w:eastAsia="Calibri" w:cstheme="minorHAnsi"/>
          <w:bCs/>
          <w:w w:val="105"/>
          <w:sz w:val="20"/>
          <w:szCs w:val="20"/>
          <w:lang w:val="en-US"/>
        </w:rPr>
        <w:t>Hyeongmin</w:t>
      </w:r>
      <w:proofErr w:type="spellEnd"/>
      <w:r w:rsidRPr="009A073A">
        <w:rPr>
          <w:rFonts w:eastAsia="Calibri" w:cstheme="minorHAnsi"/>
          <w:bCs/>
          <w:w w:val="105"/>
          <w:sz w:val="20"/>
          <w:szCs w:val="20"/>
          <w:lang w:val="en-US"/>
        </w:rPr>
        <w:t xml:space="preserve"> Christian. 2016. “Keeping the American Dream Alive: The Interactive Effect of Perceived Economic Mobility and Materialism on Impulsive Spending.” Journal of Marketing Research 53 (5): 759–772.</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Thompson, R. G. 2011. “Misfits: A Feminist Materialist Disability Concept.” Hypatia. 26 (3): 591–609.</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Tremain</w:t>
      </w:r>
      <w:proofErr w:type="spellEnd"/>
      <w:r w:rsidRPr="009A073A">
        <w:rPr>
          <w:rFonts w:eastAsia="Calibri" w:cstheme="minorHAnsi"/>
          <w:bCs/>
          <w:w w:val="105"/>
          <w:sz w:val="20"/>
          <w:szCs w:val="20"/>
          <w:lang w:val="en-US"/>
        </w:rPr>
        <w:t xml:space="preserve">, S. L. 2005. “Foucault, </w:t>
      </w:r>
      <w:proofErr w:type="spellStart"/>
      <w:r w:rsidRPr="009A073A">
        <w:rPr>
          <w:rFonts w:eastAsia="Calibri" w:cstheme="minorHAnsi"/>
          <w:bCs/>
          <w:w w:val="105"/>
          <w:sz w:val="20"/>
          <w:szCs w:val="20"/>
          <w:lang w:val="en-US"/>
        </w:rPr>
        <w:t>Govermentality</w:t>
      </w:r>
      <w:proofErr w:type="spellEnd"/>
      <w:r w:rsidRPr="009A073A">
        <w:rPr>
          <w:rFonts w:eastAsia="Calibri" w:cstheme="minorHAnsi"/>
          <w:bCs/>
          <w:w w:val="105"/>
          <w:sz w:val="20"/>
          <w:szCs w:val="20"/>
          <w:lang w:val="en-US"/>
        </w:rPr>
        <w:t xml:space="preserve">, and Critical Disability Theory: An Introduction” In Foucault and the Government of Disability, edited by S. L. </w:t>
      </w:r>
      <w:proofErr w:type="spellStart"/>
      <w:r w:rsidRPr="009A073A">
        <w:rPr>
          <w:rFonts w:eastAsia="Calibri" w:cstheme="minorHAnsi"/>
          <w:bCs/>
          <w:w w:val="105"/>
          <w:sz w:val="20"/>
          <w:szCs w:val="20"/>
          <w:lang w:val="en-US"/>
        </w:rPr>
        <w:t>Tremain</w:t>
      </w:r>
      <w:proofErr w:type="spellEnd"/>
      <w:r w:rsidRPr="009A073A">
        <w:rPr>
          <w:rFonts w:eastAsia="Calibri" w:cstheme="minorHAnsi"/>
          <w:bCs/>
          <w:w w:val="105"/>
          <w:sz w:val="20"/>
          <w:szCs w:val="20"/>
          <w:lang w:val="en-US"/>
        </w:rPr>
        <w:t>, 1–27. Ann Arbor: University of Michigan Press.</w:t>
      </w:r>
    </w:p>
    <w:p w:rsidR="009A073A" w:rsidRPr="009A073A" w:rsidRDefault="009A073A" w:rsidP="009A073A">
      <w:pPr>
        <w:rPr>
          <w:rFonts w:eastAsia="Calibri" w:cstheme="minorHAnsi"/>
          <w:bCs/>
          <w:w w:val="105"/>
          <w:sz w:val="20"/>
          <w:szCs w:val="20"/>
          <w:lang w:val="en-US"/>
        </w:rPr>
      </w:pPr>
      <w:r w:rsidRPr="009A073A">
        <w:rPr>
          <w:rFonts w:eastAsia="Calibri" w:cstheme="minorHAnsi"/>
          <w:bCs/>
          <w:w w:val="105"/>
          <w:sz w:val="20"/>
          <w:szCs w:val="20"/>
          <w:lang w:val="en-US"/>
        </w:rPr>
        <w:lastRenderedPageBreak/>
        <w:t>UNICEF. 2013. The State of the World’s Children 2013: Children with Disabilities. New York: UNICEF. (Online) Accessed November 8, 2014. http://www.unicef.org/sowc2013/files/SWCR2013_ENG_Lo_res_24_ Apr_2013.pdf.</w:t>
      </w:r>
    </w:p>
    <w:p w:rsidR="009A073A" w:rsidRPr="009A073A" w:rsidRDefault="009A073A" w:rsidP="009A073A">
      <w:pPr>
        <w:jc w:val="both"/>
        <w:rPr>
          <w:rFonts w:eastAsia="Calibri" w:cstheme="minorHAnsi"/>
          <w:bCs/>
          <w:w w:val="105"/>
          <w:sz w:val="20"/>
          <w:szCs w:val="20"/>
          <w:lang w:val="en-US"/>
        </w:rPr>
      </w:pPr>
      <w:proofErr w:type="spellStart"/>
      <w:r w:rsidRPr="009A073A">
        <w:rPr>
          <w:rFonts w:eastAsia="Calibri" w:cstheme="minorHAnsi"/>
          <w:bCs/>
          <w:w w:val="105"/>
          <w:sz w:val="20"/>
          <w:szCs w:val="20"/>
          <w:lang w:val="en-US"/>
        </w:rPr>
        <w:t>Vehmas</w:t>
      </w:r>
      <w:proofErr w:type="spellEnd"/>
      <w:r w:rsidRPr="009A073A">
        <w:rPr>
          <w:rFonts w:eastAsia="Calibri" w:cstheme="minorHAnsi"/>
          <w:bCs/>
          <w:w w:val="105"/>
          <w:sz w:val="20"/>
          <w:szCs w:val="20"/>
          <w:lang w:val="en-US"/>
        </w:rPr>
        <w:t>, S., and N. Watson. 2014. “Moral Wrongs, Disadvantages, and Disability: A Critique of Critical Disability Studies.” Disability &amp; Society 29 (4): 638–650.</w:t>
      </w:r>
    </w:p>
    <w:p w:rsidR="009A073A" w:rsidRPr="009A073A"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 xml:space="preserve">Whelan, C. T., and B. </w:t>
      </w:r>
      <w:proofErr w:type="spellStart"/>
      <w:r w:rsidRPr="009A073A">
        <w:rPr>
          <w:rFonts w:eastAsia="Calibri" w:cstheme="minorHAnsi"/>
          <w:bCs/>
          <w:w w:val="105"/>
          <w:sz w:val="20"/>
          <w:szCs w:val="20"/>
          <w:lang w:val="en-US"/>
        </w:rPr>
        <w:t>Maitre</w:t>
      </w:r>
      <w:proofErr w:type="spellEnd"/>
      <w:r w:rsidRPr="009A073A">
        <w:rPr>
          <w:rFonts w:eastAsia="Calibri" w:cstheme="minorHAnsi"/>
          <w:bCs/>
          <w:w w:val="105"/>
          <w:sz w:val="20"/>
          <w:szCs w:val="20"/>
          <w:lang w:val="en-US"/>
        </w:rPr>
        <w:t>. 2012. “Identifying Childhood Depravation: How Well Do National Indicators of Poverty and Social Exclusion in Ireland Perform?” Economic and Social Review 43 (2): 251–272.</w:t>
      </w:r>
    </w:p>
    <w:p w:rsidR="001C62B6" w:rsidRPr="001C62B6" w:rsidRDefault="009A073A" w:rsidP="009A073A">
      <w:pPr>
        <w:jc w:val="both"/>
        <w:rPr>
          <w:rFonts w:eastAsia="Calibri" w:cstheme="minorHAnsi"/>
          <w:bCs/>
          <w:w w:val="105"/>
          <w:sz w:val="20"/>
          <w:szCs w:val="20"/>
          <w:lang w:val="en-US"/>
        </w:rPr>
      </w:pPr>
      <w:r w:rsidRPr="009A073A">
        <w:rPr>
          <w:rFonts w:eastAsia="Calibri" w:cstheme="minorHAnsi"/>
          <w:bCs/>
          <w:w w:val="105"/>
          <w:sz w:val="20"/>
          <w:szCs w:val="20"/>
          <w:lang w:val="en-US"/>
        </w:rPr>
        <w:t>Yates, S. 2010. “Truth, Power and Ethi</w:t>
      </w:r>
      <w:bookmarkStart w:id="29" w:name="_GoBack"/>
      <w:bookmarkEnd w:id="29"/>
      <w:r w:rsidRPr="009A073A">
        <w:rPr>
          <w:rFonts w:eastAsia="Calibri" w:cstheme="minorHAnsi"/>
          <w:bCs/>
          <w:w w:val="105"/>
          <w:sz w:val="20"/>
          <w:szCs w:val="20"/>
          <w:lang w:val="en-US"/>
        </w:rPr>
        <w:t xml:space="preserve">cs in Care Services for People with Learning Difficulties.” In Foucault and the Government of Disability, edited by S. </w:t>
      </w:r>
      <w:proofErr w:type="spellStart"/>
      <w:r w:rsidRPr="009A073A">
        <w:rPr>
          <w:rFonts w:eastAsia="Calibri" w:cstheme="minorHAnsi"/>
          <w:bCs/>
          <w:w w:val="105"/>
          <w:sz w:val="20"/>
          <w:szCs w:val="20"/>
          <w:lang w:val="en-US"/>
        </w:rPr>
        <w:t>Tremain</w:t>
      </w:r>
      <w:proofErr w:type="spellEnd"/>
      <w:r w:rsidRPr="009A073A">
        <w:rPr>
          <w:rFonts w:eastAsia="Calibri" w:cstheme="minorHAnsi"/>
          <w:bCs/>
          <w:w w:val="105"/>
          <w:sz w:val="20"/>
          <w:szCs w:val="20"/>
          <w:lang w:val="en-US"/>
        </w:rPr>
        <w:t>, 65–78. United States: University of Michigan Press.</w:t>
      </w:r>
    </w:p>
    <w:p w:rsidR="001C62B6" w:rsidRPr="001C62B6" w:rsidRDefault="001C62B6" w:rsidP="000E087D">
      <w:pPr>
        <w:jc w:val="both"/>
        <w:rPr>
          <w:rFonts w:eastAsia="Calibri" w:cstheme="minorHAnsi"/>
          <w:bCs/>
          <w:w w:val="105"/>
          <w:sz w:val="20"/>
          <w:szCs w:val="20"/>
          <w:lang w:val="en-US"/>
        </w:rPr>
      </w:pPr>
    </w:p>
    <w:p w:rsidR="001C62B6" w:rsidRPr="001C62B6" w:rsidRDefault="001C62B6" w:rsidP="000E087D">
      <w:pPr>
        <w:jc w:val="both"/>
      </w:pPr>
    </w:p>
    <w:sectPr w:rsidR="001C62B6" w:rsidRPr="001C6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UnicodeMS">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80B99"/>
    <w:multiLevelType w:val="hybridMultilevel"/>
    <w:tmpl w:val="50740316"/>
    <w:lvl w:ilvl="0" w:tplc="B50AD586">
      <w:numFmt w:val="bullet"/>
      <w:lvlText w:val="•"/>
      <w:lvlJc w:val="left"/>
      <w:pPr>
        <w:ind w:left="508" w:hanging="149"/>
      </w:pPr>
      <w:rPr>
        <w:rFonts w:ascii="Calibri" w:eastAsia="Calibri" w:hAnsi="Calibri" w:cs="Calibri" w:hint="default"/>
        <w:color w:val="231F20"/>
        <w:w w:val="56"/>
        <w:sz w:val="20"/>
        <w:szCs w:val="20"/>
      </w:rPr>
    </w:lvl>
    <w:lvl w:ilvl="1" w:tplc="EC9E182A">
      <w:numFmt w:val="bullet"/>
      <w:lvlText w:val="•"/>
      <w:lvlJc w:val="left"/>
      <w:pPr>
        <w:ind w:left="1220" w:hanging="149"/>
      </w:pPr>
      <w:rPr>
        <w:rFonts w:hint="default"/>
      </w:rPr>
    </w:lvl>
    <w:lvl w:ilvl="2" w:tplc="71FEBA48">
      <w:numFmt w:val="bullet"/>
      <w:lvlText w:val="•"/>
      <w:lvlJc w:val="left"/>
      <w:pPr>
        <w:ind w:left="1940" w:hanging="149"/>
      </w:pPr>
      <w:rPr>
        <w:rFonts w:hint="default"/>
      </w:rPr>
    </w:lvl>
    <w:lvl w:ilvl="3" w:tplc="E368976C">
      <w:numFmt w:val="bullet"/>
      <w:lvlText w:val="•"/>
      <w:lvlJc w:val="left"/>
      <w:pPr>
        <w:ind w:left="2661" w:hanging="149"/>
      </w:pPr>
      <w:rPr>
        <w:rFonts w:hint="default"/>
      </w:rPr>
    </w:lvl>
    <w:lvl w:ilvl="4" w:tplc="90B600BA">
      <w:numFmt w:val="bullet"/>
      <w:lvlText w:val="•"/>
      <w:lvlJc w:val="left"/>
      <w:pPr>
        <w:ind w:left="3381" w:hanging="149"/>
      </w:pPr>
      <w:rPr>
        <w:rFonts w:hint="default"/>
      </w:rPr>
    </w:lvl>
    <w:lvl w:ilvl="5" w:tplc="33BAF4AC">
      <w:numFmt w:val="bullet"/>
      <w:lvlText w:val="•"/>
      <w:lvlJc w:val="left"/>
      <w:pPr>
        <w:ind w:left="4102" w:hanging="149"/>
      </w:pPr>
      <w:rPr>
        <w:rFonts w:hint="default"/>
      </w:rPr>
    </w:lvl>
    <w:lvl w:ilvl="6" w:tplc="1210696C">
      <w:numFmt w:val="bullet"/>
      <w:lvlText w:val="•"/>
      <w:lvlJc w:val="left"/>
      <w:pPr>
        <w:ind w:left="4822" w:hanging="149"/>
      </w:pPr>
      <w:rPr>
        <w:rFonts w:hint="default"/>
      </w:rPr>
    </w:lvl>
    <w:lvl w:ilvl="7" w:tplc="C736DF20">
      <w:numFmt w:val="bullet"/>
      <w:lvlText w:val="•"/>
      <w:lvlJc w:val="left"/>
      <w:pPr>
        <w:ind w:left="5543" w:hanging="149"/>
      </w:pPr>
      <w:rPr>
        <w:rFonts w:hint="default"/>
      </w:rPr>
    </w:lvl>
    <w:lvl w:ilvl="8" w:tplc="870661BC">
      <w:numFmt w:val="bullet"/>
      <w:lvlText w:val="•"/>
      <w:lvlJc w:val="left"/>
      <w:pPr>
        <w:ind w:left="6263" w:hanging="149"/>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2F"/>
    <w:rsid w:val="000E087D"/>
    <w:rsid w:val="001C62B6"/>
    <w:rsid w:val="005C379F"/>
    <w:rsid w:val="0065432F"/>
    <w:rsid w:val="009A073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B8C5"/>
  <w15:chartTrackingRefBased/>
  <w15:docId w15:val="{4831810E-340D-4850-AA4C-B998BB52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E087D"/>
    <w:pPr>
      <w:widowControl w:val="0"/>
      <w:autoSpaceDE w:val="0"/>
      <w:autoSpaceDN w:val="0"/>
      <w:spacing w:after="0" w:line="240" w:lineRule="auto"/>
      <w:ind w:left="120"/>
      <w:outlineLvl w:val="0"/>
    </w:pPr>
    <w:rPr>
      <w:rFonts w:ascii="Calibri" w:eastAsia="Calibri" w:hAnsi="Calibri" w:cs="Calibri"/>
      <w:b/>
      <w:bCs/>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E087D"/>
    <w:pPr>
      <w:widowControl w:val="0"/>
      <w:autoSpaceDE w:val="0"/>
      <w:autoSpaceDN w:val="0"/>
      <w:spacing w:after="0" w:line="240" w:lineRule="auto"/>
    </w:pPr>
    <w:rPr>
      <w:rFonts w:ascii="Calibri" w:eastAsia="Calibri" w:hAnsi="Calibri" w:cs="Calibri"/>
      <w:sz w:val="20"/>
      <w:szCs w:val="20"/>
      <w:lang w:val="en-US"/>
    </w:rPr>
  </w:style>
  <w:style w:type="character" w:customStyle="1" w:styleId="BodyTextChar">
    <w:name w:val="Body Text Char"/>
    <w:basedOn w:val="DefaultParagraphFont"/>
    <w:link w:val="BodyText"/>
    <w:uiPriority w:val="1"/>
    <w:rsid w:val="000E087D"/>
    <w:rPr>
      <w:rFonts w:ascii="Calibri" w:eastAsia="Calibri" w:hAnsi="Calibri" w:cs="Calibri"/>
      <w:sz w:val="20"/>
      <w:szCs w:val="20"/>
      <w:lang w:val="en-US"/>
    </w:rPr>
  </w:style>
  <w:style w:type="character" w:customStyle="1" w:styleId="Heading1Char">
    <w:name w:val="Heading 1 Char"/>
    <w:basedOn w:val="DefaultParagraphFont"/>
    <w:link w:val="Heading1"/>
    <w:uiPriority w:val="9"/>
    <w:rsid w:val="000E087D"/>
    <w:rPr>
      <w:rFonts w:ascii="Calibri" w:eastAsia="Calibri" w:hAnsi="Calibri" w:cs="Calibri"/>
      <w:b/>
      <w:bCs/>
      <w:lang w:val="en-US"/>
    </w:rPr>
  </w:style>
  <w:style w:type="character" w:styleId="Emphasis">
    <w:name w:val="Emphasis"/>
    <w:basedOn w:val="DefaultParagraphFont"/>
    <w:uiPriority w:val="20"/>
    <w:qFormat/>
    <w:rsid w:val="000E087D"/>
    <w:rPr>
      <w:i/>
      <w:iCs/>
    </w:rPr>
  </w:style>
  <w:style w:type="paragraph" w:styleId="ListParagraph">
    <w:name w:val="List Paragraph"/>
    <w:basedOn w:val="Normal"/>
    <w:uiPriority w:val="1"/>
    <w:qFormat/>
    <w:rsid w:val="001C62B6"/>
    <w:pPr>
      <w:widowControl w:val="0"/>
      <w:autoSpaceDE w:val="0"/>
      <w:autoSpaceDN w:val="0"/>
      <w:spacing w:after="0" w:line="240" w:lineRule="auto"/>
      <w:ind w:left="508" w:right="118" w:hanging="149"/>
      <w:jc w:val="both"/>
    </w:pPr>
    <w:rPr>
      <w:rFonts w:ascii="Calibri" w:eastAsia="Calibri" w:hAnsi="Calibri" w:cs="Calibri"/>
      <w:lang w:val="en-US"/>
    </w:rPr>
  </w:style>
  <w:style w:type="paragraph" w:customStyle="1" w:styleId="TableParagraph">
    <w:name w:val="Table Paragraph"/>
    <w:basedOn w:val="Normal"/>
    <w:uiPriority w:val="1"/>
    <w:qFormat/>
    <w:rsid w:val="001C62B6"/>
    <w:pPr>
      <w:widowControl w:val="0"/>
      <w:autoSpaceDE w:val="0"/>
      <w:autoSpaceDN w:val="0"/>
      <w:spacing w:after="0" w:line="240" w:lineRule="auto"/>
    </w:pPr>
    <w:rPr>
      <w:rFonts w:ascii="Calibri" w:eastAsia="Calibri" w:hAnsi="Calibri" w:cs="Calibri"/>
      <w:lang w:val="en-US"/>
    </w:rPr>
  </w:style>
  <w:style w:type="paragraph" w:styleId="BalloonText">
    <w:name w:val="Balloon Text"/>
    <w:basedOn w:val="Normal"/>
    <w:link w:val="BalloonTextChar"/>
    <w:uiPriority w:val="99"/>
    <w:semiHidden/>
    <w:unhideWhenUsed/>
    <w:rsid w:val="001C62B6"/>
    <w:pPr>
      <w:widowControl w:val="0"/>
      <w:autoSpaceDE w:val="0"/>
      <w:autoSpaceDN w:val="0"/>
      <w:spacing w:after="0" w:line="240" w:lineRule="auto"/>
    </w:pPr>
    <w:rPr>
      <w:rFonts w:ascii="Segoe UI" w:eastAsia="Calibri" w:hAnsi="Segoe UI" w:cs="Segoe UI"/>
      <w:sz w:val="18"/>
      <w:szCs w:val="18"/>
      <w:lang w:val="en-US"/>
    </w:rPr>
  </w:style>
  <w:style w:type="character" w:customStyle="1" w:styleId="BalloonTextChar">
    <w:name w:val="Balloon Text Char"/>
    <w:basedOn w:val="DefaultParagraphFont"/>
    <w:link w:val="BalloonText"/>
    <w:uiPriority w:val="99"/>
    <w:semiHidden/>
    <w:rsid w:val="001C62B6"/>
    <w:rPr>
      <w:rFonts w:ascii="Segoe UI" w:eastAsia="Calibri" w:hAnsi="Segoe UI" w:cs="Segoe UI"/>
      <w:sz w:val="18"/>
      <w:szCs w:val="18"/>
      <w:lang w:val="en-US"/>
    </w:rPr>
  </w:style>
  <w:style w:type="character" w:styleId="Hyperlink">
    <w:name w:val="Hyperlink"/>
    <w:basedOn w:val="DefaultParagraphFont"/>
    <w:uiPriority w:val="99"/>
    <w:unhideWhenUsed/>
    <w:rsid w:val="001C62B6"/>
    <w:rPr>
      <w:color w:val="0563C1" w:themeColor="hyperlink"/>
      <w:u w:val="single"/>
    </w:rPr>
  </w:style>
  <w:style w:type="character" w:styleId="UnresolvedMention">
    <w:name w:val="Unresolved Mention"/>
    <w:basedOn w:val="DefaultParagraphFont"/>
    <w:uiPriority w:val="99"/>
    <w:semiHidden/>
    <w:unhideWhenUsed/>
    <w:rsid w:val="001C6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justice.ie/sites/default/files/file/Budget/Budget%202011/PreBudget%20Submissions/Centre%20for%20Independent%20Living%20Pre-Budget%20Submission.pdf" TargetMode="External"/><Relationship Id="rId3" Type="http://schemas.openxmlformats.org/officeDocument/2006/relationships/settings" Target="settings.xml"/><Relationship Id="rId7" Type="http://schemas.openxmlformats.org/officeDocument/2006/relationships/hyperlink" Target="http://www.socialjustice.ie/sites/default/files/file/Budget/Budget%202011/PreBudget%20Submissions/Centre%20for%20Independent%20Living%20Pre-Budget%20Submissio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ialjustice.ie/sites/default/files/file/Budget/Budget%202011/PreBudget%20Submissions/Centre%20for%20Independent%20Living%20Pre-Budget%20Submission.pdf" TargetMode="External"/><Relationship Id="rId11" Type="http://schemas.openxmlformats.org/officeDocument/2006/relationships/fontTable" Target="fontTable.xml"/><Relationship Id="rId5" Type="http://schemas.openxmlformats.org/officeDocument/2006/relationships/hyperlink" Target="http://journal.media-culture.org.au/index.php/mcjournal/article/viewArticle/46/" TargetMode="External"/><Relationship Id="rId10" Type="http://schemas.openxmlformats.org/officeDocument/2006/relationships/hyperlink" Target="http://dx.doi.org/10.18061/dsq.v34i2" TargetMode="External"/><Relationship Id="rId4" Type="http://schemas.openxmlformats.org/officeDocument/2006/relationships/webSettings" Target="webSettings.xml"/><Relationship Id="rId9" Type="http://schemas.openxmlformats.org/officeDocument/2006/relationships/hyperlink" Target="http://dx.doi.org/10.18061/dsq.v34i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9849</Words>
  <Characters>56141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3</cp:revision>
  <dcterms:created xsi:type="dcterms:W3CDTF">2019-12-12T14:57:00Z</dcterms:created>
  <dcterms:modified xsi:type="dcterms:W3CDTF">2019-12-12T15:18:00Z</dcterms:modified>
</cp:coreProperties>
</file>