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34DB63" w14:textId="74A5EB06" w:rsidR="006A3D08" w:rsidRPr="006A3D08" w:rsidRDefault="00B86590" w:rsidP="006A3D08">
      <w:pPr>
        <w:pStyle w:val="CNChapterNumber"/>
        <w:spacing w:line="240" w:lineRule="auto"/>
        <w:jc w:val="both"/>
        <w:rPr>
          <w:sz w:val="24"/>
          <w:szCs w:val="24"/>
        </w:rPr>
      </w:pPr>
      <w:r>
        <w:rPr>
          <w:rFonts w:ascii="Arial" w:hAnsi="Arial" w:cs="Arial"/>
          <w:sz w:val="24"/>
          <w:szCs w:val="24"/>
          <w:shd w:val="clear" w:color="auto" w:fill="FFFFFF"/>
        </w:rPr>
        <w:t xml:space="preserve">In </w:t>
      </w:r>
      <w:proofErr w:type="spellStart"/>
      <w:r w:rsidR="006A3D08" w:rsidRPr="006A3D08">
        <w:rPr>
          <w:rFonts w:ascii="Arial" w:hAnsi="Arial" w:cs="Arial"/>
          <w:sz w:val="24"/>
          <w:szCs w:val="24"/>
          <w:shd w:val="clear" w:color="auto" w:fill="FFFFFF"/>
        </w:rPr>
        <w:t>Järvinen</w:t>
      </w:r>
      <w:proofErr w:type="spellEnd"/>
      <w:r w:rsidR="006A3D08" w:rsidRPr="006A3D08">
        <w:rPr>
          <w:rFonts w:ascii="Arial" w:hAnsi="Arial" w:cs="Arial"/>
          <w:sz w:val="24"/>
          <w:szCs w:val="24"/>
          <w:shd w:val="clear" w:color="auto" w:fill="FFFFFF"/>
        </w:rPr>
        <w:t>, M., &amp; Mik-Meyer, N. (Eds.) (2020). </w:t>
      </w:r>
      <w:r w:rsidR="006A3D08" w:rsidRPr="006A3D08">
        <w:rPr>
          <w:rStyle w:val="Emphasis"/>
          <w:rFonts w:ascii="Arial" w:hAnsi="Arial" w:cs="Arial"/>
          <w:sz w:val="24"/>
          <w:szCs w:val="24"/>
          <w:shd w:val="clear" w:color="auto" w:fill="FFFFFF"/>
        </w:rPr>
        <w:t>Qualitative Analysis: Eight Approaches for the Social Sciences</w:t>
      </w:r>
      <w:r w:rsidR="006A3D08" w:rsidRPr="006A3D08">
        <w:rPr>
          <w:rFonts w:ascii="Arial" w:hAnsi="Arial" w:cs="Arial"/>
          <w:sz w:val="24"/>
          <w:szCs w:val="24"/>
          <w:shd w:val="clear" w:color="auto" w:fill="FFFFFF"/>
        </w:rPr>
        <w:t>. SAGE Publications.</w:t>
      </w:r>
    </w:p>
    <w:p w14:paraId="22CD5F6F" w14:textId="1748CEDE" w:rsidR="00836A1C" w:rsidRPr="000A6D66" w:rsidRDefault="00836A1C" w:rsidP="00836A1C">
      <w:pPr>
        <w:pStyle w:val="CNChapterNumber"/>
      </w:pPr>
      <w:r w:rsidRPr="000A6D66">
        <w:t>11</w:t>
      </w:r>
    </w:p>
    <w:p w14:paraId="3BD2E8C3" w14:textId="77777777" w:rsidR="00836A1C" w:rsidRPr="000A6D66" w:rsidRDefault="00836A1C" w:rsidP="00836A1C">
      <w:pPr>
        <w:pStyle w:val="CTChapterTitle"/>
      </w:pPr>
      <w:r w:rsidRPr="000A6D66">
        <w:t xml:space="preserve">Sampling and </w:t>
      </w:r>
      <w:proofErr w:type="spellStart"/>
      <w:r w:rsidRPr="000A6D66">
        <w:t>conceptualisation</w:t>
      </w:r>
      <w:proofErr w:type="spellEnd"/>
      <w:r w:rsidRPr="000A6D66">
        <w:t xml:space="preserve"> in grounded theory</w:t>
      </w:r>
    </w:p>
    <w:p w14:paraId="2538469A" w14:textId="77777777" w:rsidR="00836A1C" w:rsidRPr="000A6D66" w:rsidRDefault="00836A1C" w:rsidP="00836A1C">
      <w:pPr>
        <w:pStyle w:val="CAChapterAuthor"/>
      </w:pPr>
      <w:r w:rsidRPr="000A6D66">
        <w:t>Catherine Conlon</w:t>
      </w:r>
    </w:p>
    <w:p w14:paraId="7AF9398A" w14:textId="2CF51308" w:rsidR="00836A1C" w:rsidRPr="000A6D66" w:rsidRDefault="00836A1C" w:rsidP="00836A1C">
      <w:pPr>
        <w:pStyle w:val="TFTextFullOut"/>
      </w:pPr>
      <w:r w:rsidRPr="000A6D66">
        <w:t xml:space="preserve">Grounded theory (GT) follows symbolic interactionism in viewing humans as active agents in their own lives who create meaning in the processes of action and interaction. GT thus proffers that theory can be discovered </w:t>
      </w:r>
      <w:r w:rsidRPr="000A6D66">
        <w:rPr>
          <w:i/>
        </w:rPr>
        <w:t>in</w:t>
      </w:r>
      <w:r w:rsidRPr="000A6D66">
        <w:t xml:space="preserve"> empirical data. This approach originates from a realist ontology positing that theoretical accounts of processes reside in data to be discovered by the researcher, independent of the researcher. Glaser and Strauss (1967) first outlined GT in 1967 in response to a social science they considered to be dominated by deduction (see the lengthier discussion on this in Chapter 10</w:t>
      </w:r>
      <w:r w:rsidRPr="0014703C">
        <w:t xml:space="preserve">). </w:t>
      </w:r>
      <w:r w:rsidRPr="000A6D66">
        <w:t xml:space="preserve">The core premise of GT is that there are regularities to the social world out there, which the researcher can locate through systematic observation and analysis of human action and interaction. The inductive emphasis of GT challenges the prevailing model of research based on deductive hypothesis testing. </w:t>
      </w:r>
    </w:p>
    <w:p w14:paraId="46215ACB" w14:textId="2A8709BE" w:rsidR="00836A1C" w:rsidRPr="000A6D66" w:rsidRDefault="00836A1C" w:rsidP="00836A1C">
      <w:pPr>
        <w:pStyle w:val="TITextIndent"/>
      </w:pPr>
      <w:r w:rsidRPr="000A6D66">
        <w:t>Since then researchers have proposed different variations of GT reflecting ontological and epistemological debates and turns in the intervening time.  Concerns regarding the place of the researcher in social inquiry are attended to by</w:t>
      </w:r>
      <w:r w:rsidR="00FA4C06">
        <w:t xml:space="preserve"> Strauss and Corbin (1998) and</w:t>
      </w:r>
      <w:r w:rsidRPr="000A6D66">
        <w:t xml:space="preserve"> Corbin and Strauss </w:t>
      </w:r>
      <w:r w:rsidR="001614CB">
        <w:t>(</w:t>
      </w:r>
      <w:r w:rsidRPr="000A6D66">
        <w:t xml:space="preserve">2015) who deal with issues of reflexivity in a GT inquiry. Charmaz (2006, 2014) goes further and develops GT in conversation with a social constructivist perspective. Her approach re-situates the researcher as fully implicated in all stages of the inquiry and she argues that what emerges are portrayals as opposed to universalist, singular </w:t>
      </w:r>
      <w:r w:rsidRPr="000A6D66">
        <w:lastRenderedPageBreak/>
        <w:t xml:space="preserve">theoretical account. Clarke (2014) similarly addresses concerns about context and proposes a situational analysis approach </w:t>
      </w:r>
      <w:r w:rsidRPr="000A6D66">
        <w:rPr>
          <w:rFonts w:eastAsia="Times New Roman"/>
          <w:lang w:eastAsia="en-IE"/>
        </w:rPr>
        <w:t xml:space="preserve">premised on the position that any condition is situation-specific, which is why context as well as process should be investigated.  </w:t>
      </w:r>
      <w:r w:rsidRPr="000A6D66">
        <w:t xml:space="preserve">More recently, the realist origins of the method have been taken up again by researchers working within a critical realist perspective (e.g., </w:t>
      </w:r>
      <w:proofErr w:type="spellStart"/>
      <w:r w:rsidRPr="000A6D66">
        <w:rPr>
          <w:rFonts w:eastAsia="Times New Roman"/>
          <w:lang w:eastAsia="en-IE"/>
        </w:rPr>
        <w:t>Kempter</w:t>
      </w:r>
      <w:proofErr w:type="spellEnd"/>
      <w:r w:rsidRPr="000A6D66">
        <w:rPr>
          <w:rFonts w:eastAsia="Times New Roman"/>
          <w:lang w:eastAsia="en-IE"/>
        </w:rPr>
        <w:t xml:space="preserve"> and Parry, 2011, 2014; Lee, 2016; Oliver, 2012</w:t>
      </w:r>
      <w:r w:rsidRPr="000A6D66">
        <w:t>). This recent branch of research asserts that even though reality is a phenomenon existing ‘out there’, the meaning of reality is specific to individuals and contexts and therefore fluid (for a further account of how the method evolved, see Chapter 10, pp. 000–000).</w:t>
      </w:r>
    </w:p>
    <w:p w14:paraId="08A4FABC" w14:textId="77777777" w:rsidR="00836A1C" w:rsidRPr="000A6D66" w:rsidRDefault="00836A1C" w:rsidP="00836A1C">
      <w:pPr>
        <w:pStyle w:val="TITextIndent"/>
      </w:pPr>
      <w:r w:rsidRPr="000A6D66">
        <w:t>This chapter illustrates the use of GT in practice using the example of an inquiry entitled</w:t>
      </w:r>
      <w:r w:rsidRPr="000A6D66">
        <w:rPr>
          <w:iCs/>
        </w:rPr>
        <w:t xml:space="preserve"> </w:t>
      </w:r>
      <w:r w:rsidRPr="000A6D66">
        <w:rPr>
          <w:i/>
        </w:rPr>
        <w:t>Changing Generations</w:t>
      </w:r>
      <w:r w:rsidRPr="000A6D66">
        <w:t xml:space="preserve"> (see Timonen et al., 2013; Conlon et al., 2015). This study is concerned with intergenerational solidarity in Ireland in the period following the ‘great recession’ that began in 2008. The study’s data set comprises qualitative interviews. My approach is inspired by Charmaz’s constructivist iteration of GT. However, I illustrate the generic processes of GT as well as its inflection in a constructivist approach. The emergent nature of GT is illustrated in the chapter through the following characteristics: the imperative to remain open; the iterative nature of GT achieved through theoretical sampling; the use of memos in GT; and the constant comparative procedures revealing processes in the data giving way to theory-building.  </w:t>
      </w:r>
    </w:p>
    <w:p w14:paraId="3C33C1BC" w14:textId="77777777" w:rsidR="00836A1C" w:rsidRPr="000A6D66" w:rsidRDefault="00836A1C" w:rsidP="00836A1C">
      <w:pPr>
        <w:pStyle w:val="AHAHead"/>
        <w:rPr>
          <w:i/>
        </w:rPr>
      </w:pPr>
      <w:r w:rsidRPr="000A6D66">
        <w:t>Remaining open</w:t>
      </w:r>
      <w:r w:rsidRPr="000A6D66">
        <w:rPr>
          <w:i/>
        </w:rPr>
        <w:t xml:space="preserve"> </w:t>
      </w:r>
      <w:r w:rsidRPr="000A6D66">
        <w:t>in grounded theory</w:t>
      </w:r>
      <w:r w:rsidRPr="000A6D66">
        <w:rPr>
          <w:i/>
        </w:rPr>
        <w:t xml:space="preserve"> </w:t>
      </w:r>
    </w:p>
    <w:p w14:paraId="289C0F0F" w14:textId="77777777" w:rsidR="00836A1C" w:rsidRPr="00316ACA" w:rsidRDefault="00836A1C" w:rsidP="00836A1C">
      <w:pPr>
        <w:pStyle w:val="TFTextFullOut"/>
      </w:pPr>
      <w:r w:rsidRPr="000A6D66">
        <w:t xml:space="preserve">The core premise of GT is that theory emerges from data generated in the course of the inquiry in which data generation </w:t>
      </w:r>
      <w:r w:rsidRPr="000A6D66">
        <w:rPr>
          <w:i/>
        </w:rPr>
        <w:t>and</w:t>
      </w:r>
      <w:r w:rsidRPr="000A6D66">
        <w:t xml:space="preserve"> data analysis proceed iteratively so that both feature from the very outset of the study.  All variants of GT involve simultaneous data collection and analysis, pursuing emergent themes through early data analysis, discovering basic social processes within data, inductive construction of abstract categories to explain and </w:t>
      </w:r>
      <w:proofErr w:type="spellStart"/>
      <w:r w:rsidRPr="000A6D66">
        <w:t>synthesise</w:t>
      </w:r>
      <w:proofErr w:type="spellEnd"/>
      <w:r w:rsidRPr="000A6D66">
        <w:t xml:space="preserve"> these processes, sampling to refine categories through comparative processes, and integrating categories into a theoretical framework that specifies causes, </w:t>
      </w:r>
      <w:r w:rsidRPr="000A6D66">
        <w:lastRenderedPageBreak/>
        <w:t xml:space="preserve">conditions and consequences of the processes studied (Charmaz and Belgrave, 2012: 348).   </w:t>
      </w:r>
      <w:r w:rsidRPr="0014703C">
        <w:t xml:space="preserve">Timonen et al. (2018) surveyed the various approaches to GT and note how all share a pragmatist influence; all ask questions that pertain to processes, interactions and context; and all strive to approach the inquiry with openness to new findings.  </w:t>
      </w:r>
    </w:p>
    <w:p w14:paraId="05FA6A0D" w14:textId="77777777" w:rsidR="00836A1C" w:rsidRPr="000A6D66" w:rsidRDefault="00836A1C" w:rsidP="00836A1C">
      <w:pPr>
        <w:pStyle w:val="TITextIndent"/>
      </w:pPr>
      <w:r w:rsidRPr="000A6D66">
        <w:t xml:space="preserve">The role of extant theory has evolved in GT approaches.  The method initially anticipated ‘pure’ inductive reasoning from a blank-slate researcher able to throw off any pre-existing world-views.  As ontology evolved to turn attention on the role of the researcher in shaping social inquiry, this was deemed an unrealistic proposition.  Rather a present, active researcher with a scholarly past is proposed who acknowledges the prior theoretical perspectives and attachments s/he holds.  This ‘theoretically contaminated’ researcher can still follow the GT method crucially by applying the central tenet to </w:t>
      </w:r>
      <w:r w:rsidRPr="000A6D66">
        <w:rPr>
          <w:i/>
        </w:rPr>
        <w:t xml:space="preserve">remain open </w:t>
      </w:r>
      <w:r w:rsidRPr="000A6D66">
        <w:t xml:space="preserve">in how reasoning is pursued, now acknowledged to be better described as ‘abductive’.  </w:t>
      </w:r>
    </w:p>
    <w:p w14:paraId="72C31FA7" w14:textId="77777777" w:rsidR="00836A1C" w:rsidRPr="000A6D66" w:rsidRDefault="00836A1C" w:rsidP="00836A1C">
      <w:pPr>
        <w:pStyle w:val="TITextIndent"/>
      </w:pPr>
      <w:r w:rsidRPr="000A6D66">
        <w:t xml:space="preserve">Notwithstanding, GT still anticipates theory emerging from the data and, crucially, that data generation begins at the outset of the research process in an open way.  It is not anticipated that data generation in a GT study will be preceded by lengthy engagement with extant literature and theory in order to generate key concepts or propositions at the outset.  In a GT study, the phenomenon of interest is articulated (e.g. solidarity between generations), and the researcher moves quickly from articulating the phenomenon to generating data from the social world relating to it.  It is the data that will refine the focus of inquiry, and the processes observed will reveal concepts to give meaning to the phenomenon.   Data analysis and data generation run simultaneously and iteratively inform each other.  Exploring the data for basic social processes begins as soon as data are available and is focused on revealing concepts.  In line with this, the very concepts under inquiry are only tentatively specified at the outset of data collection so that even the parameters of the inquiry emerge from the data.  This means that the parameters of a GT inquiry as well as the theory it generates are fully grounded in the data. As Charmaz </w:t>
      </w:r>
      <w:r w:rsidRPr="000A6D66">
        <w:lastRenderedPageBreak/>
        <w:t>states on p. 000 in Chapter 10, ‘[t]he logic of grounded theory influences all phases of the research process’.</w:t>
      </w:r>
    </w:p>
    <w:p w14:paraId="42A24CF1" w14:textId="77777777" w:rsidR="00836A1C" w:rsidRPr="000A6D66" w:rsidRDefault="00836A1C" w:rsidP="00836A1C">
      <w:pPr>
        <w:pStyle w:val="AHAHead"/>
      </w:pPr>
      <w:r w:rsidRPr="000A6D66">
        <w:t>Remaining open in practice</w:t>
      </w:r>
    </w:p>
    <w:p w14:paraId="676E9C61" w14:textId="46EA4F00" w:rsidR="00836A1C" w:rsidRPr="000A6D66" w:rsidRDefault="00836A1C" w:rsidP="00836A1C">
      <w:pPr>
        <w:pStyle w:val="TFTextFullOut"/>
      </w:pPr>
      <w:r w:rsidRPr="000A6D66">
        <w:t xml:space="preserve">The </w:t>
      </w:r>
      <w:r w:rsidRPr="000A6D66">
        <w:rPr>
          <w:i/>
        </w:rPr>
        <w:t xml:space="preserve">Changing Generations </w:t>
      </w:r>
      <w:r w:rsidRPr="000A6D66">
        <w:t xml:space="preserve">study illustrates how the principles of GT and its key device of remaining open entailed the focus of inquiry itself being kept open from the outset of the study by attending </w:t>
      </w:r>
      <w:proofErr w:type="gramStart"/>
      <w:r w:rsidRPr="000A6D66">
        <w:t>in particular to</w:t>
      </w:r>
      <w:proofErr w:type="gramEnd"/>
      <w:r w:rsidRPr="000A6D66">
        <w:t xml:space="preserve"> terminology. Charmaz in Chapter 10 outlines how grounded theorists </w:t>
      </w:r>
      <w:r w:rsidR="00412F77">
        <w:t xml:space="preserve">are simultaneously </w:t>
      </w:r>
      <w:r w:rsidRPr="000A6D66">
        <w:t>manag</w:t>
      </w:r>
      <w:r w:rsidR="00412F77">
        <w:t>ing</w:t>
      </w:r>
      <w:r w:rsidRPr="000A6D66">
        <w:t xml:space="preserve"> </w:t>
      </w:r>
      <w:r w:rsidR="00412F77">
        <w:t xml:space="preserve">the demands of </w:t>
      </w:r>
      <w:r w:rsidRPr="000A6D66">
        <w:t>a method that requires keeping their research questions and design open-ended with the demands of</w:t>
      </w:r>
      <w:r w:rsidR="00412F77">
        <w:t xml:space="preserve"> dissertation committees,</w:t>
      </w:r>
      <w:r w:rsidRPr="000A6D66">
        <w:t xml:space="preserve"> institutional review boards</w:t>
      </w:r>
      <w:r w:rsidR="00412F77">
        <w:t xml:space="preserve"> and granting agencies who</w:t>
      </w:r>
      <w:r w:rsidRPr="000A6D66">
        <w:t xml:space="preserve"> </w:t>
      </w:r>
      <w:r w:rsidR="00412F77" w:rsidRPr="001614CB">
        <w:rPr>
          <w:rFonts w:cs="Times New Roman"/>
          <w:szCs w:val="22"/>
        </w:rPr>
        <w:t>often require research proposals that specify bounded research questions and designs.</w:t>
      </w:r>
      <w:r w:rsidR="00412F77">
        <w:rPr>
          <w:rFonts w:ascii="Times New Roman" w:hAnsi="Times New Roman" w:cs="Times New Roman"/>
          <w:sz w:val="24"/>
          <w:szCs w:val="24"/>
        </w:rPr>
        <w:t xml:space="preserve">  </w:t>
      </w:r>
      <w:r w:rsidRPr="000A6D66">
        <w:t xml:space="preserve">In </w:t>
      </w:r>
      <w:r w:rsidRPr="000A6D66">
        <w:rPr>
          <w:i/>
        </w:rPr>
        <w:t xml:space="preserve">Changing </w:t>
      </w:r>
      <w:proofErr w:type="gramStart"/>
      <w:r w:rsidRPr="000A6D66">
        <w:rPr>
          <w:i/>
        </w:rPr>
        <w:t>Generations</w:t>
      </w:r>
      <w:proofErr w:type="gramEnd"/>
      <w:r w:rsidRPr="000A6D66">
        <w:rPr>
          <w:i/>
        </w:rPr>
        <w:t xml:space="preserve"> </w:t>
      </w:r>
      <w:r w:rsidRPr="000A6D66">
        <w:t xml:space="preserve">the very constructs framing the inquiry – ‘intergenerational solidarity’ – were interrogated at the outset for what meanings they carry and what effects implicit meanings might have at the empirical level.  ‘Intergenerational solidarity’ represented a broad, abstract, even esoteric topic, and our concern was to formulate it in language </w:t>
      </w:r>
      <w:r w:rsidR="00412F77">
        <w:t>through which</w:t>
      </w:r>
      <w:r w:rsidRPr="000A6D66">
        <w:t xml:space="preserve"> research participants </w:t>
      </w:r>
      <w:r w:rsidR="00412F77">
        <w:t xml:space="preserve">would be presented with our topic of interest using terms that were on the one hand familiar but on the other hand </w:t>
      </w:r>
      <w:proofErr w:type="gramStart"/>
      <w:r w:rsidR="00412F77">
        <w:t xml:space="preserve">were </w:t>
      </w:r>
      <w:r w:rsidRPr="000A6D66">
        <w:t xml:space="preserve"> capable</w:t>
      </w:r>
      <w:proofErr w:type="gramEnd"/>
      <w:r w:rsidRPr="000A6D66">
        <w:t xml:space="preserve"> of generating </w:t>
      </w:r>
      <w:r w:rsidR="00412F77">
        <w:t xml:space="preserve">narratives that were </w:t>
      </w:r>
      <w:r w:rsidRPr="000A6D66">
        <w:t xml:space="preserve"> broad rang</w:t>
      </w:r>
      <w:r w:rsidR="00412F77">
        <w:t>ing</w:t>
      </w:r>
      <w:r w:rsidRPr="000A6D66">
        <w:t xml:space="preserve"> and complex  (Holstein and </w:t>
      </w:r>
      <w:proofErr w:type="spellStart"/>
      <w:r w:rsidRPr="000A6D66">
        <w:t>Gubrium</w:t>
      </w:r>
      <w:proofErr w:type="spellEnd"/>
      <w:r w:rsidRPr="000A6D66">
        <w:t xml:space="preserve">, 2011) </w:t>
      </w:r>
      <w:r w:rsidR="00840A44">
        <w:t xml:space="preserve">so as to </w:t>
      </w:r>
      <w:r w:rsidRPr="000A6D66">
        <w:t xml:space="preserve">make for theoretically rich data.  We began by breaking down and grounding the key constructs of </w:t>
      </w:r>
      <w:r w:rsidRPr="000A6D66">
        <w:rPr>
          <w:i/>
        </w:rPr>
        <w:t>‘</w:t>
      </w:r>
      <w:r w:rsidRPr="000A6D66">
        <w:rPr>
          <w:iCs/>
        </w:rPr>
        <w:t>generation’ and ‘solidarity</w:t>
      </w:r>
      <w:r w:rsidRPr="000A6D66">
        <w:rPr>
          <w:i/>
        </w:rPr>
        <w:t>’</w:t>
      </w:r>
      <w:r w:rsidRPr="000A6D66">
        <w:t xml:space="preserve"> to strip out as much as possible the conceptual and theoretical baggage they held.  This work was done to inform materials research participants would encounter such as notices seeking participants, information sheets and consent forms as well as a broad interview schedule.</w:t>
      </w:r>
    </w:p>
    <w:p w14:paraId="1972257C" w14:textId="77777777" w:rsidR="00836A1C" w:rsidRPr="000A6D66" w:rsidRDefault="00836A1C" w:rsidP="00836A1C">
      <w:pPr>
        <w:pStyle w:val="TITextIndent"/>
      </w:pPr>
      <w:r w:rsidRPr="000A6D66">
        <w:t xml:space="preserve">A GT study of ‘solidarity’ required that this abstract concept would assume content and meaning through human actions and interactions constituting a myriad of transfers observed in empirical data. Using the abstract, conceptual term of ‘solidarity’ was considered potentially daunting as it could be taken to entail a high order of exchange with the effect of obscuring more mundane transfers, often the most </w:t>
      </w:r>
      <w:r w:rsidRPr="000A6D66">
        <w:lastRenderedPageBreak/>
        <w:t xml:space="preserve">fertile ground for yielding grounded theory.  Instead two more mundane action-orientated terms were used: ‘give and take’ of ‘help and support’.  This formulation of our area of interest (or </w:t>
      </w:r>
      <w:r w:rsidRPr="000A6D66">
        <w:rPr>
          <w:i/>
        </w:rPr>
        <w:t>points of departure</w:t>
      </w:r>
      <w:r w:rsidRPr="000A6D66">
        <w:t xml:space="preserve"> as discussed by Charmaz in Chapter 10) was deemed more accessible, instrumental and foundational, a formula that could animate talk about relationships and forms of exchange at familial, </w:t>
      </w:r>
      <w:proofErr w:type="gramStart"/>
      <w:r w:rsidRPr="000A6D66">
        <w:t>interpersonal  and</w:t>
      </w:r>
      <w:proofErr w:type="gramEnd"/>
      <w:r w:rsidRPr="000A6D66">
        <w:t xml:space="preserve">  broader societal levels that occur in the everyday –  the kind of talk GT strives for. </w:t>
      </w:r>
    </w:p>
    <w:p w14:paraId="4B14BD45" w14:textId="77777777" w:rsidR="00836A1C" w:rsidRPr="000A6D66" w:rsidRDefault="00836A1C" w:rsidP="00836A1C">
      <w:pPr>
        <w:pStyle w:val="TITextIndent"/>
      </w:pPr>
      <w:r w:rsidRPr="000A6D66">
        <w:t xml:space="preserve">Referring to how generational location is often related to </w:t>
      </w:r>
      <w:proofErr w:type="gramStart"/>
      <w:r w:rsidRPr="000A6D66">
        <w:t>age,</w:t>
      </w:r>
      <w:proofErr w:type="gramEnd"/>
      <w:r w:rsidRPr="000A6D66">
        <w:t xml:space="preserve"> another initial move was to avoid prescribing chronological age as a key means for approximating where one resides in the life course.  This was addressed in the interview schedule.  Instead of asking people their chronological age, the first question to participants in interviews asked them to ‘Tell me about the stage you are at in your life now’ </w:t>
      </w:r>
      <w:proofErr w:type="gramStart"/>
      <w:r w:rsidRPr="000A6D66">
        <w:t>as a means to</w:t>
      </w:r>
      <w:proofErr w:type="gramEnd"/>
      <w:r w:rsidRPr="000A6D66">
        <w:t xml:space="preserve"> allow the person to locate their life stage in terms of their own choosing.  The data showed that some people did begin by stating their age in years, but others talked about where they were in other arenas of their life such as their professional lives (‘I’ve just retired’ or ‘I’m two years out of college’) or their family lives (‘I’m a grandmother’ or ‘I’ve recently bought a house’).  </w:t>
      </w:r>
    </w:p>
    <w:p w14:paraId="75ADD4E2" w14:textId="77777777" w:rsidR="00836A1C" w:rsidRPr="000A6D66" w:rsidRDefault="00836A1C" w:rsidP="00836A1C">
      <w:pPr>
        <w:pStyle w:val="TITextIndent"/>
      </w:pPr>
      <w:r w:rsidRPr="000A6D66">
        <w:t>The second question wanted to explore the relationship context from which the data were being generated.  Aware of extensive discussion in extant literature relating to how solidarity features in familial and non-familial relations and regarding the fluidity of family forms, we wanted an open approach to ‘family’.  The question ‘who would you say are the people closest to you?’ was devised to allow people to define their significant intimate relationships on their own terms rather than to prescribe the familial structure as the only form these could take. This question did often generate accounts of people’s biogenetic kin or involve participants referring to normative or dominant familial structures as their main reference.  However, it did also generate some accounts of close relationships outside these dominant forms.</w:t>
      </w:r>
    </w:p>
    <w:p w14:paraId="28CCD39F" w14:textId="77777777" w:rsidR="00836A1C" w:rsidRPr="001A23C9" w:rsidRDefault="00836A1C" w:rsidP="00836A1C">
      <w:pPr>
        <w:pStyle w:val="TITextIndent"/>
      </w:pPr>
      <w:r w:rsidRPr="000A6D66">
        <w:t xml:space="preserve">The interview guide then began with these two initial questions about life stage and close relations and was followed by four ‘intermediate’ questions that continued with the practice of translating </w:t>
      </w:r>
      <w:r w:rsidRPr="000A6D66">
        <w:lastRenderedPageBreak/>
        <w:t xml:space="preserve">solidarity into everyday terms of giving or receiving help or support, contributing to society and receiving from the state.  </w:t>
      </w:r>
      <w:r w:rsidRPr="001A23C9">
        <w:t>The four intermediate questions were as follows:</w:t>
      </w:r>
    </w:p>
    <w:p w14:paraId="54DF356E" w14:textId="77777777" w:rsidR="00836A1C" w:rsidRPr="000A6D66" w:rsidRDefault="00836A1C" w:rsidP="00836A1C">
      <w:pPr>
        <w:pStyle w:val="BLBulletedList"/>
      </w:pPr>
      <w:r w:rsidRPr="000A6D66">
        <w:t xml:space="preserve">Can you tell me about the help and support, if any, you are receiving from other people </w:t>
      </w:r>
      <w:proofErr w:type="gramStart"/>
      <w:r w:rsidRPr="000A6D66">
        <w:t>at the moment</w:t>
      </w:r>
      <w:proofErr w:type="gramEnd"/>
      <w:r w:rsidRPr="000A6D66">
        <w:t xml:space="preserve">? </w:t>
      </w:r>
    </w:p>
    <w:p w14:paraId="12119F6B" w14:textId="77777777" w:rsidR="00836A1C" w:rsidRPr="000A6D66" w:rsidRDefault="00836A1C" w:rsidP="00836A1C">
      <w:pPr>
        <w:pStyle w:val="BLBulletedList"/>
      </w:pPr>
      <w:r w:rsidRPr="000A6D66">
        <w:t xml:space="preserve">Can you also tell me about any help and support you are giving to others </w:t>
      </w:r>
      <w:proofErr w:type="gramStart"/>
      <w:r w:rsidRPr="000A6D66">
        <w:t>at the moment</w:t>
      </w:r>
      <w:proofErr w:type="gramEnd"/>
      <w:r w:rsidRPr="000A6D66">
        <w:t xml:space="preserve">? </w:t>
      </w:r>
    </w:p>
    <w:p w14:paraId="491D9946" w14:textId="77777777" w:rsidR="00836A1C" w:rsidRPr="000A6D66" w:rsidRDefault="00836A1C" w:rsidP="00836A1C">
      <w:pPr>
        <w:pStyle w:val="BLBulletedList"/>
      </w:pPr>
      <w:r w:rsidRPr="000A6D66">
        <w:t xml:space="preserve">Thinking about Ireland as a whole, in what ways do you think that you are contributing to Irish society? </w:t>
      </w:r>
    </w:p>
    <w:p w14:paraId="0F8DDE43" w14:textId="77777777" w:rsidR="00836A1C" w:rsidRPr="000A6D66" w:rsidRDefault="00836A1C" w:rsidP="00836A1C">
      <w:pPr>
        <w:pStyle w:val="BLBulletedList"/>
      </w:pPr>
      <w:r w:rsidRPr="000A6D66">
        <w:t>What do you see yourself receiving from the State?</w:t>
      </w:r>
    </w:p>
    <w:p w14:paraId="50945CEC" w14:textId="77777777" w:rsidR="00836A1C" w:rsidRPr="000A6D66" w:rsidRDefault="00836A1C" w:rsidP="00836A1C">
      <w:pPr>
        <w:pStyle w:val="TETextExitElementAbove"/>
      </w:pPr>
      <w:r w:rsidRPr="000A6D66">
        <w:t>The questions were designed to tap into two types of relationships (‘giving’ and ‘receiving’) in two spheres (‘private’ and ‘public’).  Through probing, interviewers introduced time by asking participants whether they ‘had received’ support in the past, ‘anticipated receiving’ support in the future, and so on. There were also probes to ask participants how they</w:t>
      </w:r>
      <w:r w:rsidRPr="000A6D66">
        <w:rPr>
          <w:i/>
        </w:rPr>
        <w:t xml:space="preserve"> felt about</w:t>
      </w:r>
      <w:r w:rsidRPr="000A6D66">
        <w:t xml:space="preserve"> giving and/or receiving support.  </w:t>
      </w:r>
    </w:p>
    <w:p w14:paraId="66BDA67E" w14:textId="77777777" w:rsidR="00836A1C" w:rsidRPr="000A6D66" w:rsidRDefault="00836A1C" w:rsidP="00836A1C">
      <w:pPr>
        <w:pStyle w:val="TITextIndent"/>
      </w:pPr>
      <w:r w:rsidRPr="000A6D66">
        <w:t xml:space="preserve">To integrate the data, these questions were followed by two overarching questions that sought to explore perspectives on solidarity at societal </w:t>
      </w:r>
      <w:proofErr w:type="gramStart"/>
      <w:r w:rsidRPr="000A6D66">
        <w:t>level :</w:t>
      </w:r>
      <w:proofErr w:type="gramEnd"/>
    </w:p>
    <w:p w14:paraId="14A92B09" w14:textId="77777777" w:rsidR="00836A1C" w:rsidRPr="000A6D66" w:rsidRDefault="00836A1C" w:rsidP="00836A1C">
      <w:pPr>
        <w:pStyle w:val="BLBulletedList"/>
      </w:pPr>
      <w:r w:rsidRPr="000A6D66">
        <w:t>What are your thoughts on the State’s role in supporting the young and the old?</w:t>
      </w:r>
    </w:p>
    <w:p w14:paraId="38E4A407" w14:textId="77777777" w:rsidR="00836A1C" w:rsidRPr="000A6D66" w:rsidRDefault="00836A1C" w:rsidP="00836A1C">
      <w:pPr>
        <w:pStyle w:val="BLBulletedList"/>
      </w:pPr>
      <w:r w:rsidRPr="000A6D66">
        <w:t>After reflecting on the giving and receiving you are involved in as an individual, what are your views on the balance between the ‘give and take’ for you personally?</w:t>
      </w:r>
    </w:p>
    <w:p w14:paraId="36757D61" w14:textId="77777777" w:rsidR="00836A1C" w:rsidRPr="000A6D66" w:rsidRDefault="00836A1C" w:rsidP="00836A1C">
      <w:pPr>
        <w:pStyle w:val="TETextExitElementAbove"/>
      </w:pPr>
      <w:r w:rsidRPr="000A6D66">
        <w:t>The guide concluded with ‘ending questions’ reflecting Charmaz’s (2014) advice to choose a formula that invites participants to introduce something they consider relevant and to ask questions back to the researcher:</w:t>
      </w:r>
    </w:p>
    <w:p w14:paraId="5457CE19" w14:textId="77777777" w:rsidR="00836A1C" w:rsidRPr="000A6D66" w:rsidRDefault="00836A1C" w:rsidP="00836A1C">
      <w:pPr>
        <w:pStyle w:val="BLBulletedList"/>
      </w:pPr>
      <w:r w:rsidRPr="000A6D66">
        <w:t xml:space="preserve"> Is there </w:t>
      </w:r>
      <w:r w:rsidRPr="000A6D66">
        <w:rPr>
          <w:i/>
        </w:rPr>
        <w:t>something</w:t>
      </w:r>
      <w:r w:rsidRPr="000A6D66">
        <w:t xml:space="preserve"> I haven’t asked you that you think is relevant to our topic?</w:t>
      </w:r>
    </w:p>
    <w:p w14:paraId="478A8972" w14:textId="77777777" w:rsidR="00836A1C" w:rsidRPr="000A6D66" w:rsidRDefault="00836A1C" w:rsidP="00836A1C">
      <w:pPr>
        <w:pStyle w:val="BLBulletedList"/>
      </w:pPr>
      <w:r w:rsidRPr="000A6D66">
        <w:lastRenderedPageBreak/>
        <w:t xml:space="preserve"> Is there </w:t>
      </w:r>
      <w:r w:rsidRPr="000A6D66">
        <w:rPr>
          <w:i/>
        </w:rPr>
        <w:t>anything</w:t>
      </w:r>
      <w:r w:rsidRPr="000A6D66">
        <w:t xml:space="preserve"> you would like to ask me?</w:t>
      </w:r>
    </w:p>
    <w:p w14:paraId="28C7B7A0" w14:textId="77777777" w:rsidR="00836A1C" w:rsidRPr="000A6D66" w:rsidRDefault="00836A1C" w:rsidP="00836A1C">
      <w:pPr>
        <w:pStyle w:val="TEITextExitElementAboveIndented"/>
        <w:rPr>
          <w:rStyle w:val="list0020paragraphchar1"/>
          <w:rFonts w:cs="Times New Roman"/>
          <w:sz w:val="24"/>
          <w:szCs w:val="24"/>
        </w:rPr>
      </w:pPr>
      <w:r w:rsidRPr="000A6D66">
        <w:t xml:space="preserve">While interviewing methods for GT studies can be much less structured than this, we followed Charmaz’s (2014) guidance to devise an interview guide comprising broad opening questions, more focused intermediate questions and closing questions that afford participants an unstructured, reflexive commentary on the process.  In practice the guides were employed very flexibly but the exercise of formulating them at the outset entailed the research team interrogating closely the terminology we would employ, particularly with reference to how it could tap into the ‘mundane’.  It also </w:t>
      </w:r>
      <w:r w:rsidRPr="000A6D66">
        <w:rPr>
          <w:rStyle w:val="list0020paragraphchar1"/>
          <w:rFonts w:cs="Times New Roman"/>
          <w:sz w:val="24"/>
          <w:szCs w:val="24"/>
        </w:rPr>
        <w:t>entailed our fully interrogating questions, positions and assumptions we were collectively and individually bringing to the inquiry, in keeping with the method’s concern for remaining open.  Charmaz on pages 000–000 in Chapter 10 provides readers with a detailed account of how doing interviews for grounded theory studies and the kind of data the method requires.</w:t>
      </w:r>
    </w:p>
    <w:p w14:paraId="10DC4D78" w14:textId="77777777" w:rsidR="00836A1C" w:rsidRPr="000A6D66" w:rsidRDefault="00836A1C" w:rsidP="00836A1C">
      <w:pPr>
        <w:pStyle w:val="AHAHead"/>
        <w:rPr>
          <w:rStyle w:val="list0020paragraphchar1"/>
          <w:szCs w:val="24"/>
        </w:rPr>
      </w:pPr>
      <w:r w:rsidRPr="000A6D66">
        <w:rPr>
          <w:rStyle w:val="list0020paragraphchar1"/>
          <w:szCs w:val="24"/>
        </w:rPr>
        <w:t xml:space="preserve">Theoretical sampling </w:t>
      </w:r>
    </w:p>
    <w:p w14:paraId="6E94ADFC" w14:textId="77777777" w:rsidR="00836A1C" w:rsidRPr="000A6D66" w:rsidRDefault="00836A1C" w:rsidP="00836A1C">
      <w:pPr>
        <w:pStyle w:val="TFTextFullOut"/>
      </w:pPr>
      <w:r w:rsidRPr="000A6D66">
        <w:t xml:space="preserve">Theoretical sampling is a key procedure in GT methodology for inductive and abductive theory-building.  Theoretical sampling rests on data collection and analysis proceeding simultaneously, allowing nascent concepts to emerge that guide the focus and direction of data generation so that data, concepts and theory are all developed in an inductive, grounded manner.  To get to theoretical sampling involves early data generation, simultaneous data generation and analysis, coding, memo-writing and constant comparative analysis to identify concepts and concerns for </w:t>
      </w:r>
      <w:proofErr w:type="gramStart"/>
      <w:r w:rsidRPr="000A6D66">
        <w:t>honing in</w:t>
      </w:r>
      <w:proofErr w:type="gramEnd"/>
      <w:r w:rsidRPr="000A6D66">
        <w:t xml:space="preserve"> on as data generation and interrogation proceed.  Directing the focus of data generation </w:t>
      </w:r>
      <w:proofErr w:type="gramStart"/>
      <w:r w:rsidRPr="000A6D66">
        <w:t>with regard to</w:t>
      </w:r>
      <w:proofErr w:type="gramEnd"/>
      <w:r w:rsidRPr="000A6D66">
        <w:t xml:space="preserve"> what social locations or </w:t>
      </w:r>
      <w:r w:rsidRPr="000A6D66">
        <w:rPr>
          <w:i/>
        </w:rPr>
        <w:t>attributes</w:t>
      </w:r>
      <w:r w:rsidRPr="000A6D66">
        <w:t xml:space="preserve"> of participants would facilitate constant comparison within the data set is one dimension of theoretical sampling.  A more complex dimension is directing the focus of data analysis by pursuing </w:t>
      </w:r>
      <w:r w:rsidRPr="000A6D66">
        <w:rPr>
          <w:i/>
        </w:rPr>
        <w:t>concepts</w:t>
      </w:r>
      <w:r w:rsidRPr="000A6D66">
        <w:t xml:space="preserve"> that are emerging inductively as salient to understanding and explaining the phenomenon of </w:t>
      </w:r>
      <w:r w:rsidRPr="000A6D66">
        <w:lastRenderedPageBreak/>
        <w:t xml:space="preserve">interest.  Concepts are pursued through generating and interrogating further data specifically attuned to the emerging concepts as well as reinterrogating data generated to date for the concept that has now been </w:t>
      </w:r>
      <w:proofErr w:type="spellStart"/>
      <w:r w:rsidRPr="000A6D66">
        <w:t>recognised</w:t>
      </w:r>
      <w:proofErr w:type="spellEnd"/>
      <w:r w:rsidRPr="000A6D66">
        <w:t xml:space="preserve">.  This work continues until categories are saturated.  </w:t>
      </w:r>
    </w:p>
    <w:p w14:paraId="58E3A1FE" w14:textId="77777777" w:rsidR="00836A1C" w:rsidRPr="000A6D66" w:rsidRDefault="00836A1C" w:rsidP="00836A1C">
      <w:pPr>
        <w:pStyle w:val="BHBHead"/>
      </w:pPr>
      <w:r w:rsidRPr="000A6D66">
        <w:rPr>
          <w:rStyle w:val="list0020paragraphchar1"/>
        </w:rPr>
        <w:t>Where to begin: Laying the ground for theoretical sampling in practice</w:t>
      </w:r>
    </w:p>
    <w:p w14:paraId="2FCA7A72" w14:textId="63D97561" w:rsidR="00836A1C" w:rsidRPr="000A6D66" w:rsidRDefault="00836A1C" w:rsidP="00836A1C">
      <w:pPr>
        <w:pStyle w:val="TFTextFullOut"/>
      </w:pPr>
      <w:r w:rsidRPr="000A6D66">
        <w:t xml:space="preserve">Every GT study needs to begin generating data to provide the initial data from which theoretical sampling can proceed.  Purposive sampling, where you select participants based on key criteria of interest to your study, is often carried out by the GT researcher at the outset of an inquiry and was used to start data generation in the </w:t>
      </w:r>
      <w:r w:rsidRPr="000A6D66">
        <w:rPr>
          <w:i/>
        </w:rPr>
        <w:t>Changing Generations</w:t>
      </w:r>
      <w:r w:rsidRPr="000A6D66">
        <w:t xml:space="preserve"> study.  In developing purposive </w:t>
      </w:r>
      <w:proofErr w:type="gramStart"/>
      <w:r w:rsidRPr="000A6D66">
        <w:t>criteria</w:t>
      </w:r>
      <w:proofErr w:type="gramEnd"/>
      <w:r w:rsidRPr="000A6D66">
        <w:t xml:space="preserve"> we referred to how later iterations of GT have highlighted understanding data in its situational and social contexts (Clarke, 2005; Charmaz, 2006, 2014; Oliver, 2012). Charmaz (2011) has also argued that paying detailed attention to social and historical contexts is key to understanding central social justice concerns of resources, hierarchies, policies and practices in the theory-building process. To attend to this at the outset of </w:t>
      </w:r>
      <w:r w:rsidRPr="000A6D66">
        <w:rPr>
          <w:i/>
        </w:rPr>
        <w:t>Changing Generations</w:t>
      </w:r>
      <w:r w:rsidRPr="000A6D66">
        <w:t xml:space="preserve">, we anchored sampling in defined geographic areas, selected for diversity </w:t>
      </w:r>
      <w:proofErr w:type="gramStart"/>
      <w:r w:rsidRPr="000A6D66">
        <w:t>with regard to</w:t>
      </w:r>
      <w:proofErr w:type="gramEnd"/>
      <w:r w:rsidRPr="000A6D66">
        <w:t xml:space="preserve"> measures of social deprivation and advantage (</w:t>
      </w:r>
      <w:proofErr w:type="spellStart"/>
      <w:r w:rsidRPr="000A6D66">
        <w:t>Haase</w:t>
      </w:r>
      <w:proofErr w:type="spellEnd"/>
      <w:r w:rsidRPr="000A6D66">
        <w:t>, 2010). Areas were profiled for key socio-economic and demographic characteristics, and sites comprising metropolitan, town/suburban and village/rural hinterland settings were selected as local areas from which data generation would be launched. This allowed researchers to become intimately familiar with local micro-contexts including how social policies, resources and hierarchies played out in participants’ local environments. Interview participants were recruited from within these purposively defined areas selected for diversity with reference to age, gender, class and socio-economic status.  This allowed us to generate early data as the starting-point for theory-building.   Data analysis begins in a GT study as soon as there are data, and</w:t>
      </w:r>
      <w:r w:rsidR="001B4232">
        <w:t xml:space="preserve"> further</w:t>
      </w:r>
      <w:r w:rsidRPr="000A6D66">
        <w:t xml:space="preserve"> data generation awaits direction from the outcome of early data analysis before it proceeds.  Charmaz on </w:t>
      </w:r>
      <w:r w:rsidRPr="000A6D66">
        <w:lastRenderedPageBreak/>
        <w:t>pp. 000–000 in Chapter 10 describes the importance of getting at implicit meanings in data and provides guidance for the researcher on how to handle interview data to support that.</w:t>
      </w:r>
    </w:p>
    <w:p w14:paraId="05C833D8" w14:textId="77777777" w:rsidR="00836A1C" w:rsidRPr="000A6D66" w:rsidRDefault="00836A1C" w:rsidP="00836A1C">
      <w:pPr>
        <w:pStyle w:val="TITextIndent"/>
      </w:pPr>
      <w:r w:rsidRPr="000A6D66">
        <w:t xml:space="preserve">Coding of qualitative, unstructured data is a device used across many qualitative methodological approaches </w:t>
      </w:r>
      <w:proofErr w:type="gramStart"/>
      <w:r w:rsidRPr="000A6D66">
        <w:t>as a means to</w:t>
      </w:r>
      <w:proofErr w:type="gramEnd"/>
      <w:r w:rsidRPr="000A6D66">
        <w:t xml:space="preserve"> conceptually capture abstract processes in the data and allow the analyst to navigate the detailed, thick description of everyday life (Charmaz on pp. 000–000 in Chapter 10 gives detailed guidance on doing coding in a grounded theory study). Coding entails the researcher noticing the meaning being given to actions, events, incidents, feelings, emotions and so on being portrayed in the data and conceptually labelling them as a device to think with at a remove from the detail of the data.  GT methods employ coding, and, while each variant has </w:t>
      </w:r>
      <w:proofErr w:type="gramStart"/>
      <w:r w:rsidRPr="000A6D66">
        <w:t>particular terminology</w:t>
      </w:r>
      <w:proofErr w:type="gramEnd"/>
      <w:r w:rsidRPr="000A6D66">
        <w:t xml:space="preserve"> and slight differences in how coding of data proceeds, at least two stages of coding are often envisaged.  In the initial phase of the project initial or ‘open’ coding is used.  This involves </w:t>
      </w:r>
      <w:proofErr w:type="gramStart"/>
      <w:r w:rsidRPr="000A6D66">
        <w:t>all of</w:t>
      </w:r>
      <w:proofErr w:type="gramEnd"/>
      <w:r w:rsidRPr="000A6D66">
        <w:t xml:space="preserve"> the data being considered through a general open question such as ‘what is going on here?’ in relation to the inquiry at hand.  The grounded theorist then hones in on more specific questions such as ‘what is this talk “</w:t>
      </w:r>
      <w:proofErr w:type="gramStart"/>
      <w:r w:rsidRPr="000A6D66">
        <w:t>doing”’?,</w:t>
      </w:r>
      <w:proofErr w:type="gramEnd"/>
      <w:r w:rsidRPr="000A6D66">
        <w:t xml:space="preserve"> ‘how is it positioning the speaker?’, ‘what meanings are being attributed to the actions, events, and actors?’ and ‘what emergent processes are being observed?’.  This close attention to the data attends to the central principle in GT of remaining open, as discussed above.  At the coding stage the principle of remaining open refers to ensuring data are not being forced by the researcher towards conceptual categories or constructs.  </w:t>
      </w:r>
    </w:p>
    <w:p w14:paraId="6C79A36F" w14:textId="77777777" w:rsidR="00836A1C" w:rsidRPr="000A6D66" w:rsidRDefault="00836A1C" w:rsidP="00836A1C">
      <w:pPr>
        <w:pStyle w:val="TITextIndent"/>
        <w:rPr>
          <w:rStyle w:val="list0020paragraphchar1"/>
        </w:rPr>
      </w:pPr>
      <w:r w:rsidRPr="000A6D66">
        <w:t xml:space="preserve">A second iteration of selective or focused coding involves the researcher making analytical decisions about what are the most conceptually rich threads in the data for accounting for the phenomenon of interest.  It is this level of coding that reveals salient concepts that will be ‘theoretically sampled’. While codes, categories and concepts are being developed as emergent from the data, theoretical sampling drives the generation of more focused data and which data to focus on in analysis.   Theoretical sampling involves generating new data related to a given concept, perhaps in a new and contrasting context to where data have emerged from previously.  And here again we see the iterative character of the method </w:t>
      </w:r>
      <w:r w:rsidRPr="000A6D66">
        <w:lastRenderedPageBreak/>
        <w:t xml:space="preserve">in action: theoretical sampling for concepts directs theoretical sampling decisions in relation to generating new data with contrastingly positioned participants/events/incidents.   By now, interview guides or other data collection protocols formulated at the outset of the study are being moved away from as data collection is being directed by emerging concepts.  In </w:t>
      </w:r>
      <w:r w:rsidRPr="000A6D66">
        <w:rPr>
          <w:i/>
        </w:rPr>
        <w:t xml:space="preserve">Changing Generations </w:t>
      </w:r>
      <w:r w:rsidRPr="000A6D66">
        <w:t xml:space="preserve">this meant that while most interviews began with the opening two questions mentioned above, they moved from there through the terrain mapped out by the guide in pursuit of deepening emerging concepts rather than in order to ensure all areas of the guide were covered. </w:t>
      </w:r>
    </w:p>
    <w:p w14:paraId="117FBB7C" w14:textId="77777777" w:rsidR="00836A1C" w:rsidRPr="000A6D66" w:rsidRDefault="00836A1C" w:rsidP="00836A1C">
      <w:pPr>
        <w:pStyle w:val="TITextIndent"/>
      </w:pPr>
      <w:r w:rsidRPr="000A6D66">
        <w:t xml:space="preserve">Theoretical sampling involves the researcher actively pursuing emerging concepts in newly generated data and if </w:t>
      </w:r>
      <w:proofErr w:type="gramStart"/>
      <w:r w:rsidRPr="000A6D66">
        <w:t>necessary</w:t>
      </w:r>
      <w:proofErr w:type="gramEnd"/>
      <w:r w:rsidRPr="000A6D66">
        <w:t xml:space="preserve"> revisiting their data set to collect instances of a concept in action that may not have been noted in earlier coding before the concept was identified as salient. While there is no clear standard procedure in the GT method on shifting from purposive to theoretical sampling, the active pursuit of key concepts and contexts in data generation and coding is a signal that the GT study is shifting to theoretical sampling. </w:t>
      </w:r>
      <w:r w:rsidRPr="000A6D66">
        <w:rPr>
          <w:rStyle w:val="list0020paragraphchar1"/>
        </w:rPr>
        <w:t>Charmaz on pp. 000–000 in Chapter 10 discusses raising codes to conceptual categories, which are the basis for theoretical sampling.</w:t>
      </w:r>
    </w:p>
    <w:p w14:paraId="6C4835B9" w14:textId="77777777" w:rsidR="00836A1C" w:rsidRPr="000A6D66" w:rsidRDefault="00836A1C" w:rsidP="00836A1C">
      <w:pPr>
        <w:pStyle w:val="TITextIndent"/>
      </w:pPr>
      <w:r w:rsidRPr="000A6D66">
        <w:t>Theoretical sampling for concepts means that when a process is found in the data, this is noted and interrogated abductively and inductively – abductively through questioning how it fits with what we know already about the particular phenomenon, and inductively through constant comparison of data about the process with other data about the process so as to confirm, challenge, extend or modify how the concept has come to attention in the analysis so far.  The iterative process continues in this vein until the conceptual category or categories of interest are saturated.  In GT, the concepts and explanations emerging always work their way up out of the data and so are fully grounded in the data.</w:t>
      </w:r>
    </w:p>
    <w:p w14:paraId="2941E475" w14:textId="77777777" w:rsidR="00836A1C" w:rsidRPr="000A6D66" w:rsidRDefault="00836A1C" w:rsidP="00836A1C">
      <w:pPr>
        <w:pStyle w:val="AHAHead"/>
      </w:pPr>
      <w:r w:rsidRPr="000A6D66">
        <w:lastRenderedPageBreak/>
        <w:t>Theoretical sampling in practice</w:t>
      </w:r>
    </w:p>
    <w:p w14:paraId="5FE625DB" w14:textId="77777777" w:rsidR="00836A1C" w:rsidRPr="000A6D66" w:rsidRDefault="00836A1C" w:rsidP="00836A1C">
      <w:pPr>
        <w:pStyle w:val="TFTextFullOut"/>
      </w:pPr>
      <w:r w:rsidRPr="000A6D66">
        <w:t xml:space="preserve">The following is an example of theoretical sampling from the </w:t>
      </w:r>
      <w:r w:rsidRPr="000A6D66">
        <w:rPr>
          <w:i/>
        </w:rPr>
        <w:t xml:space="preserve">Changing Generations </w:t>
      </w:r>
      <w:r w:rsidRPr="000A6D66">
        <w:t>study</w:t>
      </w:r>
      <w:r w:rsidRPr="000A6D66">
        <w:rPr>
          <w:i/>
        </w:rPr>
        <w:t xml:space="preserve"> </w:t>
      </w:r>
      <w:r w:rsidRPr="000A6D66">
        <w:t>relating to the concept of ‘obligation’. The example demonstrates three processes within a GT project: theoretical sampling for concepts during the data generation process (interviewing in this case); emergent interrogation of meaning-making within the data generation process itself; and the role of memo-writing in building emergent concepts or grounded theory.</w:t>
      </w:r>
    </w:p>
    <w:p w14:paraId="1B473C18" w14:textId="77777777" w:rsidR="00836A1C" w:rsidRPr="000A6D66" w:rsidRDefault="00836A1C" w:rsidP="00836A1C">
      <w:pPr>
        <w:pStyle w:val="TITextIndent"/>
      </w:pPr>
      <w:r w:rsidRPr="000A6D66">
        <w:t>Interviewing within a constructivist perspective generates data that can be viewed as a co-construction, a ‘third voice’ (Atkinson et al., 2003) of collaboration between participant and researcher, emerging from the research encounter.  The GT interviewer enters subsequent interviews while closely engaging with the data already generated.  The interviewer is attuned to concepts that have been emerging as conceptually rich in the data already.   The participant will have been selected for their potential to provide data with comparative value to the inquiry. The GT researcher proceeds through the data generation process primed for new, contrasting, emerging insights and goes after them when they arise.  In a constructivist GT study, concepts under inquiry may undergo a process of emergent meaning-making, construction or reconstruction during the interview itself as this example demonstrates.</w:t>
      </w:r>
    </w:p>
    <w:p w14:paraId="16D93006" w14:textId="77777777" w:rsidR="00836A1C" w:rsidRPr="000A6D66" w:rsidRDefault="00836A1C" w:rsidP="00836A1C">
      <w:pPr>
        <w:pStyle w:val="TITextIndent"/>
      </w:pPr>
      <w:r w:rsidRPr="000A6D66">
        <w:t xml:space="preserve">The interview with Sonya took place about midway through the data generation for the project.  The first process illustrated in this excerpt is </w:t>
      </w:r>
      <w:r w:rsidRPr="000A6D66">
        <w:rPr>
          <w:i/>
        </w:rPr>
        <w:t>theoretically sampling for participants</w:t>
      </w:r>
      <w:r w:rsidRPr="000A6D66">
        <w:t xml:space="preserve"> </w:t>
      </w:r>
      <w:r w:rsidRPr="000A6D66">
        <w:rPr>
          <w:i/>
        </w:rPr>
        <w:t>who represented contrasting social locations</w:t>
      </w:r>
      <w:r w:rsidRPr="000A6D66">
        <w:t xml:space="preserve">.  Consistent with an abductive approach, the inquiry was initiated in awareness that extant explanations of intergenerational solidarity </w:t>
      </w:r>
      <w:proofErr w:type="spellStart"/>
      <w:r w:rsidRPr="000A6D66">
        <w:t>emphasise</w:t>
      </w:r>
      <w:proofErr w:type="spellEnd"/>
      <w:r w:rsidRPr="000A6D66">
        <w:t xml:space="preserve"> either normative principles or patterns of exchange. Analysis of the data generated up to the point of Sonya’s interview suggested taken-for-granted positions on providing elder care which the team were framing as ‘unquestioning obligation’.  We asked how this ‘unquestioning obligation’ fits with theoretical accounts of late modernity that propose self-identity as a reflexive project rather than taking for granted what roles we would occupy </w:t>
      </w:r>
      <w:r w:rsidRPr="000A6D66">
        <w:lastRenderedPageBreak/>
        <w:t>(Giddens, 1991).  This line of questioning drove theoretical sampling in search of participants in non-traditional social locations.  Sonya challenged normative gender and sexuality scripts by being a professional woman in her forties who was a Lesbian with no children, thus representing a not-taken-for-granted identity category, fitting our theoretical sampling criteria.</w:t>
      </w:r>
    </w:p>
    <w:p w14:paraId="25141EB6" w14:textId="77777777" w:rsidR="00836A1C" w:rsidRPr="000A6D66" w:rsidRDefault="00836A1C" w:rsidP="00836A1C">
      <w:pPr>
        <w:pStyle w:val="TITextIndent"/>
      </w:pPr>
      <w:r w:rsidRPr="000A6D66">
        <w:t xml:space="preserve">The second feature of GT demonstrated here is </w:t>
      </w:r>
      <w:r w:rsidRPr="000A6D66">
        <w:rPr>
          <w:i/>
        </w:rPr>
        <w:t>theoretical sampling for concepts within the interview</w:t>
      </w:r>
      <w:r w:rsidRPr="000A6D66">
        <w:t xml:space="preserve"> </w:t>
      </w:r>
      <w:r w:rsidRPr="000A6D66">
        <w:rPr>
          <w:i/>
        </w:rPr>
        <w:t>encounter</w:t>
      </w:r>
      <w:r w:rsidRPr="000A6D66">
        <w:t xml:space="preserve">.  A memo for the concept of obligation had been developed by the team at this point in the project and ‘obligation’ had been identified as a theoretically salient concept.  The excerpt from the interview with Sonya below shows the researcher </w:t>
      </w:r>
      <w:proofErr w:type="gramStart"/>
      <w:r w:rsidRPr="000A6D66">
        <w:t>honing in</w:t>
      </w:r>
      <w:proofErr w:type="gramEnd"/>
      <w:r w:rsidRPr="000A6D66">
        <w:t xml:space="preserve"> on this theoretically salient construct when it arose in the interview.</w:t>
      </w:r>
    </w:p>
    <w:p w14:paraId="4553650E" w14:textId="77777777" w:rsidR="00836A1C" w:rsidRPr="001614CB" w:rsidRDefault="00836A1C" w:rsidP="001614CB">
      <w:pPr>
        <w:pStyle w:val="SE1HSpecialElement1Heading"/>
        <w:pBdr>
          <w:top w:val="single" w:sz="4" w:space="1" w:color="auto"/>
          <w:left w:val="single" w:sz="4" w:space="4" w:color="auto"/>
          <w:bottom w:val="single" w:sz="4" w:space="1" w:color="auto"/>
          <w:right w:val="single" w:sz="4" w:space="4" w:color="auto"/>
        </w:pBdr>
        <w:rPr>
          <w:b w:val="0"/>
          <w:color w:val="C45911" w:themeColor="accent2" w:themeShade="BF"/>
        </w:rPr>
      </w:pPr>
      <w:r w:rsidRPr="001614CB">
        <w:rPr>
          <w:color w:val="C45911" w:themeColor="accent2" w:themeShade="BF"/>
        </w:rPr>
        <w:t>Box 10.1 Excerpt from interview with Sonya</w:t>
      </w:r>
    </w:p>
    <w:p w14:paraId="2B58B4DC" w14:textId="77777777" w:rsidR="00836A1C" w:rsidRPr="001614CB" w:rsidRDefault="00836A1C" w:rsidP="001614CB">
      <w:pPr>
        <w:pStyle w:val="SE1TFSpecialElement1TextFullOut"/>
        <w:pBdr>
          <w:top w:val="single" w:sz="4" w:space="1" w:color="auto"/>
          <w:left w:val="single" w:sz="4" w:space="4" w:color="auto"/>
          <w:bottom w:val="single" w:sz="4" w:space="1" w:color="auto"/>
          <w:right w:val="single" w:sz="4" w:space="4" w:color="auto"/>
        </w:pBdr>
        <w:rPr>
          <w:bCs/>
          <w:color w:val="C45911" w:themeColor="accent2" w:themeShade="BF"/>
          <w:sz w:val="24"/>
          <w:szCs w:val="24"/>
        </w:rPr>
      </w:pPr>
      <w:r w:rsidRPr="001614CB">
        <w:rPr>
          <w:bCs/>
          <w:color w:val="C45911" w:themeColor="accent2" w:themeShade="BF"/>
          <w:sz w:val="24"/>
          <w:szCs w:val="24"/>
        </w:rPr>
        <w:t xml:space="preserve">The </w:t>
      </w:r>
      <w:r w:rsidRPr="001614CB">
        <w:rPr>
          <w:color w:val="C45911" w:themeColor="accent2" w:themeShade="BF"/>
        </w:rPr>
        <w:t>interview</w:t>
      </w:r>
      <w:r w:rsidRPr="001614CB">
        <w:rPr>
          <w:bCs/>
          <w:color w:val="C45911" w:themeColor="accent2" w:themeShade="BF"/>
          <w:sz w:val="24"/>
          <w:szCs w:val="24"/>
        </w:rPr>
        <w:t xml:space="preserve"> opened with the question asking Sonya to tell about the life stage she was in. Sonya began by first </w:t>
      </w:r>
      <w:proofErr w:type="spellStart"/>
      <w:r w:rsidRPr="001614CB">
        <w:rPr>
          <w:bCs/>
          <w:color w:val="C45911" w:themeColor="accent2" w:themeShade="BF"/>
          <w:sz w:val="24"/>
          <w:szCs w:val="24"/>
        </w:rPr>
        <w:t>emphasising</w:t>
      </w:r>
      <w:proofErr w:type="spellEnd"/>
      <w:r w:rsidRPr="001614CB">
        <w:rPr>
          <w:bCs/>
          <w:color w:val="C45911" w:themeColor="accent2" w:themeShade="BF"/>
          <w:sz w:val="24"/>
          <w:szCs w:val="24"/>
        </w:rPr>
        <w:t xml:space="preserve"> her professional life but as her account </w:t>
      </w:r>
      <w:proofErr w:type="gramStart"/>
      <w:r w:rsidRPr="001614CB">
        <w:rPr>
          <w:bCs/>
          <w:color w:val="C45911" w:themeColor="accent2" w:themeShade="BF"/>
          <w:sz w:val="24"/>
          <w:szCs w:val="24"/>
        </w:rPr>
        <w:t>drew to an end</w:t>
      </w:r>
      <w:proofErr w:type="gramEnd"/>
      <w:r w:rsidRPr="001614CB">
        <w:rPr>
          <w:bCs/>
          <w:color w:val="C45911" w:themeColor="accent2" w:themeShade="BF"/>
          <w:sz w:val="24"/>
          <w:szCs w:val="24"/>
        </w:rPr>
        <w:t xml:space="preserve"> she brought in her family of origin as beginning to feature more in her life now, owing to her father’s recent deteriorating health:</w:t>
      </w:r>
    </w:p>
    <w:p w14:paraId="051F2F8C" w14:textId="77777777" w:rsidR="00836A1C" w:rsidRPr="001614CB" w:rsidRDefault="00836A1C" w:rsidP="001614CB">
      <w:pPr>
        <w:pStyle w:val="CommentText"/>
        <w:pBdr>
          <w:top w:val="single" w:sz="4" w:space="1" w:color="auto"/>
          <w:left w:val="single" w:sz="4" w:space="4" w:color="auto"/>
          <w:bottom w:val="single" w:sz="4" w:space="1" w:color="auto"/>
          <w:right w:val="single" w:sz="4" w:space="4" w:color="auto"/>
        </w:pBdr>
        <w:spacing w:after="0" w:line="480" w:lineRule="auto"/>
        <w:ind w:left="240" w:hanging="240"/>
        <w:rPr>
          <w:bCs/>
          <w:color w:val="C45911" w:themeColor="accent2" w:themeShade="BF"/>
          <w:sz w:val="24"/>
          <w:szCs w:val="24"/>
        </w:rPr>
      </w:pPr>
      <w:r w:rsidRPr="001614CB">
        <w:rPr>
          <w:bCs/>
          <w:color w:val="C45911" w:themeColor="accent2" w:themeShade="BF"/>
          <w:sz w:val="24"/>
          <w:szCs w:val="24"/>
        </w:rPr>
        <w:t>A: But my father is getting a lot older now, so that has really impacted on our family this year … [Sonya made several identifiable statements here describing the structure of her family and her siblings’ current life situations that we removed to protect her anonymity.]</w:t>
      </w:r>
    </w:p>
    <w:p w14:paraId="186FB640" w14:textId="77777777" w:rsidR="00836A1C" w:rsidRPr="001614CB" w:rsidRDefault="00836A1C" w:rsidP="001614CB">
      <w:pPr>
        <w:pStyle w:val="CommentText"/>
        <w:pBdr>
          <w:top w:val="single" w:sz="4" w:space="1" w:color="auto"/>
          <w:left w:val="single" w:sz="4" w:space="4" w:color="auto"/>
          <w:bottom w:val="single" w:sz="4" w:space="1" w:color="auto"/>
          <w:right w:val="single" w:sz="4" w:space="4" w:color="auto"/>
        </w:pBdr>
        <w:spacing w:after="0" w:line="480" w:lineRule="auto"/>
        <w:ind w:left="240" w:hanging="240"/>
        <w:rPr>
          <w:bCs/>
          <w:color w:val="C45911" w:themeColor="accent2" w:themeShade="BF"/>
          <w:sz w:val="24"/>
          <w:szCs w:val="24"/>
        </w:rPr>
      </w:pPr>
      <w:r w:rsidRPr="001614CB">
        <w:rPr>
          <w:bCs/>
          <w:color w:val="C45911" w:themeColor="accent2" w:themeShade="BF"/>
          <w:sz w:val="24"/>
          <w:szCs w:val="24"/>
        </w:rPr>
        <w:t>Q: That is what we were, that’s the next thing that we are interested in, is who you would say the people closest to you are?  Is that, an answer to that question?</w:t>
      </w:r>
    </w:p>
    <w:p w14:paraId="10AF650F" w14:textId="77777777" w:rsidR="00836A1C" w:rsidRPr="001614CB" w:rsidRDefault="00836A1C" w:rsidP="001614CB">
      <w:pPr>
        <w:pStyle w:val="CommentText"/>
        <w:pBdr>
          <w:top w:val="single" w:sz="4" w:space="1" w:color="auto"/>
          <w:left w:val="single" w:sz="4" w:space="4" w:color="auto"/>
          <w:bottom w:val="single" w:sz="4" w:space="1" w:color="auto"/>
          <w:right w:val="single" w:sz="4" w:space="4" w:color="auto"/>
        </w:pBdr>
        <w:spacing w:after="0" w:line="480" w:lineRule="auto"/>
        <w:ind w:left="240" w:hanging="240"/>
        <w:rPr>
          <w:bCs/>
          <w:color w:val="C45911" w:themeColor="accent2" w:themeShade="BF"/>
          <w:sz w:val="24"/>
          <w:szCs w:val="24"/>
        </w:rPr>
      </w:pPr>
      <w:r w:rsidRPr="001614CB">
        <w:rPr>
          <w:bCs/>
          <w:color w:val="C45911" w:themeColor="accent2" w:themeShade="BF"/>
          <w:sz w:val="24"/>
          <w:szCs w:val="24"/>
        </w:rPr>
        <w:t>A: Well do I feel close to him, or is it just like obligation, family obligation thing?</w:t>
      </w:r>
    </w:p>
    <w:p w14:paraId="33C49F95" w14:textId="77777777" w:rsidR="00836A1C" w:rsidRPr="001614CB" w:rsidRDefault="00836A1C" w:rsidP="001614CB">
      <w:pPr>
        <w:pStyle w:val="CommentText"/>
        <w:pBdr>
          <w:top w:val="single" w:sz="4" w:space="1" w:color="auto"/>
          <w:left w:val="single" w:sz="4" w:space="4" w:color="auto"/>
          <w:bottom w:val="single" w:sz="4" w:space="1" w:color="auto"/>
          <w:right w:val="single" w:sz="4" w:space="4" w:color="auto"/>
        </w:pBdr>
        <w:spacing w:after="0" w:line="480" w:lineRule="auto"/>
        <w:ind w:left="240" w:hanging="240"/>
        <w:rPr>
          <w:bCs/>
          <w:color w:val="C45911" w:themeColor="accent2" w:themeShade="BF"/>
          <w:sz w:val="24"/>
          <w:szCs w:val="24"/>
        </w:rPr>
      </w:pPr>
      <w:r w:rsidRPr="001614CB">
        <w:rPr>
          <w:bCs/>
          <w:color w:val="C45911" w:themeColor="accent2" w:themeShade="BF"/>
          <w:sz w:val="24"/>
          <w:szCs w:val="24"/>
        </w:rPr>
        <w:t>Q: Well, tell me!   That’s what really interests me</w:t>
      </w:r>
      <w:proofErr w:type="gramStart"/>
      <w:r w:rsidRPr="001614CB">
        <w:rPr>
          <w:bCs/>
          <w:color w:val="C45911" w:themeColor="accent2" w:themeShade="BF"/>
          <w:sz w:val="24"/>
          <w:szCs w:val="24"/>
        </w:rPr>
        <w:t>, actually, is</w:t>
      </w:r>
      <w:proofErr w:type="gramEnd"/>
    </w:p>
    <w:p w14:paraId="192AD446" w14:textId="77777777" w:rsidR="00836A1C" w:rsidRPr="001614CB" w:rsidRDefault="00836A1C" w:rsidP="001614CB">
      <w:pPr>
        <w:pStyle w:val="CommentText"/>
        <w:pBdr>
          <w:top w:val="single" w:sz="4" w:space="1" w:color="auto"/>
          <w:left w:val="single" w:sz="4" w:space="4" w:color="auto"/>
          <w:bottom w:val="single" w:sz="4" w:space="1" w:color="auto"/>
          <w:right w:val="single" w:sz="4" w:space="4" w:color="auto"/>
        </w:pBdr>
        <w:spacing w:after="0" w:line="480" w:lineRule="auto"/>
        <w:ind w:left="240" w:hanging="240"/>
        <w:rPr>
          <w:bCs/>
          <w:color w:val="C45911" w:themeColor="accent2" w:themeShade="BF"/>
          <w:sz w:val="24"/>
          <w:szCs w:val="24"/>
        </w:rPr>
      </w:pPr>
      <w:r w:rsidRPr="001614CB">
        <w:rPr>
          <w:bCs/>
          <w:color w:val="C45911" w:themeColor="accent2" w:themeShade="BF"/>
          <w:sz w:val="24"/>
          <w:szCs w:val="24"/>
        </w:rPr>
        <w:lastRenderedPageBreak/>
        <w:t xml:space="preserve">A: Right, ok, </w:t>
      </w:r>
      <w:proofErr w:type="spellStart"/>
      <w:r w:rsidRPr="001614CB">
        <w:rPr>
          <w:bCs/>
          <w:color w:val="C45911" w:themeColor="accent2" w:themeShade="BF"/>
          <w:sz w:val="24"/>
          <w:szCs w:val="24"/>
        </w:rPr>
        <w:t>ahm</w:t>
      </w:r>
      <w:proofErr w:type="spellEnd"/>
      <w:r w:rsidRPr="001614CB">
        <w:rPr>
          <w:bCs/>
          <w:color w:val="C45911" w:themeColor="accent2" w:themeShade="BF"/>
          <w:sz w:val="24"/>
          <w:szCs w:val="24"/>
        </w:rPr>
        <w:t>, gosh, yea, I suppose I would, it’s more like the last couple of years I would have probably started to have a better relationship with my father than I have had, but I wouldn’t have felt that close to him over the last twenty years, particularly.  But the last few years, maybe because of ill-health, we’ve sort of maybe gotten to know each other a little bit better.  I would probably go home more than I’ve ever gone home, you know, for the last few years. … And it is more obligation, I will be honest.</w:t>
      </w:r>
    </w:p>
    <w:p w14:paraId="1B1E3D4D" w14:textId="77777777" w:rsidR="00836A1C" w:rsidRPr="001614CB" w:rsidRDefault="00836A1C" w:rsidP="001614CB">
      <w:pPr>
        <w:pStyle w:val="CommentText"/>
        <w:pBdr>
          <w:top w:val="single" w:sz="4" w:space="1" w:color="auto"/>
          <w:left w:val="single" w:sz="4" w:space="4" w:color="auto"/>
          <w:bottom w:val="single" w:sz="4" w:space="1" w:color="auto"/>
          <w:right w:val="single" w:sz="4" w:space="4" w:color="auto"/>
        </w:pBdr>
        <w:spacing w:after="0" w:line="480" w:lineRule="auto"/>
        <w:ind w:left="240" w:hanging="240"/>
        <w:rPr>
          <w:bCs/>
          <w:color w:val="C45911" w:themeColor="accent2" w:themeShade="BF"/>
          <w:sz w:val="24"/>
          <w:szCs w:val="24"/>
        </w:rPr>
      </w:pPr>
      <w:r w:rsidRPr="001614CB">
        <w:rPr>
          <w:bCs/>
          <w:color w:val="C45911" w:themeColor="accent2" w:themeShade="BF"/>
          <w:sz w:val="24"/>
          <w:szCs w:val="24"/>
        </w:rPr>
        <w:t>Q: Is it?  Yeah</w:t>
      </w:r>
    </w:p>
    <w:p w14:paraId="72226B77" w14:textId="77777777" w:rsidR="00836A1C" w:rsidRPr="001614CB" w:rsidRDefault="00836A1C" w:rsidP="001614CB">
      <w:pPr>
        <w:pStyle w:val="CommentText"/>
        <w:pBdr>
          <w:top w:val="single" w:sz="4" w:space="1" w:color="auto"/>
          <w:left w:val="single" w:sz="4" w:space="4" w:color="auto"/>
          <w:bottom w:val="single" w:sz="4" w:space="1" w:color="auto"/>
          <w:right w:val="single" w:sz="4" w:space="4" w:color="auto"/>
        </w:pBdr>
        <w:spacing w:after="0" w:line="480" w:lineRule="auto"/>
        <w:ind w:left="240" w:hanging="240"/>
        <w:rPr>
          <w:bCs/>
          <w:color w:val="C45911" w:themeColor="accent2" w:themeShade="BF"/>
          <w:sz w:val="24"/>
          <w:szCs w:val="24"/>
        </w:rPr>
      </w:pPr>
      <w:r w:rsidRPr="001614CB">
        <w:rPr>
          <w:bCs/>
          <w:color w:val="C45911" w:themeColor="accent2" w:themeShade="BF"/>
          <w:sz w:val="24"/>
          <w:szCs w:val="24"/>
        </w:rPr>
        <w:t>A: Yea.  But I feel, I guess I feel a bit more, I feel a bit closer to him in the last six months, I think more because as he is getting older, and maybe I feel a bit more, that it is more than just obligation any more, I feel a bit more of something else, maybe, kind of, yea.</w:t>
      </w:r>
    </w:p>
    <w:p w14:paraId="2D81B2C9" w14:textId="77777777" w:rsidR="00836A1C" w:rsidRPr="001614CB" w:rsidRDefault="00836A1C" w:rsidP="001614CB">
      <w:pPr>
        <w:pStyle w:val="CommentText"/>
        <w:pBdr>
          <w:top w:val="single" w:sz="4" w:space="1" w:color="auto"/>
          <w:left w:val="single" w:sz="4" w:space="4" w:color="auto"/>
          <w:bottom w:val="single" w:sz="4" w:space="1" w:color="auto"/>
          <w:right w:val="single" w:sz="4" w:space="4" w:color="auto"/>
        </w:pBdr>
        <w:spacing w:after="0" w:line="480" w:lineRule="auto"/>
        <w:ind w:left="240" w:hanging="240"/>
        <w:rPr>
          <w:bCs/>
          <w:color w:val="C45911" w:themeColor="accent2" w:themeShade="BF"/>
          <w:sz w:val="24"/>
          <w:szCs w:val="24"/>
        </w:rPr>
      </w:pPr>
      <w:r w:rsidRPr="001614CB">
        <w:rPr>
          <w:bCs/>
          <w:color w:val="C45911" w:themeColor="accent2" w:themeShade="BF"/>
          <w:sz w:val="24"/>
          <w:szCs w:val="24"/>
        </w:rPr>
        <w:t>Q: Can you describe, I know they’re kind of hard concepts, but can you describe what the difference is between the obligation and the closeness?  Like when you thought of ‘just obligation’, what did that feel like?  And what did that mean?</w:t>
      </w:r>
    </w:p>
    <w:p w14:paraId="63B49AEA" w14:textId="77777777" w:rsidR="00836A1C" w:rsidRPr="001614CB" w:rsidRDefault="00836A1C" w:rsidP="001614CB">
      <w:pPr>
        <w:pStyle w:val="CommentText"/>
        <w:pBdr>
          <w:top w:val="single" w:sz="4" w:space="1" w:color="auto"/>
          <w:left w:val="single" w:sz="4" w:space="4" w:color="auto"/>
          <w:bottom w:val="single" w:sz="4" w:space="1" w:color="auto"/>
          <w:right w:val="single" w:sz="4" w:space="4" w:color="auto"/>
        </w:pBdr>
        <w:spacing w:after="0" w:line="480" w:lineRule="auto"/>
        <w:ind w:left="240" w:hanging="240"/>
        <w:rPr>
          <w:bCs/>
          <w:color w:val="C45911" w:themeColor="accent2" w:themeShade="BF"/>
          <w:sz w:val="24"/>
          <w:szCs w:val="24"/>
        </w:rPr>
      </w:pPr>
      <w:r w:rsidRPr="001614CB">
        <w:rPr>
          <w:bCs/>
          <w:color w:val="C45911" w:themeColor="accent2" w:themeShade="BF"/>
          <w:sz w:val="24"/>
          <w:szCs w:val="24"/>
        </w:rPr>
        <w:t xml:space="preserve">A: Well obligation is kind of ‘oh God I just have to do it’, ‘are you going home?’  ‘No, I can’t, are you going’ it’s like a bit of a, you know, it’s something you feel you </w:t>
      </w:r>
      <w:proofErr w:type="gramStart"/>
      <w:r w:rsidRPr="001614CB">
        <w:rPr>
          <w:bCs/>
          <w:color w:val="C45911" w:themeColor="accent2" w:themeShade="BF"/>
          <w:sz w:val="24"/>
          <w:szCs w:val="24"/>
        </w:rPr>
        <w:t>have to</w:t>
      </w:r>
      <w:proofErr w:type="gramEnd"/>
      <w:r w:rsidRPr="001614CB">
        <w:rPr>
          <w:bCs/>
          <w:color w:val="C45911" w:themeColor="accent2" w:themeShade="BF"/>
          <w:sz w:val="24"/>
          <w:szCs w:val="24"/>
        </w:rPr>
        <w:t xml:space="preserve"> do as a family duty, and you have to do it.  But I suppose feeling a closeness is something that just kind of creeps up on you when you see them in hospital a lot, and you see them frail, and you see them in a different kind of way, that I’ve never seen him in before.  </w:t>
      </w:r>
      <w:proofErr w:type="gramStart"/>
      <w:r w:rsidRPr="001614CB">
        <w:rPr>
          <w:bCs/>
          <w:color w:val="C45911" w:themeColor="accent2" w:themeShade="BF"/>
          <w:sz w:val="24"/>
          <w:szCs w:val="24"/>
        </w:rPr>
        <w:t>So</w:t>
      </w:r>
      <w:proofErr w:type="gramEnd"/>
      <w:r w:rsidRPr="001614CB">
        <w:rPr>
          <w:bCs/>
          <w:color w:val="C45911" w:themeColor="accent2" w:themeShade="BF"/>
          <w:sz w:val="24"/>
          <w:szCs w:val="24"/>
        </w:rPr>
        <w:t xml:space="preserve"> seeing him like that in recent years, it does change your perception a bit, you kind of you start to see him as a person, again, who is scared and lonely and needs your help, kind of.</w:t>
      </w:r>
    </w:p>
    <w:p w14:paraId="22A7F14E" w14:textId="77777777" w:rsidR="00836A1C" w:rsidRPr="001614CB" w:rsidRDefault="00836A1C" w:rsidP="001614CB">
      <w:pPr>
        <w:pStyle w:val="CommentText"/>
        <w:pBdr>
          <w:top w:val="single" w:sz="4" w:space="1" w:color="auto"/>
          <w:left w:val="single" w:sz="4" w:space="4" w:color="auto"/>
          <w:bottom w:val="single" w:sz="4" w:space="1" w:color="auto"/>
          <w:right w:val="single" w:sz="4" w:space="4" w:color="auto"/>
        </w:pBdr>
        <w:spacing w:after="0" w:line="480" w:lineRule="auto"/>
        <w:ind w:left="240" w:hanging="240"/>
        <w:rPr>
          <w:bCs/>
          <w:color w:val="C45911" w:themeColor="accent2" w:themeShade="BF"/>
          <w:sz w:val="24"/>
          <w:szCs w:val="24"/>
        </w:rPr>
      </w:pPr>
      <w:r w:rsidRPr="001614CB">
        <w:rPr>
          <w:bCs/>
          <w:color w:val="C45911" w:themeColor="accent2" w:themeShade="BF"/>
          <w:sz w:val="24"/>
          <w:szCs w:val="24"/>
        </w:rPr>
        <w:t>Q: Yea</w:t>
      </w:r>
    </w:p>
    <w:p w14:paraId="1FE0FF33" w14:textId="77777777" w:rsidR="00836A1C" w:rsidRPr="001614CB" w:rsidRDefault="00836A1C" w:rsidP="001614CB">
      <w:pPr>
        <w:pStyle w:val="CommentText"/>
        <w:pBdr>
          <w:top w:val="single" w:sz="4" w:space="1" w:color="auto"/>
          <w:left w:val="single" w:sz="4" w:space="4" w:color="auto"/>
          <w:bottom w:val="single" w:sz="4" w:space="1" w:color="auto"/>
          <w:right w:val="single" w:sz="4" w:space="4" w:color="auto"/>
        </w:pBdr>
        <w:spacing w:after="0" w:line="480" w:lineRule="auto"/>
        <w:ind w:left="240" w:hanging="240"/>
        <w:rPr>
          <w:bCs/>
          <w:color w:val="C45911" w:themeColor="accent2" w:themeShade="BF"/>
          <w:sz w:val="24"/>
          <w:szCs w:val="24"/>
        </w:rPr>
      </w:pPr>
      <w:r w:rsidRPr="001614CB">
        <w:rPr>
          <w:bCs/>
          <w:color w:val="C45911" w:themeColor="accent2" w:themeShade="BF"/>
          <w:sz w:val="24"/>
          <w:szCs w:val="24"/>
        </w:rPr>
        <w:lastRenderedPageBreak/>
        <w:t>A: So there is a sense, obligation, but it is more than that, I suppose it’s a sense of maybe love, yea, he is my Dad, no matter what, so kind of, you know, a bit closer than I would have felt to him for a long time, yea.</w:t>
      </w:r>
    </w:p>
    <w:p w14:paraId="5F3A9B31" w14:textId="2F69ED7B" w:rsidR="00836A1C" w:rsidRPr="000A6D66" w:rsidRDefault="00836A1C" w:rsidP="00836A1C">
      <w:pPr>
        <w:pStyle w:val="TEITextExitElementAboveIndented"/>
      </w:pPr>
      <w:r w:rsidRPr="000A6D66">
        <w:t xml:space="preserve">The below excerpt from the memo on obligation refers to Sonya’s interview and how the researcher directed interview talk </w:t>
      </w:r>
      <w:proofErr w:type="gramStart"/>
      <w:r w:rsidRPr="000A6D66">
        <w:t>so as to</w:t>
      </w:r>
      <w:proofErr w:type="gramEnd"/>
      <w:r w:rsidRPr="000A6D66">
        <w:t xml:space="preserve"> sample for theoretical salient concepts within the interview process itself.  The memo illustrates the liveliness of data and the richness for the inquiry when the research participants themselves engage with the central concepts:</w:t>
      </w:r>
    </w:p>
    <w:p w14:paraId="227E1F5C" w14:textId="77777777" w:rsidR="00836A1C" w:rsidRPr="000A6D66" w:rsidRDefault="00836A1C" w:rsidP="001614CB">
      <w:pPr>
        <w:pStyle w:val="SE1HSpecialElement1Heading"/>
        <w:pBdr>
          <w:top w:val="single" w:sz="4" w:space="1" w:color="auto"/>
          <w:left w:val="single" w:sz="4" w:space="4" w:color="auto"/>
          <w:bottom w:val="single" w:sz="4" w:space="1" w:color="auto"/>
          <w:right w:val="single" w:sz="4" w:space="4" w:color="auto"/>
        </w:pBdr>
        <w:rPr>
          <w:b w:val="0"/>
        </w:rPr>
      </w:pPr>
      <w:r w:rsidRPr="000A6D66">
        <w:t>Box 10.2: Excerpt from memo on obligation</w:t>
      </w:r>
    </w:p>
    <w:p w14:paraId="5B85D39A" w14:textId="77777777" w:rsidR="00836A1C" w:rsidRPr="000A6D66" w:rsidRDefault="00836A1C" w:rsidP="001614CB">
      <w:pPr>
        <w:pStyle w:val="SE1TFSpecialElement1TextFullOut"/>
        <w:pBdr>
          <w:top w:val="single" w:sz="4" w:space="1" w:color="auto"/>
          <w:left w:val="single" w:sz="4" w:space="4" w:color="auto"/>
          <w:bottom w:val="single" w:sz="4" w:space="1" w:color="auto"/>
          <w:right w:val="single" w:sz="4" w:space="4" w:color="auto"/>
        </w:pBdr>
      </w:pPr>
      <w:r w:rsidRPr="000A6D66">
        <w:t xml:space="preserve">When Sonya narrates self and family in the interview and asks in relation to her feeling towards her father ‘is it just obligation?’, I feel like I have struck gold and convey the significance of this question to her.   ‘Groping’ for language signifies a critical moment in an interview when the participant is engaged in forging meanings of phenomena through the interview talk rather than drawing on established discourses.  Sonya conveys surprise with where our conversation has brought her.  She takes time and care to find the ‘right’ words to construct the </w:t>
      </w:r>
      <w:proofErr w:type="gramStart"/>
      <w:r w:rsidRPr="000A6D66">
        <w:t>particular meaning</w:t>
      </w:r>
      <w:proofErr w:type="gramEnd"/>
      <w:r w:rsidRPr="000A6D66">
        <w:t xml:space="preserve"> the term has come to hold for her through the practice of care giving.  This is intimate and sensitive territory and it is a privilege as interviewer to hear her make this meaning in process.  </w:t>
      </w:r>
    </w:p>
    <w:p w14:paraId="3813AA37" w14:textId="77777777" w:rsidR="00836A1C" w:rsidRPr="000A6D66" w:rsidRDefault="00836A1C" w:rsidP="001614CB">
      <w:pPr>
        <w:pStyle w:val="SE1TISpecialElement1TextIndent"/>
        <w:pBdr>
          <w:top w:val="single" w:sz="4" w:space="1" w:color="auto"/>
          <w:left w:val="single" w:sz="4" w:space="4" w:color="auto"/>
          <w:bottom w:val="single" w:sz="4" w:space="1" w:color="auto"/>
          <w:right w:val="single" w:sz="4" w:space="4" w:color="auto"/>
        </w:pBdr>
      </w:pPr>
      <w:r w:rsidRPr="000A6D66">
        <w:t xml:space="preserve">Later her reference to ‘something else’, strikes me as coming to the crux of the matter.  I hear this ‘something else’ as referring to something that could make a coherent identity and agency consistent with Sonya’s life sit alongside this rekindled involvement in her father’s life.  Her talk is very reflexive. … </w:t>
      </w:r>
    </w:p>
    <w:p w14:paraId="6575CFB4" w14:textId="7A0F1372" w:rsidR="00836A1C" w:rsidRPr="000A6D66" w:rsidRDefault="00836A1C" w:rsidP="00836A1C">
      <w:pPr>
        <w:pStyle w:val="NTSNotetoTypesetter"/>
      </w:pPr>
    </w:p>
    <w:p w14:paraId="73AE106B" w14:textId="77777777" w:rsidR="00836A1C" w:rsidRPr="000A6D66" w:rsidRDefault="00836A1C" w:rsidP="00836A1C">
      <w:pPr>
        <w:pStyle w:val="TEITextExitElementAboveIndented"/>
      </w:pPr>
      <w:r w:rsidRPr="000A6D66">
        <w:lastRenderedPageBreak/>
        <w:t>The third process demonstrated here is the role of memo-writing for building concepts.  This excerpt from the memo illustrates the process of emergent reconstruction mutually achieved by the researcher and research participant within the data generation process.  Another excerpt from the memo demonstrates the emergent theory-building the interview data generated for the research team:</w:t>
      </w:r>
    </w:p>
    <w:p w14:paraId="067E417B" w14:textId="77777777" w:rsidR="00836A1C" w:rsidRPr="000A6D66" w:rsidRDefault="00836A1C" w:rsidP="001614CB">
      <w:pPr>
        <w:pStyle w:val="SE1HSpecialElement1Heading"/>
        <w:pBdr>
          <w:top w:val="single" w:sz="4" w:space="1" w:color="auto"/>
          <w:left w:val="single" w:sz="4" w:space="4" w:color="auto"/>
          <w:bottom w:val="single" w:sz="4" w:space="1" w:color="auto"/>
          <w:right w:val="single" w:sz="4" w:space="4" w:color="auto"/>
        </w:pBdr>
        <w:rPr>
          <w:b w:val="0"/>
        </w:rPr>
      </w:pPr>
      <w:r w:rsidRPr="000A6D66">
        <w:t>Box 10.3: Excerpt from memo on obligation (continued)</w:t>
      </w:r>
    </w:p>
    <w:p w14:paraId="34A2CE25" w14:textId="77777777" w:rsidR="00836A1C" w:rsidRPr="000A6D66" w:rsidRDefault="00836A1C" w:rsidP="001614CB">
      <w:pPr>
        <w:pStyle w:val="SE1TFSpecialElement1TextFullOut"/>
        <w:pBdr>
          <w:top w:val="single" w:sz="4" w:space="1" w:color="auto"/>
          <w:left w:val="single" w:sz="4" w:space="4" w:color="auto"/>
          <w:bottom w:val="single" w:sz="4" w:space="1" w:color="auto"/>
          <w:right w:val="single" w:sz="4" w:space="4" w:color="auto"/>
        </w:pBdr>
      </w:pPr>
      <w:r w:rsidRPr="000A6D66">
        <w:t xml:space="preserve">Here Sonya contributes significantly to the theoretical direction of the project.  The event of her father’s recent deteriorating health emerged as a process that led Sonya to come to ‘question obligation’ herself. </w:t>
      </w:r>
      <w:proofErr w:type="gramStart"/>
      <w:r w:rsidRPr="000A6D66">
        <w:t>Specifically</w:t>
      </w:r>
      <w:proofErr w:type="gramEnd"/>
      <w:r w:rsidRPr="000A6D66">
        <w:t xml:space="preserve"> whether such a traditional norm constraining and compelling action holds sway in her life and underpins her actions in recently spending time with and taking care of her father.  Through our interview talk, she re-constructs her care relationship with her father from one based on traditional norms of ‘obligation’ or ‘having to’ to a relationship based on affective values of ‘love’ and ‘wanting to’ through memory and relational work.  This suggests a process of reworking traditional norms through relational principles to maintain a coherent sense of self who is self-directing the roles and activities they engage in.  </w:t>
      </w:r>
    </w:p>
    <w:p w14:paraId="6457A332" w14:textId="77777777" w:rsidR="00836A1C" w:rsidRPr="000A6D66" w:rsidRDefault="00836A1C" w:rsidP="00836A1C">
      <w:pPr>
        <w:pStyle w:val="TEITextExitElementAboveIndented"/>
      </w:pPr>
      <w:r w:rsidRPr="000A6D66">
        <w:t xml:space="preserve">As the memo states, theory-building in the project was propelled forward by this new key insight that our earlier data had directed us towards.  This signals a final transition in the GT project as theory-building begins to form.  As before, this is not a discrete stage and the iterative feature of the method means theory-building happens while data generating, coding, theoretical sampling and so on all continue.  The shift merely means that there is another new strand running in parallel, not that any part of the earlier process has </w:t>
      </w:r>
      <w:proofErr w:type="gramStart"/>
      <w:r w:rsidRPr="000A6D66">
        <w:t>come to a close</w:t>
      </w:r>
      <w:proofErr w:type="gramEnd"/>
      <w:r w:rsidRPr="000A6D66">
        <w:t xml:space="preserve"> – like adding another ball into the juggler’s set as they get to grips with keeping each one in the air and as they move towards the closing stage of the act.</w:t>
      </w:r>
    </w:p>
    <w:p w14:paraId="111CA7F5" w14:textId="77777777" w:rsidR="00836A1C" w:rsidRPr="000A6D66" w:rsidRDefault="00836A1C" w:rsidP="00836A1C">
      <w:pPr>
        <w:pStyle w:val="AHAHead"/>
      </w:pPr>
      <w:r w:rsidRPr="000A6D66">
        <w:lastRenderedPageBreak/>
        <w:t>Theory-building in grounded theory</w:t>
      </w:r>
    </w:p>
    <w:p w14:paraId="13641FF9" w14:textId="77777777" w:rsidR="00836A1C" w:rsidRPr="000A6D66" w:rsidRDefault="00836A1C" w:rsidP="00836A1C">
      <w:pPr>
        <w:pStyle w:val="TFTextFullOut"/>
      </w:pPr>
      <w:r w:rsidRPr="000A6D66">
        <w:t xml:space="preserve">Analysis in GT </w:t>
      </w:r>
      <w:proofErr w:type="spellStart"/>
      <w:r w:rsidRPr="000A6D66">
        <w:t>emphasises</w:t>
      </w:r>
      <w:proofErr w:type="spellEnd"/>
      <w:r w:rsidRPr="000A6D66">
        <w:t xml:space="preserve"> constant comparative analysis where the researcher notes how contrasting contexts may (or may not) give way to contrasting meanings attaching to similar events, incidents or actions. Asking how the same concepts manifest under different conditions and contexts as well as asking how contrasts in how the concepts can be explained drives theoretical sampling. The final stages of coding in GT therefore involve theoretical integration through refining the most salient categories using codes, tracing relationships between categories to generate out of the data a grounded ‘theory’ presenting new explanatory concepts and the relationships between them. </w:t>
      </w:r>
    </w:p>
    <w:p w14:paraId="032B4F41" w14:textId="77777777" w:rsidR="00836A1C" w:rsidRPr="000A6D66" w:rsidRDefault="00836A1C" w:rsidP="00836A1C">
      <w:pPr>
        <w:pStyle w:val="TITextIndent"/>
      </w:pPr>
      <w:r w:rsidRPr="000A6D66">
        <w:t>Memos are a key tool for moving between data, codes, categories, concepts, processes and theory-</w:t>
      </w:r>
      <w:proofErr w:type="gramStart"/>
      <w:r w:rsidRPr="000A6D66">
        <w:t>building  (</w:t>
      </w:r>
      <w:proofErr w:type="gramEnd"/>
      <w:r w:rsidRPr="000A6D66">
        <w:t xml:space="preserve">Charmaz on p. 000 in Chapter 10 discusses memo-writing in grounded theory).  GT anticipates the analyst engaging in memo-writing from the outset and this writing serving as an intermediary between the data, researcher and inquiry.  Memos record the tentative hunches the analyst has about the salience of a code/category, possible new lines of inquiry for further data collection through theoretical sampling, and emerging relationships between codes and categories.  Some memos will not be attached to any </w:t>
      </w:r>
      <w:proofErr w:type="gramStart"/>
      <w:r w:rsidRPr="000A6D66">
        <w:t>particular code</w:t>
      </w:r>
      <w:proofErr w:type="gramEnd"/>
      <w:r w:rsidRPr="000A6D66">
        <w:t xml:space="preserve">, category or concept but will be concerned with explaining overall processes observed in the data.  These are more theoretically orientated memos.  Memos are the primary record of </w:t>
      </w:r>
      <w:r w:rsidRPr="000A6D66">
        <w:rPr>
          <w:i/>
        </w:rPr>
        <w:t>how</w:t>
      </w:r>
      <w:r w:rsidRPr="000A6D66">
        <w:t xml:space="preserve"> the researcher has engaged with the data in pursuit of concepts and theory and should be employed throughout the project from beginning to end (Timonen et al., 2018).</w:t>
      </w:r>
    </w:p>
    <w:p w14:paraId="2F8C2224" w14:textId="77777777" w:rsidR="00836A1C" w:rsidRPr="000A6D66" w:rsidRDefault="00836A1C" w:rsidP="00836A1C">
      <w:pPr>
        <w:pStyle w:val="TITextIndent"/>
      </w:pPr>
      <w:r w:rsidRPr="000A6D66">
        <w:t xml:space="preserve">Memos are written notes on concepts that emerge from coding to capture the insights gleaned </w:t>
      </w:r>
      <w:proofErr w:type="gramStart"/>
      <w:r w:rsidRPr="000A6D66">
        <w:t>and also</w:t>
      </w:r>
      <w:proofErr w:type="gramEnd"/>
      <w:r w:rsidRPr="000A6D66">
        <w:t xml:space="preserve"> to articulate the questions raised and to identify gaps in the data.  Memos are written to capture the researchers’ insights, interpretations and further questions that arise from noticing and naming codes and from formulating categories that integrate codes.  They are the space between data and concepts out of which theory-building is articulated.  Criteria for theoretical sampling as described above emerge from </w:t>
      </w:r>
      <w:r w:rsidRPr="000A6D66">
        <w:lastRenderedPageBreak/>
        <w:t>memos.  Memos also capture what patterns and relationships the analyst notices between codes, suggesting overarching categories that can integrate codes. As the study progresses, the researcher will also move on to writing theoretical memos that hover above the individual categories, articulating broader processes and relationships between categories.  This is the stage of theory-building in action.</w:t>
      </w:r>
    </w:p>
    <w:p w14:paraId="2E069B65" w14:textId="21E1E70D" w:rsidR="00836A1C" w:rsidRPr="000A6D66" w:rsidRDefault="00836A1C" w:rsidP="00836A1C">
      <w:pPr>
        <w:pStyle w:val="TITextIndent"/>
      </w:pPr>
      <w:r w:rsidRPr="000A6D66">
        <w:t xml:space="preserve">As the project described in this chapter testifies, the focus for a GT inquiry is often of considerable breadth, in service to the commitment to remaining open.  As the study progresses, specific processes in the data will be </w:t>
      </w:r>
      <w:proofErr w:type="gramStart"/>
      <w:r w:rsidRPr="000A6D66">
        <w:t>honed in</w:t>
      </w:r>
      <w:proofErr w:type="gramEnd"/>
      <w:r w:rsidRPr="000A6D66">
        <w:t xml:space="preserve"> on, reflecting the particular orientation of the researcher.  The final excerpt from the </w:t>
      </w:r>
      <w:r w:rsidRPr="000A6D66">
        <w:rPr>
          <w:i/>
        </w:rPr>
        <w:t xml:space="preserve">Changing Generations </w:t>
      </w:r>
      <w:r w:rsidRPr="000A6D66">
        <w:t xml:space="preserve">project </w:t>
      </w:r>
      <w:r w:rsidR="001B4232">
        <w:t>discussed in the exemplar</w:t>
      </w:r>
      <w:r w:rsidR="001B4232" w:rsidRPr="000A6D66">
        <w:t xml:space="preserve"> </w:t>
      </w:r>
      <w:r w:rsidRPr="000A6D66">
        <w:t xml:space="preserve">below shows theory-building emerging in relation to giving and receiving care portrayed in data from interviews with women from across different levels of family generations. The exemplar demonstrates the GT methods of theoretical sampling and constant comparative analysis and the theory-building process in practice. </w:t>
      </w:r>
    </w:p>
    <w:p w14:paraId="4E8433C7" w14:textId="77777777" w:rsidR="00836A1C" w:rsidRPr="000A6D66" w:rsidRDefault="00836A1C" w:rsidP="00836A1C">
      <w:pPr>
        <w:pStyle w:val="AHAHead"/>
      </w:pPr>
      <w:r w:rsidRPr="000A6D66">
        <w:t>Doing theory building in practice</w:t>
      </w:r>
    </w:p>
    <w:p w14:paraId="40C33B13" w14:textId="77777777" w:rsidR="00836A1C" w:rsidRPr="000A6D66" w:rsidRDefault="00836A1C" w:rsidP="00836A1C">
      <w:pPr>
        <w:pStyle w:val="TFTextFullOut"/>
      </w:pPr>
      <w:r w:rsidRPr="000A6D66">
        <w:t xml:space="preserve">A unique aspect of the </w:t>
      </w:r>
      <w:r w:rsidRPr="000A6D66">
        <w:rPr>
          <w:i/>
        </w:rPr>
        <w:t>Changing Generations</w:t>
      </w:r>
      <w:r w:rsidRPr="000A6D66">
        <w:t xml:space="preserve"> data set was how it encompassed viewpoints of both (prospective) care recipients and (prospective) care givers, categories that could also overlap. The data enabled analysis of both the expectations and aspirations of those who are ageing and contemplating the prospect of having support needs </w:t>
      </w:r>
      <w:r w:rsidRPr="000A6D66">
        <w:rPr>
          <w:i/>
        </w:rPr>
        <w:t>and</w:t>
      </w:r>
      <w:r w:rsidRPr="000A6D66">
        <w:t xml:space="preserve"> the aspirations and practices of younger participants </w:t>
      </w:r>
      <w:proofErr w:type="gramStart"/>
      <w:r w:rsidRPr="000A6D66">
        <w:t>with regard to</w:t>
      </w:r>
      <w:proofErr w:type="gramEnd"/>
      <w:r w:rsidRPr="000A6D66">
        <w:t xml:space="preserve"> providing help, support and care for older family members. This was one dimension of constant comparative analysis; another was socio-economic status, which emerged as a key salient category in relation </w:t>
      </w:r>
      <w:proofErr w:type="gramStart"/>
      <w:r w:rsidRPr="000A6D66">
        <w:t>to  care</w:t>
      </w:r>
      <w:proofErr w:type="gramEnd"/>
      <w:r w:rsidRPr="000A6D66">
        <w:t xml:space="preserve"> giving in the data.</w:t>
      </w:r>
    </w:p>
    <w:p w14:paraId="1CBE2351" w14:textId="77777777" w:rsidR="00836A1C" w:rsidRPr="000A6D66" w:rsidRDefault="00836A1C" w:rsidP="00836A1C">
      <w:pPr>
        <w:pStyle w:val="TITextIndent"/>
      </w:pPr>
      <w:r w:rsidRPr="000A6D66">
        <w:t xml:space="preserve">A category emerging from the data in relation to younger, lower socio-economic status women was how they were </w:t>
      </w:r>
      <w:r w:rsidRPr="000A6D66">
        <w:rPr>
          <w:i/>
        </w:rPr>
        <w:t xml:space="preserve">living enmeshed lives </w:t>
      </w:r>
      <w:r w:rsidRPr="000A6D66">
        <w:t xml:space="preserve">forged across generations. The limited economic and social resources held by their families created high levels of interdependence across the life course.  Younger women portrayed how they witnessed struggles and hardship ‘close up’ within their families as a result of their </w:t>
      </w:r>
      <w:r w:rsidRPr="000A6D66">
        <w:lastRenderedPageBreak/>
        <w:t xml:space="preserve">having limited resources </w:t>
      </w:r>
      <w:proofErr w:type="gramStart"/>
      <w:r w:rsidRPr="000A6D66">
        <w:t>and also</w:t>
      </w:r>
      <w:proofErr w:type="gramEnd"/>
      <w:r w:rsidRPr="000A6D66">
        <w:t xml:space="preserve"> witnessed support needs that arose among older generations as a result.  The data revealed a process by which they assumed responsibility for meeting the needs of other generations in the family, as shown in Table 11.1 by the focused and theoretical coding from interview data with a 19-year-old, lower socio-economic-status participant we called Michelle.</w:t>
      </w:r>
    </w:p>
    <w:tbl>
      <w:tblPr>
        <w:tblStyle w:val="TableGrid"/>
        <w:tblW w:w="9776" w:type="dxa"/>
        <w:tblLook w:val="04A0" w:firstRow="1" w:lastRow="0" w:firstColumn="1" w:lastColumn="0" w:noHBand="0" w:noVBand="1"/>
      </w:tblPr>
      <w:tblGrid>
        <w:gridCol w:w="6091"/>
        <w:gridCol w:w="3685"/>
      </w:tblGrid>
      <w:tr w:rsidR="001614CB" w:rsidRPr="0054106D" w14:paraId="0F2EEBE5" w14:textId="77777777" w:rsidTr="006E12FF">
        <w:tc>
          <w:tcPr>
            <w:tcW w:w="9776" w:type="dxa"/>
            <w:gridSpan w:val="2"/>
          </w:tcPr>
          <w:p w14:paraId="36525260" w14:textId="77777777" w:rsidR="001614CB" w:rsidRPr="0054106D" w:rsidRDefault="001614CB" w:rsidP="006E12FF">
            <w:pPr>
              <w:spacing w:line="480" w:lineRule="auto"/>
              <w:ind w:left="567" w:right="-46"/>
              <w:jc w:val="both"/>
              <w:rPr>
                <w:rFonts w:ascii="Times New Roman" w:hAnsi="Times New Roman" w:cs="Times New Roman"/>
                <w:b/>
                <w:sz w:val="24"/>
                <w:szCs w:val="24"/>
              </w:rPr>
            </w:pPr>
            <w:r>
              <w:rPr>
                <w:rFonts w:ascii="Times New Roman" w:hAnsi="Times New Roman" w:cs="Times New Roman"/>
                <w:b/>
                <w:sz w:val="24"/>
                <w:szCs w:val="24"/>
              </w:rPr>
              <w:t>Table 11.1</w:t>
            </w:r>
            <w:r w:rsidRPr="0054106D">
              <w:rPr>
                <w:rFonts w:ascii="Times New Roman" w:hAnsi="Times New Roman" w:cs="Times New Roman"/>
                <w:b/>
                <w:sz w:val="24"/>
                <w:szCs w:val="24"/>
              </w:rPr>
              <w:t xml:space="preserve"> Coded excerpt from interview with Michelle</w:t>
            </w:r>
          </w:p>
        </w:tc>
      </w:tr>
      <w:tr w:rsidR="001614CB" w:rsidRPr="0054106D" w14:paraId="1E864910" w14:textId="77777777" w:rsidTr="006E12FF">
        <w:tc>
          <w:tcPr>
            <w:tcW w:w="6091" w:type="dxa"/>
          </w:tcPr>
          <w:p w14:paraId="161C5A74" w14:textId="77777777" w:rsidR="001614CB" w:rsidRPr="0054106D" w:rsidRDefault="001614CB" w:rsidP="006E12FF">
            <w:pPr>
              <w:spacing w:line="480" w:lineRule="auto"/>
              <w:ind w:left="567" w:right="-46"/>
              <w:jc w:val="both"/>
              <w:rPr>
                <w:rFonts w:ascii="Times New Roman" w:hAnsi="Times New Roman" w:cs="Times New Roman"/>
                <w:sz w:val="24"/>
                <w:szCs w:val="24"/>
              </w:rPr>
            </w:pPr>
            <w:r w:rsidRPr="0054106D">
              <w:rPr>
                <w:rFonts w:ascii="Times New Roman" w:hAnsi="Times New Roman" w:cs="Times New Roman"/>
                <w:sz w:val="24"/>
                <w:szCs w:val="24"/>
              </w:rPr>
              <w:t xml:space="preserve"> [My mother] sent me to school all those years. She used to get up to clean in [a supermarket] … from three [am] to half [past] seven and then come home and get my little brother ready for playschool. … That is why I really respect her. That is why I help her out with the bills now. … It is the way our family is. We are all close together. We still all live in the same area together as well. I can’t imagine my sisters moving off. … [My mother] still talks to this day about [me] going to college and doing courses and if I need the money and all that [she would provide it] … but at my age now, I wouldn’t want to take money off her when she hasn’t got it.</w:t>
            </w:r>
          </w:p>
        </w:tc>
        <w:tc>
          <w:tcPr>
            <w:tcW w:w="3685" w:type="dxa"/>
          </w:tcPr>
          <w:p w14:paraId="58C6D8B3" w14:textId="77777777" w:rsidR="001614CB" w:rsidRPr="0054106D" w:rsidRDefault="001614CB" w:rsidP="006E12FF">
            <w:pPr>
              <w:pStyle w:val="BodyText"/>
              <w:tabs>
                <w:tab w:val="left" w:pos="0"/>
              </w:tabs>
              <w:spacing w:line="480" w:lineRule="auto"/>
              <w:rPr>
                <w:lang w:val="en-IE"/>
              </w:rPr>
            </w:pPr>
          </w:p>
          <w:p w14:paraId="5F742C95" w14:textId="77777777" w:rsidR="001614CB" w:rsidRPr="0054106D" w:rsidRDefault="001614CB" w:rsidP="006E12FF">
            <w:pPr>
              <w:pStyle w:val="BodyText"/>
              <w:tabs>
                <w:tab w:val="left" w:pos="0"/>
              </w:tabs>
              <w:spacing w:line="480" w:lineRule="auto"/>
              <w:rPr>
                <w:lang w:val="en-IE"/>
              </w:rPr>
            </w:pPr>
            <w:r w:rsidRPr="0054106D">
              <w:rPr>
                <w:lang w:val="en-IE"/>
              </w:rPr>
              <w:t>observing hardship</w:t>
            </w:r>
          </w:p>
          <w:p w14:paraId="06DF3D01" w14:textId="77777777" w:rsidR="001614CB" w:rsidRPr="0054106D" w:rsidRDefault="001614CB" w:rsidP="006E12FF">
            <w:pPr>
              <w:pStyle w:val="BodyText"/>
              <w:tabs>
                <w:tab w:val="left" w:pos="0"/>
              </w:tabs>
              <w:spacing w:line="480" w:lineRule="auto"/>
              <w:rPr>
                <w:lang w:val="en-IE"/>
              </w:rPr>
            </w:pPr>
          </w:p>
          <w:p w14:paraId="3D33FFEB" w14:textId="77777777" w:rsidR="001614CB" w:rsidRPr="0054106D" w:rsidRDefault="001614CB" w:rsidP="006E12FF">
            <w:pPr>
              <w:pStyle w:val="BodyText"/>
              <w:tabs>
                <w:tab w:val="left" w:pos="0"/>
              </w:tabs>
              <w:spacing w:line="480" w:lineRule="auto"/>
              <w:rPr>
                <w:b/>
                <w:i/>
                <w:lang w:val="en-IE"/>
              </w:rPr>
            </w:pPr>
            <w:r w:rsidRPr="0054106D">
              <w:rPr>
                <w:b/>
                <w:i/>
                <w:lang w:val="en-IE"/>
              </w:rPr>
              <w:t>forging enmeshment</w:t>
            </w:r>
          </w:p>
          <w:p w14:paraId="0EEDA8D3" w14:textId="77777777" w:rsidR="001614CB" w:rsidRDefault="001614CB" w:rsidP="006E12FF">
            <w:pPr>
              <w:pStyle w:val="BodyText"/>
              <w:tabs>
                <w:tab w:val="left" w:pos="0"/>
              </w:tabs>
              <w:spacing w:line="480" w:lineRule="auto"/>
              <w:rPr>
                <w:lang w:val="en-IE"/>
              </w:rPr>
            </w:pPr>
          </w:p>
          <w:p w14:paraId="4E7260F2" w14:textId="77777777" w:rsidR="001614CB" w:rsidRPr="0054106D" w:rsidRDefault="001614CB" w:rsidP="006E12FF">
            <w:pPr>
              <w:pStyle w:val="BodyText"/>
              <w:tabs>
                <w:tab w:val="left" w:pos="0"/>
              </w:tabs>
              <w:spacing w:line="480" w:lineRule="auto"/>
              <w:rPr>
                <w:lang w:val="en-IE"/>
              </w:rPr>
            </w:pPr>
            <w:r w:rsidRPr="0054106D">
              <w:rPr>
                <w:lang w:val="en-IE"/>
              </w:rPr>
              <w:t>staying close by</w:t>
            </w:r>
          </w:p>
          <w:p w14:paraId="14FE09E5" w14:textId="77777777" w:rsidR="001614CB" w:rsidRPr="0054106D" w:rsidRDefault="001614CB" w:rsidP="006E12FF">
            <w:pPr>
              <w:pStyle w:val="BodyText"/>
              <w:tabs>
                <w:tab w:val="left" w:pos="0"/>
              </w:tabs>
              <w:spacing w:line="480" w:lineRule="auto"/>
              <w:rPr>
                <w:lang w:val="en-IE"/>
              </w:rPr>
            </w:pPr>
          </w:p>
          <w:p w14:paraId="70CE51D5" w14:textId="77777777" w:rsidR="001614CB" w:rsidRPr="0054106D" w:rsidRDefault="001614CB" w:rsidP="006E12FF">
            <w:pPr>
              <w:pStyle w:val="BodyText"/>
              <w:tabs>
                <w:tab w:val="left" w:pos="0"/>
              </w:tabs>
              <w:spacing w:line="480" w:lineRule="auto"/>
              <w:rPr>
                <w:lang w:val="en-IE"/>
              </w:rPr>
            </w:pPr>
          </w:p>
          <w:p w14:paraId="362648B3" w14:textId="77777777" w:rsidR="001614CB" w:rsidRDefault="001614CB" w:rsidP="006E12FF">
            <w:pPr>
              <w:pStyle w:val="BodyText"/>
              <w:tabs>
                <w:tab w:val="left" w:pos="0"/>
              </w:tabs>
              <w:spacing w:line="480" w:lineRule="auto"/>
              <w:rPr>
                <w:lang w:val="en-IE"/>
              </w:rPr>
            </w:pPr>
          </w:p>
          <w:p w14:paraId="75BFB94A" w14:textId="77777777" w:rsidR="001614CB" w:rsidRDefault="001614CB" w:rsidP="006E12FF">
            <w:pPr>
              <w:pStyle w:val="BodyText"/>
              <w:tabs>
                <w:tab w:val="left" w:pos="0"/>
              </w:tabs>
              <w:spacing w:line="480" w:lineRule="auto"/>
              <w:rPr>
                <w:lang w:val="en-IE"/>
              </w:rPr>
            </w:pPr>
          </w:p>
          <w:p w14:paraId="573449E9" w14:textId="77777777" w:rsidR="001614CB" w:rsidRPr="0054106D" w:rsidRDefault="001614CB" w:rsidP="006E12FF">
            <w:pPr>
              <w:pStyle w:val="BodyText"/>
              <w:tabs>
                <w:tab w:val="left" w:pos="0"/>
              </w:tabs>
              <w:spacing w:line="480" w:lineRule="auto"/>
              <w:rPr>
                <w:lang w:val="en-IE"/>
              </w:rPr>
            </w:pPr>
            <w:r w:rsidRPr="0054106D">
              <w:rPr>
                <w:lang w:val="en-IE"/>
              </w:rPr>
              <w:t>being a drain</w:t>
            </w:r>
          </w:p>
          <w:p w14:paraId="0C045D91" w14:textId="77777777" w:rsidR="001614CB" w:rsidRPr="0054106D" w:rsidRDefault="001614CB" w:rsidP="006E12FF">
            <w:pPr>
              <w:pStyle w:val="BodyText"/>
              <w:tabs>
                <w:tab w:val="left" w:pos="0"/>
              </w:tabs>
              <w:spacing w:line="480" w:lineRule="auto"/>
              <w:rPr>
                <w:lang w:val="en-IE"/>
              </w:rPr>
            </w:pPr>
            <w:r w:rsidRPr="0054106D">
              <w:rPr>
                <w:lang w:val="en-IE"/>
              </w:rPr>
              <w:t>fo</w:t>
            </w:r>
            <w:r>
              <w:rPr>
                <w:lang w:val="en-IE"/>
              </w:rPr>
              <w:t>r</w:t>
            </w:r>
            <w:r w:rsidRPr="0054106D">
              <w:rPr>
                <w:lang w:val="en-IE"/>
              </w:rPr>
              <w:t>going opportunities</w:t>
            </w:r>
          </w:p>
        </w:tc>
      </w:tr>
    </w:tbl>
    <w:p w14:paraId="20ADA5EF" w14:textId="77777777" w:rsidR="001614CB" w:rsidRDefault="001614CB" w:rsidP="001614CB"/>
    <w:p w14:paraId="3A2847AC" w14:textId="77777777" w:rsidR="001614CB" w:rsidRDefault="001614CB" w:rsidP="001614CB">
      <w:pPr>
        <w:pStyle w:val="TEITextExitElementAboveIndented"/>
        <w:ind w:firstLine="0"/>
      </w:pPr>
    </w:p>
    <w:p w14:paraId="348F00C2" w14:textId="45932CBE" w:rsidR="00836A1C" w:rsidRPr="000A6D66" w:rsidRDefault="00836A1C" w:rsidP="001614CB">
      <w:pPr>
        <w:pStyle w:val="TEITextExitElementAboveIndented"/>
        <w:ind w:firstLine="0"/>
      </w:pPr>
      <w:r w:rsidRPr="000A6D66">
        <w:t xml:space="preserve">In this excerpt a number of concepts common to interviews with younger lower socio-economic-status women in the study feature: ‘observing hardship’, ‘staying close by’, ‘being a drain’, ‘forgoing </w:t>
      </w:r>
      <w:proofErr w:type="gramStart"/>
      <w:r w:rsidRPr="000A6D66">
        <w:t>opportunities’</w:t>
      </w:r>
      <w:proofErr w:type="gramEnd"/>
      <w:r w:rsidRPr="000A6D66">
        <w:t xml:space="preserve">.  The codes of ‘observing hardship’ and ‘staying close by’ were connected to codes emerging from other interviews with women from lower socio-economic-status groups, including </w:t>
      </w:r>
      <w:r w:rsidRPr="000A6D66">
        <w:lastRenderedPageBreak/>
        <w:t xml:space="preserve">‘everybody helping everybody’, ‘exchanging short-term loans’, ‘doing grandmother care’. These focused codes were elevated in the analysis to a key conceptual category we called ‘living enmeshed </w:t>
      </w:r>
      <w:proofErr w:type="gramStart"/>
      <w:r w:rsidRPr="000A6D66">
        <w:t>lives’</w:t>
      </w:r>
      <w:proofErr w:type="gramEnd"/>
      <w:r w:rsidRPr="000A6D66">
        <w:t>.</w:t>
      </w:r>
    </w:p>
    <w:p w14:paraId="6D1CE891" w14:textId="77777777" w:rsidR="00836A1C" w:rsidRPr="000A6D66" w:rsidRDefault="00836A1C" w:rsidP="00836A1C">
      <w:pPr>
        <w:pStyle w:val="TITextIndent"/>
      </w:pPr>
      <w:r w:rsidRPr="000A6D66">
        <w:t xml:space="preserve">‘Living enmeshed lives’ created the conditions for elder care, or </w:t>
      </w:r>
      <w:r w:rsidRPr="000A6D66">
        <w:rPr>
          <w:iCs/>
        </w:rPr>
        <w:t>caring for</w:t>
      </w:r>
      <w:r w:rsidRPr="000A6D66">
        <w:t xml:space="preserve"> elders, as our data revealed how young women living enmeshed lives took decisions early in their lives that brought them along the pathway towards caring roles at an early life stage.  This was often done in awareness of other life chances they were forgoing. While ‘unquestioning obligation’ featured in the interviews, more often the data referred to affective resources such as ‘respect’ or ‘love’ as well as to reciprocation as underpinning the commitment to provide intergenerational care. This demonstrates a connection with Sonya’s excerpt above to signal a broader process of reworking obligation as based on ‘wanting to’ rather than ‘having to’.  In an abductive move within the analysis, we noted how our data endorsed a critique that greater attention should be given to the place of affect as one of the key constituents driving intergenerational solidarity along with norms and exchange (see, for example, Silverstein et al., 2012; Funk, 2012). </w:t>
      </w:r>
    </w:p>
    <w:p w14:paraId="0912F791" w14:textId="77777777" w:rsidR="00836A1C" w:rsidRPr="000A6D66" w:rsidRDefault="00836A1C" w:rsidP="00836A1C">
      <w:pPr>
        <w:pStyle w:val="TITextIndent"/>
      </w:pPr>
      <w:r w:rsidRPr="000A6D66">
        <w:t xml:space="preserve">Constant comparative analysis showed contrasting forms of </w:t>
      </w:r>
      <w:proofErr w:type="spellStart"/>
      <w:r w:rsidRPr="000A6D66">
        <w:t>interreliance</w:t>
      </w:r>
      <w:proofErr w:type="spellEnd"/>
      <w:r w:rsidRPr="000A6D66">
        <w:t xml:space="preserve"> and independence among family generations according to socio-economic locations. Young women in low socio-economic-status families lived closely enmeshed lives alongside other family generations and shifted towards feeling responsibility for others at a much earlier stage in the life course than their ‘generational peers’ in middle and higher socio-economic groups.  The latter portrayed their young adult years as </w:t>
      </w:r>
      <w:proofErr w:type="spellStart"/>
      <w:r w:rsidRPr="000A6D66">
        <w:t>characterised</w:t>
      </w:r>
      <w:proofErr w:type="spellEnd"/>
      <w:r w:rsidRPr="000A6D66">
        <w:t xml:space="preserve"> by freedom from responsibilities to other family generations and resources to pursue educational and occupational opportunities. Focused codes relating to obligation for this group included ‘having options’, ‘pursuing experiences’, ‘fostering independence’, ‘being freed from responsibilities’ and ‘being there supporting’, codes which we integrated into the category of ‘</w:t>
      </w:r>
      <w:r w:rsidRPr="000A6D66">
        <w:rPr>
          <w:iCs/>
        </w:rPr>
        <w:t xml:space="preserve">living freed </w:t>
      </w:r>
      <w:proofErr w:type="gramStart"/>
      <w:r w:rsidRPr="000A6D66">
        <w:rPr>
          <w:iCs/>
        </w:rPr>
        <w:t>lives’</w:t>
      </w:r>
      <w:proofErr w:type="gramEnd"/>
      <w:r w:rsidRPr="000A6D66">
        <w:rPr>
          <w:i/>
        </w:rPr>
        <w:t>.</w:t>
      </w:r>
      <w:r w:rsidRPr="000A6D66">
        <w:t xml:space="preserve"> Young women from lower socio-economic-status backgrounds who witnessed parents struggling as they grew up conveyed a commitment to be involved in both </w:t>
      </w:r>
      <w:r w:rsidRPr="000A6D66">
        <w:rPr>
          <w:i/>
        </w:rPr>
        <w:t xml:space="preserve">caring for </w:t>
      </w:r>
      <w:r w:rsidRPr="000A6D66">
        <w:t>and</w:t>
      </w:r>
      <w:r w:rsidRPr="000A6D66">
        <w:rPr>
          <w:i/>
        </w:rPr>
        <w:t xml:space="preserve"> caring about</w:t>
      </w:r>
      <w:r w:rsidRPr="000A6D66">
        <w:t xml:space="preserve"> older family members. Young women </w:t>
      </w:r>
      <w:r w:rsidRPr="000A6D66">
        <w:lastRenderedPageBreak/>
        <w:t xml:space="preserve">from middle and higher socio-economic-status families, whose parents had striven to foster independence, demonstrated commitment to care in the form of </w:t>
      </w:r>
      <w:r w:rsidRPr="000A6D66">
        <w:rPr>
          <w:i/>
        </w:rPr>
        <w:t>caring about</w:t>
      </w:r>
      <w:r w:rsidRPr="000A6D66">
        <w:t xml:space="preserve"> but displayed a responsibility to pursue opportunities presented to them, as opposed to responsibility to care for other family members.</w:t>
      </w:r>
    </w:p>
    <w:p w14:paraId="37B036F0" w14:textId="77777777" w:rsidR="00836A1C" w:rsidRPr="000A6D66" w:rsidRDefault="00836A1C" w:rsidP="00836A1C">
      <w:pPr>
        <w:pStyle w:val="TITextIndent"/>
      </w:pPr>
      <w:r w:rsidRPr="000A6D66">
        <w:t xml:space="preserve">Residing in the space between data and coding, memos do the important work of capturing insights close to the data, hunches for connections, patterns and processes.  They also spark creativity, allowing the researcher to </w:t>
      </w:r>
      <w:proofErr w:type="spellStart"/>
      <w:r w:rsidRPr="000A6D66">
        <w:t>theorise</w:t>
      </w:r>
      <w:proofErr w:type="spellEnd"/>
      <w:r w:rsidRPr="000A6D66">
        <w:t xml:space="preserve"> on prospective effects of emergent processes, as happened in this project.  Noting contrasting care-related expectations and attitudes by socio-economic location, we used theoretical memos to integrate thinking and insights sparked from contrasting and integrating some broad categories in the data suggesting (some) older women taking a critical stance on how the gendered ordering of care roles and responsibilities shapes and constrains women’s lives. </w:t>
      </w:r>
    </w:p>
    <w:p w14:paraId="7E38770A" w14:textId="5AEAD58C" w:rsidR="00836A1C" w:rsidRPr="000A6D66" w:rsidRDefault="00836A1C" w:rsidP="00836A1C">
      <w:pPr>
        <w:pStyle w:val="TITextIndent"/>
      </w:pPr>
      <w:r w:rsidRPr="000A6D66">
        <w:t xml:space="preserve">Memos noted how older women were observing younger women’s lives and integrating their observations with their own lived experiences in a process we </w:t>
      </w:r>
      <w:proofErr w:type="spellStart"/>
      <w:r w:rsidRPr="000A6D66">
        <w:t>theorised</w:t>
      </w:r>
      <w:proofErr w:type="spellEnd"/>
      <w:r w:rsidRPr="000A6D66">
        <w:t xml:space="preserve"> as ‘generational observing’. Putting this in conversation with extant literature on gender and caring, we identified a process in our data of older women </w:t>
      </w:r>
      <w:proofErr w:type="spellStart"/>
      <w:r w:rsidRPr="000A6D66">
        <w:t>recognising</w:t>
      </w:r>
      <w:proofErr w:type="spellEnd"/>
      <w:r w:rsidRPr="000A6D66">
        <w:t xml:space="preserve"> how caring responsibilities constrain women’s life chances as well as everyday choices regarding how to spend their time across the life course. We </w:t>
      </w:r>
      <w:proofErr w:type="spellStart"/>
      <w:r w:rsidRPr="000A6D66">
        <w:t>theorised</w:t>
      </w:r>
      <w:proofErr w:type="spellEnd"/>
      <w:r w:rsidRPr="000A6D66">
        <w:t xml:space="preserve"> older women withholding expectations and requests for help and support from younger women in the family </w:t>
      </w:r>
      <w:r w:rsidRPr="000A6D66">
        <w:rPr>
          <w:i/>
        </w:rPr>
        <w:t xml:space="preserve">and </w:t>
      </w:r>
      <w:r w:rsidRPr="000A6D66">
        <w:t xml:space="preserve">at the same time withholding providing care to grandchildren as instigating a shift in the place of care in intergenerational family relations.  This we argued constituted complex forms of intergenerational solidarity at collective and private level evolving among women, so that the absence of </w:t>
      </w:r>
      <w:r w:rsidRPr="000A6D66">
        <w:rPr>
          <w:i/>
        </w:rPr>
        <w:t>caring for</w:t>
      </w:r>
      <w:r w:rsidRPr="000A6D66">
        <w:t xml:space="preserve"> relationships is not an indication of lack of intergenerational solidarity but rather indicates changing forms of intergenerational solidarity.  Where </w:t>
      </w:r>
      <w:r w:rsidRPr="000A6D66">
        <w:rPr>
          <w:i/>
          <w:iCs/>
        </w:rPr>
        <w:t xml:space="preserve">caring for </w:t>
      </w:r>
      <w:r w:rsidRPr="000A6D66">
        <w:t xml:space="preserve">or care </w:t>
      </w:r>
      <w:proofErr w:type="spellStart"/>
      <w:r w:rsidRPr="000A6D66">
        <w:t>labour</w:t>
      </w:r>
      <w:proofErr w:type="spellEnd"/>
      <w:r w:rsidRPr="000A6D66">
        <w:t xml:space="preserve"> was </w:t>
      </w:r>
      <w:r w:rsidRPr="000A6D66">
        <w:rPr>
          <w:i/>
          <w:iCs/>
        </w:rPr>
        <w:t xml:space="preserve">not </w:t>
      </w:r>
      <w:r w:rsidRPr="000A6D66">
        <w:t xml:space="preserve">a feature of intergenerational relations, this was not indicative of the absence of intergenerational solidarity. Rather, more complex forms of intergenerational solidarity were being </w:t>
      </w:r>
      <w:proofErr w:type="spellStart"/>
      <w:r w:rsidRPr="000A6D66">
        <w:t>practised</w:t>
      </w:r>
      <w:proofErr w:type="spellEnd"/>
      <w:r w:rsidRPr="000A6D66">
        <w:t xml:space="preserve">, involving older women initiating change to the </w:t>
      </w:r>
      <w:r w:rsidRPr="000A6D66">
        <w:lastRenderedPageBreak/>
        <w:t xml:space="preserve">place of care work in their own lives and the lives of younger generations of women </w:t>
      </w:r>
      <w:proofErr w:type="gramStart"/>
      <w:r w:rsidRPr="000A6D66">
        <w:t>in an effort to</w:t>
      </w:r>
      <w:proofErr w:type="gramEnd"/>
      <w:r w:rsidRPr="000A6D66">
        <w:t xml:space="preserve"> break the chain of obligation to care (Conlon et al., </w:t>
      </w:r>
      <w:r w:rsidR="0086240E" w:rsidRPr="000A6D66">
        <w:t>201</w:t>
      </w:r>
      <w:r w:rsidR="0086240E">
        <w:t>4</w:t>
      </w:r>
      <w:r w:rsidRPr="000A6D66">
        <w:t xml:space="preserve">). </w:t>
      </w:r>
    </w:p>
    <w:p w14:paraId="573BC360" w14:textId="77777777" w:rsidR="00836A1C" w:rsidRPr="000A6D66" w:rsidRDefault="00836A1C" w:rsidP="00836A1C">
      <w:pPr>
        <w:pStyle w:val="AHAHead"/>
      </w:pPr>
      <w:r w:rsidRPr="000A6D66">
        <w:t>Conclusion</w:t>
      </w:r>
    </w:p>
    <w:p w14:paraId="2AC326BF" w14:textId="77777777" w:rsidR="00836A1C" w:rsidRPr="000A6D66" w:rsidRDefault="00836A1C" w:rsidP="00836A1C">
      <w:pPr>
        <w:pStyle w:val="TFTextFullOut"/>
      </w:pPr>
      <w:r w:rsidRPr="000A6D66">
        <w:t xml:space="preserve">A grounded theory study involves the researcher articulating out as openly as possible the phenomenon under inquiry, generating data representative of that phenomenon in action, considering these data for the concepts and processes they suggest and then returning to generate further data to pursue and interrogate nascent insights.  Through a combination of empirical scrutiny and analytic precision, the grounded theorist connects the mundane and the everyday with the social and structural.  Remaining open to the inquiry can mean that focused research questions are suspended until sufficient data are generated to allow questions to emerge inductively from the data.  Theoretical sampling means actively seeking out new, contrasting contexts or alternatively positioned research participants. This process is directed by insights gleaned from data and it is driven by an interest to fully interrogate the comparative potential in the data.  Theoretical sampling is not just sampling for research participants, events or cases, but most importantly sampling to develop concepts and categories that emerge within the inquiry. Residing in the space between data and coding, memo-writing does the important work of capturing insights close to the data of hunches about connections, patterns and processes with theoretical significance. </w:t>
      </w:r>
    </w:p>
    <w:p w14:paraId="1BB2444E" w14:textId="77777777" w:rsidR="00836A1C" w:rsidRPr="000A6D66" w:rsidRDefault="00836A1C" w:rsidP="00836A1C">
      <w:pPr>
        <w:pStyle w:val="TITextIndent"/>
      </w:pPr>
      <w:r w:rsidRPr="000A6D66">
        <w:t xml:space="preserve">This is the process we worked through as we engaged with our emerging insights on how obligation is being replaced by affect-orientated process within intergenerational relations in the context of postmodernity involving greater emphasis on reflexive self-making.  The place of care and intergenerational solidarity is shaped by class and gender with lower socio-economic-status young women encountering constraints on their life chances as they attend to intergenerational care and support needs.  In higher socio-economic groups, meanwhile, we noted a change being initiated in the role care plays in </w:t>
      </w:r>
      <w:r w:rsidRPr="000A6D66">
        <w:lastRenderedPageBreak/>
        <w:t xml:space="preserve">shaping intergenerational relations by older women.   Withholding grandmother caring for grandchildren in this study emerged as </w:t>
      </w:r>
      <w:r w:rsidRPr="000A6D66">
        <w:rPr>
          <w:i/>
        </w:rPr>
        <w:t>not</w:t>
      </w:r>
      <w:r w:rsidRPr="000A6D66">
        <w:t xml:space="preserve"> constitutive of an absence of solidarity towards younger generations.  Rather it emerged as a complex intergenerational gender-based solidarity directed towards initiating change in the place of care in the lives of women.  GT work is </w:t>
      </w:r>
      <w:proofErr w:type="gramStart"/>
      <w:r w:rsidRPr="000A6D66">
        <w:t>iterative</w:t>
      </w:r>
      <w:proofErr w:type="gramEnd"/>
      <w:r w:rsidRPr="000A6D66">
        <w:t xml:space="preserve"> and no processes are discrete as the researcher moves constantly back and forth across the inquiry.  The example of the </w:t>
      </w:r>
      <w:r w:rsidRPr="000A6D66">
        <w:rPr>
          <w:i/>
        </w:rPr>
        <w:t xml:space="preserve">Changing Generations </w:t>
      </w:r>
      <w:r w:rsidRPr="000A6D66">
        <w:t xml:space="preserve">study described in this chapter illustrates that no one process from the GT method occurs as a separate, distinct phase in the research.  Rather stages and processes of data generation, analysis and theory-building overlap and occur iteratively, rather than sequentially, always with a concern for data to be the ground for any theory that emerges. </w:t>
      </w:r>
    </w:p>
    <w:p w14:paraId="20F332CA" w14:textId="77777777" w:rsidR="00836A1C" w:rsidRPr="000A6D66" w:rsidRDefault="00836A1C" w:rsidP="00836A1C">
      <w:pPr>
        <w:pStyle w:val="AHAHead"/>
      </w:pPr>
      <w:r w:rsidRPr="000A6D66">
        <w:t>Acknowledgements</w:t>
      </w:r>
    </w:p>
    <w:p w14:paraId="2CF029AE" w14:textId="77777777" w:rsidR="00836A1C" w:rsidRPr="000A6D66" w:rsidRDefault="00836A1C" w:rsidP="00836A1C">
      <w:pPr>
        <w:pStyle w:val="TFTextFullOut"/>
        <w:rPr>
          <w:b/>
        </w:rPr>
      </w:pPr>
      <w:r w:rsidRPr="000A6D66">
        <w:t xml:space="preserve">Thanks to </w:t>
      </w:r>
      <w:proofErr w:type="spellStart"/>
      <w:r w:rsidRPr="000A6D66">
        <w:t>Margaretha</w:t>
      </w:r>
      <w:proofErr w:type="spellEnd"/>
      <w:r w:rsidRPr="000A6D66">
        <w:t xml:space="preserve"> </w:t>
      </w:r>
      <w:proofErr w:type="spellStart"/>
      <w:r w:rsidRPr="000A6D66">
        <w:t>Järvinen</w:t>
      </w:r>
      <w:proofErr w:type="spellEnd"/>
      <w:r w:rsidRPr="000A6D66">
        <w:t xml:space="preserve"> and Nanna Mik-Meyer for inviting me to contribute to this volume and for their work in commenting on drafts to develop the iteration published here.  Thanks to my colleagues on the </w:t>
      </w:r>
      <w:r w:rsidRPr="000A6D66">
        <w:rPr>
          <w:i/>
        </w:rPr>
        <w:t>Changing Generations</w:t>
      </w:r>
      <w:r w:rsidRPr="000A6D66">
        <w:t xml:space="preserve"> study, </w:t>
      </w:r>
      <w:proofErr w:type="spellStart"/>
      <w:r w:rsidRPr="000A6D66">
        <w:t>Virpi</w:t>
      </w:r>
      <w:proofErr w:type="spellEnd"/>
      <w:r w:rsidRPr="000A6D66">
        <w:t xml:space="preserve"> Timonen, Thomas Scharf and Gemma Carney, to Kathy Charmaz who acted as advisor to the study and to the funders of the project ‘The Atlantic </w:t>
      </w:r>
      <w:proofErr w:type="spellStart"/>
      <w:r w:rsidRPr="000A6D66">
        <w:t>Philanthrophies</w:t>
      </w:r>
      <w:proofErr w:type="spellEnd"/>
      <w:r w:rsidRPr="000A6D66">
        <w:t>’.</w:t>
      </w:r>
    </w:p>
    <w:p w14:paraId="147BB7D4" w14:textId="77777777" w:rsidR="00836A1C" w:rsidRPr="000A6D66" w:rsidRDefault="00836A1C" w:rsidP="00836A1C">
      <w:pPr>
        <w:pStyle w:val="AHAHead"/>
      </w:pPr>
      <w:r w:rsidRPr="000A6D66">
        <w:t>Key concepts</w:t>
      </w:r>
    </w:p>
    <w:p w14:paraId="6947FBA8" w14:textId="77777777" w:rsidR="00836A1C" w:rsidRPr="000A6D66" w:rsidRDefault="00836A1C" w:rsidP="00836A1C">
      <w:pPr>
        <w:pStyle w:val="BHBHead"/>
      </w:pPr>
      <w:r w:rsidRPr="000A6D66">
        <w:t xml:space="preserve">Pragmatism </w:t>
      </w:r>
    </w:p>
    <w:p w14:paraId="098E4C5A" w14:textId="77777777" w:rsidR="00836A1C" w:rsidRPr="000A6D66" w:rsidRDefault="00836A1C" w:rsidP="00836A1C">
      <w:pPr>
        <w:pStyle w:val="TFTextFullOut"/>
      </w:pPr>
      <w:r w:rsidRPr="000A6D66">
        <w:t xml:space="preserve">A philosophical position that views reality as </w:t>
      </w:r>
      <w:proofErr w:type="spellStart"/>
      <w:r w:rsidRPr="000A6D66">
        <w:t>characterised</w:t>
      </w:r>
      <w:proofErr w:type="spellEnd"/>
      <w:r w:rsidRPr="000A6D66">
        <w:t xml:space="preserve"> by indeterminacy and fluidity and open to multiple interpretations.  This perspective sees human actors as creative and active in bringing reality into being.  Meanings emerge through practical action and in turn people come to know the world through action.  Facts and values are interlinked as opposed to separate, and truth is relative and provisional as opposed to fixed and universal.</w:t>
      </w:r>
    </w:p>
    <w:p w14:paraId="3313D6E3" w14:textId="77777777" w:rsidR="00836A1C" w:rsidRPr="000A6D66" w:rsidRDefault="00836A1C" w:rsidP="00836A1C">
      <w:pPr>
        <w:pStyle w:val="BHBHead"/>
      </w:pPr>
      <w:r w:rsidRPr="000A6D66">
        <w:lastRenderedPageBreak/>
        <w:t xml:space="preserve">Inductive reasoning </w:t>
      </w:r>
    </w:p>
    <w:p w14:paraId="1B27932A" w14:textId="77777777" w:rsidR="00836A1C" w:rsidRPr="000A6D66" w:rsidRDefault="00836A1C" w:rsidP="00836A1C">
      <w:pPr>
        <w:pStyle w:val="TFTextFullOut"/>
      </w:pPr>
      <w:r w:rsidRPr="000A6D66">
        <w:t>A form of reasoning that begins with the study of a range of individual cases and extrapolates patterns and meanings from them to form a conceptual category.</w:t>
      </w:r>
    </w:p>
    <w:p w14:paraId="58457DC9" w14:textId="77777777" w:rsidR="00836A1C" w:rsidRPr="000A6D66" w:rsidRDefault="00836A1C" w:rsidP="00836A1C">
      <w:pPr>
        <w:pStyle w:val="BHBHead"/>
      </w:pPr>
      <w:r w:rsidRPr="000A6D66">
        <w:t xml:space="preserve">Abductive reasoning </w:t>
      </w:r>
    </w:p>
    <w:p w14:paraId="7CF76574" w14:textId="77777777" w:rsidR="00836A1C" w:rsidRPr="000A6D66" w:rsidRDefault="00836A1C" w:rsidP="00836A1C">
      <w:pPr>
        <w:pStyle w:val="TFTextFullOut"/>
        <w:rPr>
          <w:i/>
        </w:rPr>
      </w:pPr>
      <w:r w:rsidRPr="000A6D66">
        <w:t>A form of reasoning that begins by studying empirical data and entertains all possible explanations for the data observed, and following this, forms hypotheses to confirm or discount in the data until the researcher arrives at the most plausible interpretation of the observed data.</w:t>
      </w:r>
    </w:p>
    <w:p w14:paraId="39FC0063" w14:textId="77777777" w:rsidR="00836A1C" w:rsidRPr="000A6D66" w:rsidRDefault="00836A1C" w:rsidP="00836A1C">
      <w:pPr>
        <w:pStyle w:val="BHBHead"/>
      </w:pPr>
      <w:r w:rsidRPr="000A6D66">
        <w:t xml:space="preserve">Constant comparative analysis </w:t>
      </w:r>
    </w:p>
    <w:p w14:paraId="13A7A983" w14:textId="77777777" w:rsidR="00836A1C" w:rsidRPr="000A6D66" w:rsidRDefault="00836A1C" w:rsidP="00836A1C">
      <w:pPr>
        <w:pStyle w:val="TFTextFullOut"/>
      </w:pPr>
      <w:r w:rsidRPr="000A6D66">
        <w:t>A method of analysis based on inductive processes of comparisons within the data set.  It involves comparing data with data, data with category, category with category, and category with concept as a way of developing analysis through iterative stages.  Each stage generates successively more abstract concepts and theories.</w:t>
      </w:r>
    </w:p>
    <w:p w14:paraId="221ECE60" w14:textId="77777777" w:rsidR="00836A1C" w:rsidRPr="000A6D66" w:rsidRDefault="00836A1C" w:rsidP="00836A1C">
      <w:pPr>
        <w:pStyle w:val="BHBHead"/>
      </w:pPr>
      <w:r w:rsidRPr="000A6D66">
        <w:t xml:space="preserve">Memo-writing </w:t>
      </w:r>
    </w:p>
    <w:p w14:paraId="12DFECCE" w14:textId="77777777" w:rsidR="00836A1C" w:rsidRPr="000A6D66" w:rsidRDefault="00836A1C" w:rsidP="00836A1C">
      <w:pPr>
        <w:pStyle w:val="TFTextFullOut"/>
      </w:pPr>
      <w:r w:rsidRPr="000A6D66">
        <w:t xml:space="preserve">A key stage between data collection and building meaning and theory.  Memo-writing involves the researcher articulating their ideas about their codes and emerging categories, including links between them, in whatever way they are seeing these codes, categories and linkages in the data.  In GT memo-writing is used from an early stage to prompt researchers to </w:t>
      </w:r>
      <w:proofErr w:type="spellStart"/>
      <w:r w:rsidRPr="000A6D66">
        <w:t>analyse</w:t>
      </w:r>
      <w:proofErr w:type="spellEnd"/>
      <w:r w:rsidRPr="000A6D66">
        <w:t xml:space="preserve"> their data and formulate emerging meanings from early in the research process.  Memos are revisited and </w:t>
      </w:r>
      <w:proofErr w:type="gramStart"/>
      <w:r w:rsidRPr="000A6D66">
        <w:t>revised</w:t>
      </w:r>
      <w:proofErr w:type="gramEnd"/>
      <w:r w:rsidRPr="000A6D66">
        <w:t xml:space="preserve"> and successive versions are intended to reach further levels of abstraction to support theory-building.  Memos are important building blocks for the GT researcher between collecting the data and writing up analysis.</w:t>
      </w:r>
    </w:p>
    <w:p w14:paraId="338C4998" w14:textId="77777777" w:rsidR="00836A1C" w:rsidRPr="000A6D66" w:rsidRDefault="00836A1C" w:rsidP="00836A1C">
      <w:pPr>
        <w:pStyle w:val="AHAHead"/>
      </w:pPr>
      <w:r w:rsidRPr="000A6D66">
        <w:lastRenderedPageBreak/>
        <w:t>Further reading</w:t>
      </w:r>
    </w:p>
    <w:p w14:paraId="27F00CE2" w14:textId="77777777" w:rsidR="00836A1C" w:rsidRPr="000A6D66" w:rsidRDefault="00836A1C" w:rsidP="00836A1C">
      <w:pPr>
        <w:pStyle w:val="REFReferenceText"/>
        <w:rPr>
          <w:shd w:val="clear" w:color="auto" w:fill="FFFFFF"/>
        </w:rPr>
      </w:pPr>
      <w:r w:rsidRPr="000A6D66">
        <w:t xml:space="preserve">Clarke AE (2003) Situational analysis: Grounded theory mapping after the postmodern turn. </w:t>
      </w:r>
      <w:r w:rsidRPr="000A6D66">
        <w:rPr>
          <w:i/>
        </w:rPr>
        <w:t>Symbolic Interaction</w:t>
      </w:r>
      <w:r w:rsidRPr="000A6D66">
        <w:t xml:space="preserve"> 26(4): 553–576.</w:t>
      </w:r>
      <w:r w:rsidRPr="000A6D66">
        <w:rPr>
          <w:shd w:val="clear" w:color="auto" w:fill="FFFFFF"/>
        </w:rPr>
        <w:t xml:space="preserve"> </w:t>
      </w:r>
    </w:p>
    <w:p w14:paraId="3F2B0A93" w14:textId="77777777" w:rsidR="00836A1C" w:rsidRPr="000A6D66" w:rsidRDefault="00836A1C" w:rsidP="00836A1C">
      <w:pPr>
        <w:pStyle w:val="REFReferenceText"/>
      </w:pPr>
      <w:r w:rsidRPr="000A6D66">
        <w:t>Conlon C, Carney G, Timonen, V and Scharf T (2015) Emergent reconstruction in grounded theory: Learning from team-based interview research. </w:t>
      </w:r>
      <w:r w:rsidRPr="000A6D66">
        <w:rPr>
          <w:i/>
        </w:rPr>
        <w:t xml:space="preserve">Qualitative Research </w:t>
      </w:r>
      <w:r w:rsidRPr="000A6D66">
        <w:t xml:space="preserve">15(1): 39–56. </w:t>
      </w:r>
    </w:p>
    <w:p w14:paraId="71418663" w14:textId="77777777" w:rsidR="00836A1C" w:rsidRPr="000A6D66" w:rsidRDefault="00836A1C" w:rsidP="00836A1C">
      <w:pPr>
        <w:pStyle w:val="REFReferenceText"/>
        <w:rPr>
          <w:rFonts w:eastAsia="Times New Roman"/>
        </w:rPr>
      </w:pPr>
      <w:r w:rsidRPr="000A6D66">
        <w:t xml:space="preserve">Flick U (2018) </w:t>
      </w:r>
      <w:r w:rsidRPr="000A6D66">
        <w:rPr>
          <w:i/>
        </w:rPr>
        <w:t>Doing Grounded Theory.</w:t>
      </w:r>
      <w:r w:rsidRPr="000A6D66">
        <w:t xml:space="preserve">  London: Sage.</w:t>
      </w:r>
    </w:p>
    <w:p w14:paraId="79CD6DC3" w14:textId="77777777" w:rsidR="00836A1C" w:rsidRPr="000A6D66" w:rsidRDefault="00836A1C" w:rsidP="00836A1C">
      <w:pPr>
        <w:pStyle w:val="REFReferenceText"/>
      </w:pPr>
      <w:r w:rsidRPr="000A6D66">
        <w:t xml:space="preserve">Ralph N, Birks M and Chapman Y (2015) The methodological dynamism of grounded theory. </w:t>
      </w:r>
      <w:r w:rsidRPr="000A6D66">
        <w:rPr>
          <w:i/>
        </w:rPr>
        <w:t>International Journal of Qualitative Methods</w:t>
      </w:r>
      <w:r w:rsidRPr="000A6D66">
        <w:t xml:space="preserve">, 14(4). </w:t>
      </w:r>
    </w:p>
    <w:p w14:paraId="58F8BDF6" w14:textId="77777777" w:rsidR="00836A1C" w:rsidRPr="000A6D66" w:rsidRDefault="00836A1C" w:rsidP="00836A1C">
      <w:pPr>
        <w:pStyle w:val="REFReferenceText"/>
      </w:pPr>
      <w:r w:rsidRPr="000A6D66">
        <w:t xml:space="preserve">Timmermans S and </w:t>
      </w:r>
      <w:proofErr w:type="spellStart"/>
      <w:r w:rsidRPr="000A6D66">
        <w:t>Tavory</w:t>
      </w:r>
      <w:proofErr w:type="spellEnd"/>
      <w:r w:rsidRPr="000A6D66">
        <w:t xml:space="preserve"> I (2012) Theory construction in qualitative research: From grounded theory to abductive analysis. </w:t>
      </w:r>
      <w:r w:rsidRPr="000A6D66">
        <w:rPr>
          <w:i/>
        </w:rPr>
        <w:t>Sociological Theory</w:t>
      </w:r>
      <w:r w:rsidRPr="000A6D66">
        <w:t xml:space="preserve"> 30(3): 167–186. </w:t>
      </w:r>
    </w:p>
    <w:p w14:paraId="599C6467" w14:textId="77777777" w:rsidR="00836A1C" w:rsidRPr="000A6D66" w:rsidRDefault="00836A1C" w:rsidP="00836A1C">
      <w:pPr>
        <w:pStyle w:val="REFReferenceText"/>
      </w:pPr>
      <w:r w:rsidRPr="000A6D66">
        <w:rPr>
          <w:color w:val="000000"/>
          <w:shd w:val="clear" w:color="auto" w:fill="FFFFFF"/>
        </w:rPr>
        <w:t>Timonen V, Foley G and Conlon C (2018) Challenges when using grounded theory: A pragmatic introduction to doing GT research. </w:t>
      </w:r>
      <w:r w:rsidRPr="000A6D66">
        <w:rPr>
          <w:i/>
          <w:color w:val="000000"/>
          <w:shd w:val="clear" w:color="auto" w:fill="FFFFFF"/>
        </w:rPr>
        <w:t xml:space="preserve">International Journal of Qualitative Methods </w:t>
      </w:r>
      <w:r w:rsidRPr="000A6D66">
        <w:rPr>
          <w:color w:val="000000"/>
          <w:shd w:val="clear" w:color="auto" w:fill="FFFFFF"/>
        </w:rPr>
        <w:t xml:space="preserve">17(1). </w:t>
      </w:r>
    </w:p>
    <w:p w14:paraId="5FC49BAF" w14:textId="77777777" w:rsidR="00836A1C" w:rsidRPr="000A6D66" w:rsidRDefault="00836A1C" w:rsidP="00836A1C">
      <w:pPr>
        <w:pStyle w:val="AHAHead"/>
      </w:pPr>
      <w:r w:rsidRPr="000A6D66">
        <w:t>References</w:t>
      </w:r>
    </w:p>
    <w:p w14:paraId="1495615E" w14:textId="77777777" w:rsidR="00836A1C" w:rsidRPr="000A6D66" w:rsidRDefault="00836A1C" w:rsidP="00836A1C">
      <w:pPr>
        <w:pStyle w:val="REFReferenceText"/>
      </w:pPr>
      <w:r w:rsidRPr="000A6D66">
        <w:t xml:space="preserve">Atkinson, P., Coffey, A. and Delamont, S. (2003). </w:t>
      </w:r>
      <w:r w:rsidRPr="000A6D66">
        <w:rPr>
          <w:i/>
          <w:iCs w:val="0"/>
        </w:rPr>
        <w:t>Key Themes in Qualitative Research: Continuities and Changes</w:t>
      </w:r>
      <w:r w:rsidRPr="000A6D66">
        <w:t xml:space="preserve">. Walnut Creek, CA: </w:t>
      </w:r>
      <w:proofErr w:type="spellStart"/>
      <w:r w:rsidRPr="000A6D66">
        <w:t>AltaMira</w:t>
      </w:r>
      <w:proofErr w:type="spellEnd"/>
      <w:r w:rsidRPr="000A6D66">
        <w:t xml:space="preserve"> Press.</w:t>
      </w:r>
    </w:p>
    <w:p w14:paraId="1E568613" w14:textId="77777777" w:rsidR="00836A1C" w:rsidRPr="000A6D66" w:rsidRDefault="00836A1C" w:rsidP="00836A1C">
      <w:pPr>
        <w:pStyle w:val="REFReferenceText"/>
      </w:pPr>
      <w:r w:rsidRPr="000A6D66">
        <w:t xml:space="preserve">Charmaz K (2006) </w:t>
      </w:r>
      <w:r w:rsidRPr="000A6D66">
        <w:rPr>
          <w:i/>
        </w:rPr>
        <w:t>Constructing Grounded Theory. A Practical Guide through Qualitative Analysis.</w:t>
      </w:r>
      <w:r w:rsidRPr="000A6D66">
        <w:t xml:space="preserve"> London: Sage.</w:t>
      </w:r>
    </w:p>
    <w:p w14:paraId="78624072" w14:textId="77777777" w:rsidR="00836A1C" w:rsidRPr="000A6D66" w:rsidRDefault="00836A1C" w:rsidP="00836A1C">
      <w:pPr>
        <w:pStyle w:val="REFReferenceText"/>
      </w:pPr>
      <w:r w:rsidRPr="000A6D66">
        <w:t xml:space="preserve">Charmaz K (2013) Grounded theory methods in social justice research. In Denzin NK and Lincoln YS (eds) </w:t>
      </w:r>
      <w:r w:rsidRPr="000A6D66">
        <w:rPr>
          <w:i/>
        </w:rPr>
        <w:t xml:space="preserve">Strategies of Qualitative Inquiry, </w:t>
      </w:r>
      <w:r w:rsidRPr="000A6D66">
        <w:t xml:space="preserve">4th </w:t>
      </w:r>
      <w:proofErr w:type="spellStart"/>
      <w:r w:rsidRPr="000A6D66">
        <w:t>edn</w:t>
      </w:r>
      <w:proofErr w:type="spellEnd"/>
      <w:r w:rsidRPr="000A6D66">
        <w:t>. Thousand Oaks, CA: Sage, pp. 291–336.</w:t>
      </w:r>
    </w:p>
    <w:p w14:paraId="6C4F426F" w14:textId="77777777" w:rsidR="00836A1C" w:rsidRPr="000A6D66" w:rsidRDefault="00836A1C" w:rsidP="00836A1C">
      <w:pPr>
        <w:pStyle w:val="REFReferenceText"/>
      </w:pPr>
      <w:r w:rsidRPr="000A6D66">
        <w:lastRenderedPageBreak/>
        <w:t xml:space="preserve">Charmaz K (2014) </w:t>
      </w:r>
      <w:r w:rsidRPr="000A6D66">
        <w:rPr>
          <w:i/>
        </w:rPr>
        <w:t xml:space="preserve">Constructing Grounded Theory, </w:t>
      </w:r>
      <w:r w:rsidRPr="000A6D66">
        <w:t xml:space="preserve">2nd </w:t>
      </w:r>
      <w:proofErr w:type="spellStart"/>
      <w:r w:rsidRPr="000A6D66">
        <w:t>edn</w:t>
      </w:r>
      <w:proofErr w:type="spellEnd"/>
      <w:r w:rsidRPr="000A6D66">
        <w:t>. London: Sage.</w:t>
      </w:r>
    </w:p>
    <w:p w14:paraId="37B48141" w14:textId="77777777" w:rsidR="00836A1C" w:rsidRPr="000A6D66" w:rsidRDefault="00836A1C" w:rsidP="00836A1C">
      <w:pPr>
        <w:pStyle w:val="REFReferenceText"/>
      </w:pPr>
      <w:r w:rsidRPr="000A6D66">
        <w:t xml:space="preserve">Charmaz, K. and Belgrave, L. (2012) ‘Qualitative interviewing and grounded theory analysis’, in J.F. </w:t>
      </w:r>
      <w:proofErr w:type="spellStart"/>
      <w:r w:rsidRPr="000A6D66">
        <w:t>Gubrium</w:t>
      </w:r>
      <w:proofErr w:type="spellEnd"/>
      <w:r w:rsidRPr="000A6D66">
        <w:t xml:space="preserve">, J.A. Holstein, A. </w:t>
      </w:r>
      <w:proofErr w:type="spellStart"/>
      <w:r w:rsidRPr="000A6D66">
        <w:t>Marvasti</w:t>
      </w:r>
      <w:proofErr w:type="spellEnd"/>
      <w:r w:rsidRPr="000A6D66">
        <w:t xml:space="preserve"> and K.M. </w:t>
      </w:r>
      <w:proofErr w:type="spellStart"/>
      <w:r w:rsidRPr="000A6D66">
        <w:t>Marvasti</w:t>
      </w:r>
      <w:proofErr w:type="spellEnd"/>
      <w:r w:rsidRPr="000A6D66">
        <w:t xml:space="preserve"> (eds.), </w:t>
      </w:r>
      <w:r w:rsidRPr="000A6D66">
        <w:rPr>
          <w:i/>
          <w:iCs w:val="0"/>
        </w:rPr>
        <w:t>Handbook of Interview Research</w:t>
      </w:r>
      <w:r w:rsidRPr="000A6D66">
        <w:t xml:space="preserve">, 2nd </w:t>
      </w:r>
      <w:proofErr w:type="spellStart"/>
      <w:r w:rsidRPr="000A6D66">
        <w:t>edn</w:t>
      </w:r>
      <w:proofErr w:type="spellEnd"/>
      <w:r w:rsidRPr="000A6D66">
        <w:t>. Thousand Oaks, CA: Sage, pp. 347–365.</w:t>
      </w:r>
    </w:p>
    <w:p w14:paraId="09D06D8B" w14:textId="77777777" w:rsidR="00836A1C" w:rsidRPr="000A6D66" w:rsidRDefault="00836A1C" w:rsidP="00836A1C">
      <w:pPr>
        <w:pStyle w:val="REFReferenceText"/>
      </w:pPr>
      <w:r w:rsidRPr="000A6D66">
        <w:t xml:space="preserve">Clarke </w:t>
      </w:r>
      <w:proofErr w:type="gramStart"/>
      <w:r w:rsidRPr="000A6D66">
        <w:t>AE  (</w:t>
      </w:r>
      <w:proofErr w:type="gramEnd"/>
      <w:r w:rsidRPr="000A6D66">
        <w:t xml:space="preserve">2005) </w:t>
      </w:r>
      <w:r w:rsidRPr="000A6D66">
        <w:rPr>
          <w:i/>
        </w:rPr>
        <w:t>Situational Analysis: Grounded Theory after the Postmodern Turn</w:t>
      </w:r>
      <w:r w:rsidRPr="000A6D66">
        <w:t>. Thousand Oaks, CA: Sage.</w:t>
      </w:r>
    </w:p>
    <w:p w14:paraId="1C072253" w14:textId="77777777" w:rsidR="00836A1C" w:rsidRPr="000A6D66" w:rsidRDefault="00836A1C" w:rsidP="00836A1C">
      <w:pPr>
        <w:pStyle w:val="REFReferenceText"/>
        <w:rPr>
          <w:rFonts w:eastAsia="Times New Roman"/>
        </w:rPr>
      </w:pPr>
      <w:r w:rsidRPr="000A6D66">
        <w:rPr>
          <w:rFonts w:eastAsia="Times New Roman"/>
        </w:rPr>
        <w:t xml:space="preserve">Clarke AE (2014) Grounded theory: Critiques, debates and situational analysis. In: Clarke AE and Charmaz K (eds) </w:t>
      </w:r>
      <w:r w:rsidRPr="000A6D66">
        <w:rPr>
          <w:rFonts w:eastAsia="Times New Roman"/>
          <w:i/>
        </w:rPr>
        <w:t>Grounded Theory and Situational Analysis</w:t>
      </w:r>
      <w:r w:rsidRPr="000A6D66">
        <w:rPr>
          <w:rFonts w:eastAsia="Times New Roman"/>
        </w:rPr>
        <w:t>. London: Sage, pp. 225–252.</w:t>
      </w:r>
    </w:p>
    <w:p w14:paraId="58BC7FCD" w14:textId="77777777" w:rsidR="00836A1C" w:rsidRPr="000A6D66" w:rsidRDefault="00836A1C" w:rsidP="00836A1C">
      <w:pPr>
        <w:pStyle w:val="REFReferenceText"/>
        <w:rPr>
          <w:bCs/>
          <w:color w:val="333300"/>
          <w:shd w:val="clear" w:color="auto" w:fill="FFFFFF"/>
        </w:rPr>
      </w:pPr>
      <w:r w:rsidRPr="000A6D66">
        <w:t>Conlon C, Carney G, Timonen V and Scharf T (2015) Emergent reconstruction in grounded theory: Learning from team-based interview research. </w:t>
      </w:r>
      <w:r w:rsidRPr="000A6D66">
        <w:rPr>
          <w:i/>
        </w:rPr>
        <w:t xml:space="preserve">Qualitative Research </w:t>
      </w:r>
      <w:r w:rsidRPr="000A6D66">
        <w:t>15(1): 39–56.</w:t>
      </w:r>
    </w:p>
    <w:p w14:paraId="527FB769" w14:textId="77777777" w:rsidR="00836A1C" w:rsidRPr="000A6D66" w:rsidRDefault="00836A1C" w:rsidP="00836A1C">
      <w:pPr>
        <w:pStyle w:val="REFReferenceText"/>
      </w:pPr>
      <w:r w:rsidRPr="000A6D66">
        <w:t xml:space="preserve">Conlon C, Timonen V, Carney C and Scharf T (2014) Women renegotiating care across family generations: Intersections of gender and socioeconomic status. </w:t>
      </w:r>
      <w:r w:rsidRPr="000A6D66">
        <w:rPr>
          <w:i/>
        </w:rPr>
        <w:t>Gender &amp; Society</w:t>
      </w:r>
      <w:r w:rsidRPr="000A6D66">
        <w:t xml:space="preserve"> 28(5): 729–751.</w:t>
      </w:r>
    </w:p>
    <w:p w14:paraId="4B598DA0" w14:textId="77777777" w:rsidR="00836A1C" w:rsidRPr="000A6D66" w:rsidRDefault="00836A1C" w:rsidP="00836A1C">
      <w:pPr>
        <w:pStyle w:val="REFReferenceText"/>
      </w:pPr>
      <w:r w:rsidRPr="000A6D66">
        <w:t xml:space="preserve">Corbin J and Strauss A (2015) </w:t>
      </w:r>
      <w:r w:rsidRPr="000A6D66">
        <w:rPr>
          <w:i/>
        </w:rPr>
        <w:t xml:space="preserve">Basics of Qualitative Research: Techniques and Procedures for Developing Grounded Theory, </w:t>
      </w:r>
      <w:r w:rsidRPr="000A6D66">
        <w:t xml:space="preserve">4th </w:t>
      </w:r>
      <w:proofErr w:type="spellStart"/>
      <w:r w:rsidRPr="000A6D66">
        <w:t>edn</w:t>
      </w:r>
      <w:proofErr w:type="spellEnd"/>
      <w:r w:rsidRPr="000A6D66">
        <w:t>. Thousand Oaks, CA: Sage.</w:t>
      </w:r>
    </w:p>
    <w:p w14:paraId="459B0BD7" w14:textId="77777777" w:rsidR="00836A1C" w:rsidRPr="000A6D66" w:rsidRDefault="00836A1C" w:rsidP="00836A1C">
      <w:pPr>
        <w:pStyle w:val="REFReferenceText"/>
        <w:rPr>
          <w:color w:val="222222"/>
          <w:shd w:val="clear" w:color="auto" w:fill="FFFFFF"/>
        </w:rPr>
      </w:pPr>
      <w:r w:rsidRPr="000A6D66">
        <w:rPr>
          <w:color w:val="222222"/>
          <w:shd w:val="clear" w:color="auto" w:fill="FFFFFF"/>
        </w:rPr>
        <w:t xml:space="preserve">Funk L (2012) ‘“Returning the love”, not “balancing the books”: Talk about delayed reciprocity in supporting ageing parents’, </w:t>
      </w:r>
      <w:r w:rsidRPr="000A6D66">
        <w:rPr>
          <w:i/>
          <w:color w:val="222222"/>
          <w:shd w:val="clear" w:color="auto" w:fill="FFFFFF"/>
        </w:rPr>
        <w:t xml:space="preserve">Ageing &amp; Society </w:t>
      </w:r>
      <w:r w:rsidRPr="000A6D66">
        <w:rPr>
          <w:color w:val="222222"/>
          <w:shd w:val="clear" w:color="auto" w:fill="FFFFFF"/>
        </w:rPr>
        <w:t>32(4): 634–654.</w:t>
      </w:r>
    </w:p>
    <w:p w14:paraId="68221357" w14:textId="77777777" w:rsidR="00836A1C" w:rsidRPr="000A6D66" w:rsidRDefault="00836A1C" w:rsidP="00836A1C">
      <w:pPr>
        <w:pStyle w:val="REFReferenceText"/>
        <w:rPr>
          <w:color w:val="222222"/>
          <w:shd w:val="clear" w:color="auto" w:fill="FFFFFF"/>
        </w:rPr>
      </w:pPr>
      <w:r w:rsidRPr="000A6D66">
        <w:rPr>
          <w:color w:val="222222"/>
          <w:shd w:val="clear" w:color="auto" w:fill="FFFFFF"/>
        </w:rPr>
        <w:t>Giddens A (1991) </w:t>
      </w:r>
      <w:r w:rsidRPr="000A6D66">
        <w:rPr>
          <w:i/>
          <w:color w:val="222222"/>
          <w:shd w:val="clear" w:color="auto" w:fill="FFFFFF"/>
        </w:rPr>
        <w:t>Modernity and Self-Identity: Self and Society in the Late Modern Age</w:t>
      </w:r>
      <w:r w:rsidRPr="000A6D66">
        <w:rPr>
          <w:color w:val="222222"/>
          <w:shd w:val="clear" w:color="auto" w:fill="FFFFFF"/>
        </w:rPr>
        <w:t>. Cambridge: Polity Press.</w:t>
      </w:r>
    </w:p>
    <w:p w14:paraId="7E4CE172" w14:textId="77777777" w:rsidR="00836A1C" w:rsidRPr="000A6D66" w:rsidRDefault="00836A1C" w:rsidP="001614CB">
      <w:pPr>
        <w:pStyle w:val="REFReferenceText"/>
        <w:spacing w:before="240"/>
      </w:pPr>
      <w:r w:rsidRPr="000A6D66">
        <w:t xml:space="preserve">Glaser B and Strauss A (2010/1967) </w:t>
      </w:r>
      <w:r w:rsidRPr="000A6D66">
        <w:rPr>
          <w:i/>
        </w:rPr>
        <w:t xml:space="preserve">The Discovery of Grounded Theory: Strategies for Qualitative Research, </w:t>
      </w:r>
      <w:r w:rsidRPr="000A6D66">
        <w:t xml:space="preserve">fifth paperback printing.  New Brunswick, NJ: Aldine Transaction. </w:t>
      </w:r>
    </w:p>
    <w:p w14:paraId="20311910" w14:textId="7E969E78" w:rsidR="00840A44" w:rsidRDefault="00840A44" w:rsidP="001614CB">
      <w:pPr>
        <w:spacing w:before="240" w:line="480" w:lineRule="auto"/>
        <w:ind w:right="6" w:hanging="6"/>
        <w:jc w:val="both"/>
        <w:rPr>
          <w:bCs/>
        </w:rPr>
      </w:pPr>
      <w:proofErr w:type="spellStart"/>
      <w:r w:rsidRPr="001614CB">
        <w:rPr>
          <w:lang w:val="en-IE"/>
        </w:rPr>
        <w:lastRenderedPageBreak/>
        <w:t>Haase</w:t>
      </w:r>
      <w:proofErr w:type="spellEnd"/>
      <w:r w:rsidRPr="001614CB">
        <w:rPr>
          <w:lang w:val="en-IE"/>
        </w:rPr>
        <w:t xml:space="preserve"> T (2010) The </w:t>
      </w:r>
      <w:proofErr w:type="spellStart"/>
      <w:r w:rsidRPr="001614CB">
        <w:rPr>
          <w:lang w:val="en-IE"/>
        </w:rPr>
        <w:t>Pobal-Haase</w:t>
      </w:r>
      <w:proofErr w:type="spellEnd"/>
      <w:r w:rsidRPr="001614CB">
        <w:rPr>
          <w:lang w:val="en-IE"/>
        </w:rPr>
        <w:t xml:space="preserve"> Deprivation Index for Small Areas: New deprivation measures from the 2006 census of population for atomic Small Areas (SAs). Dublin: </w:t>
      </w:r>
      <w:proofErr w:type="spellStart"/>
      <w:r w:rsidRPr="001614CB">
        <w:rPr>
          <w:lang w:val="en-IE"/>
        </w:rPr>
        <w:t>Pobal</w:t>
      </w:r>
      <w:proofErr w:type="spellEnd"/>
      <w:r w:rsidRPr="001614CB">
        <w:rPr>
          <w:lang w:val="en-IE"/>
        </w:rPr>
        <w:t>. Available at: http://maps.pobal.ie/Documents/PobalHaaseDeprivationIndex03.pdf</w:t>
      </w:r>
    </w:p>
    <w:p w14:paraId="6671C161" w14:textId="7F717D6B" w:rsidR="00836A1C" w:rsidRDefault="00836A1C" w:rsidP="001614CB">
      <w:pPr>
        <w:pStyle w:val="REFReferenceText"/>
        <w:spacing w:before="240"/>
        <w:rPr>
          <w:bCs/>
        </w:rPr>
      </w:pPr>
      <w:r w:rsidRPr="000A6D66">
        <w:rPr>
          <w:bCs/>
        </w:rPr>
        <w:t xml:space="preserve">Holstein JA and </w:t>
      </w:r>
      <w:proofErr w:type="spellStart"/>
      <w:r w:rsidRPr="000A6D66">
        <w:rPr>
          <w:bCs/>
        </w:rPr>
        <w:t>Gubrium</w:t>
      </w:r>
      <w:proofErr w:type="spellEnd"/>
      <w:r w:rsidRPr="000A6D66">
        <w:rPr>
          <w:bCs/>
        </w:rPr>
        <w:t xml:space="preserve"> JF (2011) Animating interview narratives. In: Silverman D (ed.) </w:t>
      </w:r>
      <w:r w:rsidRPr="000A6D66">
        <w:rPr>
          <w:bCs/>
          <w:i/>
        </w:rPr>
        <w:t xml:space="preserve">Qualitative Research, </w:t>
      </w:r>
      <w:r w:rsidRPr="000A6D66">
        <w:rPr>
          <w:bCs/>
        </w:rPr>
        <w:t xml:space="preserve">3rd </w:t>
      </w:r>
      <w:proofErr w:type="spellStart"/>
      <w:r w:rsidRPr="000A6D66">
        <w:rPr>
          <w:bCs/>
        </w:rPr>
        <w:t>edn</w:t>
      </w:r>
      <w:proofErr w:type="spellEnd"/>
      <w:r w:rsidRPr="000A6D66">
        <w:rPr>
          <w:bCs/>
        </w:rPr>
        <w:t>. London: Sage, pp 149–167.</w:t>
      </w:r>
    </w:p>
    <w:p w14:paraId="61CBC3D6" w14:textId="77777777" w:rsidR="001614CB" w:rsidRPr="002F1550" w:rsidRDefault="001614CB" w:rsidP="001614CB">
      <w:pPr>
        <w:spacing w:beforeAutospacing="1" w:after="0" w:line="480" w:lineRule="auto"/>
        <w:rPr>
          <w:rFonts w:ascii="Calibri" w:eastAsia="Times New Roman" w:hAnsi="Calibri" w:cs="Arial"/>
          <w:lang w:eastAsia="en-IE"/>
        </w:rPr>
      </w:pPr>
      <w:proofErr w:type="spellStart"/>
      <w:r w:rsidRPr="002F1550">
        <w:rPr>
          <w:rFonts w:eastAsia="Times New Roman" w:cs="Arial"/>
          <w:sz w:val="24"/>
          <w:szCs w:val="24"/>
          <w:lang w:eastAsia="en-IE"/>
        </w:rPr>
        <w:t>Kempster</w:t>
      </w:r>
      <w:proofErr w:type="spellEnd"/>
      <w:r w:rsidRPr="002F1550">
        <w:rPr>
          <w:rFonts w:eastAsia="Times New Roman" w:cs="Arial"/>
          <w:sz w:val="24"/>
          <w:szCs w:val="24"/>
          <w:lang w:eastAsia="en-IE"/>
        </w:rPr>
        <w:t xml:space="preserve">, S., &amp; Parry, K. (2011). Grounded theory and leadership research: A critical realist perspective. </w:t>
      </w:r>
      <w:r w:rsidRPr="002F1550">
        <w:rPr>
          <w:rFonts w:eastAsia="Times New Roman" w:cs="Arial"/>
          <w:i/>
          <w:sz w:val="24"/>
          <w:szCs w:val="24"/>
          <w:lang w:eastAsia="en-IE"/>
        </w:rPr>
        <w:t>The Leadership Quarterly, 22</w:t>
      </w:r>
      <w:r w:rsidRPr="002F1550">
        <w:rPr>
          <w:rFonts w:eastAsia="Times New Roman" w:cs="Arial"/>
          <w:sz w:val="24"/>
          <w:szCs w:val="24"/>
          <w:lang w:eastAsia="en-IE"/>
        </w:rPr>
        <w:t>, 106-120</w:t>
      </w:r>
      <w:r w:rsidRPr="002F1550">
        <w:rPr>
          <w:rFonts w:eastAsia="Times New Roman" w:cs="Arial"/>
          <w:color w:val="000000" w:themeColor="text1"/>
          <w:sz w:val="24"/>
          <w:szCs w:val="24"/>
          <w:lang w:eastAsia="en-IE"/>
        </w:rPr>
        <w:t xml:space="preserve">. </w:t>
      </w:r>
      <w:proofErr w:type="spellStart"/>
      <w:r w:rsidRPr="002F1550">
        <w:rPr>
          <w:rFonts w:ascii="Calibri" w:eastAsia="Times New Roman" w:hAnsi="Calibri" w:cs="Arial"/>
          <w:color w:val="000000" w:themeColor="text1"/>
          <w:sz w:val="24"/>
          <w:szCs w:val="24"/>
          <w:lang w:eastAsia="en-IE"/>
        </w:rPr>
        <w:t>doi</w:t>
      </w:r>
      <w:proofErr w:type="spellEnd"/>
      <w:r w:rsidRPr="002F1550">
        <w:rPr>
          <w:rFonts w:ascii="Calibri" w:eastAsia="Times New Roman" w:hAnsi="Calibri" w:cs="Arial"/>
          <w:color w:val="000000" w:themeColor="text1"/>
          <w:sz w:val="24"/>
          <w:szCs w:val="24"/>
          <w:lang w:eastAsia="en-IE"/>
        </w:rPr>
        <w:t xml:space="preserve">: </w:t>
      </w:r>
      <w:hyperlink r:id="rId8" w:tgtFrame="_blank" w:tooltip="Persistent link using digital object identifier" w:history="1">
        <w:r w:rsidRPr="002F1550">
          <w:rPr>
            <w:rFonts w:ascii="Calibri" w:hAnsi="Calibri" w:cs="Arial"/>
            <w:color w:val="000000" w:themeColor="text1"/>
            <w:sz w:val="24"/>
            <w:szCs w:val="24"/>
          </w:rPr>
          <w:t>10.1016/j.leaqua.2010.12.010</w:t>
        </w:r>
      </w:hyperlink>
    </w:p>
    <w:p w14:paraId="3FE57BD0" w14:textId="5B777238" w:rsidR="001614CB" w:rsidRPr="000A6D66" w:rsidRDefault="001614CB" w:rsidP="001614CB">
      <w:pPr>
        <w:pStyle w:val="REFReferenceText"/>
        <w:spacing w:before="240"/>
        <w:rPr>
          <w:bCs/>
        </w:rPr>
      </w:pPr>
      <w:proofErr w:type="spellStart"/>
      <w:r w:rsidRPr="002F1550">
        <w:rPr>
          <w:rFonts w:eastAsia="Times New Roman" w:cs="Arial"/>
          <w:sz w:val="24"/>
          <w:lang w:eastAsia="en-IE"/>
        </w:rPr>
        <w:t>Kempster</w:t>
      </w:r>
      <w:proofErr w:type="spellEnd"/>
      <w:r w:rsidRPr="002F1550">
        <w:rPr>
          <w:rFonts w:eastAsia="Times New Roman" w:cs="Arial"/>
          <w:sz w:val="24"/>
          <w:lang w:eastAsia="en-IE"/>
        </w:rPr>
        <w:t xml:space="preserve">, S., &amp; Parry, K. (2014). Critical realism and grounded theory. In P. K. Edwards, J. O’Mahoney, &amp; S. Vincent </w:t>
      </w:r>
      <w:r w:rsidRPr="002F1550">
        <w:rPr>
          <w:rFonts w:eastAsia="Times New Roman" w:cs="Times New Roman"/>
          <w:sz w:val="24"/>
        </w:rPr>
        <w:t xml:space="preserve">(Eds.), </w:t>
      </w:r>
      <w:r w:rsidRPr="002F1550">
        <w:rPr>
          <w:rFonts w:eastAsia="Times New Roman" w:cs="Times New Roman"/>
          <w:i/>
          <w:sz w:val="24"/>
        </w:rPr>
        <w:t>Studying organizations using critical realism: A practical guide</w:t>
      </w:r>
      <w:r w:rsidRPr="002F1550">
        <w:rPr>
          <w:rFonts w:eastAsia="Times New Roman" w:cs="Times New Roman"/>
          <w:sz w:val="24"/>
        </w:rPr>
        <w:t xml:space="preserve"> (pp.86-108). Oxford: Oxford University Press.</w:t>
      </w:r>
    </w:p>
    <w:p w14:paraId="3514A6E4" w14:textId="77777777" w:rsidR="00836A1C" w:rsidRPr="000A6D66" w:rsidRDefault="00836A1C" w:rsidP="00836A1C">
      <w:pPr>
        <w:pStyle w:val="REFReferenceText"/>
        <w:rPr>
          <w:shd w:val="clear" w:color="auto" w:fill="FFFFFF"/>
        </w:rPr>
      </w:pPr>
      <w:r w:rsidRPr="000A6D66">
        <w:rPr>
          <w:shd w:val="clear" w:color="auto" w:fill="FFFFFF"/>
        </w:rPr>
        <w:t xml:space="preserve">Lee FS (2016) Critical realism, method of grounded theory, and theory construction. In: Lee FS and Cronin B (eds) </w:t>
      </w:r>
      <w:r w:rsidRPr="000A6D66">
        <w:rPr>
          <w:i/>
          <w:shd w:val="clear" w:color="auto" w:fill="FFFFFF"/>
        </w:rPr>
        <w:t>Handbook of Research Methods and Applications in Heterodox Economics</w:t>
      </w:r>
      <w:r w:rsidRPr="000A6D66">
        <w:rPr>
          <w:shd w:val="clear" w:color="auto" w:fill="FFFFFF"/>
        </w:rPr>
        <w:t>. Cheltenham: Edward Elgar, pp. 35–53.</w:t>
      </w:r>
    </w:p>
    <w:p w14:paraId="1089A51A" w14:textId="77777777" w:rsidR="00836A1C" w:rsidRPr="000A6D66" w:rsidRDefault="00836A1C" w:rsidP="00836A1C">
      <w:pPr>
        <w:pStyle w:val="REFReferenceText"/>
      </w:pPr>
      <w:r w:rsidRPr="000A6D66">
        <w:t xml:space="preserve">Oliver C (2012) Critical realist grounded theory: A new approach for social work research. </w:t>
      </w:r>
      <w:r w:rsidRPr="000A6D66">
        <w:rPr>
          <w:i/>
        </w:rPr>
        <w:t xml:space="preserve">British Journal of Social Work </w:t>
      </w:r>
      <w:r w:rsidRPr="000A6D66">
        <w:t xml:space="preserve">42(2): 371–387. </w:t>
      </w:r>
    </w:p>
    <w:p w14:paraId="1E2F02F3" w14:textId="77777777" w:rsidR="00836A1C" w:rsidRPr="000A6D66" w:rsidRDefault="00836A1C" w:rsidP="00836A1C">
      <w:pPr>
        <w:pStyle w:val="REFReferenceText"/>
        <w:rPr>
          <w:color w:val="303030"/>
          <w:shd w:val="clear" w:color="auto" w:fill="FFFFFF"/>
        </w:rPr>
      </w:pPr>
      <w:r w:rsidRPr="000A6D66">
        <w:rPr>
          <w:color w:val="303030"/>
          <w:shd w:val="clear" w:color="auto" w:fill="FFFFFF"/>
        </w:rPr>
        <w:t xml:space="preserve">Silverstein M, Conroy SJ and </w:t>
      </w:r>
      <w:proofErr w:type="spellStart"/>
      <w:r w:rsidRPr="000A6D66">
        <w:rPr>
          <w:color w:val="303030"/>
          <w:shd w:val="clear" w:color="auto" w:fill="FFFFFF"/>
        </w:rPr>
        <w:t>Gans</w:t>
      </w:r>
      <w:proofErr w:type="spellEnd"/>
      <w:r w:rsidRPr="000A6D66">
        <w:rPr>
          <w:color w:val="303030"/>
          <w:shd w:val="clear" w:color="auto" w:fill="FFFFFF"/>
        </w:rPr>
        <w:t xml:space="preserve"> D (2012) Beyond solidarity, reciprocity and altruism: Moral capital as a unifying concept in intergenerational support for older people. </w:t>
      </w:r>
      <w:r w:rsidRPr="000A6D66">
        <w:rPr>
          <w:i/>
          <w:color w:val="303030"/>
          <w:shd w:val="clear" w:color="auto" w:fill="FFFFFF"/>
        </w:rPr>
        <w:t>Ageing and Society</w:t>
      </w:r>
      <w:r w:rsidRPr="000A6D66">
        <w:rPr>
          <w:color w:val="303030"/>
          <w:shd w:val="clear" w:color="auto" w:fill="FFFFFF"/>
        </w:rPr>
        <w:t xml:space="preserve"> 32(7): 1246–1262.</w:t>
      </w:r>
    </w:p>
    <w:p w14:paraId="0C90EA6A" w14:textId="302F8E4E" w:rsidR="00836A1C" w:rsidRPr="000A6D66" w:rsidRDefault="00836A1C" w:rsidP="00836A1C">
      <w:pPr>
        <w:pStyle w:val="REFReferenceText"/>
      </w:pPr>
      <w:r w:rsidRPr="000A6D66">
        <w:t>.</w:t>
      </w:r>
    </w:p>
    <w:p w14:paraId="2E7D9896" w14:textId="77777777" w:rsidR="00836A1C" w:rsidRPr="000A6D66" w:rsidRDefault="00836A1C" w:rsidP="00836A1C">
      <w:pPr>
        <w:pStyle w:val="REFReferenceText"/>
      </w:pPr>
      <w:r w:rsidRPr="000A6D66">
        <w:t xml:space="preserve">Strauss A and Corbin J (1998) </w:t>
      </w:r>
      <w:r w:rsidRPr="000A6D66">
        <w:rPr>
          <w:i/>
        </w:rPr>
        <w:t xml:space="preserve">Basics of Qualitative Research: Techniques and Procedures for Developing Grounded Theory, </w:t>
      </w:r>
      <w:r w:rsidRPr="000A6D66">
        <w:t xml:space="preserve">2nd </w:t>
      </w:r>
      <w:proofErr w:type="spellStart"/>
      <w:r w:rsidRPr="000A6D66">
        <w:t>edn</w:t>
      </w:r>
      <w:proofErr w:type="spellEnd"/>
      <w:r w:rsidRPr="000A6D66">
        <w:t>. Thousand Oaks, CA: Sage</w:t>
      </w:r>
      <w:r w:rsidRPr="000A6D66">
        <w:rPr>
          <w:i/>
        </w:rPr>
        <w:t>.</w:t>
      </w:r>
    </w:p>
    <w:p w14:paraId="52DD3CDC" w14:textId="77777777" w:rsidR="00836A1C" w:rsidRPr="000A6D66" w:rsidRDefault="00836A1C" w:rsidP="00836A1C">
      <w:pPr>
        <w:pStyle w:val="REFReferenceText"/>
      </w:pPr>
      <w:r w:rsidRPr="000A6D66">
        <w:lastRenderedPageBreak/>
        <w:t>Timonen V, Conlon C, Scharf T and Carney G (2013) Family, state, class and solidarity: Re-</w:t>
      </w:r>
      <w:proofErr w:type="spellStart"/>
      <w:r w:rsidRPr="000A6D66">
        <w:t>conceptualising</w:t>
      </w:r>
      <w:proofErr w:type="spellEnd"/>
      <w:r w:rsidRPr="000A6D66">
        <w:t xml:space="preserve"> intergenerational solidarity through the grounded theory approach. </w:t>
      </w:r>
      <w:r w:rsidRPr="000A6D66">
        <w:rPr>
          <w:i/>
        </w:rPr>
        <w:t xml:space="preserve">European Journal of Ageing </w:t>
      </w:r>
      <w:r w:rsidRPr="000A6D66">
        <w:t>10(3): 171–179.</w:t>
      </w:r>
    </w:p>
    <w:p w14:paraId="0C749526" w14:textId="77777777" w:rsidR="00836A1C" w:rsidRPr="000A6D66" w:rsidRDefault="00836A1C" w:rsidP="00836A1C">
      <w:pPr>
        <w:pStyle w:val="REFReferenceText"/>
      </w:pPr>
      <w:r w:rsidRPr="000A6D66">
        <w:rPr>
          <w:color w:val="000000"/>
          <w:shd w:val="clear" w:color="auto" w:fill="FFFFFF"/>
        </w:rPr>
        <w:t>Timonen V, Foley G and Conlon C (2018) Challenges when using grounded theory: A pragmatic introduction to doing GT research. </w:t>
      </w:r>
      <w:r w:rsidRPr="000A6D66">
        <w:rPr>
          <w:i/>
          <w:color w:val="000000"/>
          <w:shd w:val="clear" w:color="auto" w:fill="FFFFFF"/>
        </w:rPr>
        <w:t xml:space="preserve">International Journal of Qualitative Methods </w:t>
      </w:r>
      <w:r w:rsidRPr="000A6D66">
        <w:rPr>
          <w:color w:val="000000"/>
          <w:shd w:val="clear" w:color="auto" w:fill="FFFFFF"/>
        </w:rPr>
        <w:t xml:space="preserve">17(1). </w:t>
      </w:r>
    </w:p>
    <w:p w14:paraId="6F8A8262" w14:textId="5E70EB05" w:rsidR="00881876" w:rsidRDefault="00881876" w:rsidP="00836A1C"/>
    <w:sectPr w:rsidR="0088187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604157"/>
    <w:multiLevelType w:val="hybridMultilevel"/>
    <w:tmpl w:val="64CA175E"/>
    <w:lvl w:ilvl="0" w:tplc="E4067F2E">
      <w:start w:val="1"/>
      <w:numFmt w:val="bullet"/>
      <w:pStyle w:val="BLBulletedList"/>
      <w:lvlText w:val=""/>
      <w:lvlJc w:val="left"/>
      <w:pPr>
        <w:ind w:left="180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A1C"/>
    <w:rsid w:val="001614CB"/>
    <w:rsid w:val="001B4232"/>
    <w:rsid w:val="002A2858"/>
    <w:rsid w:val="00412F77"/>
    <w:rsid w:val="00422079"/>
    <w:rsid w:val="006A3D08"/>
    <w:rsid w:val="007C3E01"/>
    <w:rsid w:val="0080313A"/>
    <w:rsid w:val="00836A1C"/>
    <w:rsid w:val="00840A44"/>
    <w:rsid w:val="0086240E"/>
    <w:rsid w:val="00881876"/>
    <w:rsid w:val="009A3ED3"/>
    <w:rsid w:val="00B86590"/>
    <w:rsid w:val="00FA4C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910AF"/>
  <w15:chartTrackingRefBased/>
  <w15:docId w15:val="{02754FD2-67D4-4450-B653-A760A0620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A1C"/>
  </w:style>
  <w:style w:type="paragraph" w:styleId="Heading1">
    <w:name w:val="heading 1"/>
    <w:basedOn w:val="Normal"/>
    <w:next w:val="Normal"/>
    <w:link w:val="Heading1Char"/>
    <w:uiPriority w:val="9"/>
    <w:qFormat/>
    <w:rsid w:val="00836A1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836A1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unhideWhenUsed/>
    <w:rsid w:val="00836A1C"/>
    <w:rPr>
      <w:sz w:val="16"/>
      <w:szCs w:val="16"/>
    </w:rPr>
  </w:style>
  <w:style w:type="paragraph" w:styleId="CommentText">
    <w:name w:val="annotation text"/>
    <w:basedOn w:val="Normal"/>
    <w:link w:val="CommentTextChar"/>
    <w:uiPriority w:val="99"/>
    <w:unhideWhenUsed/>
    <w:rsid w:val="00836A1C"/>
    <w:rPr>
      <w:sz w:val="20"/>
    </w:rPr>
  </w:style>
  <w:style w:type="character" w:customStyle="1" w:styleId="CommentTextChar">
    <w:name w:val="Comment Text Char"/>
    <w:basedOn w:val="DefaultParagraphFont"/>
    <w:link w:val="CommentText"/>
    <w:uiPriority w:val="99"/>
    <w:rsid w:val="00836A1C"/>
    <w:rPr>
      <w:sz w:val="20"/>
    </w:rPr>
  </w:style>
  <w:style w:type="paragraph" w:customStyle="1" w:styleId="AHAHead">
    <w:name w:val="AH A Head"/>
    <w:basedOn w:val="Heading2"/>
    <w:next w:val="TFTextFullOut"/>
    <w:qFormat/>
    <w:rsid w:val="00836A1C"/>
    <w:pPr>
      <w:keepLines w:val="0"/>
      <w:spacing w:before="0" w:after="160" w:line="480" w:lineRule="auto"/>
      <w:jc w:val="center"/>
    </w:pPr>
    <w:rPr>
      <w:rFonts w:ascii="Times New Roman Bold" w:eastAsia="Times" w:hAnsi="Times New Roman Bold" w:cstheme="minorBidi"/>
      <w:b/>
      <w:color w:val="auto"/>
      <w:spacing w:val="10"/>
      <w:sz w:val="32"/>
      <w:szCs w:val="22"/>
      <w:lang w:eastAsia="en-GB"/>
    </w:rPr>
  </w:style>
  <w:style w:type="paragraph" w:customStyle="1" w:styleId="BHBHead">
    <w:name w:val="BH B Head"/>
    <w:basedOn w:val="Normal"/>
    <w:next w:val="TFTextFullOut"/>
    <w:link w:val="BHBHeadChar"/>
    <w:rsid w:val="00836A1C"/>
    <w:pPr>
      <w:spacing w:line="480" w:lineRule="auto"/>
    </w:pPr>
    <w:rPr>
      <w:rFonts w:ascii="Times New Roman Bold" w:hAnsi="Times New Roman Bold"/>
      <w:b/>
      <w:spacing w:val="10"/>
      <w:sz w:val="32"/>
    </w:rPr>
  </w:style>
  <w:style w:type="paragraph" w:customStyle="1" w:styleId="BLBulletedList">
    <w:name w:val="BL Bulleted List"/>
    <w:basedOn w:val="Normal"/>
    <w:next w:val="TETextExitElementAbove"/>
    <w:qFormat/>
    <w:rsid w:val="00836A1C"/>
    <w:pPr>
      <w:numPr>
        <w:numId w:val="1"/>
      </w:numPr>
      <w:tabs>
        <w:tab w:val="left" w:pos="924"/>
      </w:tabs>
      <w:spacing w:line="480" w:lineRule="auto"/>
      <w:ind w:left="924" w:hanging="357"/>
      <w:jc w:val="both"/>
    </w:pPr>
  </w:style>
  <w:style w:type="paragraph" w:customStyle="1" w:styleId="NTSNotetoTypesetter">
    <w:name w:val="NTS Note to Typesetter"/>
    <w:basedOn w:val="Normal"/>
    <w:next w:val="Normal"/>
    <w:qFormat/>
    <w:rsid w:val="00836A1C"/>
    <w:pPr>
      <w:spacing w:before="120" w:after="240" w:line="480" w:lineRule="auto"/>
      <w:jc w:val="both"/>
    </w:pPr>
    <w:rPr>
      <w:color w:val="008080"/>
      <w:szCs w:val="24"/>
    </w:rPr>
  </w:style>
  <w:style w:type="paragraph" w:customStyle="1" w:styleId="REFReferenceText">
    <w:name w:val="REF Reference Text"/>
    <w:basedOn w:val="Normal"/>
    <w:qFormat/>
    <w:rsid w:val="00836A1C"/>
    <w:pPr>
      <w:spacing w:after="240" w:line="480" w:lineRule="auto"/>
      <w:jc w:val="both"/>
    </w:pPr>
    <w:rPr>
      <w:iCs/>
      <w:szCs w:val="24"/>
    </w:rPr>
  </w:style>
  <w:style w:type="paragraph" w:customStyle="1" w:styleId="SE1HSpecialElement1Heading">
    <w:name w:val="SE1_H Special Element 1 Heading"/>
    <w:basedOn w:val="AHAHead"/>
    <w:qFormat/>
    <w:rsid w:val="00836A1C"/>
    <w:pPr>
      <w:jc w:val="left"/>
      <w:outlineLvl w:val="9"/>
    </w:pPr>
    <w:rPr>
      <w:color w:val="984806"/>
      <w:sz w:val="36"/>
    </w:rPr>
  </w:style>
  <w:style w:type="paragraph" w:customStyle="1" w:styleId="SE1TFSpecialElement1TextFullOut">
    <w:name w:val="SE1_TF Special Element 1 Text Full Out"/>
    <w:basedOn w:val="TFTextFullOut"/>
    <w:qFormat/>
    <w:rsid w:val="00836A1C"/>
    <w:pPr>
      <w:spacing w:after="0"/>
    </w:pPr>
    <w:rPr>
      <w:color w:val="984806"/>
    </w:rPr>
  </w:style>
  <w:style w:type="paragraph" w:customStyle="1" w:styleId="SE1TISpecialElement1TextIndent">
    <w:name w:val="SE1_TI Special Element 1 Text Indent"/>
    <w:basedOn w:val="TITextIndent"/>
    <w:qFormat/>
    <w:rsid w:val="00836A1C"/>
    <w:rPr>
      <w:color w:val="984806"/>
    </w:rPr>
  </w:style>
  <w:style w:type="paragraph" w:customStyle="1" w:styleId="TEITextExitElementAboveIndented">
    <w:name w:val="TE_I Text Exit Element Above Indented"/>
    <w:basedOn w:val="TETextExitElementAbove"/>
    <w:qFormat/>
    <w:rsid w:val="00836A1C"/>
    <w:pPr>
      <w:ind w:firstLine="567"/>
    </w:pPr>
  </w:style>
  <w:style w:type="paragraph" w:customStyle="1" w:styleId="TFTextFullOut">
    <w:name w:val="TF Text Full Out"/>
    <w:basedOn w:val="Normal"/>
    <w:next w:val="TITextIndent"/>
    <w:rsid w:val="00836A1C"/>
    <w:pPr>
      <w:spacing w:after="240" w:line="480" w:lineRule="auto"/>
      <w:jc w:val="both"/>
    </w:pPr>
    <w:rPr>
      <w:szCs w:val="52"/>
    </w:rPr>
  </w:style>
  <w:style w:type="paragraph" w:customStyle="1" w:styleId="TITextIndent">
    <w:name w:val="TI Text Indent"/>
    <w:basedOn w:val="TFTextFullOut"/>
    <w:qFormat/>
    <w:rsid w:val="00836A1C"/>
    <w:pPr>
      <w:spacing w:after="0"/>
      <w:ind w:firstLine="567"/>
    </w:pPr>
  </w:style>
  <w:style w:type="paragraph" w:customStyle="1" w:styleId="CAChapterAuthor">
    <w:name w:val="CA Chapter Author"/>
    <w:basedOn w:val="CTChapterTitle"/>
    <w:next w:val="Normal"/>
    <w:rsid w:val="00836A1C"/>
    <w:rPr>
      <w:sz w:val="28"/>
    </w:rPr>
  </w:style>
  <w:style w:type="paragraph" w:customStyle="1" w:styleId="CTChapterTitle">
    <w:name w:val="CT Chapter Title"/>
    <w:basedOn w:val="Heading1"/>
    <w:qFormat/>
    <w:rsid w:val="00836A1C"/>
    <w:pPr>
      <w:spacing w:before="480" w:after="160" w:line="480" w:lineRule="auto"/>
      <w:jc w:val="center"/>
    </w:pPr>
    <w:rPr>
      <w:rFonts w:ascii="Times New Roman" w:eastAsiaTheme="minorHAnsi" w:hAnsi="Times New Roman" w:cstheme="minorBidi"/>
      <w:color w:val="auto"/>
      <w:sz w:val="40"/>
      <w:szCs w:val="28"/>
      <w:lang w:eastAsia="en-GB"/>
    </w:rPr>
  </w:style>
  <w:style w:type="paragraph" w:customStyle="1" w:styleId="CNChapterNumber">
    <w:name w:val="CN Chapter Number"/>
    <w:basedOn w:val="Normal"/>
    <w:next w:val="CTChapterTitle"/>
    <w:rsid w:val="00836A1C"/>
    <w:pPr>
      <w:spacing w:line="480" w:lineRule="auto"/>
      <w:jc w:val="center"/>
    </w:pPr>
    <w:rPr>
      <w:sz w:val="44"/>
      <w:szCs w:val="40"/>
    </w:rPr>
  </w:style>
  <w:style w:type="paragraph" w:customStyle="1" w:styleId="TETextExitElementAbove">
    <w:name w:val="TE Text Exit Element Above"/>
    <w:basedOn w:val="TFTextFullOut"/>
    <w:next w:val="TITextIndent"/>
    <w:rsid w:val="00836A1C"/>
    <w:pPr>
      <w:spacing w:before="240"/>
    </w:pPr>
  </w:style>
  <w:style w:type="character" w:customStyle="1" w:styleId="BHBHeadChar">
    <w:name w:val="BH B Head Char"/>
    <w:basedOn w:val="DefaultParagraphFont"/>
    <w:link w:val="BHBHead"/>
    <w:rsid w:val="00836A1C"/>
    <w:rPr>
      <w:rFonts w:ascii="Times New Roman Bold" w:hAnsi="Times New Roman Bold"/>
      <w:b/>
      <w:spacing w:val="10"/>
      <w:sz w:val="32"/>
    </w:rPr>
  </w:style>
  <w:style w:type="character" w:customStyle="1" w:styleId="list0020paragraphchar1">
    <w:name w:val="list_0020paragraph__char1"/>
    <w:basedOn w:val="DefaultParagraphFont"/>
    <w:rsid w:val="00836A1C"/>
    <w:rPr>
      <w:rFonts w:ascii="Calibri" w:hAnsi="Calibri" w:hint="default"/>
      <w:sz w:val="22"/>
      <w:szCs w:val="22"/>
    </w:rPr>
  </w:style>
  <w:style w:type="character" w:customStyle="1" w:styleId="Heading2Char">
    <w:name w:val="Heading 2 Char"/>
    <w:basedOn w:val="DefaultParagraphFont"/>
    <w:link w:val="Heading2"/>
    <w:uiPriority w:val="9"/>
    <w:semiHidden/>
    <w:rsid w:val="00836A1C"/>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836A1C"/>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031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313A"/>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80313A"/>
    <w:pPr>
      <w:spacing w:line="240" w:lineRule="auto"/>
    </w:pPr>
    <w:rPr>
      <w:b/>
      <w:bCs/>
      <w:szCs w:val="20"/>
    </w:rPr>
  </w:style>
  <w:style w:type="character" w:customStyle="1" w:styleId="CommentSubjectChar">
    <w:name w:val="Comment Subject Char"/>
    <w:basedOn w:val="CommentTextChar"/>
    <w:link w:val="CommentSubject"/>
    <w:uiPriority w:val="99"/>
    <w:semiHidden/>
    <w:rsid w:val="0080313A"/>
    <w:rPr>
      <w:b/>
      <w:bCs/>
      <w:sz w:val="20"/>
      <w:szCs w:val="20"/>
    </w:rPr>
  </w:style>
  <w:style w:type="paragraph" w:styleId="BodyText">
    <w:name w:val="Body Text"/>
    <w:basedOn w:val="Normal"/>
    <w:link w:val="BodyTextChar"/>
    <w:rsid w:val="001614CB"/>
    <w:pPr>
      <w:spacing w:after="0" w:line="240" w:lineRule="auto"/>
      <w:jc w:val="both"/>
    </w:pPr>
    <w:rPr>
      <w:rFonts w:ascii="Times New Roman" w:eastAsia="Times New Roman" w:hAnsi="Times New Roman" w:cs="Times New Roman"/>
      <w:sz w:val="24"/>
      <w:szCs w:val="24"/>
      <w:lang w:val="en-GB"/>
    </w:rPr>
  </w:style>
  <w:style w:type="character" w:customStyle="1" w:styleId="BodyTextChar">
    <w:name w:val="Body Text Char"/>
    <w:basedOn w:val="DefaultParagraphFont"/>
    <w:link w:val="BodyText"/>
    <w:rsid w:val="001614CB"/>
    <w:rPr>
      <w:rFonts w:ascii="Times New Roman" w:eastAsia="Times New Roman" w:hAnsi="Times New Roman" w:cs="Times New Roman"/>
      <w:sz w:val="24"/>
      <w:szCs w:val="24"/>
      <w:lang w:val="en-GB"/>
    </w:rPr>
  </w:style>
  <w:style w:type="table" w:styleId="TableGrid">
    <w:name w:val="Table Grid"/>
    <w:basedOn w:val="TableNormal"/>
    <w:uiPriority w:val="39"/>
    <w:rsid w:val="001614CB"/>
    <w:pPr>
      <w:spacing w:after="0" w:line="240" w:lineRule="auto"/>
    </w:pPr>
    <w:rPr>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A3D0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742233">
      <w:bodyDiv w:val="1"/>
      <w:marLeft w:val="0"/>
      <w:marRight w:val="0"/>
      <w:marTop w:val="0"/>
      <w:marBottom w:val="0"/>
      <w:divBdr>
        <w:top w:val="none" w:sz="0" w:space="0" w:color="auto"/>
        <w:left w:val="none" w:sz="0" w:space="0" w:color="auto"/>
        <w:bottom w:val="none" w:sz="0" w:space="0" w:color="auto"/>
        <w:right w:val="none" w:sz="0" w:space="0" w:color="auto"/>
      </w:divBdr>
    </w:div>
    <w:div w:id="1252354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leaqua.2010.12.010"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16EF62031902448C63E997DF6E4EDB" ma:contentTypeVersion="2" ma:contentTypeDescription="Create a new document." ma:contentTypeScope="" ma:versionID="bf9c8e30679e4a90921f441826a3bfe3">
  <xsd:schema xmlns:xsd="http://www.w3.org/2001/XMLSchema" xmlns:xs="http://www.w3.org/2001/XMLSchema" xmlns:p="http://schemas.microsoft.com/office/2006/metadata/properties" xmlns:ns3="12571cdf-4c54-468f-82f3-aed5f5b44c06" targetNamespace="http://schemas.microsoft.com/office/2006/metadata/properties" ma:root="true" ma:fieldsID="477ac473e1ac87acc4e5c6960aa6dd52" ns3:_="">
    <xsd:import namespace="12571cdf-4c54-468f-82f3-aed5f5b44c06"/>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571cdf-4c54-468f-82f3-aed5f5b44c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487550-5BEB-4ECD-BFAD-AF3E232AF1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571cdf-4c54-468f-82f3-aed5f5b44c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A96091-9356-4B4D-932E-C6E6275E6A77}">
  <ds:schemaRefs>
    <ds:schemaRef ds:uri="http://schemas.microsoft.com/sharepoint/v3/contenttype/forms"/>
  </ds:schemaRefs>
</ds:datastoreItem>
</file>

<file path=customXml/itemProps3.xml><?xml version="1.0" encoding="utf-8"?>
<ds:datastoreItem xmlns:ds="http://schemas.openxmlformats.org/officeDocument/2006/customXml" ds:itemID="{88EB3196-822E-4E9C-8179-59CD6AB08BC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7689</Words>
  <Characters>43829</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CBS - Copenhagen Business School</Company>
  <LinksUpToDate>false</LinksUpToDate>
  <CharactersWithSpaces>51416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Amalie Astrid Lykkeskov</dc:creator>
  <cp:keywords/>
  <dc:description/>
  <cp:lastModifiedBy>Catherine Conlon</cp:lastModifiedBy>
  <cp:revision>4</cp:revision>
  <dcterms:created xsi:type="dcterms:W3CDTF">2022-11-22T11:01:00Z</dcterms:created>
  <dcterms:modified xsi:type="dcterms:W3CDTF">2022-11-22T11:02:00Z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0x0101002816EF62031902448C63E997DF6E4EDB</vt:lpwstr>
  </property>
</Properties>
</file>