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C3D363" w14:textId="77777777" w:rsidR="00675D3C" w:rsidRPr="00675D3C" w:rsidRDefault="00675D3C" w:rsidP="00675D3C">
      <w:pPr>
        <w:rPr>
          <w:rFonts w:eastAsia="Times New Roman" w:cs="Times New Roman"/>
          <w:color w:val="000000"/>
          <w:lang w:val="en-GB" w:eastAsia="en-GB"/>
        </w:rPr>
      </w:pPr>
      <w:bookmarkStart w:id="0" w:name="_Toc450945614"/>
      <w:r w:rsidRPr="00675D3C">
        <w:rPr>
          <w:rFonts w:cs="Times New Roman"/>
          <w:b/>
          <w:bCs/>
          <w:color w:val="333333"/>
        </w:rPr>
        <w:t>Pre-publication version.</w:t>
      </w:r>
      <w:r w:rsidRPr="00675D3C">
        <w:rPr>
          <w:rFonts w:cs="Times New Roman"/>
          <w:bCs/>
          <w:color w:val="333333"/>
        </w:rPr>
        <w:t xml:space="preserve">  Published as: </w:t>
      </w:r>
      <w:r w:rsidRPr="00675D3C">
        <w:rPr>
          <w:rFonts w:eastAsia="Times New Roman" w:cs="Times New Roman"/>
          <w:color w:val="000000"/>
          <w:lang w:val="en-GB" w:eastAsia="en-GB"/>
        </w:rPr>
        <w:t xml:space="preserve">Dowling, C.M., Walsh, S.D., Purcell, S.M., Hynes, W.M., Rhodes, M.L. (2017), “Operationalising sustainability within smart cities: Towards an online sustainability indicator tool” </w:t>
      </w:r>
      <w:r w:rsidRPr="00675D3C">
        <w:rPr>
          <w:rFonts w:eastAsia="Times New Roman" w:cs="Times New Roman"/>
          <w:i/>
          <w:color w:val="000000"/>
          <w:lang w:val="en-GB" w:eastAsia="en-GB"/>
        </w:rPr>
        <w:t>International Journal of E-Planning Research</w:t>
      </w:r>
      <w:r w:rsidRPr="00675D3C">
        <w:rPr>
          <w:rFonts w:eastAsia="Times New Roman" w:cs="Times New Roman"/>
          <w:color w:val="000000"/>
          <w:lang w:val="en-GB" w:eastAsia="en-GB"/>
        </w:rPr>
        <w:t xml:space="preserve">, </w:t>
      </w:r>
      <w:proofErr w:type="spellStart"/>
      <w:r w:rsidRPr="00675D3C">
        <w:rPr>
          <w:rFonts w:eastAsia="Times New Roman" w:cs="Times New Roman"/>
          <w:color w:val="000000"/>
          <w:lang w:val="en-GB" w:eastAsia="en-GB"/>
        </w:rPr>
        <w:t>vol</w:t>
      </w:r>
      <w:proofErr w:type="spellEnd"/>
      <w:r w:rsidRPr="00675D3C">
        <w:rPr>
          <w:rFonts w:eastAsia="Times New Roman" w:cs="Times New Roman"/>
          <w:color w:val="000000"/>
          <w:lang w:val="en-GB" w:eastAsia="en-GB"/>
        </w:rPr>
        <w:t xml:space="preserve"> 6(4), pp. 1-17.</w:t>
      </w:r>
    </w:p>
    <w:p w14:paraId="5A9148DE" w14:textId="77777777" w:rsidR="00675D3C" w:rsidRDefault="00675D3C" w:rsidP="00675D3C">
      <w:pPr>
        <w:rPr>
          <w:rFonts w:ascii="Times New Roman" w:hAnsi="Times New Roman" w:cs="Times New Roman"/>
          <w:b/>
          <w:bCs/>
          <w:color w:val="333333"/>
          <w:sz w:val="28"/>
          <w:szCs w:val="28"/>
        </w:rPr>
      </w:pPr>
    </w:p>
    <w:p w14:paraId="12A54691" w14:textId="77777777" w:rsidR="00675D3C" w:rsidRPr="00675D3C" w:rsidRDefault="00675D3C" w:rsidP="00675D3C">
      <w:pPr>
        <w:rPr>
          <w:rFonts w:eastAsia="Times New Roman" w:cs="Times New Roman"/>
          <w:color w:val="000000"/>
          <w:lang w:val="en-GB" w:eastAsia="en-GB"/>
        </w:rPr>
      </w:pPr>
      <w:r w:rsidRPr="00675D3C">
        <w:rPr>
          <w:rFonts w:cs="Times New Roman"/>
          <w:b/>
          <w:bCs/>
          <w:color w:val="333333"/>
        </w:rPr>
        <w:t xml:space="preserve">DOI: </w:t>
      </w:r>
      <w:r w:rsidRPr="00675D3C">
        <w:rPr>
          <w:rFonts w:eastAsia="Times New Roman" w:cs="Times New Roman"/>
          <w:color w:val="000000"/>
          <w:lang w:val="en-GB" w:eastAsia="en-GB"/>
        </w:rPr>
        <w:t>10.4018/IJEPR.2017100101</w:t>
      </w:r>
    </w:p>
    <w:p w14:paraId="6990DAF3" w14:textId="77777777" w:rsidR="00675D3C" w:rsidRDefault="00675D3C" w:rsidP="00675D3C">
      <w:pPr>
        <w:rPr>
          <w:rFonts w:ascii="Times New Roman" w:hAnsi="Times New Roman" w:cs="Times New Roman"/>
          <w:b/>
          <w:bCs/>
          <w:color w:val="333333"/>
          <w:sz w:val="28"/>
          <w:szCs w:val="28"/>
        </w:rPr>
      </w:pPr>
    </w:p>
    <w:p w14:paraId="752C97E8" w14:textId="77777777" w:rsidR="00675D3C" w:rsidRDefault="00675D3C" w:rsidP="00511857">
      <w:pPr>
        <w:jc w:val="center"/>
        <w:rPr>
          <w:rFonts w:ascii="Times New Roman" w:hAnsi="Times New Roman" w:cs="Times New Roman"/>
          <w:b/>
          <w:bCs/>
          <w:color w:val="333333"/>
          <w:sz w:val="28"/>
          <w:szCs w:val="28"/>
        </w:rPr>
      </w:pPr>
    </w:p>
    <w:p w14:paraId="4ACC943E" w14:textId="77777777" w:rsidR="00511857" w:rsidRDefault="00BD1F8D" w:rsidP="00511857">
      <w:pPr>
        <w:jc w:val="center"/>
        <w:rPr>
          <w:rFonts w:ascii="Times New Roman" w:hAnsi="Times New Roman" w:cs="Times New Roman"/>
          <w:b/>
          <w:bCs/>
          <w:color w:val="333333"/>
          <w:sz w:val="28"/>
          <w:szCs w:val="28"/>
        </w:rPr>
      </w:pPr>
      <w:proofErr w:type="spellStart"/>
      <w:r w:rsidRPr="00511857">
        <w:rPr>
          <w:rFonts w:ascii="Times New Roman" w:hAnsi="Times New Roman" w:cs="Times New Roman"/>
          <w:b/>
          <w:bCs/>
          <w:color w:val="333333"/>
          <w:sz w:val="28"/>
          <w:szCs w:val="28"/>
        </w:rPr>
        <w:t>Operationalising</w:t>
      </w:r>
      <w:proofErr w:type="spellEnd"/>
      <w:r w:rsidRPr="00511857">
        <w:rPr>
          <w:rFonts w:ascii="Times New Roman" w:hAnsi="Times New Roman" w:cs="Times New Roman"/>
          <w:b/>
          <w:bCs/>
          <w:color w:val="333333"/>
          <w:sz w:val="28"/>
          <w:szCs w:val="28"/>
        </w:rPr>
        <w:t xml:space="preserve"> Susta</w:t>
      </w:r>
      <w:r w:rsidR="00511857">
        <w:rPr>
          <w:rFonts w:ascii="Times New Roman" w:hAnsi="Times New Roman" w:cs="Times New Roman"/>
          <w:b/>
          <w:bCs/>
          <w:color w:val="333333"/>
          <w:sz w:val="28"/>
          <w:szCs w:val="28"/>
        </w:rPr>
        <w:t>inability within Smart Cities</w:t>
      </w:r>
    </w:p>
    <w:p w14:paraId="255FFD32" w14:textId="77777777" w:rsidR="00BD1F8D" w:rsidRPr="00511857" w:rsidRDefault="00BD1F8D" w:rsidP="00511857">
      <w:pPr>
        <w:jc w:val="center"/>
        <w:rPr>
          <w:rFonts w:ascii="Times New Roman" w:hAnsi="Times New Roman" w:cs="Times New Roman"/>
          <w:color w:val="333333"/>
          <w:sz w:val="28"/>
          <w:szCs w:val="28"/>
        </w:rPr>
      </w:pPr>
      <w:r w:rsidRPr="00511857">
        <w:rPr>
          <w:rFonts w:ascii="Times New Roman" w:hAnsi="Times New Roman" w:cs="Times New Roman"/>
          <w:b/>
          <w:bCs/>
          <w:color w:val="333333"/>
          <w:sz w:val="28"/>
          <w:szCs w:val="28"/>
        </w:rPr>
        <w:t>Towards an Online Sustainability Indicator Tool</w:t>
      </w:r>
    </w:p>
    <w:p w14:paraId="6E812580" w14:textId="77777777" w:rsidR="00511857" w:rsidRPr="00511857" w:rsidRDefault="00511857" w:rsidP="00BD1F8D">
      <w:pPr>
        <w:rPr>
          <w:rFonts w:ascii="Times New Roman" w:hAnsi="Times New Roman" w:cs="Times New Roman"/>
          <w:b/>
          <w:bCs/>
          <w:color w:val="333333"/>
          <w:sz w:val="22"/>
          <w:szCs w:val="22"/>
        </w:rPr>
      </w:pPr>
    </w:p>
    <w:p w14:paraId="6B88A47F" w14:textId="77777777" w:rsidR="00511857" w:rsidRPr="00511857" w:rsidRDefault="00511857" w:rsidP="00BD1F8D">
      <w:pPr>
        <w:rPr>
          <w:rFonts w:ascii="Times New Roman" w:hAnsi="Times New Roman" w:cs="Times New Roman"/>
          <w:b/>
          <w:bCs/>
          <w:color w:val="333333"/>
          <w:sz w:val="22"/>
          <w:szCs w:val="22"/>
        </w:rPr>
      </w:pPr>
      <w:bookmarkStart w:id="1" w:name="_GoBack"/>
      <w:bookmarkEnd w:id="1"/>
    </w:p>
    <w:p w14:paraId="741B85DC" w14:textId="77777777" w:rsidR="00511857" w:rsidRPr="00511857" w:rsidRDefault="00511857" w:rsidP="00BD1F8D">
      <w:pPr>
        <w:rPr>
          <w:rFonts w:ascii="Times New Roman" w:hAnsi="Times New Roman" w:cs="Times New Roman"/>
          <w:b/>
          <w:bCs/>
          <w:color w:val="333333"/>
          <w:sz w:val="22"/>
          <w:szCs w:val="22"/>
        </w:rPr>
      </w:pPr>
    </w:p>
    <w:p w14:paraId="5EEB2E26" w14:textId="77777777" w:rsidR="00BD1F8D" w:rsidRPr="00511857" w:rsidRDefault="00511857" w:rsidP="00BD1F8D">
      <w:pPr>
        <w:rPr>
          <w:rFonts w:ascii="Times New Roman" w:hAnsi="Times New Roman" w:cs="Times New Roman"/>
          <w:b/>
          <w:bCs/>
          <w:color w:val="333333"/>
          <w:sz w:val="22"/>
          <w:szCs w:val="22"/>
        </w:rPr>
      </w:pPr>
      <w:r w:rsidRPr="00511857">
        <w:rPr>
          <w:rFonts w:ascii="Times New Roman" w:hAnsi="Times New Roman" w:cs="Times New Roman"/>
          <w:b/>
          <w:bCs/>
          <w:color w:val="333333"/>
          <w:sz w:val="22"/>
          <w:szCs w:val="22"/>
        </w:rPr>
        <w:t xml:space="preserve">Abstract </w:t>
      </w:r>
    </w:p>
    <w:p w14:paraId="7F5650ED" w14:textId="77777777" w:rsidR="00511857" w:rsidRPr="00511857" w:rsidRDefault="00511857" w:rsidP="00BD1F8D">
      <w:pPr>
        <w:rPr>
          <w:rFonts w:ascii="Times New Roman" w:hAnsi="Times New Roman" w:cs="Times New Roman"/>
          <w:i/>
          <w:iCs/>
          <w:color w:val="333333"/>
          <w:sz w:val="22"/>
          <w:szCs w:val="22"/>
        </w:rPr>
      </w:pPr>
    </w:p>
    <w:p w14:paraId="2D6B8E3B" w14:textId="77777777" w:rsidR="00BD1F8D" w:rsidRDefault="00BD1F8D" w:rsidP="00BD1F8D">
      <w:pPr>
        <w:rPr>
          <w:rFonts w:ascii="Times New Roman" w:hAnsi="Times New Roman" w:cs="Times New Roman"/>
          <w:color w:val="333333"/>
          <w:sz w:val="22"/>
          <w:szCs w:val="22"/>
        </w:rPr>
      </w:pPr>
      <w:r w:rsidRPr="00511857">
        <w:rPr>
          <w:rFonts w:ascii="Times New Roman" w:hAnsi="Times New Roman" w:cs="Times New Roman"/>
          <w:i/>
          <w:iCs/>
          <w:color w:val="333333"/>
          <w:sz w:val="22"/>
          <w:szCs w:val="22"/>
        </w:rPr>
        <w:t>This paper aims to establish how sustainability indicators can be designed to be flexible enough to address the vast extent of urban sustainability processes, with a particular focus on energy. Equally, we examine how these indicators must be designed to reflect the broad range of data sources that are reflective of the three central tenets of sustainability, namely; environmental; economic; and social elements. This paper aims to contribute to these activities at a city level through a development of a framework for sustainability indicators as a tool for performance assessment and improvements. The indicators have been developed specifically for the urban environment and comprise economic, environmental, social integrated indicators, which can be used both internally, for identification of ‘hot spots’ and externally, for sustainability reporting and stakeholder engagement. In this short paper, we introduce some of the emerging findings from the INDICATE project (Agreement no. 608775) which is developing a Smart City sustainability platform.</w:t>
      </w:r>
      <w:r w:rsidRPr="00511857">
        <w:rPr>
          <w:rFonts w:ascii="Times New Roman" w:hAnsi="Times New Roman" w:cs="Times New Roman"/>
          <w:color w:val="333333"/>
          <w:sz w:val="22"/>
          <w:szCs w:val="22"/>
        </w:rPr>
        <w:t xml:space="preserve"> </w:t>
      </w:r>
    </w:p>
    <w:p w14:paraId="123C4A46" w14:textId="77777777" w:rsidR="00511857" w:rsidRPr="00511857" w:rsidRDefault="00511857" w:rsidP="00BD1F8D">
      <w:pPr>
        <w:rPr>
          <w:rFonts w:ascii="Times New Roman" w:hAnsi="Times New Roman" w:cs="Times New Roman"/>
          <w:color w:val="333333"/>
          <w:sz w:val="22"/>
          <w:szCs w:val="22"/>
        </w:rPr>
      </w:pPr>
    </w:p>
    <w:p w14:paraId="2DFA14EE" w14:textId="77777777" w:rsidR="00BD1F8D" w:rsidRPr="00511857" w:rsidRDefault="00BD1F8D" w:rsidP="00BD1F8D">
      <w:pPr>
        <w:pStyle w:val="Heading2"/>
        <w:spacing w:line="276" w:lineRule="auto"/>
        <w:jc w:val="both"/>
        <w:rPr>
          <w:rFonts w:ascii="Times New Roman" w:hAnsi="Times New Roman" w:cs="Times New Roman"/>
          <w:b/>
          <w:color w:val="auto"/>
          <w:sz w:val="22"/>
          <w:szCs w:val="22"/>
          <w:lang w:val="en-IE"/>
        </w:rPr>
      </w:pPr>
      <w:r w:rsidRPr="00511857">
        <w:rPr>
          <w:rFonts w:ascii="Times New Roman" w:hAnsi="Times New Roman" w:cs="Times New Roman"/>
          <w:i/>
          <w:iCs/>
          <w:color w:val="333333"/>
          <w:sz w:val="22"/>
          <w:szCs w:val="22"/>
        </w:rPr>
        <w:t>Keywords: Urban Sustainability, Measurement, Indicators, Planning, Energy Management</w:t>
      </w:r>
    </w:p>
    <w:p w14:paraId="6E01BC75" w14:textId="77777777" w:rsidR="00511857" w:rsidRPr="00511857" w:rsidRDefault="00511857" w:rsidP="00B53C4D">
      <w:pPr>
        <w:pStyle w:val="Heading2"/>
        <w:spacing w:line="276" w:lineRule="auto"/>
        <w:jc w:val="both"/>
        <w:rPr>
          <w:rFonts w:ascii="Times New Roman" w:hAnsi="Times New Roman" w:cs="Times New Roman"/>
          <w:b/>
          <w:color w:val="auto"/>
          <w:sz w:val="22"/>
          <w:szCs w:val="22"/>
          <w:lang w:val="en-IE"/>
        </w:rPr>
      </w:pPr>
    </w:p>
    <w:p w14:paraId="53A7D814" w14:textId="77777777" w:rsidR="00A21E99" w:rsidRDefault="00A21E99" w:rsidP="00B53C4D">
      <w:pPr>
        <w:pStyle w:val="Heading2"/>
        <w:spacing w:line="276" w:lineRule="auto"/>
        <w:jc w:val="both"/>
        <w:rPr>
          <w:rFonts w:ascii="Times New Roman" w:hAnsi="Times New Roman" w:cs="Times New Roman"/>
          <w:b/>
          <w:color w:val="auto"/>
          <w:sz w:val="24"/>
          <w:szCs w:val="22"/>
          <w:lang w:val="en-IE"/>
        </w:rPr>
      </w:pPr>
      <w:r w:rsidRPr="00E22B82">
        <w:rPr>
          <w:rFonts w:ascii="Times New Roman" w:hAnsi="Times New Roman" w:cs="Times New Roman"/>
          <w:b/>
          <w:color w:val="auto"/>
          <w:sz w:val="24"/>
          <w:szCs w:val="22"/>
          <w:lang w:val="en-IE"/>
        </w:rPr>
        <w:t>Highlights</w:t>
      </w:r>
      <w:bookmarkEnd w:id="0"/>
    </w:p>
    <w:p w14:paraId="69194F9B" w14:textId="77777777" w:rsidR="00511857" w:rsidRPr="00511857" w:rsidRDefault="00511857" w:rsidP="00511857">
      <w:pPr>
        <w:rPr>
          <w:lang w:val="en-IE"/>
        </w:rPr>
      </w:pPr>
    </w:p>
    <w:p w14:paraId="0B0FCD12" w14:textId="77777777" w:rsidR="00A21E99" w:rsidRPr="00E22B82" w:rsidRDefault="00A21E99" w:rsidP="00B53C4D">
      <w:pPr>
        <w:pStyle w:val="ListParagraph"/>
        <w:numPr>
          <w:ilvl w:val="0"/>
          <w:numId w:val="45"/>
        </w:numPr>
        <w:spacing w:line="276" w:lineRule="auto"/>
        <w:jc w:val="both"/>
        <w:textAlignment w:val="baseline"/>
        <w:rPr>
          <w:rFonts w:ascii="Times New Roman" w:eastAsia="Times New Roman" w:hAnsi="Times New Roman" w:cs="Times New Roman"/>
          <w:sz w:val="22"/>
          <w:szCs w:val="22"/>
          <w:lang w:val="en-IE"/>
        </w:rPr>
      </w:pPr>
      <w:r w:rsidRPr="00E22B82">
        <w:rPr>
          <w:rFonts w:ascii="Times New Roman" w:hAnsi="Times New Roman" w:cs="Times New Roman"/>
          <w:sz w:val="22"/>
          <w:szCs w:val="22"/>
          <w:lang w:val="en-IE"/>
        </w:rPr>
        <w:t xml:space="preserve">As the impacts of </w:t>
      </w:r>
      <w:r w:rsidR="00265A6A" w:rsidRPr="00E22B82">
        <w:rPr>
          <w:rFonts w:ascii="Times New Roman" w:hAnsi="Times New Roman" w:cs="Times New Roman"/>
          <w:sz w:val="22"/>
          <w:szCs w:val="22"/>
          <w:lang w:val="en-IE"/>
        </w:rPr>
        <w:t>climate change</w:t>
      </w:r>
      <w:r w:rsidRPr="00E22B82">
        <w:rPr>
          <w:rFonts w:ascii="Times New Roman" w:hAnsi="Times New Roman" w:cs="Times New Roman"/>
          <w:sz w:val="22"/>
          <w:szCs w:val="22"/>
          <w:lang w:val="en-IE"/>
        </w:rPr>
        <w:t xml:space="preserve"> have multi-scale characteristics, sustainability assessment needs to be considered </w:t>
      </w:r>
      <w:r w:rsidR="00797C9C" w:rsidRPr="00E22B82">
        <w:rPr>
          <w:rFonts w:ascii="Times New Roman" w:hAnsi="Times New Roman" w:cs="Times New Roman"/>
          <w:sz w:val="22"/>
          <w:szCs w:val="22"/>
          <w:lang w:val="en-IE"/>
        </w:rPr>
        <w:t>across</w:t>
      </w:r>
      <w:r w:rsidR="00265A6A" w:rsidRPr="00E22B82">
        <w:rPr>
          <w:rFonts w:ascii="Times New Roman" w:hAnsi="Times New Roman" w:cs="Times New Roman"/>
          <w:sz w:val="22"/>
          <w:szCs w:val="22"/>
          <w:lang w:val="en-IE"/>
        </w:rPr>
        <w:t xml:space="preserve"> these </w:t>
      </w:r>
      <w:r w:rsidR="007923BE">
        <w:rPr>
          <w:rFonts w:ascii="Times New Roman" w:hAnsi="Times New Roman" w:cs="Times New Roman"/>
          <w:sz w:val="22"/>
          <w:szCs w:val="22"/>
          <w:lang w:val="en-IE"/>
        </w:rPr>
        <w:t>scales</w:t>
      </w:r>
    </w:p>
    <w:p w14:paraId="783AE442" w14:textId="77777777" w:rsidR="00C3454A" w:rsidRPr="00E22B82" w:rsidRDefault="007C6425" w:rsidP="00B53C4D">
      <w:pPr>
        <w:pStyle w:val="ListParagraph"/>
        <w:numPr>
          <w:ilvl w:val="0"/>
          <w:numId w:val="45"/>
        </w:numPr>
        <w:spacing w:line="276" w:lineRule="auto"/>
        <w:jc w:val="both"/>
        <w:textAlignment w:val="baseline"/>
        <w:rPr>
          <w:rFonts w:ascii="Times New Roman" w:eastAsia="Times New Roman" w:hAnsi="Times New Roman" w:cs="Times New Roman"/>
          <w:sz w:val="22"/>
          <w:szCs w:val="22"/>
          <w:lang w:val="en-IE"/>
        </w:rPr>
      </w:pPr>
      <w:r w:rsidRPr="00E22B82">
        <w:rPr>
          <w:rFonts w:ascii="Times New Roman" w:hAnsi="Times New Roman" w:cs="Times New Roman"/>
          <w:sz w:val="22"/>
          <w:szCs w:val="22"/>
          <w:lang w:val="en-IE"/>
        </w:rPr>
        <w:t>D</w:t>
      </w:r>
      <w:r w:rsidR="00A21E99" w:rsidRPr="00E22B82">
        <w:rPr>
          <w:rFonts w:ascii="Times New Roman" w:hAnsi="Times New Roman" w:cs="Times New Roman"/>
          <w:sz w:val="22"/>
          <w:szCs w:val="22"/>
          <w:lang w:val="en-IE"/>
        </w:rPr>
        <w:t xml:space="preserve">etailed data is necessary to assess local </w:t>
      </w:r>
      <w:r w:rsidR="00FB5EA1" w:rsidRPr="00E22B82">
        <w:rPr>
          <w:rFonts w:ascii="Times New Roman" w:hAnsi="Times New Roman" w:cs="Times New Roman"/>
          <w:sz w:val="22"/>
          <w:szCs w:val="22"/>
          <w:lang w:val="en-IE"/>
        </w:rPr>
        <w:t xml:space="preserve">urban </w:t>
      </w:r>
      <w:r w:rsidR="00A21E99" w:rsidRPr="00E22B82">
        <w:rPr>
          <w:rFonts w:ascii="Times New Roman" w:hAnsi="Times New Roman" w:cs="Times New Roman"/>
          <w:sz w:val="22"/>
          <w:szCs w:val="22"/>
          <w:lang w:val="en-IE"/>
        </w:rPr>
        <w:t>environmental change to provide insights into</w:t>
      </w:r>
      <w:r w:rsidR="007923BE">
        <w:rPr>
          <w:rFonts w:ascii="Times New Roman" w:hAnsi="Times New Roman" w:cs="Times New Roman"/>
          <w:sz w:val="22"/>
          <w:szCs w:val="22"/>
          <w:lang w:val="en-IE"/>
        </w:rPr>
        <w:t xml:space="preserve"> the national and global scales</w:t>
      </w:r>
    </w:p>
    <w:p w14:paraId="0653A513" w14:textId="77777777" w:rsidR="00C3454A" w:rsidRPr="00E22B82" w:rsidRDefault="00A21E99" w:rsidP="00B53C4D">
      <w:pPr>
        <w:pStyle w:val="ListParagraph"/>
        <w:numPr>
          <w:ilvl w:val="0"/>
          <w:numId w:val="45"/>
        </w:numPr>
        <w:spacing w:line="276" w:lineRule="auto"/>
        <w:jc w:val="both"/>
        <w:textAlignment w:val="baseline"/>
        <w:rPr>
          <w:rFonts w:ascii="Times New Roman" w:eastAsia="Times New Roman" w:hAnsi="Times New Roman" w:cs="Times New Roman"/>
          <w:sz w:val="22"/>
          <w:szCs w:val="22"/>
          <w:lang w:val="en-IE"/>
        </w:rPr>
      </w:pPr>
      <w:r w:rsidRPr="00E22B82">
        <w:rPr>
          <w:rFonts w:ascii="Times New Roman" w:hAnsi="Times New Roman" w:cs="Times New Roman"/>
          <w:sz w:val="22"/>
          <w:szCs w:val="22"/>
          <w:lang w:val="en-IE"/>
        </w:rPr>
        <w:t xml:space="preserve">This paper proposes a set of </w:t>
      </w:r>
      <w:r w:rsidR="00FB5EA1" w:rsidRPr="00E22B82">
        <w:rPr>
          <w:rFonts w:ascii="Times New Roman" w:hAnsi="Times New Roman" w:cs="Times New Roman"/>
          <w:sz w:val="22"/>
          <w:szCs w:val="22"/>
          <w:lang w:val="en-IE"/>
        </w:rPr>
        <w:t xml:space="preserve">32 </w:t>
      </w:r>
      <w:r w:rsidRPr="00E22B82">
        <w:rPr>
          <w:rFonts w:ascii="Times New Roman" w:hAnsi="Times New Roman" w:cs="Times New Roman"/>
          <w:sz w:val="22"/>
          <w:szCs w:val="22"/>
          <w:lang w:val="en-IE"/>
        </w:rPr>
        <w:t xml:space="preserve">key </w:t>
      </w:r>
      <w:r w:rsidR="00FB5EA1" w:rsidRPr="00E22B82">
        <w:rPr>
          <w:rFonts w:ascii="Times New Roman" w:hAnsi="Times New Roman" w:cs="Times New Roman"/>
          <w:sz w:val="22"/>
          <w:szCs w:val="22"/>
          <w:lang w:val="en-IE"/>
        </w:rPr>
        <w:t>sustainable</w:t>
      </w:r>
      <w:r w:rsidRPr="00E22B82">
        <w:rPr>
          <w:rFonts w:ascii="Times New Roman" w:hAnsi="Times New Roman" w:cs="Times New Roman"/>
          <w:sz w:val="22"/>
          <w:szCs w:val="22"/>
          <w:lang w:val="en-IE"/>
        </w:rPr>
        <w:t xml:space="preserve"> urban indicators for monitoring the sustainability of </w:t>
      </w:r>
      <w:r w:rsidR="00FB5EA1" w:rsidRPr="00E22B82">
        <w:rPr>
          <w:rFonts w:ascii="Times New Roman" w:hAnsi="Times New Roman" w:cs="Times New Roman"/>
          <w:sz w:val="22"/>
          <w:szCs w:val="22"/>
          <w:lang w:val="en-IE"/>
        </w:rPr>
        <w:t>urban</w:t>
      </w:r>
      <w:r w:rsidRPr="00E22B82">
        <w:rPr>
          <w:rFonts w:ascii="Times New Roman" w:hAnsi="Times New Roman" w:cs="Times New Roman"/>
          <w:sz w:val="22"/>
          <w:szCs w:val="22"/>
          <w:lang w:val="en-IE"/>
        </w:rPr>
        <w:t xml:space="preserve"> developments</w:t>
      </w:r>
      <w:r w:rsidR="00DF1587" w:rsidRPr="00E22B82">
        <w:rPr>
          <w:rFonts w:ascii="Times New Roman" w:hAnsi="Times New Roman" w:cs="Times New Roman"/>
          <w:sz w:val="22"/>
          <w:szCs w:val="22"/>
          <w:lang w:val="en-IE"/>
        </w:rPr>
        <w:t xml:space="preserve"> in relation to consumption of energy therein</w:t>
      </w:r>
    </w:p>
    <w:p w14:paraId="51F08F5C" w14:textId="77777777" w:rsidR="00A21E99" w:rsidRPr="00E22B82" w:rsidRDefault="00A21E99" w:rsidP="00B53C4D">
      <w:pPr>
        <w:pStyle w:val="ListParagraph"/>
        <w:numPr>
          <w:ilvl w:val="0"/>
          <w:numId w:val="45"/>
        </w:numPr>
        <w:spacing w:line="276" w:lineRule="auto"/>
        <w:jc w:val="both"/>
        <w:textAlignment w:val="baseline"/>
        <w:rPr>
          <w:rFonts w:ascii="Times New Roman" w:eastAsia="Times New Roman" w:hAnsi="Times New Roman" w:cs="Times New Roman"/>
          <w:sz w:val="22"/>
          <w:szCs w:val="22"/>
          <w:lang w:val="en-IE"/>
        </w:rPr>
      </w:pPr>
      <w:r w:rsidRPr="00E22B82">
        <w:rPr>
          <w:rFonts w:ascii="Times New Roman" w:hAnsi="Times New Roman" w:cs="Times New Roman"/>
          <w:sz w:val="22"/>
          <w:szCs w:val="22"/>
          <w:lang w:val="en-IE"/>
        </w:rPr>
        <w:t xml:space="preserve">This paper describes theoretical foundations for the selection of </w:t>
      </w:r>
      <w:r w:rsidR="00797C9C" w:rsidRPr="00E22B82">
        <w:rPr>
          <w:rFonts w:ascii="Times New Roman" w:hAnsi="Times New Roman" w:cs="Times New Roman"/>
          <w:sz w:val="22"/>
          <w:szCs w:val="22"/>
          <w:lang w:val="en-IE"/>
        </w:rPr>
        <w:t>the SUIs</w:t>
      </w:r>
      <w:r w:rsidRPr="00E22B82">
        <w:rPr>
          <w:rFonts w:ascii="Times New Roman" w:hAnsi="Times New Roman" w:cs="Times New Roman"/>
          <w:sz w:val="22"/>
          <w:szCs w:val="22"/>
          <w:lang w:val="en-IE"/>
        </w:rPr>
        <w:t xml:space="preserve"> with reference to the </w:t>
      </w:r>
      <w:r w:rsidR="007923BE">
        <w:rPr>
          <w:rFonts w:ascii="Times New Roman" w:hAnsi="Times New Roman" w:cs="Times New Roman"/>
          <w:sz w:val="22"/>
          <w:szCs w:val="22"/>
          <w:lang w:val="en-IE"/>
        </w:rPr>
        <w:t>literature</w:t>
      </w:r>
    </w:p>
    <w:p w14:paraId="14B8A4E0" w14:textId="77777777" w:rsidR="00A21E99" w:rsidRPr="00E22B82" w:rsidRDefault="00A21E99" w:rsidP="00307D57">
      <w:pPr>
        <w:rPr>
          <w:lang w:val="en-IE"/>
        </w:rPr>
      </w:pPr>
    </w:p>
    <w:p w14:paraId="0A99E0CC" w14:textId="77777777" w:rsidR="00B96535" w:rsidRDefault="00743195" w:rsidP="00B53C4D">
      <w:pPr>
        <w:pStyle w:val="Heading2"/>
        <w:spacing w:line="276" w:lineRule="auto"/>
        <w:jc w:val="both"/>
        <w:rPr>
          <w:rFonts w:ascii="Times New Roman" w:hAnsi="Times New Roman" w:cs="Times New Roman"/>
          <w:b/>
          <w:color w:val="auto"/>
          <w:sz w:val="24"/>
          <w:szCs w:val="22"/>
          <w:lang w:val="en-IE"/>
        </w:rPr>
      </w:pPr>
      <w:bookmarkStart w:id="2" w:name="_Toc450945615"/>
      <w:r w:rsidRPr="00E22B82">
        <w:rPr>
          <w:rFonts w:ascii="Times New Roman" w:hAnsi="Times New Roman" w:cs="Times New Roman"/>
          <w:b/>
          <w:color w:val="auto"/>
          <w:sz w:val="24"/>
          <w:szCs w:val="22"/>
          <w:lang w:val="en-IE"/>
        </w:rPr>
        <w:t>Introduction</w:t>
      </w:r>
      <w:bookmarkEnd w:id="2"/>
    </w:p>
    <w:p w14:paraId="4C51A728" w14:textId="77777777" w:rsidR="00511857" w:rsidRPr="00511857" w:rsidRDefault="00511857" w:rsidP="00511857">
      <w:pPr>
        <w:rPr>
          <w:lang w:val="en-IE"/>
        </w:rPr>
      </w:pPr>
    </w:p>
    <w:p w14:paraId="73869A72" w14:textId="77777777" w:rsidR="009536DE" w:rsidRPr="00E22B82" w:rsidRDefault="009536DE" w:rsidP="009536DE">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Developing urban sustainability performance indicators will be critical for cities aiming to reach the targets set at the Paris COP-21 conference. It has been argued that traditional measures of urban quality of life and economic performance are inadequate as they fail to ensure a composite analysis of the interdependent systems underpinning urban society. The crossover and interdependence between city systems at a regional and European level is not currently reflected in urban decision-making. This </w:t>
      </w:r>
      <w:r w:rsidRPr="00E22B82">
        <w:rPr>
          <w:rFonts w:ascii="Times New Roman" w:hAnsi="Times New Roman" w:cs="Times New Roman"/>
          <w:sz w:val="22"/>
          <w:szCs w:val="22"/>
          <w:lang w:val="en-IE"/>
        </w:rPr>
        <w:lastRenderedPageBreak/>
        <w:t>issue is especially pronounced when it comes to the assessment, measurement and remediation of an urban areas’ unsustainable practices in relation to the consumption of energy.</w:t>
      </w:r>
    </w:p>
    <w:p w14:paraId="0DDFFD5B" w14:textId="77777777" w:rsidR="009536DE" w:rsidRPr="00E22B82" w:rsidRDefault="009536DE" w:rsidP="009536DE">
      <w:pPr>
        <w:autoSpaceDE w:val="0"/>
        <w:autoSpaceDN w:val="0"/>
        <w:adjustRightInd w:val="0"/>
        <w:spacing w:line="276" w:lineRule="auto"/>
        <w:jc w:val="both"/>
        <w:rPr>
          <w:rFonts w:ascii="Times New Roman" w:hAnsi="Times New Roman" w:cs="Times New Roman"/>
          <w:sz w:val="22"/>
          <w:szCs w:val="22"/>
          <w:lang w:val="en-IE"/>
        </w:rPr>
      </w:pPr>
    </w:p>
    <w:p w14:paraId="65073BF0" w14:textId="77777777" w:rsidR="009536DE" w:rsidRPr="00E22B82" w:rsidRDefault="009536DE" w:rsidP="009536DE">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 basis of this paper is that, for successful assessment of urban sustainability, the required first step is to put forward a set of multi-dimensional indicators. Past attempts to answer the rudimentary question of whether a city is successfully becoming more sustainable cannot be adequately determined due in part to divergence on which indicators should be employed. Drawing from this the question arises: how should these indicators be selected and then how should they be aggregated? The use of a multi-criterion framework to make the ‘measurement of sustainability’ operational is discussed here by means of an assessment of key stakeholder perspectives.</w:t>
      </w:r>
    </w:p>
    <w:p w14:paraId="619342A6" w14:textId="77777777" w:rsidR="009536DE" w:rsidRDefault="009536DE" w:rsidP="00B53C4D">
      <w:pPr>
        <w:spacing w:line="276" w:lineRule="auto"/>
        <w:jc w:val="both"/>
        <w:textAlignment w:val="baseline"/>
        <w:rPr>
          <w:rFonts w:ascii="Times New Roman" w:hAnsi="Times New Roman" w:cs="Times New Roman"/>
          <w:sz w:val="22"/>
          <w:szCs w:val="22"/>
          <w:lang w:val="en-IE"/>
        </w:rPr>
      </w:pPr>
    </w:p>
    <w:p w14:paraId="6970B9B0" w14:textId="77777777" w:rsidR="00951A67" w:rsidRPr="00E22B82" w:rsidRDefault="00641091" w:rsidP="00B53C4D">
      <w:pPr>
        <w:spacing w:line="276" w:lineRule="auto"/>
        <w:jc w:val="both"/>
        <w:textAlignment w:val="baseline"/>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concept of sustainable development is based on the observation that a cities’ economy, environment and wellbeing can no longer be separated. </w:t>
      </w:r>
      <w:r w:rsidR="007A6FFA" w:rsidRPr="00E22B82">
        <w:rPr>
          <w:rFonts w:ascii="Times New Roman" w:hAnsi="Times New Roman" w:cs="Times New Roman"/>
          <w:sz w:val="22"/>
          <w:szCs w:val="22"/>
          <w:lang w:val="en-IE"/>
        </w:rPr>
        <w:t xml:space="preserve">Newman and Jennings (2008) define sustainable urban ecosystems as </w:t>
      </w:r>
      <w:r w:rsidR="007A6FFA" w:rsidRPr="00E22B82">
        <w:rPr>
          <w:rFonts w:ascii="Times New Roman" w:hAnsi="Times New Roman" w:cs="Times New Roman"/>
          <w:i/>
          <w:iCs/>
          <w:sz w:val="22"/>
          <w:szCs w:val="22"/>
          <w:bdr w:val="none" w:sz="0" w:space="0" w:color="auto" w:frame="1"/>
          <w:lang w:val="en-IE"/>
        </w:rPr>
        <w:t>‘systems which are ethical</w:t>
      </w:r>
      <w:r w:rsidR="007A6FFA" w:rsidRPr="00E22B82">
        <w:rPr>
          <w:rFonts w:ascii="Times New Roman" w:hAnsi="Times New Roman" w:cs="Times New Roman"/>
          <w:sz w:val="22"/>
          <w:szCs w:val="22"/>
          <w:lang w:val="en-IE"/>
        </w:rPr>
        <w:t>, </w:t>
      </w:r>
      <w:r w:rsidR="007A6FFA" w:rsidRPr="00E22B82">
        <w:rPr>
          <w:rFonts w:ascii="Times New Roman" w:hAnsi="Times New Roman" w:cs="Times New Roman"/>
          <w:i/>
          <w:iCs/>
          <w:sz w:val="22"/>
          <w:szCs w:val="22"/>
          <w:bdr w:val="none" w:sz="0" w:space="0" w:color="auto" w:frame="1"/>
          <w:lang w:val="en-IE"/>
        </w:rPr>
        <w:t>effective</w:t>
      </w:r>
      <w:r w:rsidR="007A6FFA" w:rsidRPr="00E22B82">
        <w:rPr>
          <w:rFonts w:ascii="Times New Roman" w:hAnsi="Times New Roman" w:cs="Times New Roman"/>
          <w:sz w:val="22"/>
          <w:szCs w:val="22"/>
          <w:lang w:val="en-IE"/>
        </w:rPr>
        <w:t>, </w:t>
      </w:r>
      <w:r w:rsidR="003E544A" w:rsidRPr="00E22B82">
        <w:rPr>
          <w:rFonts w:ascii="Times New Roman" w:hAnsi="Times New Roman" w:cs="Times New Roman"/>
          <w:i/>
          <w:iCs/>
          <w:sz w:val="22"/>
          <w:szCs w:val="22"/>
          <w:bdr w:val="none" w:sz="0" w:space="0" w:color="auto" w:frame="1"/>
          <w:lang w:val="en-IE"/>
        </w:rPr>
        <w:t>self-regulating</w:t>
      </w:r>
      <w:r w:rsidR="007A6FFA" w:rsidRPr="00E22B82">
        <w:rPr>
          <w:rFonts w:ascii="Times New Roman" w:hAnsi="Times New Roman" w:cs="Times New Roman"/>
          <w:sz w:val="22"/>
          <w:szCs w:val="22"/>
          <w:lang w:val="en-IE"/>
        </w:rPr>
        <w:t>, </w:t>
      </w:r>
      <w:r w:rsidR="007A6FFA" w:rsidRPr="00E22B82">
        <w:rPr>
          <w:rFonts w:ascii="Times New Roman" w:hAnsi="Times New Roman" w:cs="Times New Roman"/>
          <w:i/>
          <w:iCs/>
          <w:sz w:val="22"/>
          <w:szCs w:val="22"/>
          <w:bdr w:val="none" w:sz="0" w:space="0" w:color="auto" w:frame="1"/>
          <w:lang w:val="en-IE"/>
        </w:rPr>
        <w:t>resilient</w:t>
      </w:r>
      <w:r w:rsidR="007A6FFA" w:rsidRPr="00E22B82">
        <w:rPr>
          <w:rFonts w:ascii="Times New Roman" w:hAnsi="Times New Roman" w:cs="Times New Roman"/>
          <w:sz w:val="22"/>
          <w:szCs w:val="22"/>
          <w:lang w:val="en-IE"/>
        </w:rPr>
        <w:t>, </w:t>
      </w:r>
      <w:r w:rsidR="003E544A" w:rsidRPr="00E22B82">
        <w:rPr>
          <w:rFonts w:ascii="Times New Roman" w:hAnsi="Times New Roman" w:cs="Times New Roman"/>
          <w:i/>
          <w:iCs/>
          <w:sz w:val="22"/>
          <w:szCs w:val="22"/>
          <w:bdr w:val="none" w:sz="0" w:space="0" w:color="auto" w:frame="1"/>
          <w:lang w:val="en-IE"/>
        </w:rPr>
        <w:t>self-renewing</w:t>
      </w:r>
      <w:r w:rsidR="007A6FFA" w:rsidRPr="00E22B82">
        <w:rPr>
          <w:rFonts w:ascii="Times New Roman" w:hAnsi="Times New Roman" w:cs="Times New Roman"/>
          <w:sz w:val="22"/>
          <w:szCs w:val="22"/>
          <w:lang w:val="en-IE"/>
        </w:rPr>
        <w:t xml:space="preserve">, and </w:t>
      </w:r>
      <w:r w:rsidR="007A6FFA" w:rsidRPr="00E22B82">
        <w:rPr>
          <w:rFonts w:ascii="Times New Roman" w:hAnsi="Times New Roman" w:cs="Times New Roman"/>
          <w:i/>
          <w:iCs/>
          <w:sz w:val="22"/>
          <w:szCs w:val="22"/>
          <w:bdr w:val="none" w:sz="0" w:space="0" w:color="auto" w:frame="1"/>
          <w:lang w:val="en-IE"/>
        </w:rPr>
        <w:t>flexible</w:t>
      </w:r>
      <w:r w:rsidR="007A6FFA" w:rsidRPr="00E22B82">
        <w:rPr>
          <w:rFonts w:ascii="Times New Roman" w:hAnsi="Times New Roman" w:cs="Times New Roman"/>
          <w:sz w:val="22"/>
          <w:szCs w:val="22"/>
          <w:lang w:val="en-IE"/>
        </w:rPr>
        <w:t>’.</w:t>
      </w:r>
      <w:r w:rsidR="0009544E" w:rsidRPr="00E22B82">
        <w:rPr>
          <w:rFonts w:ascii="Times New Roman" w:hAnsi="Times New Roman" w:cs="Times New Roman"/>
          <w:sz w:val="22"/>
          <w:szCs w:val="22"/>
          <w:lang w:val="en-IE"/>
        </w:rPr>
        <w:t xml:space="preserve"> Developing from early natural ecosystems our modern </w:t>
      </w:r>
      <w:r w:rsidR="007A6FFA" w:rsidRPr="00E22B82">
        <w:rPr>
          <w:rFonts w:ascii="Times New Roman" w:hAnsi="Times New Roman" w:cs="Times New Roman"/>
          <w:sz w:val="22"/>
          <w:szCs w:val="22"/>
          <w:lang w:val="en-IE"/>
        </w:rPr>
        <w:t>urban systems</w:t>
      </w:r>
      <w:r w:rsidRPr="00E22B82">
        <w:rPr>
          <w:rFonts w:ascii="Times New Roman" w:hAnsi="Times New Roman" w:cs="Times New Roman"/>
          <w:sz w:val="22"/>
          <w:szCs w:val="22"/>
          <w:lang w:val="en-IE"/>
        </w:rPr>
        <w:t xml:space="preserve"> </w:t>
      </w:r>
      <w:r w:rsidR="00FB5732" w:rsidRPr="00E22B82">
        <w:rPr>
          <w:rFonts w:ascii="Times New Roman" w:hAnsi="Times New Roman" w:cs="Times New Roman"/>
          <w:sz w:val="22"/>
          <w:szCs w:val="22"/>
          <w:lang w:val="en-IE"/>
        </w:rPr>
        <w:t xml:space="preserve">have become </w:t>
      </w:r>
      <w:r w:rsidR="00FB5EA1" w:rsidRPr="00E22B82">
        <w:rPr>
          <w:rFonts w:ascii="Times New Roman" w:hAnsi="Times New Roman" w:cs="Times New Roman"/>
          <w:sz w:val="22"/>
          <w:szCs w:val="22"/>
          <w:lang w:val="en-IE"/>
        </w:rPr>
        <w:t xml:space="preserve">more </w:t>
      </w:r>
      <w:r w:rsidRPr="00E22B82">
        <w:rPr>
          <w:rFonts w:ascii="Times New Roman" w:hAnsi="Times New Roman" w:cs="Times New Roman"/>
          <w:sz w:val="22"/>
          <w:szCs w:val="22"/>
          <w:lang w:val="en-IE"/>
        </w:rPr>
        <w:t xml:space="preserve">complex </w:t>
      </w:r>
      <w:r w:rsidR="00FB5732" w:rsidRPr="00E22B82">
        <w:rPr>
          <w:rFonts w:ascii="Times New Roman" w:hAnsi="Times New Roman" w:cs="Times New Roman"/>
          <w:sz w:val="22"/>
          <w:szCs w:val="22"/>
          <w:lang w:val="en-IE"/>
        </w:rPr>
        <w:t xml:space="preserve">with many interrelated </w:t>
      </w:r>
      <w:r w:rsidRPr="00E22B82">
        <w:rPr>
          <w:rFonts w:ascii="Times New Roman" w:hAnsi="Times New Roman" w:cs="Times New Roman"/>
          <w:sz w:val="22"/>
          <w:szCs w:val="22"/>
          <w:lang w:val="en-IE"/>
        </w:rPr>
        <w:t>structur</w:t>
      </w:r>
      <w:r w:rsidR="00FB5732" w:rsidRPr="00E22B82">
        <w:rPr>
          <w:rFonts w:ascii="Times New Roman" w:hAnsi="Times New Roman" w:cs="Times New Roman"/>
          <w:sz w:val="22"/>
          <w:szCs w:val="22"/>
          <w:lang w:val="en-IE"/>
        </w:rPr>
        <w:t>al</w:t>
      </w:r>
      <w:r w:rsidRPr="00E22B82">
        <w:rPr>
          <w:rFonts w:ascii="Times New Roman" w:hAnsi="Times New Roman" w:cs="Times New Roman"/>
          <w:sz w:val="22"/>
          <w:szCs w:val="22"/>
          <w:lang w:val="en-IE"/>
        </w:rPr>
        <w:t xml:space="preserve"> layers</w:t>
      </w:r>
      <w:r w:rsidR="0009544E" w:rsidRPr="00E22B82">
        <w:rPr>
          <w:rFonts w:ascii="Times New Roman" w:hAnsi="Times New Roman" w:cs="Times New Roman"/>
          <w:sz w:val="22"/>
          <w:szCs w:val="22"/>
          <w:lang w:val="en-IE"/>
        </w:rPr>
        <w:t xml:space="preserve">. </w:t>
      </w:r>
      <w:r w:rsidR="007A6FFA" w:rsidRPr="00E22B82">
        <w:rPr>
          <w:rFonts w:ascii="Times New Roman" w:hAnsi="Times New Roman" w:cs="Times New Roman"/>
          <w:sz w:val="22"/>
          <w:szCs w:val="22"/>
          <w:lang w:val="en-IE"/>
        </w:rPr>
        <w:t xml:space="preserve"> </w:t>
      </w:r>
      <w:r w:rsidR="0009544E" w:rsidRPr="00E22B82">
        <w:rPr>
          <w:rFonts w:ascii="Times New Roman" w:hAnsi="Times New Roman" w:cs="Times New Roman"/>
          <w:sz w:val="22"/>
          <w:szCs w:val="22"/>
          <w:lang w:val="en-IE"/>
        </w:rPr>
        <w:t>The sustainability of</w:t>
      </w:r>
      <w:r w:rsidRPr="00E22B82">
        <w:rPr>
          <w:rFonts w:ascii="Times New Roman" w:hAnsi="Times New Roman" w:cs="Times New Roman"/>
          <w:sz w:val="22"/>
          <w:szCs w:val="22"/>
          <w:lang w:val="en-IE"/>
        </w:rPr>
        <w:t xml:space="preserve"> these</w:t>
      </w:r>
      <w:r w:rsidR="0009544E" w:rsidRPr="00E22B82">
        <w:rPr>
          <w:rFonts w:ascii="Times New Roman" w:hAnsi="Times New Roman" w:cs="Times New Roman"/>
          <w:sz w:val="22"/>
          <w:szCs w:val="22"/>
          <w:lang w:val="en-IE"/>
        </w:rPr>
        <w:t xml:space="preserve"> urban systems is dependent on maintaining the system</w:t>
      </w:r>
      <w:r w:rsidRPr="00E22B82">
        <w:rPr>
          <w:rFonts w:ascii="Times New Roman" w:hAnsi="Times New Roman" w:cs="Times New Roman"/>
          <w:sz w:val="22"/>
          <w:szCs w:val="22"/>
          <w:lang w:val="en-IE"/>
        </w:rPr>
        <w:t>’s</w:t>
      </w:r>
      <w:r w:rsidR="0009544E" w:rsidRPr="00E22B82">
        <w:rPr>
          <w:rFonts w:ascii="Times New Roman" w:hAnsi="Times New Roman" w:cs="Times New Roman"/>
          <w:sz w:val="22"/>
          <w:szCs w:val="22"/>
          <w:lang w:val="en-IE"/>
        </w:rPr>
        <w:t xml:space="preserve"> equilibrium through sustainable development principles. We adopt the definition of sustainable development put forward by the World Commission on Environment and Development (WCED); "</w:t>
      </w:r>
      <w:r w:rsidR="0009544E" w:rsidRPr="00E22B82">
        <w:rPr>
          <w:rFonts w:ascii="Times New Roman" w:hAnsi="Times New Roman" w:cs="Times New Roman"/>
          <w:i/>
          <w:sz w:val="22"/>
          <w:szCs w:val="22"/>
          <w:lang w:val="en-IE"/>
        </w:rPr>
        <w:t>development that meets the needs of the present without compromising the ability of future generations to meet their own needs</w:t>
      </w:r>
      <w:r w:rsidR="003E544A" w:rsidRPr="00E22B82">
        <w:rPr>
          <w:rFonts w:ascii="Times New Roman" w:hAnsi="Times New Roman" w:cs="Times New Roman"/>
          <w:i/>
          <w:sz w:val="22"/>
          <w:szCs w:val="22"/>
          <w:lang w:val="en-IE"/>
        </w:rPr>
        <w:t>,</w:t>
      </w:r>
      <w:r w:rsidR="0009544E" w:rsidRPr="00E22B82">
        <w:rPr>
          <w:rFonts w:ascii="Times New Roman" w:hAnsi="Times New Roman" w:cs="Times New Roman"/>
          <w:sz w:val="22"/>
          <w:szCs w:val="22"/>
          <w:lang w:val="en-IE"/>
        </w:rPr>
        <w:t>"</w:t>
      </w:r>
      <w:r w:rsidR="003E544A" w:rsidRPr="00E22B82">
        <w:rPr>
          <w:rFonts w:ascii="Times New Roman" w:hAnsi="Times New Roman" w:cs="Times New Roman"/>
          <w:sz w:val="22"/>
          <w:szCs w:val="22"/>
          <w:lang w:val="en-IE"/>
        </w:rPr>
        <w:t xml:space="preserve"> (Brundtland and Mansour, 1987)</w:t>
      </w:r>
      <w:r w:rsidR="0009544E"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 xml:space="preserve"> </w:t>
      </w:r>
      <w:r w:rsidR="00DF1587" w:rsidRPr="00E22B82">
        <w:rPr>
          <w:rFonts w:ascii="Times New Roman" w:hAnsi="Times New Roman" w:cs="Times New Roman"/>
          <w:sz w:val="22"/>
          <w:szCs w:val="22"/>
          <w:lang w:val="en-IE"/>
        </w:rPr>
        <w:t xml:space="preserve">In terms of operationalising </w:t>
      </w:r>
      <w:r w:rsidR="00265A6A" w:rsidRPr="00E22B82">
        <w:rPr>
          <w:rFonts w:ascii="Times New Roman" w:hAnsi="Times New Roman" w:cs="Times New Roman"/>
          <w:sz w:val="22"/>
          <w:szCs w:val="22"/>
          <w:lang w:val="en-IE"/>
        </w:rPr>
        <w:t>sustainable development</w:t>
      </w:r>
      <w:r w:rsidR="00DF1587"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 xml:space="preserve"> this paper aims to enhance </w:t>
      </w:r>
      <w:r w:rsidR="00AC4930" w:rsidRPr="00E22B82">
        <w:rPr>
          <w:rFonts w:ascii="Times New Roman" w:hAnsi="Times New Roman" w:cs="Times New Roman"/>
          <w:sz w:val="22"/>
          <w:szCs w:val="22"/>
          <w:lang w:val="en-IE"/>
        </w:rPr>
        <w:t xml:space="preserve">the urban environment </w:t>
      </w:r>
      <w:r w:rsidRPr="00E22B82">
        <w:rPr>
          <w:rFonts w:ascii="Times New Roman" w:hAnsi="Times New Roman" w:cs="Times New Roman"/>
          <w:sz w:val="22"/>
          <w:szCs w:val="22"/>
          <w:lang w:val="en-IE"/>
        </w:rPr>
        <w:t xml:space="preserve">by </w:t>
      </w:r>
      <w:r w:rsidR="00AC4930" w:rsidRPr="00E22B82">
        <w:rPr>
          <w:rFonts w:ascii="Times New Roman" w:hAnsi="Times New Roman" w:cs="Times New Roman"/>
          <w:sz w:val="22"/>
          <w:szCs w:val="22"/>
          <w:lang w:val="en-IE"/>
        </w:rPr>
        <w:t>minimis</w:t>
      </w:r>
      <w:r w:rsidR="00951A67" w:rsidRPr="00E22B82">
        <w:rPr>
          <w:rFonts w:ascii="Times New Roman" w:hAnsi="Times New Roman" w:cs="Times New Roman"/>
          <w:sz w:val="22"/>
          <w:szCs w:val="22"/>
          <w:lang w:val="en-IE"/>
        </w:rPr>
        <w:t xml:space="preserve">ing energy consumption </w:t>
      </w:r>
      <w:r w:rsidRPr="00E22B82">
        <w:rPr>
          <w:rFonts w:ascii="Times New Roman" w:hAnsi="Times New Roman" w:cs="Times New Roman"/>
          <w:sz w:val="22"/>
          <w:szCs w:val="22"/>
          <w:lang w:val="en-IE"/>
        </w:rPr>
        <w:t>through</w:t>
      </w:r>
      <w:r w:rsidR="00951A67" w:rsidRPr="00E22B82">
        <w:rPr>
          <w:rFonts w:ascii="Times New Roman" w:hAnsi="Times New Roman" w:cs="Times New Roman"/>
          <w:sz w:val="22"/>
          <w:szCs w:val="22"/>
          <w:lang w:val="en-IE"/>
        </w:rPr>
        <w:t xml:space="preserve"> green building </w:t>
      </w:r>
      <w:r w:rsidRPr="00E22B82">
        <w:rPr>
          <w:rFonts w:ascii="Times New Roman" w:hAnsi="Times New Roman" w:cs="Times New Roman"/>
          <w:sz w:val="22"/>
          <w:szCs w:val="22"/>
          <w:lang w:val="en-IE"/>
        </w:rPr>
        <w:t xml:space="preserve">monitoring technologies and </w:t>
      </w:r>
      <w:r w:rsidR="00951A67" w:rsidRPr="00E22B82">
        <w:rPr>
          <w:rFonts w:ascii="Times New Roman" w:hAnsi="Times New Roman" w:cs="Times New Roman"/>
          <w:sz w:val="22"/>
          <w:szCs w:val="22"/>
          <w:lang w:val="en-IE"/>
        </w:rPr>
        <w:t xml:space="preserve">reducing greenhouse gas emissions by providing </w:t>
      </w:r>
      <w:r w:rsidRPr="00E22B82">
        <w:rPr>
          <w:rFonts w:ascii="Times New Roman" w:hAnsi="Times New Roman" w:cs="Times New Roman"/>
          <w:sz w:val="22"/>
          <w:szCs w:val="22"/>
          <w:lang w:val="en-IE"/>
        </w:rPr>
        <w:t>clear analysis of the urban environment.</w:t>
      </w:r>
      <w:r w:rsidR="00DF1587" w:rsidRPr="00E22B82">
        <w:rPr>
          <w:rFonts w:ascii="Times New Roman" w:hAnsi="Times New Roman" w:cs="Times New Roman"/>
          <w:sz w:val="22"/>
          <w:szCs w:val="22"/>
          <w:lang w:val="en-IE"/>
        </w:rPr>
        <w:t xml:space="preserve"> The manner in which this goal will be achieved is linked to the development of a bespoke decision support tool for city managers and citizens with sufficient functionality to equip those stakeholders with the knowledge needed to alter the patterns of energy consumption in the urban environment. The indicators discussed herein </w:t>
      </w:r>
      <w:r w:rsidR="00DF2472" w:rsidRPr="00E22B82">
        <w:rPr>
          <w:rFonts w:ascii="Times New Roman" w:hAnsi="Times New Roman" w:cs="Times New Roman"/>
          <w:sz w:val="22"/>
          <w:szCs w:val="22"/>
          <w:lang w:val="en-IE"/>
        </w:rPr>
        <w:t xml:space="preserve">are </w:t>
      </w:r>
      <w:r w:rsidR="00DF1587" w:rsidRPr="00E22B82">
        <w:rPr>
          <w:rFonts w:ascii="Times New Roman" w:hAnsi="Times New Roman" w:cs="Times New Roman"/>
          <w:sz w:val="22"/>
          <w:szCs w:val="22"/>
          <w:lang w:val="en-IE"/>
        </w:rPr>
        <w:t>a vital component in that process. Amassed from pre-existing indices and refined through the use of stakeholder consultation, the indicator</w:t>
      </w:r>
      <w:r w:rsidR="00DF2472" w:rsidRPr="00E22B82">
        <w:rPr>
          <w:rFonts w:ascii="Times New Roman" w:hAnsi="Times New Roman" w:cs="Times New Roman"/>
          <w:sz w:val="22"/>
          <w:szCs w:val="22"/>
          <w:lang w:val="en-IE"/>
        </w:rPr>
        <w:t>s</w:t>
      </w:r>
      <w:r w:rsidR="00DF1587" w:rsidRPr="00E22B82">
        <w:rPr>
          <w:rFonts w:ascii="Times New Roman" w:hAnsi="Times New Roman" w:cs="Times New Roman"/>
          <w:sz w:val="22"/>
          <w:szCs w:val="22"/>
          <w:lang w:val="en-IE"/>
        </w:rPr>
        <w:t xml:space="preserve"> presented herein adhere broadly with the three pillars of sustainability.</w:t>
      </w:r>
    </w:p>
    <w:p w14:paraId="2490778C" w14:textId="77777777" w:rsidR="00951A67" w:rsidRPr="00E22B82" w:rsidRDefault="00951A67" w:rsidP="00B53C4D">
      <w:pPr>
        <w:autoSpaceDE w:val="0"/>
        <w:autoSpaceDN w:val="0"/>
        <w:adjustRightInd w:val="0"/>
        <w:spacing w:line="276" w:lineRule="auto"/>
        <w:jc w:val="both"/>
        <w:rPr>
          <w:rFonts w:ascii="Times New Roman" w:hAnsi="Times New Roman" w:cs="Times New Roman"/>
          <w:sz w:val="22"/>
          <w:szCs w:val="22"/>
          <w:lang w:val="en-IE"/>
        </w:rPr>
      </w:pPr>
    </w:p>
    <w:p w14:paraId="5546EAD5" w14:textId="77777777" w:rsidR="00E22B82" w:rsidRPr="00E22B82" w:rsidRDefault="00E22B82" w:rsidP="00E22B82">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Bellagio Principles express the need for ‘indicators’ and ‘standardised measurements’: When considering indicators for sustainable development, the issue can appear complicated by the lack of any firm foundation on which to base their development. Stoeckl et al. (2004) suggest that we cannot measure sustainability; therefore, indicators can only provide an indication of change and will only ever be partial. It is important to note that there will always be a gap between what we are interested in and what is measured, and what we want to measure and what we can measure. This is the essence of the paradox whereby we often value what we can measure, rather than measuring what we value. </w:t>
      </w:r>
    </w:p>
    <w:p w14:paraId="1CABD754" w14:textId="77777777" w:rsidR="00E22B82" w:rsidRPr="00E22B82" w:rsidRDefault="00E22B82" w:rsidP="00B53C4D">
      <w:pPr>
        <w:autoSpaceDE w:val="0"/>
        <w:autoSpaceDN w:val="0"/>
        <w:adjustRightInd w:val="0"/>
        <w:spacing w:line="276" w:lineRule="auto"/>
        <w:jc w:val="both"/>
        <w:rPr>
          <w:rFonts w:ascii="Times New Roman" w:hAnsi="Times New Roman" w:cs="Times New Roman"/>
          <w:sz w:val="22"/>
          <w:szCs w:val="22"/>
          <w:lang w:val="en-IE"/>
        </w:rPr>
      </w:pPr>
    </w:p>
    <w:p w14:paraId="07708537" w14:textId="77777777" w:rsidR="007C6425" w:rsidRPr="00E22B82" w:rsidRDefault="00951A67"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Haughton and Hunter</w:t>
      </w:r>
      <w:r w:rsidR="003E544A" w:rsidRPr="00E22B82">
        <w:rPr>
          <w:rFonts w:ascii="Times New Roman" w:hAnsi="Times New Roman" w:cs="Times New Roman"/>
          <w:sz w:val="22"/>
          <w:szCs w:val="22"/>
          <w:lang w:val="en-IE"/>
        </w:rPr>
        <w:t xml:space="preserve"> (1994)</w:t>
      </w:r>
      <w:r w:rsidR="00C93704" w:rsidRPr="00E22B82">
        <w:rPr>
          <w:rFonts w:ascii="Times New Roman" w:hAnsi="Times New Roman" w:cs="Times New Roman"/>
          <w:sz w:val="22"/>
          <w:szCs w:val="22"/>
          <w:lang w:val="en-IE"/>
        </w:rPr>
        <w:t xml:space="preserve"> argue that</w:t>
      </w:r>
      <w:r w:rsidRPr="00E22B82">
        <w:rPr>
          <w:rFonts w:ascii="Times New Roman" w:hAnsi="Times New Roman" w:cs="Times New Roman"/>
          <w:sz w:val="22"/>
          <w:szCs w:val="22"/>
          <w:lang w:val="en-IE"/>
        </w:rPr>
        <w:t xml:space="preserve"> the concepts of building for the future, resource equity and environmental impact must underpin the process of sustainable development, such that the principles of inter-generational equity and trans-frontier responsibility are at the forefront of sustainable development policy. These concepts continue to be widely debated and most recently world leaders discussed how to address sustainability issues at the 2015 United Nations Climate Change Conference in Paris.</w:t>
      </w:r>
      <w:r w:rsidR="00641091" w:rsidRPr="00E22B82">
        <w:rPr>
          <w:rFonts w:ascii="Times New Roman" w:hAnsi="Times New Roman" w:cs="Times New Roman"/>
          <w:sz w:val="22"/>
          <w:szCs w:val="22"/>
          <w:lang w:val="en-IE"/>
        </w:rPr>
        <w:t xml:space="preserve"> </w:t>
      </w:r>
      <w:r w:rsidR="007C6425" w:rsidRPr="00E22B82">
        <w:rPr>
          <w:rFonts w:ascii="Times New Roman" w:hAnsi="Times New Roman" w:cs="Times New Roman"/>
          <w:sz w:val="22"/>
          <w:szCs w:val="22"/>
          <w:lang w:val="en-IE"/>
        </w:rPr>
        <w:t xml:space="preserve">With the signing of the COP-21 conference agreement world leaders have pledged to; </w:t>
      </w:r>
    </w:p>
    <w:p w14:paraId="02B33E57" w14:textId="77777777" w:rsidR="007C6425" w:rsidRPr="00E22B82" w:rsidRDefault="007C6425" w:rsidP="00B53C4D">
      <w:pPr>
        <w:pStyle w:val="ListParagraph"/>
        <w:numPr>
          <w:ilvl w:val="0"/>
          <w:numId w:val="48"/>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eastAsia="Times New Roman" w:hAnsi="Times New Roman" w:cs="Times New Roman"/>
          <w:sz w:val="22"/>
          <w:szCs w:val="22"/>
          <w:lang w:val="en-IE" w:eastAsia="en-IE"/>
        </w:rPr>
        <w:t>K</w:t>
      </w:r>
      <w:r w:rsidR="00641091" w:rsidRPr="00E22B82">
        <w:rPr>
          <w:rFonts w:ascii="Times New Roman" w:eastAsia="Times New Roman" w:hAnsi="Times New Roman" w:cs="Times New Roman"/>
          <w:sz w:val="22"/>
          <w:szCs w:val="22"/>
          <w:lang w:val="en-IE" w:eastAsia="en-IE"/>
        </w:rPr>
        <w:t>eep globa</w:t>
      </w:r>
      <w:r w:rsidRPr="00E22B82">
        <w:rPr>
          <w:rFonts w:ascii="Times New Roman" w:eastAsia="Times New Roman" w:hAnsi="Times New Roman" w:cs="Times New Roman"/>
          <w:sz w:val="22"/>
          <w:szCs w:val="22"/>
          <w:lang w:val="en-IE" w:eastAsia="en-IE"/>
        </w:rPr>
        <w:t>l temperatures "well below" 2.0</w:t>
      </w:r>
      <w:r w:rsidR="00FB5732" w:rsidRPr="00E22B82">
        <w:rPr>
          <w:rFonts w:ascii="Times New Roman" w:eastAsia="Times New Roman" w:hAnsi="Times New Roman" w:cs="Times New Roman"/>
          <w:sz w:val="22"/>
          <w:szCs w:val="22"/>
          <w:vertAlign w:val="superscript"/>
          <w:lang w:val="en-IE" w:eastAsia="en-IE"/>
        </w:rPr>
        <w:t>o</w:t>
      </w:r>
      <w:r w:rsidRPr="00E22B82">
        <w:rPr>
          <w:rFonts w:ascii="Times New Roman" w:eastAsia="Times New Roman" w:hAnsi="Times New Roman" w:cs="Times New Roman"/>
          <w:sz w:val="22"/>
          <w:szCs w:val="22"/>
          <w:lang w:val="en-IE" w:eastAsia="en-IE"/>
        </w:rPr>
        <w:t>C</w:t>
      </w:r>
      <w:r w:rsidR="00641091" w:rsidRPr="00E22B82">
        <w:rPr>
          <w:rFonts w:ascii="Times New Roman" w:eastAsia="Times New Roman" w:hAnsi="Times New Roman" w:cs="Times New Roman"/>
          <w:sz w:val="22"/>
          <w:szCs w:val="22"/>
          <w:lang w:val="en-IE" w:eastAsia="en-IE"/>
        </w:rPr>
        <w:t xml:space="preserve"> above pre-industrial times and "endeavour to limit" them even more, to 1.5</w:t>
      </w:r>
      <w:r w:rsidR="00FB5732" w:rsidRPr="00E22B82">
        <w:rPr>
          <w:rFonts w:ascii="Times New Roman" w:eastAsia="Times New Roman" w:hAnsi="Times New Roman" w:cs="Times New Roman"/>
          <w:sz w:val="22"/>
          <w:szCs w:val="22"/>
          <w:vertAlign w:val="superscript"/>
          <w:lang w:val="en-IE" w:eastAsia="en-IE"/>
        </w:rPr>
        <w:t>o</w:t>
      </w:r>
      <w:r w:rsidR="00641091" w:rsidRPr="00E22B82">
        <w:rPr>
          <w:rFonts w:ascii="Times New Roman" w:eastAsia="Times New Roman" w:hAnsi="Times New Roman" w:cs="Times New Roman"/>
          <w:sz w:val="22"/>
          <w:szCs w:val="22"/>
          <w:lang w:val="en-IE" w:eastAsia="en-IE"/>
        </w:rPr>
        <w:t>C</w:t>
      </w:r>
    </w:p>
    <w:p w14:paraId="316B3B4A" w14:textId="77777777" w:rsidR="007C6425" w:rsidRPr="00E22B82" w:rsidRDefault="007C6425" w:rsidP="00B53C4D">
      <w:pPr>
        <w:pStyle w:val="ListParagraph"/>
        <w:numPr>
          <w:ilvl w:val="0"/>
          <w:numId w:val="48"/>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eastAsia="Times New Roman" w:hAnsi="Times New Roman" w:cs="Times New Roman"/>
          <w:sz w:val="22"/>
          <w:szCs w:val="22"/>
          <w:lang w:val="en-IE" w:eastAsia="en-IE"/>
        </w:rPr>
        <w:t>L</w:t>
      </w:r>
      <w:r w:rsidR="00641091" w:rsidRPr="00E22B82">
        <w:rPr>
          <w:rFonts w:ascii="Times New Roman" w:eastAsia="Times New Roman" w:hAnsi="Times New Roman" w:cs="Times New Roman"/>
          <w:sz w:val="22"/>
          <w:szCs w:val="22"/>
          <w:lang w:val="en-IE" w:eastAsia="en-IE"/>
        </w:rPr>
        <w:t>imit the amount of greenhouse gases emitted by human activity to the same levels that trees, soil and oceans can absorb naturally, beginning at some point between 2050 and 2100</w:t>
      </w:r>
    </w:p>
    <w:p w14:paraId="79CE5BC0" w14:textId="77777777" w:rsidR="007C6425" w:rsidRPr="00E22B82" w:rsidRDefault="007C6425" w:rsidP="00B53C4D">
      <w:pPr>
        <w:pStyle w:val="ListParagraph"/>
        <w:numPr>
          <w:ilvl w:val="0"/>
          <w:numId w:val="48"/>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eastAsia="Times New Roman" w:hAnsi="Times New Roman" w:cs="Times New Roman"/>
          <w:sz w:val="22"/>
          <w:szCs w:val="22"/>
          <w:lang w:val="en-IE" w:eastAsia="en-IE"/>
        </w:rPr>
        <w:lastRenderedPageBreak/>
        <w:t>R</w:t>
      </w:r>
      <w:r w:rsidR="00641091" w:rsidRPr="00E22B82">
        <w:rPr>
          <w:rFonts w:ascii="Times New Roman" w:eastAsia="Times New Roman" w:hAnsi="Times New Roman" w:cs="Times New Roman"/>
          <w:sz w:val="22"/>
          <w:szCs w:val="22"/>
          <w:lang w:val="en-IE" w:eastAsia="en-IE"/>
        </w:rPr>
        <w:t>eview each country's contribution to cutting emissions every five years so they scale up to the challenge</w:t>
      </w:r>
    </w:p>
    <w:p w14:paraId="7CA2CBBC" w14:textId="77777777" w:rsidR="00641091" w:rsidRPr="00E22B82" w:rsidRDefault="00641091" w:rsidP="00B53C4D">
      <w:pPr>
        <w:pStyle w:val="ListParagraph"/>
        <w:numPr>
          <w:ilvl w:val="0"/>
          <w:numId w:val="48"/>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eastAsia="Times New Roman" w:hAnsi="Times New Roman" w:cs="Times New Roman"/>
          <w:sz w:val="22"/>
          <w:szCs w:val="22"/>
          <w:lang w:val="en-IE" w:eastAsia="en-IE"/>
        </w:rPr>
        <w:t>For rich countries to help poorer nations by providing "climate finance" to adapt to climate change and switch to renewable energy.</w:t>
      </w:r>
    </w:p>
    <w:p w14:paraId="0C6ED639" w14:textId="77777777" w:rsidR="00951A67" w:rsidRPr="00E22B82" w:rsidRDefault="00951A67" w:rsidP="00B53C4D">
      <w:pPr>
        <w:autoSpaceDE w:val="0"/>
        <w:autoSpaceDN w:val="0"/>
        <w:adjustRightInd w:val="0"/>
        <w:spacing w:line="276" w:lineRule="auto"/>
        <w:jc w:val="both"/>
        <w:rPr>
          <w:rFonts w:ascii="Times New Roman" w:hAnsi="Times New Roman" w:cs="Times New Roman"/>
          <w:sz w:val="22"/>
          <w:szCs w:val="22"/>
          <w:lang w:val="en-IE"/>
        </w:rPr>
      </w:pPr>
    </w:p>
    <w:p w14:paraId="131D03FA" w14:textId="77777777" w:rsidR="00FB5EA1" w:rsidRPr="00E22B82" w:rsidRDefault="00AC4930"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For our purposes t</w:t>
      </w:r>
      <w:r w:rsidR="00951A67" w:rsidRPr="00E22B82">
        <w:rPr>
          <w:rFonts w:ascii="Times New Roman" w:hAnsi="Times New Roman" w:cs="Times New Roman"/>
          <w:sz w:val="22"/>
          <w:szCs w:val="22"/>
          <w:lang w:val="en-IE"/>
        </w:rPr>
        <w:t xml:space="preserve">he fundamental </w:t>
      </w:r>
      <w:r w:rsidR="00FB5EA1" w:rsidRPr="00E22B82">
        <w:rPr>
          <w:rFonts w:ascii="Times New Roman" w:hAnsi="Times New Roman" w:cs="Times New Roman"/>
          <w:sz w:val="22"/>
          <w:szCs w:val="22"/>
          <w:lang w:val="en-IE"/>
        </w:rPr>
        <w:t xml:space="preserve">outcome of this agreement </w:t>
      </w:r>
      <w:r w:rsidRPr="00E22B82">
        <w:rPr>
          <w:rFonts w:ascii="Times New Roman" w:hAnsi="Times New Roman" w:cs="Times New Roman"/>
          <w:sz w:val="22"/>
          <w:szCs w:val="22"/>
          <w:lang w:val="en-IE"/>
        </w:rPr>
        <w:t xml:space="preserve">is </w:t>
      </w:r>
      <w:r w:rsidR="00951A67" w:rsidRPr="00E22B82">
        <w:rPr>
          <w:rFonts w:ascii="Times New Roman" w:hAnsi="Times New Roman" w:cs="Times New Roman"/>
          <w:sz w:val="22"/>
          <w:szCs w:val="22"/>
          <w:lang w:val="en-IE"/>
        </w:rPr>
        <w:t xml:space="preserve">the </w:t>
      </w:r>
      <w:r w:rsidRPr="00E22B82">
        <w:rPr>
          <w:rFonts w:ascii="Times New Roman" w:hAnsi="Times New Roman" w:cs="Times New Roman"/>
          <w:sz w:val="22"/>
          <w:szCs w:val="22"/>
          <w:lang w:val="en-IE"/>
        </w:rPr>
        <w:t>need for sustainability analysis tools for the built environment</w:t>
      </w:r>
      <w:r w:rsidR="00DF1587" w:rsidRPr="00E22B82">
        <w:rPr>
          <w:rFonts w:ascii="Times New Roman" w:hAnsi="Times New Roman" w:cs="Times New Roman"/>
          <w:sz w:val="22"/>
          <w:szCs w:val="22"/>
          <w:lang w:val="en-IE"/>
        </w:rPr>
        <w:t>, particularly relating to the management and quantification of energy use</w:t>
      </w:r>
      <w:r w:rsidRPr="00E22B82">
        <w:rPr>
          <w:rFonts w:ascii="Times New Roman" w:hAnsi="Times New Roman" w:cs="Times New Roman"/>
          <w:sz w:val="22"/>
          <w:szCs w:val="22"/>
          <w:lang w:val="en-IE"/>
        </w:rPr>
        <w:t xml:space="preserve">. </w:t>
      </w:r>
      <w:r w:rsidR="001B58CA" w:rsidRPr="00E22B82">
        <w:rPr>
          <w:rFonts w:ascii="Times New Roman" w:hAnsi="Times New Roman" w:cs="Times New Roman"/>
          <w:sz w:val="22"/>
          <w:szCs w:val="22"/>
          <w:lang w:val="en-IE"/>
        </w:rPr>
        <w:t xml:space="preserve">Indicators may be used to retrospectively monitor the long-term sustainability trends of a built urban system. The aggregated information these indicators can provide will help in the development of short-term projections. </w:t>
      </w:r>
      <w:r w:rsidR="001B58CA" w:rsidRPr="00E22B82">
        <w:rPr>
          <w:rFonts w:ascii="Times New Roman" w:eastAsia="Calibri" w:hAnsi="Times New Roman" w:cs="Times New Roman"/>
          <w:spacing w:val="2"/>
          <w:sz w:val="22"/>
          <w:szCs w:val="22"/>
          <w:lang w:val="en-IE"/>
        </w:rPr>
        <w:t>Through this paper we put forward 32 sustainable urban indicators (SUIs)</w:t>
      </w:r>
      <w:r w:rsidR="001B58CA" w:rsidRPr="00E22B82">
        <w:rPr>
          <w:rFonts w:ascii="Times New Roman" w:hAnsi="Times New Roman" w:cs="Times New Roman"/>
          <w:sz w:val="22"/>
          <w:szCs w:val="22"/>
          <w:lang w:val="en-IE"/>
        </w:rPr>
        <w:t xml:space="preserve"> with the objective of developing a</w:t>
      </w:r>
      <w:r w:rsidRPr="00E22B82">
        <w:rPr>
          <w:rFonts w:ascii="Times New Roman" w:hAnsi="Times New Roman" w:cs="Times New Roman"/>
          <w:sz w:val="22"/>
          <w:szCs w:val="22"/>
          <w:lang w:val="en-IE"/>
        </w:rPr>
        <w:t xml:space="preserve"> quantitative assessment index </w:t>
      </w:r>
      <w:r w:rsidR="001B58CA" w:rsidRPr="00E22B82">
        <w:rPr>
          <w:rFonts w:ascii="Times New Roman" w:hAnsi="Times New Roman" w:cs="Times New Roman"/>
          <w:sz w:val="22"/>
          <w:szCs w:val="22"/>
          <w:lang w:val="en-IE"/>
        </w:rPr>
        <w:t>to provide</w:t>
      </w:r>
      <w:r w:rsidRPr="00E22B82">
        <w:rPr>
          <w:rFonts w:ascii="Times New Roman" w:hAnsi="Times New Roman" w:cs="Times New Roman"/>
          <w:sz w:val="22"/>
          <w:szCs w:val="22"/>
          <w:lang w:val="en-IE"/>
        </w:rPr>
        <w:t xml:space="preserve"> </w:t>
      </w:r>
      <w:r w:rsidR="001B58CA" w:rsidRPr="00E22B82">
        <w:rPr>
          <w:rFonts w:ascii="Times New Roman" w:hAnsi="Times New Roman" w:cs="Times New Roman"/>
          <w:sz w:val="22"/>
          <w:szCs w:val="22"/>
          <w:lang w:val="en-IE"/>
        </w:rPr>
        <w:t>a</w:t>
      </w:r>
      <w:r w:rsidRPr="00E22B82">
        <w:rPr>
          <w:rFonts w:ascii="Times New Roman" w:hAnsi="Times New Roman" w:cs="Times New Roman"/>
          <w:sz w:val="22"/>
          <w:szCs w:val="22"/>
          <w:lang w:val="en-IE"/>
        </w:rPr>
        <w:t xml:space="preserve"> coherent multidimensional view of the urban environment</w:t>
      </w:r>
      <w:r w:rsidR="001B58CA" w:rsidRPr="00E22B82">
        <w:rPr>
          <w:rFonts w:ascii="Times New Roman" w:hAnsi="Times New Roman" w:cs="Times New Roman"/>
          <w:sz w:val="22"/>
          <w:szCs w:val="22"/>
          <w:lang w:val="en-IE"/>
        </w:rPr>
        <w:t>.</w:t>
      </w:r>
    </w:p>
    <w:p w14:paraId="5B2E5B4B" w14:textId="77777777" w:rsidR="00DF1587" w:rsidRPr="00E22B82" w:rsidRDefault="00DF1587" w:rsidP="00B53C4D">
      <w:pPr>
        <w:spacing w:line="276" w:lineRule="auto"/>
        <w:jc w:val="both"/>
        <w:rPr>
          <w:rFonts w:ascii="Times New Roman" w:hAnsi="Times New Roman" w:cs="Times New Roman"/>
          <w:sz w:val="22"/>
          <w:szCs w:val="22"/>
          <w:lang w:val="en-IE"/>
        </w:rPr>
      </w:pPr>
    </w:p>
    <w:p w14:paraId="1C714568" w14:textId="77777777" w:rsidR="00DF1587" w:rsidRPr="00E22B82" w:rsidRDefault="00DF1587"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impetus for the creation of the SUIs is increasingly being reflected in the drive to create low carbon energy districts in the </w:t>
      </w:r>
      <w:r w:rsidR="00910DE5" w:rsidRPr="00E22B82">
        <w:rPr>
          <w:rFonts w:ascii="Times New Roman" w:hAnsi="Times New Roman" w:cs="Times New Roman"/>
          <w:sz w:val="22"/>
          <w:szCs w:val="22"/>
          <w:lang w:val="en-IE"/>
        </w:rPr>
        <w:t xml:space="preserve">European </w:t>
      </w:r>
      <w:r w:rsidRPr="00E22B82">
        <w:rPr>
          <w:rFonts w:ascii="Times New Roman" w:hAnsi="Times New Roman" w:cs="Times New Roman"/>
          <w:sz w:val="22"/>
          <w:szCs w:val="22"/>
          <w:lang w:val="en-IE"/>
        </w:rPr>
        <w:t>urban environment. The</w:t>
      </w:r>
      <w:r w:rsidR="00910DE5" w:rsidRPr="00E22B82">
        <w:rPr>
          <w:rFonts w:ascii="Times New Roman" w:hAnsi="Times New Roman" w:cs="Times New Roman"/>
          <w:sz w:val="22"/>
          <w:szCs w:val="22"/>
          <w:lang w:val="en-IE"/>
        </w:rPr>
        <w:t xml:space="preserve"> planned</w:t>
      </w:r>
      <w:r w:rsidRPr="00E22B82">
        <w:rPr>
          <w:rFonts w:ascii="Times New Roman" w:hAnsi="Times New Roman" w:cs="Times New Roman"/>
          <w:sz w:val="22"/>
          <w:szCs w:val="22"/>
          <w:lang w:val="en-IE"/>
        </w:rPr>
        <w:t xml:space="preserve"> </w:t>
      </w:r>
      <w:r w:rsidR="00910DE5" w:rsidRPr="00E22B82">
        <w:rPr>
          <w:rFonts w:ascii="Times New Roman" w:hAnsi="Times New Roman" w:cs="Times New Roman"/>
          <w:sz w:val="22"/>
          <w:szCs w:val="22"/>
          <w:lang w:val="en-IE"/>
        </w:rPr>
        <w:t>creation of</w:t>
      </w:r>
      <w:r w:rsidRPr="00E22B82">
        <w:rPr>
          <w:rFonts w:ascii="Times New Roman" w:hAnsi="Times New Roman" w:cs="Times New Roman"/>
          <w:sz w:val="22"/>
          <w:szCs w:val="22"/>
          <w:lang w:val="en-IE"/>
        </w:rPr>
        <w:t xml:space="preserve"> such districts is </w:t>
      </w:r>
      <w:r w:rsidR="00910DE5" w:rsidRPr="00E22B82">
        <w:rPr>
          <w:rFonts w:ascii="Times New Roman" w:hAnsi="Times New Roman" w:cs="Times New Roman"/>
          <w:sz w:val="22"/>
          <w:szCs w:val="22"/>
          <w:lang w:val="en-IE"/>
        </w:rPr>
        <w:t>being driven both by</w:t>
      </w:r>
      <w:r w:rsidR="00571182" w:rsidRPr="00E22B82">
        <w:rPr>
          <w:rFonts w:ascii="Times New Roman" w:hAnsi="Times New Roman" w:cs="Times New Roman"/>
          <w:sz w:val="22"/>
          <w:szCs w:val="22"/>
          <w:lang w:val="en-IE"/>
        </w:rPr>
        <w:t xml:space="preserve"> European </w:t>
      </w:r>
      <w:r w:rsidR="009D4166" w:rsidRPr="00E22B82">
        <w:rPr>
          <w:rFonts w:ascii="Times New Roman" w:hAnsi="Times New Roman" w:cs="Times New Roman"/>
          <w:sz w:val="22"/>
          <w:szCs w:val="22"/>
          <w:lang w:val="en-IE"/>
        </w:rPr>
        <w:t xml:space="preserve">Union </w:t>
      </w:r>
      <w:r w:rsidR="00571182" w:rsidRPr="00E22B82">
        <w:rPr>
          <w:rFonts w:ascii="Times New Roman" w:hAnsi="Times New Roman" w:cs="Times New Roman"/>
          <w:sz w:val="22"/>
          <w:szCs w:val="22"/>
          <w:lang w:val="en-IE"/>
        </w:rPr>
        <w:t>policy and National governments</w:t>
      </w:r>
      <w:r w:rsidRPr="00E22B82">
        <w:rPr>
          <w:rFonts w:ascii="Times New Roman" w:hAnsi="Times New Roman" w:cs="Times New Roman"/>
          <w:sz w:val="22"/>
          <w:szCs w:val="22"/>
          <w:lang w:val="en-IE"/>
        </w:rPr>
        <w:t xml:space="preserve">. </w:t>
      </w:r>
      <w:r w:rsidR="00910DE5" w:rsidRPr="00E22B82">
        <w:rPr>
          <w:rFonts w:ascii="Times New Roman" w:hAnsi="Times New Roman" w:cs="Times New Roman"/>
          <w:sz w:val="22"/>
          <w:szCs w:val="22"/>
          <w:lang w:val="en-IE"/>
        </w:rPr>
        <w:t xml:space="preserve">This will be further enhanced by </w:t>
      </w:r>
      <w:r w:rsidRPr="00E22B82">
        <w:rPr>
          <w:rFonts w:ascii="Times New Roman" w:hAnsi="Times New Roman" w:cs="Times New Roman"/>
          <w:sz w:val="22"/>
          <w:szCs w:val="22"/>
          <w:lang w:val="en-IE"/>
        </w:rPr>
        <w:t xml:space="preserve">the </w:t>
      </w:r>
      <w:r w:rsidR="00910DE5" w:rsidRPr="00E22B82">
        <w:rPr>
          <w:rFonts w:ascii="Times New Roman" w:hAnsi="Times New Roman" w:cs="Times New Roman"/>
          <w:sz w:val="22"/>
          <w:szCs w:val="22"/>
          <w:lang w:val="en-IE"/>
        </w:rPr>
        <w:t xml:space="preserve">approach of the </w:t>
      </w:r>
      <w:r w:rsidRPr="00E22B82">
        <w:rPr>
          <w:rFonts w:ascii="Times New Roman" w:hAnsi="Times New Roman" w:cs="Times New Roman"/>
          <w:sz w:val="22"/>
          <w:szCs w:val="22"/>
          <w:lang w:val="en-IE"/>
        </w:rPr>
        <w:t xml:space="preserve">binding deadline for the Energy Efficiency Directive (Directive. 2012/27/EU of The European Parliament and of The Council) and the resultant cost arising from the purchase </w:t>
      </w:r>
      <w:r w:rsidR="00910DE5" w:rsidRPr="00E22B82">
        <w:rPr>
          <w:rFonts w:ascii="Times New Roman" w:hAnsi="Times New Roman" w:cs="Times New Roman"/>
          <w:sz w:val="22"/>
          <w:szCs w:val="22"/>
          <w:lang w:val="en-IE"/>
        </w:rPr>
        <w:t>of Emission Trading Scheme</w:t>
      </w:r>
      <w:r w:rsidRPr="00E22B82">
        <w:rPr>
          <w:rFonts w:ascii="Times New Roman" w:hAnsi="Times New Roman" w:cs="Times New Roman"/>
          <w:sz w:val="22"/>
          <w:szCs w:val="22"/>
          <w:lang w:val="en-IE"/>
        </w:rPr>
        <w:t xml:space="preserve"> credits in order to rectify exceedance of GHG targets. The “</w:t>
      </w:r>
      <w:r w:rsidRPr="00E22B82">
        <w:rPr>
          <w:rFonts w:ascii="Times New Roman" w:hAnsi="Times New Roman" w:cs="Times New Roman"/>
          <w:i/>
          <w:sz w:val="22"/>
          <w:szCs w:val="22"/>
          <w:lang w:val="en-IE"/>
        </w:rPr>
        <w:t>Spring Economic Statement</w:t>
      </w:r>
      <w:r w:rsidRPr="00E22B82">
        <w:rPr>
          <w:rFonts w:ascii="Times New Roman" w:hAnsi="Times New Roman" w:cs="Times New Roman"/>
          <w:sz w:val="22"/>
          <w:szCs w:val="22"/>
          <w:lang w:val="en-IE"/>
        </w:rPr>
        <w:t>” published by the Irish Department of Finance (2016) frames the thinking which is beginning to emerge in governance circles</w:t>
      </w:r>
      <w:r w:rsidR="00E83867" w:rsidRPr="00E22B82">
        <w:rPr>
          <w:rFonts w:ascii="Times New Roman" w:hAnsi="Times New Roman" w:cs="Times New Roman"/>
          <w:sz w:val="22"/>
          <w:szCs w:val="22"/>
          <w:lang w:val="en-IE"/>
        </w:rPr>
        <w:t xml:space="preserve">: </w:t>
      </w:r>
    </w:p>
    <w:p w14:paraId="4080759B" w14:textId="77777777" w:rsidR="00DF1587" w:rsidRPr="00E22B82" w:rsidRDefault="00DF1587" w:rsidP="00B53C4D">
      <w:pPr>
        <w:spacing w:line="276" w:lineRule="auto"/>
        <w:jc w:val="both"/>
        <w:rPr>
          <w:rFonts w:ascii="Times New Roman" w:hAnsi="Times New Roman" w:cs="Times New Roman"/>
          <w:sz w:val="22"/>
          <w:szCs w:val="22"/>
          <w:lang w:val="en-IE"/>
        </w:rPr>
      </w:pPr>
    </w:p>
    <w:p w14:paraId="1B2C9872" w14:textId="77777777" w:rsidR="00DF1587" w:rsidRPr="00E22B82" w:rsidRDefault="00DF1587" w:rsidP="00C93704">
      <w:pPr>
        <w:spacing w:line="276" w:lineRule="auto"/>
        <w:jc w:val="both"/>
        <w:rPr>
          <w:rFonts w:ascii="Times New Roman" w:hAnsi="Times New Roman" w:cs="Times New Roman"/>
          <w:i/>
          <w:sz w:val="22"/>
          <w:szCs w:val="22"/>
          <w:lang w:val="en-IE"/>
        </w:rPr>
      </w:pPr>
      <w:r w:rsidRPr="00E22B82">
        <w:rPr>
          <w:rFonts w:ascii="Times New Roman" w:hAnsi="Times New Roman" w:cs="Times New Roman"/>
          <w:i/>
          <w:sz w:val="22"/>
          <w:szCs w:val="22"/>
          <w:lang w:val="en-IE"/>
        </w:rPr>
        <w:t>“There are fiscal risks associated with a legally binding EU Effort Sharing Decision on climate change covering the 2013-2020 period. Ireland is obliged to achieve a 20 per cent Greenhouse Gas emissions reduction (compared to 2005 levels) in certain sectors. Current EPA projections estimate that Ireland will not achieve this reduction and failure to comply may incur costs of hundreds of millions</w:t>
      </w:r>
      <w:r w:rsidR="009D4166" w:rsidRPr="00E22B82">
        <w:rPr>
          <w:rFonts w:ascii="Times New Roman" w:hAnsi="Times New Roman" w:cs="Times New Roman"/>
          <w:i/>
          <w:sz w:val="22"/>
          <w:szCs w:val="22"/>
          <w:lang w:val="en-IE"/>
        </w:rPr>
        <w:t xml:space="preserve"> of Euro</w:t>
      </w:r>
      <w:r w:rsidRPr="00E22B82">
        <w:rPr>
          <w:rFonts w:ascii="Times New Roman" w:hAnsi="Times New Roman" w:cs="Times New Roman"/>
          <w:i/>
          <w:sz w:val="22"/>
          <w:szCs w:val="22"/>
          <w:lang w:val="en-IE"/>
        </w:rPr>
        <w:t xml:space="preserve"> through the purchase of carbon credits until such time as the target is complied with. Similarly, further new costs may arise in the context of a new EU climate and energy</w:t>
      </w:r>
      <w:r w:rsidR="00C93704" w:rsidRPr="00E22B82">
        <w:rPr>
          <w:rFonts w:ascii="Times New Roman" w:hAnsi="Times New Roman" w:cs="Times New Roman"/>
          <w:i/>
          <w:sz w:val="22"/>
          <w:szCs w:val="22"/>
          <w:lang w:val="en-IE"/>
        </w:rPr>
        <w:t xml:space="preserve"> </w:t>
      </w:r>
      <w:r w:rsidRPr="00E22B82">
        <w:rPr>
          <w:rFonts w:ascii="Times New Roman" w:hAnsi="Times New Roman" w:cs="Times New Roman"/>
          <w:i/>
          <w:sz w:val="22"/>
          <w:szCs w:val="22"/>
          <w:lang w:val="en-IE"/>
        </w:rPr>
        <w:t xml:space="preserve">framework for the period 2020-2030, which will set new emissions reduction targets”. </w:t>
      </w:r>
    </w:p>
    <w:p w14:paraId="18E11ECA" w14:textId="77777777" w:rsidR="00DF1587" w:rsidRPr="00E22B82" w:rsidRDefault="00DF1587" w:rsidP="00B53C4D">
      <w:pPr>
        <w:spacing w:line="276" w:lineRule="auto"/>
        <w:jc w:val="both"/>
        <w:rPr>
          <w:rFonts w:ascii="Times New Roman" w:hAnsi="Times New Roman" w:cs="Times New Roman"/>
          <w:i/>
          <w:sz w:val="22"/>
          <w:szCs w:val="22"/>
          <w:lang w:val="en-IE"/>
        </w:rPr>
      </w:pPr>
    </w:p>
    <w:p w14:paraId="0F66E8E7" w14:textId="77777777" w:rsidR="00DF1587" w:rsidRPr="00E22B82" w:rsidRDefault="00DF1587"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pressures identified above therefore cast a new light on the need and utility of SUIs which have the capacity to inform the development of low carbon energy solutions for the retrofit of existing urban environments and creation of new ones.  </w:t>
      </w:r>
    </w:p>
    <w:p w14:paraId="7A019E43" w14:textId="77777777" w:rsidR="001B58CA" w:rsidRPr="00E22B82" w:rsidRDefault="001B58CA" w:rsidP="00B53C4D">
      <w:pPr>
        <w:spacing w:line="276" w:lineRule="auto"/>
        <w:jc w:val="both"/>
        <w:rPr>
          <w:rFonts w:ascii="Times New Roman" w:hAnsi="Times New Roman" w:cs="Times New Roman"/>
          <w:sz w:val="22"/>
          <w:szCs w:val="22"/>
          <w:lang w:val="en-IE"/>
        </w:rPr>
      </w:pPr>
    </w:p>
    <w:p w14:paraId="2B2160F5" w14:textId="77777777" w:rsidR="00E22B82" w:rsidRPr="00E22B82" w:rsidRDefault="00E22B82" w:rsidP="00E22B82">
      <w:pPr>
        <w:spacing w:line="276" w:lineRule="auto"/>
        <w:ind w:right="87"/>
        <w:jc w:val="both"/>
        <w:rPr>
          <w:rFonts w:ascii="Times New Roman" w:eastAsia="Calibri" w:hAnsi="Times New Roman" w:cs="Times New Roman"/>
          <w:sz w:val="22"/>
          <w:szCs w:val="22"/>
          <w:lang w:val="en-IE"/>
        </w:rPr>
      </w:pPr>
      <w:r w:rsidRPr="00E22B82">
        <w:rPr>
          <w:rFonts w:ascii="Times New Roman" w:eastAsia="Calibri" w:hAnsi="Times New Roman" w:cs="Times New Roman"/>
          <w:sz w:val="22"/>
          <w:szCs w:val="22"/>
          <w:lang w:val="en-IE"/>
        </w:rPr>
        <w:t xml:space="preserve">The methodology for the development of the SUIs consists of three stages. The first involves the compilation of an expansive list of sustainable urban indicators, which relate to energy in the urban environment. This list was drawn together from an expansive review of pre-existing indices and industry standards. The second phase consists of a focused consultation exercise involving leading planning experts, representatives of the end user community (in this case, members of the urban environment professions, energy agencies and national energy research organisations). The third stage consists of the operationalisation of the SUIs in an online visualisation and decision support tool. </w:t>
      </w:r>
    </w:p>
    <w:p w14:paraId="3A917125" w14:textId="77777777" w:rsidR="00E22B82" w:rsidRDefault="00E22B82" w:rsidP="00B53C4D">
      <w:pPr>
        <w:autoSpaceDE w:val="0"/>
        <w:autoSpaceDN w:val="0"/>
        <w:adjustRightInd w:val="0"/>
        <w:spacing w:line="276" w:lineRule="auto"/>
        <w:jc w:val="both"/>
        <w:rPr>
          <w:rFonts w:ascii="Times New Roman" w:eastAsia="Calibri" w:hAnsi="Times New Roman" w:cs="Times New Roman"/>
          <w:spacing w:val="2"/>
          <w:sz w:val="22"/>
          <w:szCs w:val="22"/>
          <w:lang w:val="en-IE"/>
        </w:rPr>
      </w:pPr>
    </w:p>
    <w:p w14:paraId="78AE5F9F" w14:textId="77777777" w:rsidR="00C3186E" w:rsidRPr="00E22B82" w:rsidRDefault="001B58CA"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eastAsia="Calibri" w:hAnsi="Times New Roman" w:cs="Times New Roman"/>
          <w:spacing w:val="2"/>
          <w:sz w:val="22"/>
          <w:szCs w:val="22"/>
          <w:lang w:val="en-IE"/>
        </w:rPr>
        <w:t xml:space="preserve">The SUIs </w:t>
      </w:r>
      <w:r w:rsidR="00C3186E" w:rsidRPr="00E22B82">
        <w:rPr>
          <w:rFonts w:ascii="Times New Roman" w:eastAsia="Calibri" w:hAnsi="Times New Roman" w:cs="Times New Roman"/>
          <w:spacing w:val="2"/>
          <w:sz w:val="22"/>
          <w:szCs w:val="22"/>
          <w:lang w:val="en-IE"/>
        </w:rPr>
        <w:t xml:space="preserve">outlined </w:t>
      </w:r>
      <w:r w:rsidR="00DF1587" w:rsidRPr="00E22B82">
        <w:rPr>
          <w:rFonts w:ascii="Times New Roman" w:eastAsia="Calibri" w:hAnsi="Times New Roman" w:cs="Times New Roman"/>
          <w:spacing w:val="2"/>
          <w:sz w:val="22"/>
          <w:szCs w:val="22"/>
          <w:lang w:val="en-IE"/>
        </w:rPr>
        <w:t>in table 2</w:t>
      </w:r>
      <w:r w:rsidR="00BA5BAF"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2"/>
          <w:sz w:val="22"/>
          <w:szCs w:val="22"/>
          <w:lang w:val="en-IE"/>
        </w:rPr>
        <w:t xml:space="preserve">successfully facilitate the </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t</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pacing w:val="-1"/>
          <w:sz w:val="22"/>
          <w:szCs w:val="22"/>
          <w:lang w:val="en-IE"/>
        </w:rPr>
        <w:t>g</w:t>
      </w:r>
      <w:r w:rsidR="00C3186E" w:rsidRPr="00E22B82">
        <w:rPr>
          <w:rFonts w:ascii="Times New Roman" w:eastAsia="Calibri" w:hAnsi="Times New Roman" w:cs="Times New Roman"/>
          <w:sz w:val="22"/>
          <w:szCs w:val="22"/>
          <w:lang w:val="en-IE"/>
        </w:rPr>
        <w:t xml:space="preserve">ration of the </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er</w:t>
      </w:r>
      <w:r w:rsidR="00C3186E" w:rsidRPr="00E22B82">
        <w:rPr>
          <w:rFonts w:ascii="Times New Roman" w:eastAsia="Calibri" w:hAnsi="Times New Roman" w:cs="Times New Roman"/>
          <w:spacing w:val="-3"/>
          <w:sz w:val="22"/>
          <w:szCs w:val="22"/>
          <w:lang w:val="en-IE"/>
        </w:rPr>
        <w:t>g</w:t>
      </w:r>
      <w:r w:rsidR="00C3186E" w:rsidRPr="00E22B82">
        <w:rPr>
          <w:rFonts w:ascii="Times New Roman" w:eastAsia="Calibri" w:hAnsi="Times New Roman" w:cs="Times New Roman"/>
          <w:sz w:val="22"/>
          <w:szCs w:val="22"/>
          <w:lang w:val="en-IE"/>
        </w:rPr>
        <w:t>y</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z w:val="22"/>
          <w:szCs w:val="22"/>
          <w:lang w:val="en-IE"/>
        </w:rPr>
        <w:t>c</w:t>
      </w:r>
      <w:r w:rsidR="00C3186E" w:rsidRPr="00E22B82">
        <w:rPr>
          <w:rFonts w:ascii="Times New Roman" w:eastAsia="Calibri" w:hAnsi="Times New Roman" w:cs="Times New Roman"/>
          <w:spacing w:val="-1"/>
          <w:sz w:val="22"/>
          <w:szCs w:val="22"/>
          <w:lang w:val="en-IE"/>
        </w:rPr>
        <w:t>h</w:t>
      </w:r>
      <w:r w:rsidR="00C3186E" w:rsidRPr="00E22B82">
        <w:rPr>
          <w:rFonts w:ascii="Times New Roman" w:eastAsia="Calibri" w:hAnsi="Times New Roman" w:cs="Times New Roman"/>
          <w:sz w:val="22"/>
          <w:szCs w:val="22"/>
          <w:lang w:val="en-IE"/>
        </w:rPr>
        <w:t>ara</w:t>
      </w:r>
      <w:r w:rsidR="00C3186E" w:rsidRPr="00E22B82">
        <w:rPr>
          <w:rFonts w:ascii="Times New Roman" w:eastAsia="Calibri" w:hAnsi="Times New Roman" w:cs="Times New Roman"/>
          <w:spacing w:val="-3"/>
          <w:sz w:val="22"/>
          <w:szCs w:val="22"/>
          <w:lang w:val="en-IE"/>
        </w:rPr>
        <w:t>c</w:t>
      </w:r>
      <w:r w:rsidR="00C3186E" w:rsidRPr="00E22B82">
        <w:rPr>
          <w:rFonts w:ascii="Times New Roman" w:eastAsia="Calibri" w:hAnsi="Times New Roman" w:cs="Times New Roman"/>
          <w:sz w:val="22"/>
          <w:szCs w:val="22"/>
          <w:lang w:val="en-IE"/>
        </w:rPr>
        <w:t>t</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z w:val="22"/>
          <w:szCs w:val="22"/>
          <w:lang w:val="en-IE"/>
        </w:rPr>
        <w:t>ri</w:t>
      </w:r>
      <w:r w:rsidR="00C3186E" w:rsidRPr="00E22B82">
        <w:rPr>
          <w:rFonts w:ascii="Times New Roman" w:eastAsia="Calibri" w:hAnsi="Times New Roman" w:cs="Times New Roman"/>
          <w:spacing w:val="-3"/>
          <w:sz w:val="22"/>
          <w:szCs w:val="22"/>
          <w:lang w:val="en-IE"/>
        </w:rPr>
        <w:t>s</w:t>
      </w:r>
      <w:r w:rsidR="00C3186E" w:rsidRPr="00E22B82">
        <w:rPr>
          <w:rFonts w:ascii="Times New Roman" w:eastAsia="Calibri" w:hAnsi="Times New Roman" w:cs="Times New Roman"/>
          <w:sz w:val="22"/>
          <w:szCs w:val="22"/>
          <w:lang w:val="en-IE"/>
        </w:rPr>
        <w:t>tics</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 b</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1"/>
          <w:sz w:val="22"/>
          <w:szCs w:val="22"/>
          <w:lang w:val="en-IE"/>
        </w:rPr>
        <w:t>ld</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1"/>
          <w:sz w:val="22"/>
          <w:szCs w:val="22"/>
          <w:lang w:val="en-IE"/>
        </w:rPr>
        <w:t>ng</w:t>
      </w:r>
      <w:r w:rsidR="00C3186E" w:rsidRPr="00E22B82">
        <w:rPr>
          <w:rFonts w:ascii="Times New Roman" w:eastAsia="Calibri" w:hAnsi="Times New Roman" w:cs="Times New Roman"/>
          <w:sz w:val="22"/>
          <w:szCs w:val="22"/>
          <w:lang w:val="en-IE"/>
        </w:rPr>
        <w:t>s, in t</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pacing w:val="-3"/>
          <w:sz w:val="22"/>
          <w:szCs w:val="22"/>
          <w:lang w:val="en-IE"/>
        </w:rPr>
        <w:t>r</w:t>
      </w:r>
      <w:r w:rsidR="00C3186E" w:rsidRPr="00E22B82">
        <w:rPr>
          <w:rFonts w:ascii="Times New Roman" w:eastAsia="Calibri" w:hAnsi="Times New Roman" w:cs="Times New Roman"/>
          <w:spacing w:val="1"/>
          <w:sz w:val="22"/>
          <w:szCs w:val="22"/>
          <w:lang w:val="en-IE"/>
        </w:rPr>
        <w:t>m</w:t>
      </w:r>
      <w:r w:rsidR="00C3186E" w:rsidRPr="00E22B82">
        <w:rPr>
          <w:rFonts w:ascii="Times New Roman" w:eastAsia="Calibri" w:hAnsi="Times New Roman" w:cs="Times New Roman"/>
          <w:sz w:val="22"/>
          <w:szCs w:val="22"/>
          <w:lang w:val="en-IE"/>
        </w:rPr>
        <w:t>s</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z w:val="22"/>
          <w:szCs w:val="22"/>
          <w:lang w:val="en-IE"/>
        </w:rPr>
        <w:t>c</w:t>
      </w:r>
      <w:r w:rsidR="00C3186E" w:rsidRPr="00E22B82">
        <w:rPr>
          <w:rFonts w:ascii="Times New Roman" w:eastAsia="Calibri" w:hAnsi="Times New Roman" w:cs="Times New Roman"/>
          <w:spacing w:val="-1"/>
          <w:sz w:val="22"/>
          <w:szCs w:val="22"/>
          <w:lang w:val="en-IE"/>
        </w:rPr>
        <w:t>on</w:t>
      </w:r>
      <w:r w:rsidR="00C3186E" w:rsidRPr="00E22B82">
        <w:rPr>
          <w:rFonts w:ascii="Times New Roman" w:eastAsia="Calibri" w:hAnsi="Times New Roman" w:cs="Times New Roman"/>
          <w:sz w:val="22"/>
          <w:szCs w:val="22"/>
          <w:lang w:val="en-IE"/>
        </w:rPr>
        <w:t>sumpti</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n and</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pacing w:val="-3"/>
          <w:sz w:val="22"/>
          <w:szCs w:val="22"/>
          <w:lang w:val="en-IE"/>
        </w:rPr>
        <w:t>g</w:t>
      </w:r>
      <w:r w:rsidR="00C3186E" w:rsidRPr="00E22B82">
        <w:rPr>
          <w:rFonts w:ascii="Times New Roman" w:eastAsia="Calibri" w:hAnsi="Times New Roman" w:cs="Times New Roman"/>
          <w:sz w:val="22"/>
          <w:szCs w:val="22"/>
          <w:lang w:val="en-IE"/>
        </w:rPr>
        <w:t>enerat</w:t>
      </w:r>
      <w:r w:rsidR="00C3186E" w:rsidRPr="00E22B82">
        <w:rPr>
          <w:rFonts w:ascii="Times New Roman" w:eastAsia="Calibri" w:hAnsi="Times New Roman" w:cs="Times New Roman"/>
          <w:spacing w:val="-3"/>
          <w:sz w:val="22"/>
          <w:szCs w:val="22"/>
          <w:lang w:val="en-IE"/>
        </w:rPr>
        <w:t>i</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w</w:t>
      </w:r>
      <w:r w:rsidR="00C3186E" w:rsidRPr="00E22B82">
        <w:rPr>
          <w:rFonts w:ascii="Times New Roman" w:eastAsia="Calibri" w:hAnsi="Times New Roman" w:cs="Times New Roman"/>
          <w:sz w:val="22"/>
          <w:szCs w:val="22"/>
          <w:lang w:val="en-IE"/>
        </w:rPr>
        <w:t>ith</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ther</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z w:val="22"/>
          <w:szCs w:val="22"/>
          <w:lang w:val="en-IE"/>
        </w:rPr>
        <w:t>c</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m</w:t>
      </w:r>
      <w:r w:rsidR="00C3186E" w:rsidRPr="00E22B82">
        <w:rPr>
          <w:rFonts w:ascii="Times New Roman" w:eastAsia="Calibri" w:hAnsi="Times New Roman" w:cs="Times New Roman"/>
          <w:spacing w:val="-3"/>
          <w:sz w:val="22"/>
          <w:szCs w:val="22"/>
          <w:lang w:val="en-IE"/>
        </w:rPr>
        <w:t>p</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ents</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z w:val="22"/>
          <w:szCs w:val="22"/>
          <w:lang w:val="en-IE"/>
        </w:rPr>
        <w:t>a cit</w:t>
      </w:r>
      <w:r w:rsidR="00C3186E" w:rsidRPr="00E22B82">
        <w:rPr>
          <w:rFonts w:ascii="Times New Roman" w:eastAsia="Calibri" w:hAnsi="Times New Roman" w:cs="Times New Roman"/>
          <w:spacing w:val="1"/>
          <w:sz w:val="22"/>
          <w:szCs w:val="22"/>
          <w:lang w:val="en-IE"/>
        </w:rPr>
        <w:t>y</w:t>
      </w:r>
      <w:r w:rsidR="00C3186E" w:rsidRPr="00E22B82">
        <w:rPr>
          <w:rFonts w:ascii="Times New Roman" w:eastAsia="Calibri" w:hAnsi="Times New Roman" w:cs="Times New Roman"/>
          <w:spacing w:val="-2"/>
          <w:sz w:val="22"/>
          <w:szCs w:val="22"/>
          <w:lang w:val="en-IE"/>
        </w:rPr>
        <w:t>’</w:t>
      </w:r>
      <w:r w:rsidR="00C3186E" w:rsidRPr="00E22B82">
        <w:rPr>
          <w:rFonts w:ascii="Times New Roman" w:eastAsia="Calibri" w:hAnsi="Times New Roman" w:cs="Times New Roman"/>
          <w:sz w:val="22"/>
          <w:szCs w:val="22"/>
          <w:lang w:val="en-IE"/>
        </w:rPr>
        <w:t>s i</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frastr</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cture</w:t>
      </w:r>
      <w:r w:rsidR="00C3186E" w:rsidRPr="00E22B82">
        <w:rPr>
          <w:rFonts w:ascii="Times New Roman" w:eastAsia="Calibri" w:hAnsi="Times New Roman" w:cs="Times New Roman"/>
          <w:spacing w:val="25"/>
          <w:sz w:val="22"/>
          <w:szCs w:val="22"/>
          <w:lang w:val="en-IE"/>
        </w:rPr>
        <w:t xml:space="preserve"> </w:t>
      </w:r>
      <w:r w:rsidR="00C3186E" w:rsidRPr="00E22B82">
        <w:rPr>
          <w:rFonts w:ascii="Times New Roman" w:eastAsia="Calibri" w:hAnsi="Times New Roman" w:cs="Times New Roman"/>
          <w:sz w:val="22"/>
          <w:szCs w:val="22"/>
          <w:lang w:val="en-IE"/>
        </w:rPr>
        <w:t>a</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d</w:t>
      </w:r>
      <w:r w:rsidR="00C3186E" w:rsidRPr="00E22B82">
        <w:rPr>
          <w:rFonts w:ascii="Times New Roman" w:eastAsia="Calibri" w:hAnsi="Times New Roman" w:cs="Times New Roman"/>
          <w:spacing w:val="26"/>
          <w:sz w:val="22"/>
          <w:szCs w:val="22"/>
          <w:lang w:val="en-IE"/>
        </w:rPr>
        <w:t xml:space="preserve"> </w:t>
      </w:r>
      <w:r w:rsidR="00C3186E" w:rsidRPr="00E22B82">
        <w:rPr>
          <w:rFonts w:ascii="Times New Roman" w:eastAsia="Calibri" w:hAnsi="Times New Roman" w:cs="Times New Roman"/>
          <w:spacing w:val="-1"/>
          <w:sz w:val="22"/>
          <w:szCs w:val="22"/>
          <w:lang w:val="en-IE"/>
        </w:rPr>
        <w:t>go</w:t>
      </w:r>
      <w:r w:rsidR="00C3186E" w:rsidRPr="00E22B82">
        <w:rPr>
          <w:rFonts w:ascii="Times New Roman" w:eastAsia="Calibri" w:hAnsi="Times New Roman" w:cs="Times New Roman"/>
          <w:spacing w:val="1"/>
          <w:sz w:val="22"/>
          <w:szCs w:val="22"/>
          <w:lang w:val="en-IE"/>
        </w:rPr>
        <w:t>v</w:t>
      </w:r>
      <w:r w:rsidR="00C3186E" w:rsidRPr="00E22B82">
        <w:rPr>
          <w:rFonts w:ascii="Times New Roman" w:eastAsia="Calibri" w:hAnsi="Times New Roman" w:cs="Times New Roman"/>
          <w:sz w:val="22"/>
          <w:szCs w:val="22"/>
          <w:lang w:val="en-IE"/>
        </w:rPr>
        <w:t>ern</w:t>
      </w:r>
      <w:r w:rsidR="00C3186E" w:rsidRPr="00E22B82">
        <w:rPr>
          <w:rFonts w:ascii="Times New Roman" w:eastAsia="Calibri" w:hAnsi="Times New Roman" w:cs="Times New Roman"/>
          <w:spacing w:val="-3"/>
          <w:sz w:val="22"/>
          <w:szCs w:val="22"/>
          <w:lang w:val="en-IE"/>
        </w:rPr>
        <w:t>a</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c</w:t>
      </w:r>
      <w:r w:rsidR="00C3186E" w:rsidRPr="00E22B82">
        <w:rPr>
          <w:rFonts w:ascii="Times New Roman" w:eastAsia="Calibri" w:hAnsi="Times New Roman" w:cs="Times New Roman"/>
          <w:spacing w:val="2"/>
          <w:sz w:val="22"/>
          <w:szCs w:val="22"/>
          <w:lang w:val="en-IE"/>
        </w:rPr>
        <w:t>e</w:t>
      </w:r>
      <w:r w:rsidR="00C3186E" w:rsidRPr="00E22B82">
        <w:rPr>
          <w:rFonts w:ascii="Times New Roman" w:eastAsia="Calibri" w:hAnsi="Times New Roman" w:cs="Times New Roman"/>
          <w:sz w:val="22"/>
          <w:szCs w:val="22"/>
          <w:lang w:val="en-IE"/>
        </w:rPr>
        <w:t>.</w:t>
      </w:r>
      <w:r w:rsidR="00C3186E" w:rsidRPr="00E22B82">
        <w:rPr>
          <w:rFonts w:ascii="Times New Roman" w:eastAsia="Calibri" w:hAnsi="Times New Roman" w:cs="Times New Roman"/>
          <w:spacing w:val="27"/>
          <w:sz w:val="22"/>
          <w:szCs w:val="22"/>
          <w:lang w:val="en-IE"/>
        </w:rPr>
        <w:t xml:space="preserve"> </w:t>
      </w:r>
      <w:r w:rsidR="00C3186E" w:rsidRPr="00E22B82">
        <w:rPr>
          <w:rFonts w:ascii="Times New Roman" w:eastAsia="Calibri" w:hAnsi="Times New Roman" w:cs="Times New Roman"/>
          <w:sz w:val="22"/>
          <w:szCs w:val="22"/>
          <w:lang w:val="en-IE"/>
        </w:rPr>
        <w:t>This</w:t>
      </w:r>
      <w:r w:rsidR="00C3186E" w:rsidRPr="00E22B82">
        <w:rPr>
          <w:rFonts w:ascii="Times New Roman" w:eastAsia="Calibri" w:hAnsi="Times New Roman" w:cs="Times New Roman"/>
          <w:spacing w:val="24"/>
          <w:sz w:val="22"/>
          <w:szCs w:val="22"/>
          <w:lang w:val="en-IE"/>
        </w:rPr>
        <w:t xml:space="preserve"> </w:t>
      </w:r>
      <w:r w:rsidR="00C3186E" w:rsidRPr="00E22B82">
        <w:rPr>
          <w:rFonts w:ascii="Times New Roman" w:eastAsia="Calibri" w:hAnsi="Times New Roman" w:cs="Times New Roman"/>
          <w:spacing w:val="1"/>
          <w:sz w:val="22"/>
          <w:szCs w:val="22"/>
          <w:lang w:val="en-IE"/>
        </w:rPr>
        <w:t>s</w:t>
      </w:r>
      <w:r w:rsidR="00C3186E" w:rsidRPr="00E22B82">
        <w:rPr>
          <w:rFonts w:ascii="Times New Roman" w:eastAsia="Calibri" w:hAnsi="Times New Roman" w:cs="Times New Roman"/>
          <w:sz w:val="22"/>
          <w:szCs w:val="22"/>
          <w:lang w:val="en-IE"/>
        </w:rPr>
        <w:t>et</w:t>
      </w:r>
      <w:r w:rsidR="00C3186E" w:rsidRPr="00E22B82">
        <w:rPr>
          <w:rFonts w:ascii="Times New Roman" w:eastAsia="Calibri" w:hAnsi="Times New Roman" w:cs="Times New Roman"/>
          <w:spacing w:val="26"/>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w:t>
      </w:r>
      <w:r w:rsidR="00C3186E" w:rsidRPr="00E22B82">
        <w:rPr>
          <w:rFonts w:ascii="Times New Roman" w:eastAsia="Calibri" w:hAnsi="Times New Roman" w:cs="Times New Roman"/>
          <w:spacing w:val="24"/>
          <w:sz w:val="22"/>
          <w:szCs w:val="22"/>
          <w:lang w:val="en-IE"/>
        </w:rPr>
        <w:t xml:space="preserve"> </w:t>
      </w:r>
      <w:r w:rsidR="00C3186E" w:rsidRPr="00E22B82">
        <w:rPr>
          <w:rFonts w:ascii="Times New Roman" w:eastAsia="Calibri" w:hAnsi="Times New Roman" w:cs="Times New Roman"/>
          <w:sz w:val="22"/>
          <w:szCs w:val="22"/>
          <w:lang w:val="en-IE"/>
        </w:rPr>
        <w:t>SUI</w:t>
      </w:r>
      <w:r w:rsidR="00C3186E" w:rsidRPr="00E22B82">
        <w:rPr>
          <w:rFonts w:ascii="Times New Roman" w:eastAsia="Calibri" w:hAnsi="Times New Roman" w:cs="Times New Roman"/>
          <w:spacing w:val="-2"/>
          <w:sz w:val="22"/>
          <w:szCs w:val="22"/>
          <w:lang w:val="en-IE"/>
        </w:rPr>
        <w:t>s</w:t>
      </w:r>
      <w:r w:rsidR="00C3186E" w:rsidRPr="00E22B82">
        <w:rPr>
          <w:rFonts w:ascii="Times New Roman" w:eastAsia="Calibri" w:hAnsi="Times New Roman" w:cs="Times New Roman"/>
          <w:spacing w:val="27"/>
          <w:sz w:val="22"/>
          <w:szCs w:val="22"/>
          <w:lang w:val="en-IE"/>
        </w:rPr>
        <w:t xml:space="preserve"> </w:t>
      </w:r>
      <w:r w:rsidR="00BF0923" w:rsidRPr="00E22B82">
        <w:rPr>
          <w:rFonts w:ascii="Times New Roman" w:eastAsia="Calibri" w:hAnsi="Times New Roman" w:cs="Times New Roman"/>
          <w:sz w:val="22"/>
          <w:szCs w:val="22"/>
          <w:lang w:val="en-IE"/>
        </w:rPr>
        <w:t>may</w:t>
      </w:r>
      <w:r w:rsidR="00C3186E" w:rsidRPr="00E22B82">
        <w:rPr>
          <w:rFonts w:ascii="Times New Roman" w:eastAsia="Calibri" w:hAnsi="Times New Roman" w:cs="Times New Roman"/>
          <w:spacing w:val="27"/>
          <w:sz w:val="22"/>
          <w:szCs w:val="22"/>
          <w:lang w:val="en-IE"/>
        </w:rPr>
        <w:t xml:space="preserve"> </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z w:val="22"/>
          <w:szCs w:val="22"/>
          <w:lang w:val="en-IE"/>
        </w:rPr>
        <w:t xml:space="preserve">e </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sed</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z w:val="22"/>
          <w:szCs w:val="22"/>
          <w:lang w:val="en-IE"/>
        </w:rPr>
        <w:t>to</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z w:val="22"/>
          <w:szCs w:val="22"/>
          <w:lang w:val="en-IE"/>
        </w:rPr>
        <w:t xml:space="preserve">aid </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ecis</w:t>
      </w:r>
      <w:r w:rsidR="00C3186E" w:rsidRPr="00E22B82">
        <w:rPr>
          <w:rFonts w:ascii="Times New Roman" w:eastAsia="Calibri" w:hAnsi="Times New Roman" w:cs="Times New Roman"/>
          <w:spacing w:val="-2"/>
          <w:sz w:val="22"/>
          <w:szCs w:val="22"/>
          <w:lang w:val="en-IE"/>
        </w:rPr>
        <w:t>i</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n su</w:t>
      </w:r>
      <w:r w:rsidR="00C3186E" w:rsidRPr="00E22B82">
        <w:rPr>
          <w:rFonts w:ascii="Times New Roman" w:eastAsia="Calibri" w:hAnsi="Times New Roman" w:cs="Times New Roman"/>
          <w:spacing w:val="-2"/>
          <w:sz w:val="22"/>
          <w:szCs w:val="22"/>
          <w:lang w:val="en-IE"/>
        </w:rPr>
        <w:t>p</w:t>
      </w:r>
      <w:r w:rsidR="00C3186E" w:rsidRPr="00E22B82">
        <w:rPr>
          <w:rFonts w:ascii="Times New Roman" w:eastAsia="Calibri" w:hAnsi="Times New Roman" w:cs="Times New Roman"/>
          <w:spacing w:val="-1"/>
          <w:sz w:val="22"/>
          <w:szCs w:val="22"/>
          <w:lang w:val="en-IE"/>
        </w:rPr>
        <w:t>p</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rt</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z w:val="22"/>
          <w:szCs w:val="22"/>
          <w:lang w:val="en-IE"/>
        </w:rPr>
        <w:t>within the</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r</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z w:val="22"/>
          <w:szCs w:val="22"/>
          <w:lang w:val="en-IE"/>
        </w:rPr>
        <w:t>an en</w:t>
      </w:r>
      <w:r w:rsidR="00C3186E" w:rsidRPr="00E22B82">
        <w:rPr>
          <w:rFonts w:ascii="Times New Roman" w:eastAsia="Calibri" w:hAnsi="Times New Roman" w:cs="Times New Roman"/>
          <w:spacing w:val="1"/>
          <w:sz w:val="22"/>
          <w:szCs w:val="22"/>
          <w:lang w:val="en-IE"/>
        </w:rPr>
        <w:t>v</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3"/>
          <w:sz w:val="22"/>
          <w:szCs w:val="22"/>
          <w:lang w:val="en-IE"/>
        </w:rPr>
        <w:t>r</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nm</w:t>
      </w:r>
      <w:r w:rsidR="00BF0923" w:rsidRPr="00E22B82">
        <w:rPr>
          <w:rFonts w:ascii="Times New Roman" w:eastAsia="Calibri" w:hAnsi="Times New Roman" w:cs="Times New Roman"/>
          <w:sz w:val="22"/>
          <w:szCs w:val="22"/>
          <w:lang w:val="en-IE"/>
        </w:rPr>
        <w:t>ent</w:t>
      </w:r>
      <w:r w:rsidR="00C3186E" w:rsidRPr="00E22B82">
        <w:rPr>
          <w:rFonts w:ascii="Times New Roman" w:eastAsia="Calibri" w:hAnsi="Times New Roman" w:cs="Times New Roman"/>
          <w:sz w:val="22"/>
          <w:szCs w:val="22"/>
          <w:lang w:val="en-IE"/>
        </w:rPr>
        <w:t>. In</w:t>
      </w:r>
      <w:r w:rsidR="00C3186E" w:rsidRPr="00E22B82">
        <w:rPr>
          <w:rFonts w:ascii="Times New Roman" w:eastAsia="Calibri" w:hAnsi="Times New Roman" w:cs="Times New Roman"/>
          <w:spacing w:val="1"/>
          <w:sz w:val="22"/>
          <w:szCs w:val="22"/>
          <w:lang w:val="en-IE"/>
        </w:rPr>
        <w:t xml:space="preserve"> o</w:t>
      </w:r>
      <w:r w:rsidR="00C3186E" w:rsidRPr="00E22B82">
        <w:rPr>
          <w:rFonts w:ascii="Times New Roman" w:eastAsia="Calibri" w:hAnsi="Times New Roman" w:cs="Times New Roman"/>
          <w:sz w:val="22"/>
          <w:szCs w:val="22"/>
          <w:lang w:val="en-IE"/>
        </w:rPr>
        <w:t>r</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er</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pacing w:val="-3"/>
          <w:sz w:val="22"/>
          <w:szCs w:val="22"/>
          <w:lang w:val="en-IE"/>
        </w:rPr>
        <w:t>f</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r</w:t>
      </w:r>
      <w:r w:rsidR="00C3186E" w:rsidRPr="00E22B82">
        <w:rPr>
          <w:rFonts w:ascii="Times New Roman" w:eastAsia="Calibri" w:hAnsi="Times New Roman" w:cs="Times New Roman"/>
          <w:spacing w:val="2"/>
          <w:sz w:val="22"/>
          <w:szCs w:val="22"/>
          <w:lang w:val="en-IE"/>
        </w:rPr>
        <w:t xml:space="preserve"> </w:t>
      </w:r>
      <w:r w:rsidR="00BF0923" w:rsidRPr="00E22B82">
        <w:rPr>
          <w:rFonts w:ascii="Times New Roman" w:eastAsia="Calibri" w:hAnsi="Times New Roman" w:cs="Times New Roman"/>
          <w:sz w:val="22"/>
          <w:szCs w:val="22"/>
          <w:lang w:val="en-IE"/>
        </w:rPr>
        <w:t>urban</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ecis</w:t>
      </w:r>
      <w:r w:rsidR="00C3186E" w:rsidRPr="00E22B82">
        <w:rPr>
          <w:rFonts w:ascii="Times New Roman" w:eastAsia="Calibri" w:hAnsi="Times New Roman" w:cs="Times New Roman"/>
          <w:spacing w:val="-2"/>
          <w:sz w:val="22"/>
          <w:szCs w:val="22"/>
          <w:lang w:val="en-IE"/>
        </w:rPr>
        <w:t>i</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n</w:t>
      </w:r>
      <w:r w:rsidR="00C3186E" w:rsidRPr="00E22B82">
        <w:rPr>
          <w:rFonts w:ascii="Times New Roman" w:eastAsia="Calibri" w:hAnsi="Times New Roman" w:cs="Times New Roman"/>
          <w:spacing w:val="2"/>
          <w:sz w:val="22"/>
          <w:szCs w:val="22"/>
          <w:lang w:val="en-IE"/>
        </w:rPr>
        <w:t xml:space="preserve"> </w:t>
      </w:r>
      <w:r w:rsidR="00BF0923" w:rsidRPr="00E22B82">
        <w:rPr>
          <w:rFonts w:ascii="Times New Roman" w:eastAsia="Calibri" w:hAnsi="Times New Roman" w:cs="Times New Roman"/>
          <w:spacing w:val="-1"/>
          <w:sz w:val="22"/>
          <w:szCs w:val="22"/>
          <w:lang w:val="en-IE"/>
        </w:rPr>
        <w:t>making</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pacing w:val="-2"/>
          <w:sz w:val="22"/>
          <w:szCs w:val="22"/>
          <w:lang w:val="en-IE"/>
        </w:rPr>
        <w:t>t</w:t>
      </w:r>
      <w:r w:rsidR="00C3186E" w:rsidRPr="00E22B82">
        <w:rPr>
          <w:rFonts w:ascii="Times New Roman" w:eastAsia="Calibri" w:hAnsi="Times New Roman" w:cs="Times New Roman"/>
          <w:sz w:val="22"/>
          <w:szCs w:val="22"/>
          <w:lang w:val="en-IE"/>
        </w:rPr>
        <w:t>o</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z w:val="22"/>
          <w:szCs w:val="22"/>
          <w:lang w:val="en-IE"/>
        </w:rPr>
        <w:t>e</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z w:val="22"/>
          <w:szCs w:val="22"/>
          <w:lang w:val="en-IE"/>
        </w:rPr>
        <w:t>tra</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sfera</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z w:val="22"/>
          <w:szCs w:val="22"/>
          <w:lang w:val="en-IE"/>
        </w:rPr>
        <w:t>le</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pacing w:val="-3"/>
          <w:sz w:val="22"/>
          <w:szCs w:val="22"/>
          <w:lang w:val="en-IE"/>
        </w:rPr>
        <w:t>a</w:t>
      </w:r>
      <w:r w:rsidR="00C3186E" w:rsidRPr="00E22B82">
        <w:rPr>
          <w:rFonts w:ascii="Times New Roman" w:eastAsia="Calibri" w:hAnsi="Times New Roman" w:cs="Times New Roman"/>
          <w:sz w:val="22"/>
          <w:szCs w:val="22"/>
          <w:lang w:val="en-IE"/>
        </w:rPr>
        <w:t>cr</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2"/>
          <w:sz w:val="22"/>
          <w:szCs w:val="22"/>
          <w:lang w:val="en-IE"/>
        </w:rPr>
        <w:t>s</w:t>
      </w:r>
      <w:r w:rsidR="00C3186E" w:rsidRPr="00E22B82">
        <w:rPr>
          <w:rFonts w:ascii="Times New Roman" w:eastAsia="Calibri" w:hAnsi="Times New Roman" w:cs="Times New Roman"/>
          <w:sz w:val="22"/>
          <w:szCs w:val="22"/>
          <w:lang w:val="en-IE"/>
        </w:rPr>
        <w:t>s</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z w:val="22"/>
          <w:szCs w:val="22"/>
          <w:lang w:val="en-IE"/>
        </w:rPr>
        <w:t xml:space="preserve">a </w:t>
      </w:r>
      <w:r w:rsidR="00C3186E" w:rsidRPr="00E22B82">
        <w:rPr>
          <w:rFonts w:ascii="Times New Roman" w:eastAsia="Calibri" w:hAnsi="Times New Roman" w:cs="Times New Roman"/>
          <w:spacing w:val="-1"/>
          <w:sz w:val="22"/>
          <w:szCs w:val="22"/>
          <w:lang w:val="en-IE"/>
        </w:rPr>
        <w:t>nu</w:t>
      </w:r>
      <w:r w:rsidR="00C3186E" w:rsidRPr="00E22B82">
        <w:rPr>
          <w:rFonts w:ascii="Times New Roman" w:eastAsia="Calibri" w:hAnsi="Times New Roman" w:cs="Times New Roman"/>
          <w:spacing w:val="1"/>
          <w:sz w:val="22"/>
          <w:szCs w:val="22"/>
          <w:lang w:val="en-IE"/>
        </w:rPr>
        <w:t>m</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pacing w:val="7"/>
          <w:sz w:val="22"/>
          <w:szCs w:val="22"/>
          <w:lang w:val="en-IE"/>
        </w:rPr>
        <w:t>e</w:t>
      </w:r>
      <w:r w:rsidR="00C3186E" w:rsidRPr="00E22B82">
        <w:rPr>
          <w:rFonts w:ascii="Times New Roman" w:eastAsia="Calibri" w:hAnsi="Times New Roman" w:cs="Times New Roman"/>
          <w:sz w:val="22"/>
          <w:szCs w:val="22"/>
          <w:lang w:val="en-IE"/>
        </w:rPr>
        <w:t>r</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r</w:t>
      </w:r>
      <w:r w:rsidR="00C3186E" w:rsidRPr="00E22B82">
        <w:rPr>
          <w:rFonts w:ascii="Times New Roman" w:eastAsia="Calibri" w:hAnsi="Times New Roman" w:cs="Times New Roman"/>
          <w:spacing w:val="-1"/>
          <w:sz w:val="22"/>
          <w:szCs w:val="22"/>
          <w:lang w:val="en-IE"/>
        </w:rPr>
        <w:t>b</w:t>
      </w:r>
      <w:r w:rsidR="00C3186E" w:rsidRPr="00E22B82">
        <w:rPr>
          <w:rFonts w:ascii="Times New Roman" w:eastAsia="Calibri" w:hAnsi="Times New Roman" w:cs="Times New Roman"/>
          <w:sz w:val="22"/>
          <w:szCs w:val="22"/>
          <w:lang w:val="en-IE"/>
        </w:rPr>
        <w:t>an</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2"/>
          <w:sz w:val="22"/>
          <w:szCs w:val="22"/>
          <w:lang w:val="en-IE"/>
        </w:rPr>
        <w:t>c</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t</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z w:val="22"/>
          <w:szCs w:val="22"/>
          <w:lang w:val="en-IE"/>
        </w:rPr>
        <w:t>x</w:t>
      </w:r>
      <w:r w:rsidR="00C3186E" w:rsidRPr="00E22B82">
        <w:rPr>
          <w:rFonts w:ascii="Times New Roman" w:eastAsia="Calibri" w:hAnsi="Times New Roman" w:cs="Times New Roman"/>
          <w:spacing w:val="-2"/>
          <w:sz w:val="22"/>
          <w:szCs w:val="22"/>
          <w:lang w:val="en-IE"/>
        </w:rPr>
        <w:t>t</w:t>
      </w:r>
      <w:r w:rsidR="00C3186E" w:rsidRPr="00E22B82">
        <w:rPr>
          <w:rFonts w:ascii="Times New Roman" w:eastAsia="Calibri" w:hAnsi="Times New Roman" w:cs="Times New Roman"/>
          <w:sz w:val="22"/>
          <w:szCs w:val="22"/>
          <w:lang w:val="en-IE"/>
        </w:rPr>
        <w:t>s,</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z w:val="22"/>
          <w:szCs w:val="22"/>
          <w:lang w:val="en-IE"/>
        </w:rPr>
        <w:t>the sele</w:t>
      </w:r>
      <w:r w:rsidR="00C3186E" w:rsidRPr="00E22B82">
        <w:rPr>
          <w:rFonts w:ascii="Times New Roman" w:eastAsia="Calibri" w:hAnsi="Times New Roman" w:cs="Times New Roman"/>
          <w:spacing w:val="1"/>
          <w:sz w:val="22"/>
          <w:szCs w:val="22"/>
          <w:lang w:val="en-IE"/>
        </w:rPr>
        <w:t>c</w:t>
      </w:r>
      <w:r w:rsidR="00C3186E" w:rsidRPr="00E22B82">
        <w:rPr>
          <w:rFonts w:ascii="Times New Roman" w:eastAsia="Calibri" w:hAnsi="Times New Roman" w:cs="Times New Roman"/>
          <w:sz w:val="22"/>
          <w:szCs w:val="22"/>
          <w:lang w:val="en-IE"/>
        </w:rPr>
        <w:t>t</w:t>
      </w:r>
      <w:r w:rsidR="00C3186E" w:rsidRPr="00E22B82">
        <w:rPr>
          <w:rFonts w:ascii="Times New Roman" w:eastAsia="Calibri" w:hAnsi="Times New Roman" w:cs="Times New Roman"/>
          <w:spacing w:val="-2"/>
          <w:sz w:val="22"/>
          <w:szCs w:val="22"/>
          <w:lang w:val="en-IE"/>
        </w:rPr>
        <w:t>i</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 xml:space="preserve">n </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f</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z w:val="22"/>
          <w:szCs w:val="22"/>
          <w:lang w:val="en-IE"/>
        </w:rPr>
        <w:t>these</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z w:val="22"/>
          <w:szCs w:val="22"/>
          <w:lang w:val="en-IE"/>
        </w:rPr>
        <w:t>SUIs</w:t>
      </w:r>
      <w:r w:rsidR="00C3186E" w:rsidRPr="00E22B82">
        <w:rPr>
          <w:rFonts w:ascii="Times New Roman" w:eastAsia="Calibri" w:hAnsi="Times New Roman" w:cs="Times New Roman"/>
          <w:spacing w:val="3"/>
          <w:sz w:val="22"/>
          <w:szCs w:val="22"/>
          <w:lang w:val="en-IE"/>
        </w:rPr>
        <w:t xml:space="preserve"> </w:t>
      </w:r>
      <w:r w:rsidR="00C3186E" w:rsidRPr="00E22B82">
        <w:rPr>
          <w:rFonts w:ascii="Times New Roman" w:eastAsia="Calibri" w:hAnsi="Times New Roman" w:cs="Times New Roman"/>
          <w:sz w:val="22"/>
          <w:szCs w:val="22"/>
          <w:lang w:val="en-IE"/>
        </w:rPr>
        <w:t xml:space="preserve">will </w:t>
      </w:r>
      <w:r w:rsidR="00C3186E" w:rsidRPr="00E22B82">
        <w:rPr>
          <w:rFonts w:ascii="Times New Roman" w:eastAsia="Calibri" w:hAnsi="Times New Roman" w:cs="Times New Roman"/>
          <w:spacing w:val="-1"/>
          <w:sz w:val="22"/>
          <w:szCs w:val="22"/>
          <w:lang w:val="en-IE"/>
        </w:rPr>
        <w:t>be</w:t>
      </w:r>
      <w:r w:rsidR="00C3186E" w:rsidRPr="00E22B82">
        <w:rPr>
          <w:rFonts w:ascii="Times New Roman" w:eastAsia="Calibri" w:hAnsi="Times New Roman" w:cs="Times New Roman"/>
          <w:spacing w:val="2"/>
          <w:sz w:val="22"/>
          <w:szCs w:val="22"/>
          <w:lang w:val="en-IE"/>
        </w:rPr>
        <w:t xml:space="preserve"> </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3"/>
          <w:sz w:val="22"/>
          <w:szCs w:val="22"/>
          <w:lang w:val="en-IE"/>
        </w:rPr>
        <w:t>r</w:t>
      </w:r>
      <w:r w:rsidR="00C3186E" w:rsidRPr="00E22B82">
        <w:rPr>
          <w:rFonts w:ascii="Times New Roman" w:eastAsia="Calibri" w:hAnsi="Times New Roman" w:cs="Times New Roman"/>
          <w:spacing w:val="1"/>
          <w:sz w:val="22"/>
          <w:szCs w:val="22"/>
          <w:lang w:val="en-IE"/>
        </w:rPr>
        <w:t>m</w:t>
      </w:r>
      <w:r w:rsidR="00C3186E" w:rsidRPr="00E22B82">
        <w:rPr>
          <w:rFonts w:ascii="Times New Roman" w:eastAsia="Calibri" w:hAnsi="Times New Roman" w:cs="Times New Roman"/>
          <w:sz w:val="22"/>
          <w:szCs w:val="22"/>
          <w:lang w:val="en-IE"/>
        </w:rPr>
        <w:t>al</w:t>
      </w:r>
      <w:r w:rsidR="00C3186E" w:rsidRPr="00E22B82">
        <w:rPr>
          <w:rFonts w:ascii="Times New Roman" w:eastAsia="Calibri" w:hAnsi="Times New Roman" w:cs="Times New Roman"/>
          <w:spacing w:val="-1"/>
          <w:sz w:val="22"/>
          <w:szCs w:val="22"/>
          <w:lang w:val="en-IE"/>
        </w:rPr>
        <w:t>i</w:t>
      </w:r>
      <w:r w:rsidR="00C3186E" w:rsidRPr="00E22B82">
        <w:rPr>
          <w:rFonts w:ascii="Times New Roman" w:eastAsia="Calibri" w:hAnsi="Times New Roman" w:cs="Times New Roman"/>
          <w:spacing w:val="-2"/>
          <w:sz w:val="22"/>
          <w:szCs w:val="22"/>
          <w:lang w:val="en-IE"/>
        </w:rPr>
        <w:t>sed in order to recognise</w:t>
      </w:r>
      <w:r w:rsidR="00C3186E" w:rsidRPr="00E22B82">
        <w:rPr>
          <w:rFonts w:ascii="Times New Roman" w:eastAsia="Calibri" w:hAnsi="Times New Roman" w:cs="Times New Roman"/>
          <w:spacing w:val="4"/>
          <w:sz w:val="22"/>
          <w:szCs w:val="22"/>
          <w:lang w:val="en-IE"/>
        </w:rPr>
        <w:t xml:space="preserve"> </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if</w:t>
      </w:r>
      <w:r w:rsidR="00C3186E" w:rsidRPr="00E22B82">
        <w:rPr>
          <w:rFonts w:ascii="Times New Roman" w:eastAsia="Calibri" w:hAnsi="Times New Roman" w:cs="Times New Roman"/>
          <w:spacing w:val="-1"/>
          <w:sz w:val="22"/>
          <w:szCs w:val="22"/>
          <w:lang w:val="en-IE"/>
        </w:rPr>
        <w:t>f</w:t>
      </w:r>
      <w:r w:rsidR="00C3186E" w:rsidRPr="00E22B82">
        <w:rPr>
          <w:rFonts w:ascii="Times New Roman" w:eastAsia="Calibri" w:hAnsi="Times New Roman" w:cs="Times New Roman"/>
          <w:sz w:val="22"/>
          <w:szCs w:val="22"/>
          <w:lang w:val="en-IE"/>
        </w:rPr>
        <w:t>ere</w:t>
      </w:r>
      <w:r w:rsidR="00C3186E" w:rsidRPr="00E22B82">
        <w:rPr>
          <w:rFonts w:ascii="Times New Roman" w:eastAsia="Calibri" w:hAnsi="Times New Roman" w:cs="Times New Roman"/>
          <w:spacing w:val="-2"/>
          <w:sz w:val="22"/>
          <w:szCs w:val="22"/>
          <w:lang w:val="en-IE"/>
        </w:rPr>
        <w:t>n</w:t>
      </w:r>
      <w:r w:rsidR="00C3186E" w:rsidRPr="00E22B82">
        <w:rPr>
          <w:rFonts w:ascii="Times New Roman" w:eastAsia="Calibri" w:hAnsi="Times New Roman" w:cs="Times New Roman"/>
          <w:sz w:val="22"/>
          <w:szCs w:val="22"/>
          <w:lang w:val="en-IE"/>
        </w:rPr>
        <w:t>ces</w:t>
      </w:r>
      <w:r w:rsidR="00C3186E" w:rsidRPr="00E22B82">
        <w:rPr>
          <w:rFonts w:ascii="Times New Roman" w:eastAsia="Calibri" w:hAnsi="Times New Roman" w:cs="Times New Roman"/>
          <w:spacing w:val="4"/>
          <w:sz w:val="22"/>
          <w:szCs w:val="22"/>
          <w:lang w:val="en-IE"/>
        </w:rPr>
        <w:t xml:space="preserve"> </w:t>
      </w:r>
      <w:r w:rsidR="00C3186E" w:rsidRPr="00E22B82">
        <w:rPr>
          <w:rFonts w:ascii="Times New Roman" w:eastAsia="Calibri" w:hAnsi="Times New Roman" w:cs="Times New Roman"/>
          <w:sz w:val="22"/>
          <w:szCs w:val="22"/>
          <w:lang w:val="en-IE"/>
        </w:rPr>
        <w:t>in cl</w:t>
      </w:r>
      <w:r w:rsidR="00C3186E" w:rsidRPr="00E22B82">
        <w:rPr>
          <w:rFonts w:ascii="Times New Roman" w:eastAsia="Calibri" w:hAnsi="Times New Roman" w:cs="Times New Roman"/>
          <w:spacing w:val="-3"/>
          <w:sz w:val="22"/>
          <w:szCs w:val="22"/>
          <w:lang w:val="en-IE"/>
        </w:rPr>
        <w:t>i</w:t>
      </w:r>
      <w:r w:rsidR="00C3186E" w:rsidRPr="00E22B82">
        <w:rPr>
          <w:rFonts w:ascii="Times New Roman" w:eastAsia="Calibri" w:hAnsi="Times New Roman" w:cs="Times New Roman"/>
          <w:spacing w:val="1"/>
          <w:sz w:val="22"/>
          <w:szCs w:val="22"/>
          <w:lang w:val="en-IE"/>
        </w:rPr>
        <w:t>m</w:t>
      </w:r>
      <w:r w:rsidR="00C3186E" w:rsidRPr="00E22B82">
        <w:rPr>
          <w:rFonts w:ascii="Times New Roman" w:eastAsia="Calibri" w:hAnsi="Times New Roman" w:cs="Times New Roman"/>
          <w:sz w:val="22"/>
          <w:szCs w:val="22"/>
          <w:lang w:val="en-IE"/>
        </w:rPr>
        <w:t>at</w:t>
      </w:r>
      <w:r w:rsidR="00C3186E" w:rsidRPr="00E22B82">
        <w:rPr>
          <w:rFonts w:ascii="Times New Roman" w:eastAsia="Calibri" w:hAnsi="Times New Roman" w:cs="Times New Roman"/>
          <w:spacing w:val="1"/>
          <w:sz w:val="22"/>
          <w:szCs w:val="22"/>
          <w:lang w:val="en-IE"/>
        </w:rPr>
        <w:t>e</w:t>
      </w:r>
      <w:r w:rsidR="00C3186E" w:rsidRPr="00E22B82">
        <w:rPr>
          <w:rFonts w:ascii="Times New Roman" w:eastAsia="Calibri" w:hAnsi="Times New Roman" w:cs="Times New Roman"/>
          <w:sz w:val="22"/>
          <w:szCs w:val="22"/>
          <w:lang w:val="en-IE"/>
        </w:rPr>
        <w:t>,</w:t>
      </w:r>
      <w:r w:rsidR="00C3186E" w:rsidRPr="00E22B82">
        <w:rPr>
          <w:rFonts w:ascii="Times New Roman" w:eastAsia="Calibri" w:hAnsi="Times New Roman" w:cs="Times New Roman"/>
          <w:spacing w:val="1"/>
          <w:sz w:val="22"/>
          <w:szCs w:val="22"/>
          <w:lang w:val="en-IE"/>
        </w:rPr>
        <w:t xml:space="preserve"> </w:t>
      </w:r>
      <w:r w:rsidR="00C3186E" w:rsidRPr="00E22B82">
        <w:rPr>
          <w:rFonts w:ascii="Times New Roman" w:eastAsia="Calibri" w:hAnsi="Times New Roman" w:cs="Times New Roman"/>
          <w:spacing w:val="-2"/>
          <w:sz w:val="22"/>
          <w:szCs w:val="22"/>
          <w:lang w:val="en-IE"/>
        </w:rPr>
        <w:t>c</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lt</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re,</w:t>
      </w:r>
      <w:r w:rsidR="00C3186E" w:rsidRPr="00E22B82">
        <w:rPr>
          <w:rFonts w:ascii="Times New Roman" w:eastAsia="Calibri" w:hAnsi="Times New Roman" w:cs="Times New Roman"/>
          <w:spacing w:val="4"/>
          <w:sz w:val="22"/>
          <w:szCs w:val="22"/>
          <w:lang w:val="en-IE"/>
        </w:rPr>
        <w:t xml:space="preserve"> </w:t>
      </w:r>
      <w:r w:rsidR="00C3186E" w:rsidRPr="00E22B82">
        <w:rPr>
          <w:rFonts w:ascii="Times New Roman" w:eastAsia="Calibri" w:hAnsi="Times New Roman" w:cs="Times New Roman"/>
          <w:sz w:val="22"/>
          <w:szCs w:val="22"/>
          <w:lang w:val="en-IE"/>
        </w:rPr>
        <w:t>life</w:t>
      </w:r>
      <w:r w:rsidR="00C3186E" w:rsidRPr="00E22B82">
        <w:rPr>
          <w:rFonts w:ascii="Times New Roman" w:eastAsia="Calibri" w:hAnsi="Times New Roman" w:cs="Times New Roman"/>
          <w:spacing w:val="-2"/>
          <w:sz w:val="22"/>
          <w:szCs w:val="22"/>
          <w:lang w:val="en-IE"/>
        </w:rPr>
        <w:t>s</w:t>
      </w:r>
      <w:r w:rsidR="00C3186E" w:rsidRPr="00E22B82">
        <w:rPr>
          <w:rFonts w:ascii="Times New Roman" w:eastAsia="Calibri" w:hAnsi="Times New Roman" w:cs="Times New Roman"/>
          <w:sz w:val="22"/>
          <w:szCs w:val="22"/>
          <w:lang w:val="en-IE"/>
        </w:rPr>
        <w:t>t</w:t>
      </w:r>
      <w:r w:rsidR="00C3186E" w:rsidRPr="00E22B82">
        <w:rPr>
          <w:rFonts w:ascii="Times New Roman" w:eastAsia="Calibri" w:hAnsi="Times New Roman" w:cs="Times New Roman"/>
          <w:spacing w:val="1"/>
          <w:sz w:val="22"/>
          <w:szCs w:val="22"/>
          <w:lang w:val="en-IE"/>
        </w:rPr>
        <w:t>y</w:t>
      </w:r>
      <w:r w:rsidR="00C3186E" w:rsidRPr="00E22B82">
        <w:rPr>
          <w:rFonts w:ascii="Times New Roman" w:eastAsia="Calibri" w:hAnsi="Times New Roman" w:cs="Times New Roman"/>
          <w:spacing w:val="-3"/>
          <w:sz w:val="22"/>
          <w:szCs w:val="22"/>
          <w:lang w:val="en-IE"/>
        </w:rPr>
        <w:t>l</w:t>
      </w:r>
      <w:r w:rsidR="00C3186E" w:rsidRPr="00E22B82">
        <w:rPr>
          <w:rFonts w:ascii="Times New Roman" w:eastAsia="Calibri" w:hAnsi="Times New Roman" w:cs="Times New Roman"/>
          <w:sz w:val="22"/>
          <w:szCs w:val="22"/>
          <w:lang w:val="en-IE"/>
        </w:rPr>
        <w:t>es,</w:t>
      </w:r>
      <w:r w:rsidR="00C3186E" w:rsidRPr="00E22B82">
        <w:rPr>
          <w:rFonts w:ascii="Times New Roman" w:eastAsia="Calibri" w:hAnsi="Times New Roman" w:cs="Times New Roman"/>
          <w:spacing w:val="4"/>
          <w:sz w:val="22"/>
          <w:szCs w:val="22"/>
          <w:lang w:val="en-IE"/>
        </w:rPr>
        <w:t xml:space="preserve"> </w:t>
      </w:r>
      <w:r w:rsidR="00C3186E" w:rsidRPr="00E22B82">
        <w:rPr>
          <w:rFonts w:ascii="Times New Roman" w:eastAsia="Calibri" w:hAnsi="Times New Roman" w:cs="Times New Roman"/>
          <w:spacing w:val="-3"/>
          <w:sz w:val="22"/>
          <w:szCs w:val="22"/>
          <w:lang w:val="en-IE"/>
        </w:rPr>
        <w:lastRenderedPageBreak/>
        <w:t>g</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v</w:t>
      </w:r>
      <w:r w:rsidR="00C3186E" w:rsidRPr="00E22B82">
        <w:rPr>
          <w:rFonts w:ascii="Times New Roman" w:eastAsia="Calibri" w:hAnsi="Times New Roman" w:cs="Times New Roman"/>
          <w:sz w:val="22"/>
          <w:szCs w:val="22"/>
          <w:lang w:val="en-IE"/>
        </w:rPr>
        <w:t>ern</w:t>
      </w:r>
      <w:r w:rsidR="00C3186E" w:rsidRPr="00E22B82">
        <w:rPr>
          <w:rFonts w:ascii="Times New Roman" w:eastAsia="Calibri" w:hAnsi="Times New Roman" w:cs="Times New Roman"/>
          <w:spacing w:val="-1"/>
          <w:sz w:val="22"/>
          <w:szCs w:val="22"/>
          <w:lang w:val="en-IE"/>
        </w:rPr>
        <w:t>an</w:t>
      </w:r>
      <w:r w:rsidR="00C3186E" w:rsidRPr="00E22B82">
        <w:rPr>
          <w:rFonts w:ascii="Times New Roman" w:eastAsia="Calibri" w:hAnsi="Times New Roman" w:cs="Times New Roman"/>
          <w:sz w:val="22"/>
          <w:szCs w:val="22"/>
          <w:lang w:val="en-IE"/>
        </w:rPr>
        <w:t>ce</w:t>
      </w:r>
      <w:r w:rsidR="00C3186E" w:rsidRPr="00E22B82">
        <w:rPr>
          <w:rFonts w:ascii="Times New Roman" w:eastAsia="Calibri" w:hAnsi="Times New Roman" w:cs="Times New Roman"/>
          <w:spacing w:val="4"/>
          <w:sz w:val="22"/>
          <w:szCs w:val="22"/>
          <w:lang w:val="en-IE"/>
        </w:rPr>
        <w:t xml:space="preserve"> </w:t>
      </w:r>
      <w:r w:rsidR="00C3186E" w:rsidRPr="00E22B82">
        <w:rPr>
          <w:rFonts w:ascii="Times New Roman" w:eastAsia="Calibri" w:hAnsi="Times New Roman" w:cs="Times New Roman"/>
          <w:sz w:val="22"/>
          <w:szCs w:val="22"/>
          <w:lang w:val="en-IE"/>
        </w:rPr>
        <w:t>a</w:t>
      </w:r>
      <w:r w:rsidR="00C3186E" w:rsidRPr="00E22B82">
        <w:rPr>
          <w:rFonts w:ascii="Times New Roman" w:eastAsia="Calibri" w:hAnsi="Times New Roman" w:cs="Times New Roman"/>
          <w:spacing w:val="-3"/>
          <w:sz w:val="22"/>
          <w:szCs w:val="22"/>
          <w:lang w:val="en-IE"/>
        </w:rPr>
        <w:t>n</w:t>
      </w:r>
      <w:r w:rsidR="00C3186E" w:rsidRPr="00E22B82">
        <w:rPr>
          <w:rFonts w:ascii="Times New Roman" w:eastAsia="Calibri" w:hAnsi="Times New Roman" w:cs="Times New Roman"/>
          <w:sz w:val="22"/>
          <w:szCs w:val="22"/>
          <w:lang w:val="en-IE"/>
        </w:rPr>
        <w:t xml:space="preserve">d </w:t>
      </w:r>
      <w:r w:rsidR="00C3186E" w:rsidRPr="00E22B82">
        <w:rPr>
          <w:rFonts w:ascii="Times New Roman" w:eastAsia="Calibri" w:hAnsi="Times New Roman" w:cs="Times New Roman"/>
          <w:spacing w:val="-1"/>
          <w:sz w:val="22"/>
          <w:szCs w:val="22"/>
          <w:lang w:val="en-IE"/>
        </w:rPr>
        <w:t>bu</w:t>
      </w:r>
      <w:r w:rsidR="00C3186E" w:rsidRPr="00E22B82">
        <w:rPr>
          <w:rFonts w:ascii="Times New Roman" w:eastAsia="Calibri" w:hAnsi="Times New Roman" w:cs="Times New Roman"/>
          <w:sz w:val="22"/>
          <w:szCs w:val="22"/>
          <w:lang w:val="en-IE"/>
        </w:rPr>
        <w:t>il</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1"/>
          <w:sz w:val="22"/>
          <w:szCs w:val="22"/>
          <w:lang w:val="en-IE"/>
        </w:rPr>
        <w:t>n</w:t>
      </w:r>
      <w:r w:rsidR="00C3186E" w:rsidRPr="00E22B82">
        <w:rPr>
          <w:rFonts w:ascii="Times New Roman" w:eastAsia="Calibri" w:hAnsi="Times New Roman" w:cs="Times New Roman"/>
          <w:sz w:val="22"/>
          <w:szCs w:val="22"/>
          <w:lang w:val="en-IE"/>
        </w:rPr>
        <w:t>g t</w:t>
      </w:r>
      <w:r w:rsidR="00C3186E" w:rsidRPr="00E22B82">
        <w:rPr>
          <w:rFonts w:ascii="Times New Roman" w:eastAsia="Calibri" w:hAnsi="Times New Roman" w:cs="Times New Roman"/>
          <w:spacing w:val="1"/>
          <w:sz w:val="22"/>
          <w:szCs w:val="22"/>
          <w:lang w:val="en-IE"/>
        </w:rPr>
        <w:t>y</w:t>
      </w:r>
      <w:r w:rsidR="00C3186E" w:rsidRPr="00E22B82">
        <w:rPr>
          <w:rFonts w:ascii="Times New Roman" w:eastAsia="Calibri" w:hAnsi="Times New Roman" w:cs="Times New Roman"/>
          <w:spacing w:val="-1"/>
          <w:sz w:val="22"/>
          <w:szCs w:val="22"/>
          <w:lang w:val="en-IE"/>
        </w:rPr>
        <w:t>p</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z w:val="22"/>
          <w:szCs w:val="22"/>
          <w:lang w:val="en-IE"/>
        </w:rPr>
        <w:t>l</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1"/>
          <w:sz w:val="22"/>
          <w:szCs w:val="22"/>
          <w:lang w:val="en-IE"/>
        </w:rPr>
        <w:t>g</w:t>
      </w:r>
      <w:r w:rsidR="00C3186E" w:rsidRPr="00E22B82">
        <w:rPr>
          <w:rFonts w:ascii="Times New Roman" w:eastAsia="Calibri" w:hAnsi="Times New Roman" w:cs="Times New Roman"/>
          <w:spacing w:val="1"/>
          <w:sz w:val="22"/>
          <w:szCs w:val="22"/>
          <w:lang w:val="en-IE"/>
        </w:rPr>
        <w:t>y in the settings in which they will be employed</w:t>
      </w:r>
      <w:r w:rsidR="00C3186E" w:rsidRPr="00E22B82">
        <w:rPr>
          <w:rFonts w:ascii="Times New Roman" w:eastAsia="Calibri" w:hAnsi="Times New Roman" w:cs="Times New Roman"/>
          <w:sz w:val="22"/>
          <w:szCs w:val="22"/>
          <w:lang w:val="en-IE"/>
        </w:rPr>
        <w:t>.</w:t>
      </w:r>
      <w:r w:rsidR="00C3186E" w:rsidRPr="00E22B82">
        <w:rPr>
          <w:rFonts w:ascii="Times New Roman" w:eastAsia="Calibri" w:hAnsi="Times New Roman" w:cs="Times New Roman"/>
          <w:spacing w:val="7"/>
          <w:sz w:val="22"/>
          <w:szCs w:val="22"/>
          <w:lang w:val="en-IE"/>
        </w:rPr>
        <w:t xml:space="preserve"> </w:t>
      </w:r>
      <w:r w:rsidR="00BF0923" w:rsidRPr="00E22B82">
        <w:rPr>
          <w:rFonts w:ascii="Times New Roman" w:eastAsia="Calibri" w:hAnsi="Times New Roman" w:cs="Times New Roman"/>
          <w:sz w:val="22"/>
          <w:szCs w:val="22"/>
          <w:lang w:val="en-IE"/>
        </w:rPr>
        <w:t>The core aim of these SUIs is to</w:t>
      </w:r>
      <w:r w:rsidR="00C3186E" w:rsidRPr="00E22B82">
        <w:rPr>
          <w:rFonts w:ascii="Times New Roman" w:eastAsia="Calibri" w:hAnsi="Times New Roman" w:cs="Times New Roman"/>
          <w:spacing w:val="32"/>
          <w:sz w:val="22"/>
          <w:szCs w:val="22"/>
          <w:lang w:val="en-IE"/>
        </w:rPr>
        <w:t xml:space="preserve"> </w:t>
      </w:r>
      <w:r w:rsidR="00BF0923" w:rsidRPr="00E22B82">
        <w:rPr>
          <w:rFonts w:ascii="Times New Roman" w:eastAsia="Calibri" w:hAnsi="Times New Roman" w:cs="Times New Roman"/>
          <w:sz w:val="22"/>
          <w:szCs w:val="22"/>
          <w:lang w:val="en-IE"/>
        </w:rPr>
        <w:t>enable</w:t>
      </w:r>
      <w:r w:rsidR="00C3186E" w:rsidRPr="00E22B82">
        <w:rPr>
          <w:rFonts w:ascii="Times New Roman" w:eastAsia="Calibri" w:hAnsi="Times New Roman" w:cs="Times New Roman"/>
          <w:spacing w:val="33"/>
          <w:sz w:val="22"/>
          <w:szCs w:val="22"/>
          <w:lang w:val="en-IE"/>
        </w:rPr>
        <w:t xml:space="preserve"> </w:t>
      </w:r>
      <w:r w:rsidR="00C3186E" w:rsidRPr="00E22B82">
        <w:rPr>
          <w:rFonts w:ascii="Times New Roman" w:eastAsia="Calibri" w:hAnsi="Times New Roman" w:cs="Times New Roman"/>
          <w:sz w:val="22"/>
          <w:szCs w:val="22"/>
          <w:lang w:val="en-IE"/>
        </w:rPr>
        <w:t>end</w:t>
      </w:r>
      <w:r w:rsidR="00C3186E" w:rsidRPr="00E22B82">
        <w:rPr>
          <w:rFonts w:ascii="Times New Roman" w:eastAsia="Calibri" w:hAnsi="Times New Roman" w:cs="Times New Roman"/>
          <w:spacing w:val="31"/>
          <w:sz w:val="22"/>
          <w:szCs w:val="22"/>
          <w:lang w:val="en-IE"/>
        </w:rPr>
        <w:t xml:space="preserve"> </w:t>
      </w:r>
      <w:r w:rsidR="00C3186E" w:rsidRPr="00E22B82">
        <w:rPr>
          <w:rFonts w:ascii="Times New Roman" w:eastAsia="Calibri" w:hAnsi="Times New Roman" w:cs="Times New Roman"/>
          <w:spacing w:val="-1"/>
          <w:sz w:val="22"/>
          <w:szCs w:val="22"/>
          <w:lang w:val="en-IE"/>
        </w:rPr>
        <w:t>u</w:t>
      </w:r>
      <w:r w:rsidR="00C3186E" w:rsidRPr="00E22B82">
        <w:rPr>
          <w:rFonts w:ascii="Times New Roman" w:eastAsia="Calibri" w:hAnsi="Times New Roman" w:cs="Times New Roman"/>
          <w:sz w:val="22"/>
          <w:szCs w:val="22"/>
          <w:lang w:val="en-IE"/>
        </w:rPr>
        <w:t>sers</w:t>
      </w:r>
      <w:r w:rsidR="00C3186E" w:rsidRPr="00E22B82">
        <w:rPr>
          <w:rFonts w:ascii="Times New Roman" w:eastAsia="Calibri" w:hAnsi="Times New Roman" w:cs="Times New Roman"/>
          <w:spacing w:val="32"/>
          <w:sz w:val="22"/>
          <w:szCs w:val="22"/>
          <w:lang w:val="en-IE"/>
        </w:rPr>
        <w:t xml:space="preserve"> </w:t>
      </w:r>
      <w:r w:rsidR="00C3186E" w:rsidRPr="00E22B82">
        <w:rPr>
          <w:rFonts w:ascii="Times New Roman" w:eastAsia="Calibri" w:hAnsi="Times New Roman" w:cs="Times New Roman"/>
          <w:sz w:val="22"/>
          <w:szCs w:val="22"/>
          <w:lang w:val="en-IE"/>
        </w:rPr>
        <w:t>to</w:t>
      </w:r>
      <w:r w:rsidR="00C3186E" w:rsidRPr="00E22B82">
        <w:rPr>
          <w:rFonts w:ascii="Times New Roman" w:eastAsia="Calibri" w:hAnsi="Times New Roman" w:cs="Times New Roman"/>
          <w:spacing w:val="34"/>
          <w:sz w:val="22"/>
          <w:szCs w:val="22"/>
          <w:lang w:val="en-IE"/>
        </w:rPr>
        <w:t xml:space="preserve"> </w:t>
      </w:r>
      <w:r w:rsidR="00C3186E" w:rsidRPr="00E22B82">
        <w:rPr>
          <w:rFonts w:ascii="Times New Roman" w:eastAsia="Calibri" w:hAnsi="Times New Roman" w:cs="Times New Roman"/>
          <w:sz w:val="22"/>
          <w:szCs w:val="22"/>
          <w:lang w:val="en-IE"/>
        </w:rPr>
        <w:t>i</w:t>
      </w:r>
      <w:r w:rsidR="00C3186E" w:rsidRPr="00E22B82">
        <w:rPr>
          <w:rFonts w:ascii="Times New Roman" w:eastAsia="Calibri" w:hAnsi="Times New Roman" w:cs="Times New Roman"/>
          <w:spacing w:val="-1"/>
          <w:sz w:val="22"/>
          <w:szCs w:val="22"/>
          <w:lang w:val="en-IE"/>
        </w:rPr>
        <w:t>d</w:t>
      </w:r>
      <w:r w:rsidR="00C3186E" w:rsidRPr="00E22B82">
        <w:rPr>
          <w:rFonts w:ascii="Times New Roman" w:eastAsia="Calibri" w:hAnsi="Times New Roman" w:cs="Times New Roman"/>
          <w:sz w:val="22"/>
          <w:szCs w:val="22"/>
          <w:lang w:val="en-IE"/>
        </w:rPr>
        <w:t>enti</w:t>
      </w:r>
      <w:r w:rsidR="00C3186E" w:rsidRPr="00E22B82">
        <w:rPr>
          <w:rFonts w:ascii="Times New Roman" w:eastAsia="Calibri" w:hAnsi="Times New Roman" w:cs="Times New Roman"/>
          <w:spacing w:val="-3"/>
          <w:sz w:val="22"/>
          <w:szCs w:val="22"/>
          <w:lang w:val="en-IE"/>
        </w:rPr>
        <w:t>f</w:t>
      </w:r>
      <w:r w:rsidR="00C3186E" w:rsidRPr="00E22B82">
        <w:rPr>
          <w:rFonts w:ascii="Times New Roman" w:eastAsia="Calibri" w:hAnsi="Times New Roman" w:cs="Times New Roman"/>
          <w:sz w:val="22"/>
          <w:szCs w:val="22"/>
          <w:lang w:val="en-IE"/>
        </w:rPr>
        <w:t>y</w:t>
      </w:r>
      <w:r w:rsidR="00C3186E" w:rsidRPr="00E22B82">
        <w:rPr>
          <w:rFonts w:ascii="Times New Roman" w:eastAsia="Calibri" w:hAnsi="Times New Roman" w:cs="Times New Roman"/>
          <w:spacing w:val="33"/>
          <w:sz w:val="22"/>
          <w:szCs w:val="22"/>
          <w:lang w:val="en-IE"/>
        </w:rPr>
        <w:t xml:space="preserve"> </w:t>
      </w:r>
      <w:r w:rsidR="00C3186E" w:rsidRPr="00E22B82">
        <w:rPr>
          <w:rFonts w:ascii="Times New Roman" w:eastAsia="Calibri" w:hAnsi="Times New Roman" w:cs="Times New Roman"/>
          <w:spacing w:val="-1"/>
          <w:sz w:val="22"/>
          <w:szCs w:val="22"/>
          <w:lang w:val="en-IE"/>
        </w:rPr>
        <w:t>p</w:t>
      </w:r>
      <w:r w:rsidR="00C3186E" w:rsidRPr="00E22B82">
        <w:rPr>
          <w:rFonts w:ascii="Times New Roman" w:eastAsia="Calibri" w:hAnsi="Times New Roman" w:cs="Times New Roman"/>
          <w:spacing w:val="1"/>
          <w:sz w:val="22"/>
          <w:szCs w:val="22"/>
          <w:lang w:val="en-IE"/>
        </w:rPr>
        <w:t>o</w:t>
      </w:r>
      <w:r w:rsidR="00C3186E" w:rsidRPr="00E22B82">
        <w:rPr>
          <w:rFonts w:ascii="Times New Roman" w:eastAsia="Calibri" w:hAnsi="Times New Roman" w:cs="Times New Roman"/>
          <w:spacing w:val="-2"/>
          <w:sz w:val="22"/>
          <w:szCs w:val="22"/>
          <w:lang w:val="en-IE"/>
        </w:rPr>
        <w:t>t</w:t>
      </w:r>
      <w:r w:rsidR="00C3186E" w:rsidRPr="00E22B82">
        <w:rPr>
          <w:rFonts w:ascii="Times New Roman" w:eastAsia="Calibri" w:hAnsi="Times New Roman" w:cs="Times New Roman"/>
          <w:sz w:val="22"/>
          <w:szCs w:val="22"/>
          <w:lang w:val="en-IE"/>
        </w:rPr>
        <w:t>ential</w:t>
      </w:r>
      <w:r w:rsidR="00C3186E" w:rsidRPr="00E22B82">
        <w:rPr>
          <w:rFonts w:ascii="Times New Roman" w:eastAsia="Calibri" w:hAnsi="Times New Roman" w:cs="Times New Roman"/>
          <w:spacing w:val="31"/>
          <w:sz w:val="22"/>
          <w:szCs w:val="22"/>
          <w:lang w:val="en-IE"/>
        </w:rPr>
        <w:t xml:space="preserve"> </w:t>
      </w:r>
      <w:r w:rsidR="00C3186E" w:rsidRPr="00E22B82">
        <w:rPr>
          <w:rFonts w:ascii="Times New Roman" w:eastAsia="Calibri" w:hAnsi="Times New Roman" w:cs="Times New Roman"/>
          <w:sz w:val="22"/>
          <w:szCs w:val="22"/>
          <w:lang w:val="en-IE"/>
        </w:rPr>
        <w:t>ener</w:t>
      </w:r>
      <w:r w:rsidR="00C3186E" w:rsidRPr="00E22B82">
        <w:rPr>
          <w:rFonts w:ascii="Times New Roman" w:eastAsia="Calibri" w:hAnsi="Times New Roman" w:cs="Times New Roman"/>
          <w:spacing w:val="-3"/>
          <w:sz w:val="22"/>
          <w:szCs w:val="22"/>
          <w:lang w:val="en-IE"/>
        </w:rPr>
        <w:t>g</w:t>
      </w:r>
      <w:r w:rsidR="00C3186E" w:rsidRPr="00E22B82">
        <w:rPr>
          <w:rFonts w:ascii="Times New Roman" w:eastAsia="Calibri" w:hAnsi="Times New Roman" w:cs="Times New Roman"/>
          <w:sz w:val="22"/>
          <w:szCs w:val="22"/>
          <w:lang w:val="en-IE"/>
        </w:rPr>
        <w:t>y</w:t>
      </w:r>
      <w:r w:rsidR="00C3186E" w:rsidRPr="00E22B82">
        <w:rPr>
          <w:rFonts w:ascii="Times New Roman" w:eastAsia="Calibri" w:hAnsi="Times New Roman" w:cs="Times New Roman"/>
          <w:position w:val="1"/>
          <w:sz w:val="22"/>
          <w:szCs w:val="22"/>
          <w:lang w:val="en-IE"/>
        </w:rPr>
        <w:t xml:space="preserve"> efficien</w:t>
      </w:r>
      <w:r w:rsidR="00C3186E" w:rsidRPr="00E22B82">
        <w:rPr>
          <w:rFonts w:ascii="Times New Roman" w:eastAsia="Calibri" w:hAnsi="Times New Roman" w:cs="Times New Roman"/>
          <w:spacing w:val="-2"/>
          <w:position w:val="1"/>
          <w:sz w:val="22"/>
          <w:szCs w:val="22"/>
          <w:lang w:val="en-IE"/>
        </w:rPr>
        <w:t>c</w:t>
      </w:r>
      <w:r w:rsidR="00C3186E" w:rsidRPr="00E22B82">
        <w:rPr>
          <w:rFonts w:ascii="Times New Roman" w:eastAsia="Calibri" w:hAnsi="Times New Roman" w:cs="Times New Roman"/>
          <w:position w:val="1"/>
          <w:sz w:val="22"/>
          <w:szCs w:val="22"/>
          <w:lang w:val="en-IE"/>
        </w:rPr>
        <w:t>y</w:t>
      </w:r>
      <w:r w:rsidR="00C3186E" w:rsidRPr="00E22B82">
        <w:rPr>
          <w:rFonts w:ascii="Times New Roman" w:eastAsia="Calibri" w:hAnsi="Times New Roman" w:cs="Times New Roman"/>
          <w:spacing w:val="8"/>
          <w:position w:val="1"/>
          <w:sz w:val="22"/>
          <w:szCs w:val="22"/>
          <w:lang w:val="en-IE"/>
        </w:rPr>
        <w:t xml:space="preserve"> </w:t>
      </w:r>
      <w:r w:rsidR="00C3186E" w:rsidRPr="00E22B82">
        <w:rPr>
          <w:rFonts w:ascii="Times New Roman" w:eastAsia="Calibri" w:hAnsi="Times New Roman" w:cs="Times New Roman"/>
          <w:spacing w:val="1"/>
          <w:position w:val="1"/>
          <w:sz w:val="22"/>
          <w:szCs w:val="22"/>
          <w:lang w:val="en-IE"/>
        </w:rPr>
        <w:t>m</w:t>
      </w:r>
      <w:r w:rsidR="00C3186E" w:rsidRPr="00E22B82">
        <w:rPr>
          <w:rFonts w:ascii="Times New Roman" w:eastAsia="Calibri" w:hAnsi="Times New Roman" w:cs="Times New Roman"/>
          <w:position w:val="1"/>
          <w:sz w:val="22"/>
          <w:szCs w:val="22"/>
          <w:lang w:val="en-IE"/>
        </w:rPr>
        <w:t>e</w:t>
      </w:r>
      <w:r w:rsidR="00C3186E" w:rsidRPr="00E22B82">
        <w:rPr>
          <w:rFonts w:ascii="Times New Roman" w:eastAsia="Calibri" w:hAnsi="Times New Roman" w:cs="Times New Roman"/>
          <w:spacing w:val="-2"/>
          <w:position w:val="1"/>
          <w:sz w:val="22"/>
          <w:szCs w:val="22"/>
          <w:lang w:val="en-IE"/>
        </w:rPr>
        <w:t>a</w:t>
      </w:r>
      <w:r w:rsidR="00C3186E" w:rsidRPr="00E22B82">
        <w:rPr>
          <w:rFonts w:ascii="Times New Roman" w:eastAsia="Calibri" w:hAnsi="Times New Roman" w:cs="Times New Roman"/>
          <w:position w:val="1"/>
          <w:sz w:val="22"/>
          <w:szCs w:val="22"/>
          <w:lang w:val="en-IE"/>
        </w:rPr>
        <w:t>su</w:t>
      </w:r>
      <w:r w:rsidR="00C3186E" w:rsidRPr="00E22B82">
        <w:rPr>
          <w:rFonts w:ascii="Times New Roman" w:eastAsia="Calibri" w:hAnsi="Times New Roman" w:cs="Times New Roman"/>
          <w:spacing w:val="-1"/>
          <w:position w:val="1"/>
          <w:sz w:val="22"/>
          <w:szCs w:val="22"/>
          <w:lang w:val="en-IE"/>
        </w:rPr>
        <w:t>r</w:t>
      </w:r>
      <w:r w:rsidR="00C3186E" w:rsidRPr="00E22B82">
        <w:rPr>
          <w:rFonts w:ascii="Times New Roman" w:eastAsia="Calibri" w:hAnsi="Times New Roman" w:cs="Times New Roman"/>
          <w:position w:val="1"/>
          <w:sz w:val="22"/>
          <w:szCs w:val="22"/>
          <w:lang w:val="en-IE"/>
        </w:rPr>
        <w:t>es</w:t>
      </w:r>
      <w:r w:rsidR="00C3186E" w:rsidRPr="00E22B82">
        <w:rPr>
          <w:rFonts w:ascii="Times New Roman" w:eastAsia="Calibri" w:hAnsi="Times New Roman" w:cs="Times New Roman"/>
          <w:spacing w:val="8"/>
          <w:position w:val="1"/>
          <w:sz w:val="22"/>
          <w:szCs w:val="22"/>
          <w:lang w:val="en-IE"/>
        </w:rPr>
        <w:t>, which</w:t>
      </w:r>
      <w:r w:rsidR="00C3186E" w:rsidRPr="00E22B82">
        <w:rPr>
          <w:rFonts w:ascii="Times New Roman" w:eastAsia="Calibri" w:hAnsi="Times New Roman" w:cs="Times New Roman"/>
          <w:spacing w:val="7"/>
          <w:position w:val="1"/>
          <w:sz w:val="22"/>
          <w:szCs w:val="22"/>
          <w:lang w:val="en-IE"/>
        </w:rPr>
        <w:t xml:space="preserve"> </w:t>
      </w:r>
      <w:r w:rsidR="00C3186E" w:rsidRPr="00E22B82">
        <w:rPr>
          <w:rFonts w:ascii="Times New Roman" w:eastAsia="Calibri" w:hAnsi="Times New Roman" w:cs="Times New Roman"/>
          <w:position w:val="1"/>
          <w:sz w:val="22"/>
          <w:szCs w:val="22"/>
          <w:lang w:val="en-IE"/>
        </w:rPr>
        <w:t>can</w:t>
      </w:r>
      <w:r w:rsidR="00C3186E" w:rsidRPr="00E22B82">
        <w:rPr>
          <w:rFonts w:ascii="Times New Roman" w:eastAsia="Calibri" w:hAnsi="Times New Roman" w:cs="Times New Roman"/>
          <w:spacing w:val="7"/>
          <w:position w:val="1"/>
          <w:sz w:val="22"/>
          <w:szCs w:val="22"/>
          <w:lang w:val="en-IE"/>
        </w:rPr>
        <w:t xml:space="preserve"> </w:t>
      </w:r>
      <w:r w:rsidR="00C3186E" w:rsidRPr="00E22B82">
        <w:rPr>
          <w:rFonts w:ascii="Times New Roman" w:eastAsia="Calibri" w:hAnsi="Times New Roman" w:cs="Times New Roman"/>
          <w:spacing w:val="-1"/>
          <w:position w:val="1"/>
          <w:sz w:val="22"/>
          <w:szCs w:val="22"/>
          <w:lang w:val="en-IE"/>
        </w:rPr>
        <w:t>b</w:t>
      </w:r>
      <w:r w:rsidR="00C3186E" w:rsidRPr="00E22B82">
        <w:rPr>
          <w:rFonts w:ascii="Times New Roman" w:eastAsia="Calibri" w:hAnsi="Times New Roman" w:cs="Times New Roman"/>
          <w:position w:val="1"/>
          <w:sz w:val="22"/>
          <w:szCs w:val="22"/>
          <w:lang w:val="en-IE"/>
        </w:rPr>
        <w:t>e</w:t>
      </w:r>
      <w:r w:rsidR="00C3186E" w:rsidRPr="00E22B82">
        <w:rPr>
          <w:rFonts w:ascii="Times New Roman" w:eastAsia="Calibri" w:hAnsi="Times New Roman" w:cs="Times New Roman"/>
          <w:spacing w:val="8"/>
          <w:position w:val="1"/>
          <w:sz w:val="22"/>
          <w:szCs w:val="22"/>
          <w:lang w:val="en-IE"/>
        </w:rPr>
        <w:t xml:space="preserve"> </w:t>
      </w:r>
      <w:r w:rsidR="00C3186E" w:rsidRPr="00E22B82">
        <w:rPr>
          <w:rFonts w:ascii="Times New Roman" w:eastAsia="Calibri" w:hAnsi="Times New Roman" w:cs="Times New Roman"/>
          <w:position w:val="1"/>
          <w:sz w:val="22"/>
          <w:szCs w:val="22"/>
          <w:lang w:val="en-IE"/>
        </w:rPr>
        <w:t>i</w:t>
      </w:r>
      <w:r w:rsidR="00C3186E" w:rsidRPr="00E22B82">
        <w:rPr>
          <w:rFonts w:ascii="Times New Roman" w:eastAsia="Calibri" w:hAnsi="Times New Roman" w:cs="Times New Roman"/>
          <w:spacing w:val="1"/>
          <w:position w:val="1"/>
          <w:sz w:val="22"/>
          <w:szCs w:val="22"/>
          <w:lang w:val="en-IE"/>
        </w:rPr>
        <w:t>m</w:t>
      </w:r>
      <w:r w:rsidR="00C3186E" w:rsidRPr="00E22B82">
        <w:rPr>
          <w:rFonts w:ascii="Times New Roman" w:eastAsia="Calibri" w:hAnsi="Times New Roman" w:cs="Times New Roman"/>
          <w:spacing w:val="-1"/>
          <w:position w:val="1"/>
          <w:sz w:val="22"/>
          <w:szCs w:val="22"/>
          <w:lang w:val="en-IE"/>
        </w:rPr>
        <w:t>p</w:t>
      </w:r>
      <w:r w:rsidR="00C3186E" w:rsidRPr="00E22B82">
        <w:rPr>
          <w:rFonts w:ascii="Times New Roman" w:eastAsia="Calibri" w:hAnsi="Times New Roman" w:cs="Times New Roman"/>
          <w:position w:val="1"/>
          <w:sz w:val="22"/>
          <w:szCs w:val="22"/>
          <w:lang w:val="en-IE"/>
        </w:rPr>
        <w:t>le</w:t>
      </w:r>
      <w:r w:rsidR="00C3186E" w:rsidRPr="00E22B82">
        <w:rPr>
          <w:rFonts w:ascii="Times New Roman" w:eastAsia="Calibri" w:hAnsi="Times New Roman" w:cs="Times New Roman"/>
          <w:spacing w:val="-1"/>
          <w:position w:val="1"/>
          <w:sz w:val="22"/>
          <w:szCs w:val="22"/>
          <w:lang w:val="en-IE"/>
        </w:rPr>
        <w:t>m</w:t>
      </w:r>
      <w:r w:rsidR="00C3186E" w:rsidRPr="00E22B82">
        <w:rPr>
          <w:rFonts w:ascii="Times New Roman" w:eastAsia="Calibri" w:hAnsi="Times New Roman" w:cs="Times New Roman"/>
          <w:position w:val="1"/>
          <w:sz w:val="22"/>
          <w:szCs w:val="22"/>
          <w:lang w:val="en-IE"/>
        </w:rPr>
        <w:t>ented</w:t>
      </w:r>
      <w:r w:rsidR="00C3186E" w:rsidRPr="00E22B82">
        <w:rPr>
          <w:rFonts w:ascii="Times New Roman" w:eastAsia="Calibri" w:hAnsi="Times New Roman" w:cs="Times New Roman"/>
          <w:spacing w:val="7"/>
          <w:position w:val="1"/>
          <w:sz w:val="22"/>
          <w:szCs w:val="22"/>
          <w:lang w:val="en-IE"/>
        </w:rPr>
        <w:t xml:space="preserve"> </w:t>
      </w:r>
      <w:r w:rsidR="00C3186E" w:rsidRPr="00E22B82">
        <w:rPr>
          <w:rFonts w:ascii="Times New Roman" w:eastAsia="Calibri" w:hAnsi="Times New Roman" w:cs="Times New Roman"/>
          <w:position w:val="1"/>
          <w:sz w:val="22"/>
          <w:szCs w:val="22"/>
          <w:lang w:val="en-IE"/>
        </w:rPr>
        <w:t>with</w:t>
      </w:r>
      <w:r w:rsidR="00C3186E" w:rsidRPr="00E22B82">
        <w:rPr>
          <w:rFonts w:ascii="Times New Roman" w:eastAsia="Calibri" w:hAnsi="Times New Roman" w:cs="Times New Roman"/>
          <w:spacing w:val="-3"/>
          <w:position w:val="1"/>
          <w:sz w:val="22"/>
          <w:szCs w:val="22"/>
          <w:lang w:val="en-IE"/>
        </w:rPr>
        <w:t>i</w:t>
      </w:r>
      <w:r w:rsidR="00C3186E" w:rsidRPr="00E22B82">
        <w:rPr>
          <w:rFonts w:ascii="Times New Roman" w:eastAsia="Calibri" w:hAnsi="Times New Roman" w:cs="Times New Roman"/>
          <w:position w:val="1"/>
          <w:sz w:val="22"/>
          <w:szCs w:val="22"/>
          <w:lang w:val="en-IE"/>
        </w:rPr>
        <w:t>n</w:t>
      </w:r>
      <w:r w:rsidR="00C3186E" w:rsidRPr="00E22B82">
        <w:rPr>
          <w:rFonts w:ascii="Times New Roman" w:eastAsia="Calibri" w:hAnsi="Times New Roman" w:cs="Times New Roman"/>
          <w:spacing w:val="7"/>
          <w:position w:val="1"/>
          <w:sz w:val="22"/>
          <w:szCs w:val="22"/>
          <w:lang w:val="en-IE"/>
        </w:rPr>
        <w:t xml:space="preserve"> </w:t>
      </w:r>
      <w:r w:rsidR="00C3186E" w:rsidRPr="00E22B82">
        <w:rPr>
          <w:rFonts w:ascii="Times New Roman" w:eastAsia="Calibri" w:hAnsi="Times New Roman" w:cs="Times New Roman"/>
          <w:spacing w:val="-1"/>
          <w:position w:val="1"/>
          <w:sz w:val="22"/>
          <w:szCs w:val="22"/>
          <w:lang w:val="en-IE"/>
        </w:rPr>
        <w:t>u</w:t>
      </w:r>
      <w:r w:rsidR="00C3186E" w:rsidRPr="00E22B82">
        <w:rPr>
          <w:rFonts w:ascii="Times New Roman" w:eastAsia="Calibri" w:hAnsi="Times New Roman" w:cs="Times New Roman"/>
          <w:position w:val="1"/>
          <w:sz w:val="22"/>
          <w:szCs w:val="22"/>
          <w:lang w:val="en-IE"/>
        </w:rPr>
        <w:t>r</w:t>
      </w:r>
      <w:r w:rsidR="00C3186E" w:rsidRPr="00E22B82">
        <w:rPr>
          <w:rFonts w:ascii="Times New Roman" w:eastAsia="Calibri" w:hAnsi="Times New Roman" w:cs="Times New Roman"/>
          <w:spacing w:val="-1"/>
          <w:position w:val="1"/>
          <w:sz w:val="22"/>
          <w:szCs w:val="22"/>
          <w:lang w:val="en-IE"/>
        </w:rPr>
        <w:t>b</w:t>
      </w:r>
      <w:r w:rsidR="00C3186E" w:rsidRPr="00E22B82">
        <w:rPr>
          <w:rFonts w:ascii="Times New Roman" w:eastAsia="Calibri" w:hAnsi="Times New Roman" w:cs="Times New Roman"/>
          <w:position w:val="1"/>
          <w:sz w:val="22"/>
          <w:szCs w:val="22"/>
          <w:lang w:val="en-IE"/>
        </w:rPr>
        <w:t>an</w:t>
      </w:r>
      <w:r w:rsidR="00C3186E" w:rsidRPr="00E22B82">
        <w:rPr>
          <w:rFonts w:ascii="Times New Roman" w:eastAsia="Calibri" w:hAnsi="Times New Roman" w:cs="Times New Roman"/>
          <w:spacing w:val="7"/>
          <w:position w:val="1"/>
          <w:sz w:val="22"/>
          <w:szCs w:val="22"/>
          <w:lang w:val="en-IE"/>
        </w:rPr>
        <w:t xml:space="preserve"> </w:t>
      </w:r>
      <w:r w:rsidR="00C3186E" w:rsidRPr="00E22B82">
        <w:rPr>
          <w:rFonts w:ascii="Times New Roman" w:eastAsia="Calibri" w:hAnsi="Times New Roman" w:cs="Times New Roman"/>
          <w:position w:val="1"/>
          <w:sz w:val="22"/>
          <w:szCs w:val="22"/>
          <w:lang w:val="en-IE"/>
        </w:rPr>
        <w:t>areas,</w:t>
      </w:r>
      <w:r w:rsidR="00C3186E" w:rsidRPr="00E22B82">
        <w:rPr>
          <w:rFonts w:ascii="Times New Roman" w:eastAsia="Calibri" w:hAnsi="Times New Roman" w:cs="Times New Roman"/>
          <w:spacing w:val="8"/>
          <w:position w:val="1"/>
          <w:sz w:val="22"/>
          <w:szCs w:val="22"/>
          <w:lang w:val="en-IE"/>
        </w:rPr>
        <w:t xml:space="preserve"> </w:t>
      </w:r>
      <w:r w:rsidR="00C3186E" w:rsidRPr="00E22B82">
        <w:rPr>
          <w:rFonts w:ascii="Times New Roman" w:eastAsia="Calibri" w:hAnsi="Times New Roman" w:cs="Times New Roman"/>
          <w:spacing w:val="1"/>
          <w:position w:val="1"/>
          <w:sz w:val="22"/>
          <w:szCs w:val="22"/>
          <w:lang w:val="en-IE"/>
        </w:rPr>
        <w:t>y</w:t>
      </w:r>
      <w:r w:rsidR="00C3186E" w:rsidRPr="00E22B82">
        <w:rPr>
          <w:rFonts w:ascii="Times New Roman" w:eastAsia="Calibri" w:hAnsi="Times New Roman" w:cs="Times New Roman"/>
          <w:position w:val="1"/>
          <w:sz w:val="22"/>
          <w:szCs w:val="22"/>
          <w:lang w:val="en-IE"/>
        </w:rPr>
        <w:t>iel</w:t>
      </w:r>
      <w:r w:rsidR="00C3186E" w:rsidRPr="00E22B82">
        <w:rPr>
          <w:rFonts w:ascii="Times New Roman" w:eastAsia="Calibri" w:hAnsi="Times New Roman" w:cs="Times New Roman"/>
          <w:spacing w:val="-1"/>
          <w:position w:val="1"/>
          <w:sz w:val="22"/>
          <w:szCs w:val="22"/>
          <w:lang w:val="en-IE"/>
        </w:rPr>
        <w:t>d</w:t>
      </w:r>
      <w:r w:rsidR="00C3186E" w:rsidRPr="00E22B82">
        <w:rPr>
          <w:rFonts w:ascii="Times New Roman" w:eastAsia="Calibri" w:hAnsi="Times New Roman" w:cs="Times New Roman"/>
          <w:position w:val="1"/>
          <w:sz w:val="22"/>
          <w:szCs w:val="22"/>
          <w:lang w:val="en-IE"/>
        </w:rPr>
        <w:t>i</w:t>
      </w:r>
      <w:r w:rsidR="00C3186E" w:rsidRPr="00E22B82">
        <w:rPr>
          <w:rFonts w:ascii="Times New Roman" w:eastAsia="Calibri" w:hAnsi="Times New Roman" w:cs="Times New Roman"/>
          <w:spacing w:val="-1"/>
          <w:position w:val="1"/>
          <w:sz w:val="22"/>
          <w:szCs w:val="22"/>
          <w:lang w:val="en-IE"/>
        </w:rPr>
        <w:t>n</w:t>
      </w:r>
      <w:r w:rsidR="00C3186E" w:rsidRPr="00E22B82">
        <w:rPr>
          <w:rFonts w:ascii="Times New Roman" w:eastAsia="Calibri" w:hAnsi="Times New Roman" w:cs="Times New Roman"/>
          <w:position w:val="1"/>
          <w:sz w:val="22"/>
          <w:szCs w:val="22"/>
          <w:lang w:val="en-IE"/>
        </w:rPr>
        <w:t>g</w:t>
      </w:r>
      <w:r w:rsidR="00C3186E" w:rsidRPr="00E22B82">
        <w:rPr>
          <w:rFonts w:ascii="Times New Roman" w:eastAsia="Calibri" w:hAnsi="Times New Roman" w:cs="Times New Roman"/>
          <w:spacing w:val="7"/>
          <w:position w:val="1"/>
          <w:sz w:val="22"/>
          <w:szCs w:val="22"/>
          <w:lang w:val="en-IE"/>
        </w:rPr>
        <w:t xml:space="preserve"> </w:t>
      </w:r>
      <w:r w:rsidR="00DF1587" w:rsidRPr="00E22B82">
        <w:rPr>
          <w:rFonts w:ascii="Times New Roman" w:eastAsia="Calibri" w:hAnsi="Times New Roman" w:cs="Times New Roman"/>
          <w:position w:val="1"/>
          <w:sz w:val="22"/>
          <w:szCs w:val="22"/>
          <w:lang w:val="en-IE"/>
        </w:rPr>
        <w:t>quantifiable reductions in GHGs</w:t>
      </w:r>
      <w:r w:rsidR="00E83867" w:rsidRPr="00E22B82">
        <w:rPr>
          <w:rFonts w:ascii="Times New Roman" w:eastAsia="Calibri" w:hAnsi="Times New Roman" w:cs="Times New Roman"/>
          <w:position w:val="1"/>
          <w:sz w:val="22"/>
          <w:szCs w:val="22"/>
          <w:lang w:val="en-IE"/>
        </w:rPr>
        <w:t xml:space="preserve"> and</w:t>
      </w:r>
      <w:r w:rsidR="00DF1587" w:rsidRPr="00E22B82">
        <w:rPr>
          <w:rFonts w:ascii="Times New Roman" w:eastAsia="Calibri" w:hAnsi="Times New Roman" w:cs="Times New Roman"/>
          <w:position w:val="1"/>
          <w:sz w:val="22"/>
          <w:szCs w:val="22"/>
          <w:lang w:val="en-IE"/>
        </w:rPr>
        <w:t xml:space="preserve"> energy costs</w:t>
      </w:r>
      <w:r w:rsidR="00E83867" w:rsidRPr="00E22B82">
        <w:rPr>
          <w:rFonts w:ascii="Times New Roman" w:eastAsia="Calibri" w:hAnsi="Times New Roman" w:cs="Times New Roman"/>
          <w:position w:val="1"/>
          <w:sz w:val="22"/>
          <w:szCs w:val="22"/>
          <w:lang w:val="en-IE"/>
        </w:rPr>
        <w:t>,</w:t>
      </w:r>
      <w:r w:rsidR="00DF1587" w:rsidRPr="00E22B82">
        <w:rPr>
          <w:rFonts w:ascii="Times New Roman" w:eastAsia="Calibri" w:hAnsi="Times New Roman" w:cs="Times New Roman"/>
          <w:position w:val="1"/>
          <w:sz w:val="22"/>
          <w:szCs w:val="22"/>
          <w:lang w:val="en-IE"/>
        </w:rPr>
        <w:t xml:space="preserve"> and indicating the manner in which urban energy efficiency can be enhanced through modelled interventions</w:t>
      </w:r>
      <w:r w:rsidR="00C3186E" w:rsidRPr="00E22B82">
        <w:rPr>
          <w:rFonts w:ascii="Times New Roman" w:eastAsia="Calibri" w:hAnsi="Times New Roman" w:cs="Times New Roman"/>
          <w:sz w:val="22"/>
          <w:szCs w:val="22"/>
          <w:lang w:val="en-IE"/>
        </w:rPr>
        <w:t xml:space="preserve">. The data underpinning these decisions can be added by users or approximated through the use of </w:t>
      </w:r>
      <w:r w:rsidR="00DF1587" w:rsidRPr="00E22B82">
        <w:rPr>
          <w:rFonts w:ascii="Times New Roman" w:eastAsia="Calibri" w:hAnsi="Times New Roman" w:cs="Times New Roman"/>
          <w:sz w:val="22"/>
          <w:szCs w:val="22"/>
          <w:lang w:val="en-IE"/>
        </w:rPr>
        <w:t xml:space="preserve">simulated </w:t>
      </w:r>
      <w:r w:rsidR="00C3186E" w:rsidRPr="00E22B82">
        <w:rPr>
          <w:rFonts w:ascii="Times New Roman" w:eastAsia="Calibri" w:hAnsi="Times New Roman" w:cs="Times New Roman"/>
          <w:sz w:val="22"/>
          <w:szCs w:val="22"/>
          <w:lang w:val="en-IE"/>
        </w:rPr>
        <w:t>benchmark values.</w:t>
      </w:r>
    </w:p>
    <w:p w14:paraId="54974608" w14:textId="77777777" w:rsidR="00C3186E" w:rsidRPr="00E22B82" w:rsidRDefault="00C3186E" w:rsidP="00B53C4D">
      <w:pPr>
        <w:spacing w:line="276" w:lineRule="auto"/>
        <w:ind w:right="87"/>
        <w:jc w:val="both"/>
        <w:rPr>
          <w:rFonts w:ascii="Times New Roman" w:eastAsia="Calibri" w:hAnsi="Times New Roman" w:cs="Times New Roman"/>
          <w:sz w:val="22"/>
          <w:szCs w:val="22"/>
          <w:lang w:val="en-IE"/>
        </w:rPr>
      </w:pPr>
    </w:p>
    <w:p w14:paraId="4A6670B4" w14:textId="77777777" w:rsidR="00C3186E" w:rsidRPr="00E22B82" w:rsidRDefault="003625E8"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Prior to the commencement of the indicator drafting process, a literature review was carried out with the aim of establishing a clear understanding of best practice in indicator development, structuring and challenges therein. In addition, once the SUIs had been determined the literature was again reviewed to ensure alignment with best practice approaches. </w:t>
      </w:r>
      <w:r w:rsidR="00C3186E" w:rsidRPr="00E22B82">
        <w:rPr>
          <w:rFonts w:ascii="Times New Roman" w:eastAsia="Calibri" w:hAnsi="Times New Roman" w:cs="Times New Roman"/>
          <w:sz w:val="22"/>
          <w:szCs w:val="22"/>
          <w:lang w:val="en-IE"/>
        </w:rPr>
        <w:t>The collation of existing indices, projects and energy management standards applied by key stakeholders active in the urban environment was of vital importance to the delivery of this research. Given the prevalence of such standards</w:t>
      </w:r>
      <w:r w:rsidR="00571182" w:rsidRPr="00E22B82">
        <w:rPr>
          <w:rFonts w:ascii="Times New Roman" w:eastAsia="Calibri" w:hAnsi="Times New Roman" w:cs="Times New Roman"/>
          <w:sz w:val="22"/>
          <w:szCs w:val="22"/>
          <w:lang w:val="en-IE"/>
        </w:rPr>
        <w:t xml:space="preserve"> </w:t>
      </w:r>
      <w:r w:rsidR="00C3186E" w:rsidRPr="00E22B82">
        <w:rPr>
          <w:rFonts w:ascii="Times New Roman" w:eastAsia="Calibri" w:hAnsi="Times New Roman" w:cs="Times New Roman"/>
          <w:sz w:val="22"/>
          <w:szCs w:val="22"/>
          <w:lang w:val="en-IE"/>
        </w:rPr>
        <w:t xml:space="preserve">it was concluded that the formation of completely new indicators would be counterproductive. Instead, an analysis of existing energy indicators was undertaken after all energy-focused indicators from existing indices had been compiled into a single, comprehensive </w:t>
      </w:r>
      <w:r w:rsidR="00571182" w:rsidRPr="00E22B82">
        <w:rPr>
          <w:rFonts w:ascii="Times New Roman" w:eastAsia="Calibri" w:hAnsi="Times New Roman" w:cs="Times New Roman"/>
          <w:sz w:val="22"/>
          <w:szCs w:val="22"/>
          <w:lang w:val="en-IE"/>
        </w:rPr>
        <w:t>inventory</w:t>
      </w:r>
      <w:r w:rsidR="00C3186E" w:rsidRPr="00E22B82">
        <w:rPr>
          <w:rFonts w:ascii="Times New Roman" w:eastAsia="Calibri" w:hAnsi="Times New Roman" w:cs="Times New Roman"/>
          <w:sz w:val="22"/>
          <w:szCs w:val="22"/>
          <w:lang w:val="en-IE"/>
        </w:rPr>
        <w:t xml:space="preserve">. </w:t>
      </w:r>
      <w:r w:rsidR="00BF0923" w:rsidRPr="00E22B82">
        <w:rPr>
          <w:rFonts w:ascii="Times New Roman" w:eastAsia="Calibri" w:hAnsi="Times New Roman" w:cs="Times New Roman"/>
          <w:sz w:val="22"/>
          <w:szCs w:val="22"/>
          <w:lang w:val="en-IE"/>
        </w:rPr>
        <w:t>A</w:t>
      </w:r>
      <w:r w:rsidR="00C3186E" w:rsidRPr="00E22B82">
        <w:rPr>
          <w:rFonts w:ascii="Times New Roman" w:eastAsia="Calibri" w:hAnsi="Times New Roman" w:cs="Times New Roman"/>
          <w:sz w:val="22"/>
          <w:szCs w:val="22"/>
          <w:lang w:val="en-IE"/>
        </w:rPr>
        <w:t>n iterative consultation approach was employed in order to select the indicators from the expanded list referred to above. By utilising end user expertise and priorities, and while being cognisant of the need to imbue the key SUI list with the requisite flexibility to be applicable in multiple contexts, a shortlist of preferred indicators was developed. As the shortlisting process progressed, consideration</w:t>
      </w:r>
      <w:r w:rsidR="00BF0923" w:rsidRPr="00E22B82">
        <w:rPr>
          <w:rFonts w:ascii="Times New Roman" w:eastAsia="Calibri" w:hAnsi="Times New Roman" w:cs="Times New Roman"/>
          <w:sz w:val="22"/>
          <w:szCs w:val="22"/>
          <w:lang w:val="en-IE"/>
        </w:rPr>
        <w:t>s relating to data availability</w:t>
      </w:r>
      <w:r w:rsidR="00C3186E" w:rsidRPr="00E22B82">
        <w:rPr>
          <w:rFonts w:ascii="Times New Roman" w:eastAsia="Calibri" w:hAnsi="Times New Roman" w:cs="Times New Roman"/>
          <w:sz w:val="22"/>
          <w:szCs w:val="22"/>
          <w:lang w:val="en-IE"/>
        </w:rPr>
        <w:t xml:space="preserve"> </w:t>
      </w:r>
      <w:r w:rsidR="00BF0923" w:rsidRPr="00E22B82">
        <w:rPr>
          <w:rFonts w:ascii="Times New Roman" w:eastAsia="Calibri" w:hAnsi="Times New Roman" w:cs="Times New Roman"/>
          <w:sz w:val="22"/>
          <w:szCs w:val="22"/>
          <w:lang w:val="en-IE"/>
        </w:rPr>
        <w:t>and</w:t>
      </w:r>
      <w:r w:rsidR="00C3186E" w:rsidRPr="00E22B82">
        <w:rPr>
          <w:rFonts w:ascii="Times New Roman" w:eastAsia="Calibri" w:hAnsi="Times New Roman" w:cs="Times New Roman"/>
          <w:sz w:val="22"/>
          <w:szCs w:val="22"/>
          <w:lang w:val="en-IE"/>
        </w:rPr>
        <w:t xml:space="preserve"> consultation with the </w:t>
      </w:r>
      <w:r w:rsidR="008F7AE5" w:rsidRPr="00E22B82">
        <w:rPr>
          <w:rFonts w:ascii="Times New Roman" w:eastAsia="Calibri" w:hAnsi="Times New Roman" w:cs="Times New Roman"/>
          <w:sz w:val="22"/>
          <w:szCs w:val="22"/>
          <w:lang w:val="en-IE"/>
        </w:rPr>
        <w:t>key stakeholders</w:t>
      </w:r>
      <w:r w:rsidR="00C3186E" w:rsidRPr="00E22B82">
        <w:rPr>
          <w:rFonts w:ascii="Times New Roman" w:eastAsia="Calibri" w:hAnsi="Times New Roman" w:cs="Times New Roman"/>
          <w:sz w:val="22"/>
          <w:szCs w:val="22"/>
          <w:lang w:val="en-IE"/>
        </w:rPr>
        <w:t xml:space="preserve"> were examined. The technical feasibility of o</w:t>
      </w:r>
      <w:r w:rsidR="00BF0923" w:rsidRPr="00E22B82">
        <w:rPr>
          <w:rFonts w:ascii="Times New Roman" w:eastAsia="Calibri" w:hAnsi="Times New Roman" w:cs="Times New Roman"/>
          <w:sz w:val="22"/>
          <w:szCs w:val="22"/>
          <w:lang w:val="en-IE"/>
        </w:rPr>
        <w:t>perationalising the individual SUI</w:t>
      </w:r>
      <w:r w:rsidR="00C3186E" w:rsidRPr="00E22B82">
        <w:rPr>
          <w:rFonts w:ascii="Times New Roman" w:eastAsia="Calibri" w:hAnsi="Times New Roman" w:cs="Times New Roman"/>
          <w:sz w:val="22"/>
          <w:szCs w:val="22"/>
          <w:lang w:val="en-IE"/>
        </w:rPr>
        <w:t>s was also considered and the outputs of this exercise facilitated the advancement of certain indicators and the omission of others.</w:t>
      </w:r>
      <w:r w:rsidR="007434F0" w:rsidRPr="00E22B82">
        <w:rPr>
          <w:rFonts w:ascii="Times New Roman" w:eastAsia="Calibri" w:hAnsi="Times New Roman" w:cs="Times New Roman"/>
          <w:sz w:val="22"/>
          <w:szCs w:val="22"/>
          <w:lang w:val="en-IE"/>
        </w:rPr>
        <w:t xml:space="preserve"> </w:t>
      </w:r>
      <w:r w:rsidR="00C3186E" w:rsidRPr="00E22B82">
        <w:rPr>
          <w:rFonts w:ascii="Times New Roman" w:eastAsia="Calibri" w:hAnsi="Times New Roman" w:cs="Times New Roman"/>
          <w:sz w:val="22"/>
          <w:szCs w:val="22"/>
          <w:lang w:val="en-IE"/>
        </w:rPr>
        <w:t xml:space="preserve"> </w:t>
      </w:r>
    </w:p>
    <w:p w14:paraId="56FE9463" w14:textId="77777777" w:rsidR="00E10E42" w:rsidRPr="00E22B82" w:rsidRDefault="00E10E42" w:rsidP="00307D57">
      <w:pPr>
        <w:rPr>
          <w:lang w:val="en-IE"/>
        </w:rPr>
      </w:pPr>
    </w:p>
    <w:p w14:paraId="7F8F827C" w14:textId="77777777" w:rsidR="00AD59A7" w:rsidRDefault="00AD59A7" w:rsidP="00B53C4D">
      <w:pPr>
        <w:pStyle w:val="Heading2"/>
        <w:spacing w:line="276" w:lineRule="auto"/>
        <w:jc w:val="both"/>
        <w:rPr>
          <w:rFonts w:ascii="Times New Roman" w:hAnsi="Times New Roman" w:cs="Times New Roman"/>
          <w:b/>
          <w:color w:val="auto"/>
          <w:sz w:val="24"/>
          <w:szCs w:val="22"/>
          <w:lang w:val="en-IE"/>
        </w:rPr>
      </w:pPr>
      <w:bookmarkStart w:id="3" w:name="_Toc450945616"/>
      <w:r w:rsidRPr="00E22B82">
        <w:rPr>
          <w:rFonts w:ascii="Times New Roman" w:hAnsi="Times New Roman" w:cs="Times New Roman"/>
          <w:b/>
          <w:color w:val="auto"/>
          <w:sz w:val="24"/>
          <w:szCs w:val="22"/>
          <w:lang w:val="en-IE"/>
        </w:rPr>
        <w:t xml:space="preserve">Conceptual </w:t>
      </w:r>
      <w:r w:rsidR="008534E2" w:rsidRPr="00E22B82">
        <w:rPr>
          <w:rFonts w:ascii="Times New Roman" w:hAnsi="Times New Roman" w:cs="Times New Roman"/>
          <w:b/>
          <w:color w:val="auto"/>
          <w:sz w:val="24"/>
          <w:szCs w:val="22"/>
          <w:lang w:val="en-IE"/>
        </w:rPr>
        <w:t xml:space="preserve">Indicator </w:t>
      </w:r>
      <w:r w:rsidRPr="00E22B82">
        <w:rPr>
          <w:rFonts w:ascii="Times New Roman" w:hAnsi="Times New Roman" w:cs="Times New Roman"/>
          <w:b/>
          <w:color w:val="auto"/>
          <w:sz w:val="24"/>
          <w:szCs w:val="22"/>
          <w:lang w:val="en-IE"/>
        </w:rPr>
        <w:t>Framework</w:t>
      </w:r>
      <w:bookmarkEnd w:id="3"/>
    </w:p>
    <w:p w14:paraId="3F8DDE29" w14:textId="77777777" w:rsidR="00511857" w:rsidRPr="00511857" w:rsidRDefault="00511857" w:rsidP="00511857">
      <w:pPr>
        <w:rPr>
          <w:lang w:val="en-IE"/>
        </w:rPr>
      </w:pPr>
    </w:p>
    <w:p w14:paraId="4090A256" w14:textId="77777777" w:rsidR="00B83D5C" w:rsidRPr="00E22B82" w:rsidRDefault="00B83D5C"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“Indicators quantify change, identify processes and provide a framework for setting targets and monitoring performance”</w:t>
      </w:r>
      <w:r w:rsidR="003E544A" w:rsidRPr="00E22B82">
        <w:rPr>
          <w:rFonts w:ascii="Times New Roman" w:hAnsi="Times New Roman" w:cs="Times New Roman"/>
          <w:i/>
          <w:sz w:val="22"/>
          <w:szCs w:val="22"/>
          <w:lang w:val="en-IE"/>
        </w:rPr>
        <w:t xml:space="preserve"> </w:t>
      </w:r>
      <w:r w:rsidR="003E544A" w:rsidRPr="00E22B82">
        <w:rPr>
          <w:rFonts w:ascii="Times New Roman" w:hAnsi="Times New Roman" w:cs="Times New Roman"/>
          <w:sz w:val="22"/>
          <w:szCs w:val="22"/>
          <w:lang w:val="en-IE"/>
        </w:rPr>
        <w:t>(Crabtree and Bayfield, 1998)</w:t>
      </w:r>
      <w:r w:rsidRPr="00E22B82">
        <w:rPr>
          <w:rFonts w:ascii="Times New Roman" w:hAnsi="Times New Roman" w:cs="Times New Roman"/>
          <w:sz w:val="22"/>
          <w:szCs w:val="22"/>
          <w:lang w:val="en-IE"/>
        </w:rPr>
        <w:t xml:space="preserve">. It is important to note that indicators are not intended to accomplish a required change, but rather they act as catalysts </w:t>
      </w:r>
      <w:r w:rsidR="00571182" w:rsidRPr="00E22B82">
        <w:rPr>
          <w:rFonts w:ascii="Times New Roman" w:hAnsi="Times New Roman" w:cs="Times New Roman"/>
          <w:sz w:val="22"/>
          <w:szCs w:val="22"/>
          <w:lang w:val="en-IE"/>
        </w:rPr>
        <w:t>where</w:t>
      </w:r>
      <w:r w:rsidRPr="00E22B82">
        <w:rPr>
          <w:rFonts w:ascii="Times New Roman" w:hAnsi="Times New Roman" w:cs="Times New Roman"/>
          <w:sz w:val="22"/>
          <w:szCs w:val="22"/>
          <w:lang w:val="en-IE"/>
        </w:rPr>
        <w:t xml:space="preserve"> change</w:t>
      </w:r>
      <w:r w:rsidR="00571182" w:rsidRPr="00E22B82">
        <w:rPr>
          <w:rFonts w:ascii="Times New Roman" w:hAnsi="Times New Roman" w:cs="Times New Roman"/>
          <w:sz w:val="22"/>
          <w:szCs w:val="22"/>
          <w:lang w:val="en-IE"/>
        </w:rPr>
        <w:t xml:space="preserve"> is necessary</w:t>
      </w:r>
      <w:r w:rsidRPr="00E22B82">
        <w:rPr>
          <w:rFonts w:ascii="Times New Roman" w:hAnsi="Times New Roman" w:cs="Times New Roman"/>
          <w:sz w:val="22"/>
          <w:szCs w:val="22"/>
          <w:lang w:val="en-IE"/>
        </w:rPr>
        <w:t>, providing an ‘early warning system’, highlighting areas of concern and thereby enabling decision-makers to initiate the necessary remedial measures. Indicators of sustainable development should provide a continual assessment of the overall sustainability of a system and the indicators themselves will require constant review and updating over time, as changes occur; implementing indicators is a dynamic process. In providing a means for monitoring progress towards sustainability, indicators are also an important communication tool: “</w:t>
      </w:r>
      <w:r w:rsidRPr="00E22B82">
        <w:rPr>
          <w:rFonts w:ascii="Times New Roman" w:hAnsi="Times New Roman" w:cs="Times New Roman"/>
          <w:i/>
          <w:sz w:val="22"/>
          <w:szCs w:val="22"/>
          <w:lang w:val="en-IE"/>
        </w:rPr>
        <w:t xml:space="preserve">Communication is the main </w:t>
      </w:r>
      <w:r w:rsidRPr="00E22B82">
        <w:rPr>
          <w:rFonts w:ascii="Times New Roman" w:hAnsi="Times New Roman" w:cs="Times New Roman"/>
          <w:sz w:val="22"/>
          <w:szCs w:val="22"/>
          <w:lang w:val="en-IE"/>
        </w:rPr>
        <w:t>function of indicators: they should enable or promote information exchange regarding the issue they address</w:t>
      </w:r>
      <w:r w:rsidR="003E544A"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w:t>
      </w:r>
      <w:r w:rsidR="003E544A" w:rsidRPr="00E22B82">
        <w:rPr>
          <w:rFonts w:ascii="Times New Roman" w:hAnsi="Times New Roman" w:cs="Times New Roman"/>
          <w:sz w:val="22"/>
          <w:szCs w:val="22"/>
          <w:lang w:val="en-IE"/>
        </w:rPr>
        <w:t xml:space="preserve"> (Smeets and Weterings, 1999). </w:t>
      </w:r>
      <w:r w:rsidRPr="00E22B82">
        <w:rPr>
          <w:rFonts w:ascii="Times New Roman" w:hAnsi="Times New Roman" w:cs="Times New Roman"/>
          <w:sz w:val="22"/>
          <w:szCs w:val="22"/>
          <w:lang w:val="en-IE"/>
        </w:rPr>
        <w:t xml:space="preserve">There are often complex issues and intricate processes underlying indicator work and while it is important to maintain a sufficient level of detail and transparency in the process, so that data can be tracked and decisions justified, there remains a need to achieve a certain level of simplicity in the end result. Indicators must be meaningful and useable by all and not limited to the ‘experts’. Thus a balance between quantity and depth of analytical indicators is needed. Public consultation and stakeholder participation throughout the indicator development process can play a significant role. An indicator should measure what those concerned are interested in and must provide meaningful information, enabling action to be taken. </w:t>
      </w:r>
    </w:p>
    <w:p w14:paraId="07B0961C" w14:textId="77777777" w:rsidR="00B83D5C" w:rsidRPr="00E22B82" w:rsidRDefault="00B83D5C" w:rsidP="00B53C4D">
      <w:pPr>
        <w:autoSpaceDE w:val="0"/>
        <w:autoSpaceDN w:val="0"/>
        <w:adjustRightInd w:val="0"/>
        <w:spacing w:line="276" w:lineRule="auto"/>
        <w:jc w:val="both"/>
        <w:rPr>
          <w:rFonts w:ascii="Times New Roman" w:hAnsi="Times New Roman" w:cs="Times New Roman"/>
          <w:sz w:val="22"/>
          <w:szCs w:val="22"/>
          <w:lang w:val="en-IE"/>
        </w:rPr>
      </w:pPr>
    </w:p>
    <w:p w14:paraId="1C7B73FC" w14:textId="77777777" w:rsidR="007C546D" w:rsidRPr="00E22B82" w:rsidRDefault="007C546D"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There are many examples of ‘checklists’ for indicators available in the literature</w:t>
      </w:r>
      <w:r w:rsidR="003E544A" w:rsidRPr="00E22B82">
        <w:rPr>
          <w:rFonts w:ascii="Times New Roman" w:hAnsi="Times New Roman" w:cs="Times New Roman"/>
          <w:sz w:val="22"/>
          <w:szCs w:val="22"/>
          <w:lang w:val="en-IE"/>
        </w:rPr>
        <w:t xml:space="preserve"> (Whate et al., 2006)</w:t>
      </w:r>
      <w:r w:rsidRPr="00E22B82">
        <w:rPr>
          <w:rFonts w:ascii="Times New Roman" w:hAnsi="Times New Roman" w:cs="Times New Roman"/>
          <w:sz w:val="22"/>
          <w:szCs w:val="22"/>
          <w:lang w:val="en-IE"/>
        </w:rPr>
        <w:t xml:space="preserve"> and these can provide a useful tool for reviewing indicators as they are developed, highlighting any </w:t>
      </w:r>
      <w:r w:rsidRPr="00E22B82">
        <w:rPr>
          <w:rFonts w:ascii="Times New Roman" w:hAnsi="Times New Roman" w:cs="Times New Roman"/>
          <w:sz w:val="22"/>
          <w:szCs w:val="22"/>
          <w:lang w:val="en-IE"/>
        </w:rPr>
        <w:lastRenderedPageBreak/>
        <w:t xml:space="preserve">tensions which may mean the indicator ultimately needs to be abandoned. A sound theoretical framework is the starting point in constructing composite indicators. The framework should clearly define the phenomenon to be measured and its sub-components; the indicators must account for all major systems and activities relevant to developing energy-efficient cities. The indicators will aid in the creation of a ‘Smart Sustainable Urban Environment’, integrated </w:t>
      </w:r>
      <w:r w:rsidR="000F295D" w:rsidRPr="00E22B82">
        <w:rPr>
          <w:rFonts w:ascii="Times New Roman" w:hAnsi="Times New Roman" w:cs="Times New Roman"/>
          <w:sz w:val="22"/>
          <w:szCs w:val="22"/>
          <w:lang w:val="en-IE"/>
        </w:rPr>
        <w:t xml:space="preserve">with </w:t>
      </w:r>
      <w:r w:rsidRPr="00E22B82">
        <w:rPr>
          <w:rFonts w:ascii="Times New Roman" w:hAnsi="Times New Roman" w:cs="Times New Roman"/>
          <w:sz w:val="22"/>
          <w:szCs w:val="22"/>
          <w:lang w:val="en-IE"/>
        </w:rPr>
        <w:t xml:space="preserve">urban planning tools including architectural master planning and detailed energy optimisation and environmental analysis. Transparency is essential in constructing credible indicators. </w:t>
      </w:r>
    </w:p>
    <w:p w14:paraId="471D4CC9" w14:textId="77777777" w:rsidR="007C546D" w:rsidRPr="00E22B82" w:rsidRDefault="007C546D" w:rsidP="00B53C4D">
      <w:pPr>
        <w:spacing w:line="276" w:lineRule="auto"/>
        <w:jc w:val="both"/>
        <w:rPr>
          <w:rFonts w:ascii="Times New Roman" w:hAnsi="Times New Roman" w:cs="Times New Roman"/>
          <w:sz w:val="22"/>
          <w:szCs w:val="22"/>
          <w:lang w:val="en-IE"/>
        </w:rPr>
      </w:pPr>
    </w:p>
    <w:p w14:paraId="4A178460" w14:textId="77777777" w:rsidR="00AD59A7" w:rsidRPr="00E22B82" w:rsidRDefault="00AD59A7"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A conceptual framework allows for the coherent and consistent selection of indicators. This is particularly important given that any indicator selection process is value laden, for example stakeholder opinion may differ over the weight given to different criteria for a good indicator; assuming a trade-off between cost and complexity; the objectives chosen; the baseline and benchmark data</w:t>
      </w:r>
      <w:r w:rsidR="000F295D"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 xml:space="preserve"> etc. Thus, having an explicit framework allows a more transparent, responsive and robust process for indicator selection. Waldron and Williams describe five broad categories of frameworks</w:t>
      </w:r>
      <w:r w:rsidR="003E544A" w:rsidRPr="00E22B82">
        <w:rPr>
          <w:rFonts w:ascii="Times New Roman" w:hAnsi="Times New Roman" w:cs="Times New Roman"/>
          <w:sz w:val="22"/>
          <w:szCs w:val="22"/>
          <w:lang w:val="en-IE"/>
        </w:rPr>
        <w:t xml:space="preserve"> (Waldron and Williams, 2002)</w:t>
      </w:r>
      <w:r w:rsidRPr="00E22B82">
        <w:rPr>
          <w:rFonts w:ascii="Times New Roman" w:hAnsi="Times New Roman" w:cs="Times New Roman"/>
          <w:sz w:val="22"/>
          <w:szCs w:val="22"/>
          <w:lang w:val="en-IE"/>
        </w:rPr>
        <w:t xml:space="preserve">: </w:t>
      </w:r>
    </w:p>
    <w:p w14:paraId="033E2A0D" w14:textId="77777777" w:rsidR="007C6230" w:rsidRPr="00E22B82" w:rsidRDefault="007C6230" w:rsidP="00B53C4D">
      <w:pPr>
        <w:spacing w:line="276" w:lineRule="auto"/>
        <w:jc w:val="both"/>
        <w:rPr>
          <w:rFonts w:ascii="Times New Roman" w:hAnsi="Times New Roman" w:cs="Times New Roman"/>
          <w:i/>
          <w:sz w:val="22"/>
          <w:szCs w:val="22"/>
          <w:lang w:val="en-IE"/>
        </w:rPr>
      </w:pPr>
    </w:p>
    <w:p w14:paraId="02DFD9AB" w14:textId="77777777" w:rsidR="00AD59A7" w:rsidRPr="00E22B82" w:rsidRDefault="00AD59A7" w:rsidP="00B53C4D">
      <w:pPr>
        <w:pStyle w:val="ListParagraph"/>
        <w:numPr>
          <w:ilvl w:val="0"/>
          <w:numId w:val="34"/>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Domain-based</w:t>
      </w:r>
      <w:r w:rsidRPr="00E22B82">
        <w:rPr>
          <w:rFonts w:ascii="Times New Roman" w:hAnsi="Times New Roman" w:cs="Times New Roman"/>
          <w:sz w:val="22"/>
          <w:szCs w:val="22"/>
          <w:lang w:val="en-IE"/>
        </w:rPr>
        <w:t xml:space="preserve">: Addressing a variety of performance issues to include social, economic and environmental but not necessarily linking </w:t>
      </w:r>
      <w:r w:rsidR="007923BE">
        <w:rPr>
          <w:rFonts w:ascii="Times New Roman" w:hAnsi="Times New Roman" w:cs="Times New Roman"/>
          <w:sz w:val="22"/>
          <w:szCs w:val="22"/>
          <w:lang w:val="en-IE"/>
        </w:rPr>
        <w:t>with specific management goals</w:t>
      </w:r>
    </w:p>
    <w:p w14:paraId="60AE174A" w14:textId="77777777" w:rsidR="00AD59A7" w:rsidRPr="00E22B82" w:rsidRDefault="00AD59A7" w:rsidP="00B53C4D">
      <w:pPr>
        <w:pStyle w:val="ListParagraph"/>
        <w:numPr>
          <w:ilvl w:val="0"/>
          <w:numId w:val="34"/>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Goal-based</w:t>
      </w:r>
      <w:r w:rsidRPr="00E22B82">
        <w:rPr>
          <w:rFonts w:ascii="Times New Roman" w:hAnsi="Times New Roman" w:cs="Times New Roman"/>
          <w:sz w:val="22"/>
          <w:szCs w:val="22"/>
          <w:lang w:val="en-IE"/>
        </w:rPr>
        <w:t xml:space="preserve">: To identify indicators that respond directly to sustainability goals but do </w:t>
      </w:r>
      <w:r w:rsidR="007923BE">
        <w:rPr>
          <w:rFonts w:ascii="Times New Roman" w:hAnsi="Times New Roman" w:cs="Times New Roman"/>
          <w:sz w:val="22"/>
          <w:szCs w:val="22"/>
          <w:lang w:val="en-IE"/>
        </w:rPr>
        <w:t>not address interrelationships</w:t>
      </w:r>
    </w:p>
    <w:p w14:paraId="11C05C21" w14:textId="77777777" w:rsidR="00AD59A7" w:rsidRPr="00E22B82" w:rsidRDefault="00AD59A7" w:rsidP="00B53C4D">
      <w:pPr>
        <w:pStyle w:val="ListParagraph"/>
        <w:numPr>
          <w:ilvl w:val="0"/>
          <w:numId w:val="34"/>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Sectoral</w:t>
      </w:r>
      <w:r w:rsidRPr="00E22B82">
        <w:rPr>
          <w:rFonts w:ascii="Times New Roman" w:hAnsi="Times New Roman" w:cs="Times New Roman"/>
          <w:sz w:val="22"/>
          <w:szCs w:val="22"/>
          <w:lang w:val="en-IE"/>
        </w:rPr>
        <w:t>: These respond to the function of a specific management group, and thus are useful in assessing manageme</w:t>
      </w:r>
      <w:r w:rsidR="007923BE">
        <w:rPr>
          <w:rFonts w:ascii="Times New Roman" w:hAnsi="Times New Roman" w:cs="Times New Roman"/>
          <w:sz w:val="22"/>
          <w:szCs w:val="22"/>
          <w:lang w:val="en-IE"/>
        </w:rPr>
        <w:t>nt response to specific issues</w:t>
      </w:r>
    </w:p>
    <w:p w14:paraId="1B9B1F8E" w14:textId="77777777" w:rsidR="00AD59A7" w:rsidRPr="00E22B82" w:rsidRDefault="00AD59A7" w:rsidP="00B53C4D">
      <w:pPr>
        <w:pStyle w:val="ListParagraph"/>
        <w:numPr>
          <w:ilvl w:val="0"/>
          <w:numId w:val="34"/>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Issue-based</w:t>
      </w:r>
      <w:r w:rsidRPr="00E22B82">
        <w:rPr>
          <w:rFonts w:ascii="Times New Roman" w:hAnsi="Times New Roman" w:cs="Times New Roman"/>
          <w:sz w:val="22"/>
          <w:szCs w:val="22"/>
          <w:lang w:val="en-IE"/>
        </w:rPr>
        <w:t>: Often provide a short-term response to address the ‘issue of the day’; longer term sustainability impl</w:t>
      </w:r>
      <w:r w:rsidR="007923BE">
        <w:rPr>
          <w:rFonts w:ascii="Times New Roman" w:hAnsi="Times New Roman" w:cs="Times New Roman"/>
          <w:sz w:val="22"/>
          <w:szCs w:val="22"/>
          <w:lang w:val="en-IE"/>
        </w:rPr>
        <w:t>ications may be overlooked</w:t>
      </w:r>
    </w:p>
    <w:p w14:paraId="29163B97" w14:textId="77777777" w:rsidR="00AD59A7" w:rsidRPr="00E22B82" w:rsidRDefault="00AD59A7" w:rsidP="00B53C4D">
      <w:pPr>
        <w:pStyle w:val="ListParagraph"/>
        <w:numPr>
          <w:ilvl w:val="0"/>
          <w:numId w:val="34"/>
        </w:num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Causal frameworks</w:t>
      </w:r>
      <w:r w:rsidRPr="00E22B82">
        <w:rPr>
          <w:rFonts w:ascii="Times New Roman" w:hAnsi="Times New Roman" w:cs="Times New Roman"/>
          <w:sz w:val="22"/>
          <w:szCs w:val="22"/>
          <w:lang w:val="en-IE"/>
        </w:rPr>
        <w:t>: These assess the existing conditions, stresses and responses but within-domain interactions are overlooked</w:t>
      </w:r>
    </w:p>
    <w:p w14:paraId="54F8E1C0"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p>
    <w:p w14:paraId="6AF9710B" w14:textId="77777777" w:rsidR="00AD59A7" w:rsidRPr="00E22B82" w:rsidRDefault="00AE2F48"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Within these frameworks </w:t>
      </w:r>
      <w:r w:rsidR="007C546D" w:rsidRPr="00E22B82">
        <w:rPr>
          <w:rFonts w:ascii="Times New Roman" w:hAnsi="Times New Roman" w:cs="Times New Roman"/>
          <w:sz w:val="22"/>
          <w:szCs w:val="22"/>
          <w:lang w:val="en-IE"/>
        </w:rPr>
        <w:t>indicator selection can vary greatly</w:t>
      </w:r>
      <w:r w:rsidR="000F295D" w:rsidRPr="00E22B82">
        <w:rPr>
          <w:rFonts w:ascii="Times New Roman" w:hAnsi="Times New Roman" w:cs="Times New Roman"/>
          <w:sz w:val="22"/>
          <w:szCs w:val="22"/>
          <w:lang w:val="en-IE"/>
        </w:rPr>
        <w:t xml:space="preserve">. </w:t>
      </w:r>
      <w:r w:rsidR="00AD59A7" w:rsidRPr="00E22B82">
        <w:rPr>
          <w:rFonts w:ascii="Times New Roman" w:hAnsi="Times New Roman" w:cs="Times New Roman"/>
          <w:sz w:val="22"/>
          <w:szCs w:val="22"/>
          <w:lang w:val="en-IE"/>
        </w:rPr>
        <w:t>Kelly and Baker</w:t>
      </w:r>
      <w:r w:rsidR="003E544A" w:rsidRPr="00E22B82">
        <w:rPr>
          <w:rFonts w:ascii="Times New Roman" w:hAnsi="Times New Roman" w:cs="Times New Roman"/>
          <w:sz w:val="22"/>
          <w:szCs w:val="22"/>
          <w:lang w:val="en-IE"/>
        </w:rPr>
        <w:t xml:space="preserve"> (2002)</w:t>
      </w:r>
      <w:r w:rsidR="00AD59A7" w:rsidRPr="00E22B82">
        <w:rPr>
          <w:rFonts w:ascii="Times New Roman" w:hAnsi="Times New Roman" w:cs="Times New Roman"/>
          <w:sz w:val="22"/>
          <w:szCs w:val="22"/>
          <w:lang w:val="en-IE"/>
        </w:rPr>
        <w:t xml:space="preserve"> put forward the following criteria: Indicators should be adapted to suit local needs, consist of both objective and subjective data and make links between different issues. In addition, indicators should be based on: </w:t>
      </w:r>
      <w:r w:rsidR="00AD59A7" w:rsidRPr="00E22B82">
        <w:rPr>
          <w:rFonts w:ascii="Times New Roman" w:hAnsi="Times New Roman" w:cs="Times New Roman"/>
          <w:i/>
          <w:sz w:val="22"/>
          <w:szCs w:val="22"/>
          <w:lang w:val="en-IE"/>
        </w:rPr>
        <w:t>Validity</w:t>
      </w:r>
      <w:r w:rsidR="00AD59A7" w:rsidRPr="00E22B82">
        <w:rPr>
          <w:rFonts w:ascii="Times New Roman" w:hAnsi="Times New Roman" w:cs="Times New Roman"/>
          <w:sz w:val="22"/>
          <w:szCs w:val="22"/>
          <w:lang w:val="en-IE"/>
        </w:rPr>
        <w:t xml:space="preserve"> (acceptable, believable; related to a higher order theme, related to theory): </w:t>
      </w:r>
      <w:r w:rsidR="00AD59A7" w:rsidRPr="00E22B82">
        <w:rPr>
          <w:rFonts w:ascii="Times New Roman" w:hAnsi="Times New Roman" w:cs="Times New Roman"/>
          <w:i/>
          <w:sz w:val="22"/>
          <w:szCs w:val="22"/>
          <w:lang w:val="en-IE"/>
        </w:rPr>
        <w:t>Reliability</w:t>
      </w:r>
      <w:r w:rsidR="00AD59A7" w:rsidRPr="00E22B82">
        <w:rPr>
          <w:rFonts w:ascii="Times New Roman" w:hAnsi="Times New Roman" w:cs="Times New Roman"/>
          <w:sz w:val="22"/>
          <w:szCs w:val="22"/>
          <w:lang w:val="en-IE"/>
        </w:rPr>
        <w:t xml:space="preserve"> (can be used over time, and across space but only within the region): </w:t>
      </w:r>
      <w:r w:rsidR="00AD59A7" w:rsidRPr="00E22B82">
        <w:rPr>
          <w:rFonts w:ascii="Times New Roman" w:hAnsi="Times New Roman" w:cs="Times New Roman"/>
          <w:i/>
          <w:sz w:val="22"/>
          <w:szCs w:val="22"/>
          <w:lang w:val="en-IE"/>
        </w:rPr>
        <w:t>Data Availability and Accessibility</w:t>
      </w:r>
      <w:r w:rsidR="00AD59A7" w:rsidRPr="00E22B82">
        <w:rPr>
          <w:rFonts w:ascii="Times New Roman" w:hAnsi="Times New Roman" w:cs="Times New Roman"/>
          <w:sz w:val="22"/>
          <w:szCs w:val="22"/>
          <w:lang w:val="en-IE"/>
        </w:rPr>
        <w:t>; (qualitative and quantitative)</w:t>
      </w:r>
      <w:r w:rsidR="00AD59A7" w:rsidRPr="00E22B82">
        <w:rPr>
          <w:rFonts w:ascii="Times New Roman" w:hAnsi="Times New Roman" w:cs="Times New Roman"/>
          <w:i/>
          <w:sz w:val="22"/>
          <w:szCs w:val="22"/>
          <w:lang w:val="en-IE"/>
        </w:rPr>
        <w:t>: Methodology</w:t>
      </w:r>
      <w:r w:rsidR="00AD59A7" w:rsidRPr="00E22B82">
        <w:rPr>
          <w:rFonts w:ascii="Times New Roman" w:hAnsi="Times New Roman" w:cs="Times New Roman"/>
          <w:sz w:val="22"/>
          <w:szCs w:val="22"/>
          <w:lang w:val="en-IE"/>
        </w:rPr>
        <w:t xml:space="preserve"> (timely, uses existing data, considers scale; considers capacity to collect and use data) and </w:t>
      </w:r>
      <w:r w:rsidR="00AD59A7" w:rsidRPr="00E22B82">
        <w:rPr>
          <w:rFonts w:ascii="Times New Roman" w:hAnsi="Times New Roman" w:cs="Times New Roman"/>
          <w:i/>
          <w:sz w:val="22"/>
          <w:szCs w:val="22"/>
          <w:lang w:val="en-IE"/>
        </w:rPr>
        <w:t>relevance</w:t>
      </w:r>
      <w:r w:rsidR="00AD59A7" w:rsidRPr="00E22B82">
        <w:rPr>
          <w:rFonts w:ascii="Times New Roman" w:hAnsi="Times New Roman" w:cs="Times New Roman"/>
          <w:sz w:val="22"/>
          <w:szCs w:val="22"/>
          <w:lang w:val="en-IE"/>
        </w:rPr>
        <w:t xml:space="preserve"> (to objectives; beneficial to investors/taxpayers; links to other indicators). </w:t>
      </w:r>
    </w:p>
    <w:p w14:paraId="7E729B38"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p>
    <w:p w14:paraId="0DB9A6A9"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strengths and weaknesses of composite indicators largely derive from the quality of the underlying variables. Ideally, variables should be selected on the basis of their relevance, analytical soundness, timeliness, accessibility, </w:t>
      </w:r>
      <w:r w:rsidRPr="00E22B82">
        <w:rPr>
          <w:rFonts w:ascii="Times New Roman" w:hAnsi="Times New Roman" w:cs="Times New Roman"/>
          <w:iCs/>
          <w:sz w:val="22"/>
          <w:szCs w:val="22"/>
          <w:lang w:val="en-IE"/>
        </w:rPr>
        <w:t>etc</w:t>
      </w:r>
      <w:r w:rsidRPr="00E22B82">
        <w:rPr>
          <w:rFonts w:ascii="Times New Roman" w:hAnsi="Times New Roman" w:cs="Times New Roman"/>
          <w:sz w:val="22"/>
          <w:szCs w:val="22"/>
          <w:lang w:val="en-IE"/>
        </w:rPr>
        <w:t>. While the choice of indicators must be guided by the theoretical framework for the composite, the data selection process can be quite subjective as there may be no single definitive set of indicators. A lack of relevant data may also limit the development of sound composite indicators. Given a scarcity of internationally comparable quantitative hard data, composite indicators may include qualitative soft data from surveys or policy reviews</w:t>
      </w:r>
      <w:r w:rsidR="003E544A" w:rsidRPr="00E22B82">
        <w:rPr>
          <w:rFonts w:ascii="Times New Roman" w:hAnsi="Times New Roman" w:cs="Times New Roman"/>
          <w:sz w:val="22"/>
          <w:szCs w:val="22"/>
          <w:lang w:val="en-IE"/>
        </w:rPr>
        <w:t xml:space="preserve"> (Nardo et al., 2005)</w:t>
      </w:r>
      <w:r w:rsidRPr="00E22B82">
        <w:rPr>
          <w:rFonts w:ascii="Times New Roman" w:hAnsi="Times New Roman" w:cs="Times New Roman"/>
          <w:sz w:val="22"/>
          <w:szCs w:val="22"/>
          <w:lang w:val="en-IE"/>
        </w:rPr>
        <w:t>.</w:t>
      </w:r>
    </w:p>
    <w:p w14:paraId="263B69DA"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p>
    <w:p w14:paraId="50589C79"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Proxy measures can be used when the desired data are unavailable or when cross-city comparability is limited. As in the case of soft data, caution must be taken in the utilisation of proxy indicators. To the extent that data permit</w:t>
      </w:r>
      <w:r w:rsidR="000F295D" w:rsidRPr="00E22B82">
        <w:rPr>
          <w:rFonts w:ascii="Times New Roman" w:hAnsi="Times New Roman" w:cs="Times New Roman"/>
          <w:sz w:val="22"/>
          <w:szCs w:val="22"/>
          <w:lang w:val="en-IE"/>
        </w:rPr>
        <w:t>s</w:t>
      </w:r>
      <w:r w:rsidRPr="00E22B82">
        <w:rPr>
          <w:rFonts w:ascii="Times New Roman" w:hAnsi="Times New Roman" w:cs="Times New Roman"/>
          <w:sz w:val="22"/>
          <w:szCs w:val="22"/>
          <w:lang w:val="en-IE"/>
        </w:rPr>
        <w:t xml:space="preserve">, the accuracy of proxy measures should be checked through correlation and </w:t>
      </w:r>
      <w:r w:rsidRPr="00E22B82">
        <w:rPr>
          <w:rFonts w:ascii="Times New Roman" w:hAnsi="Times New Roman" w:cs="Times New Roman"/>
          <w:sz w:val="22"/>
          <w:szCs w:val="22"/>
          <w:lang w:val="en-IE"/>
        </w:rPr>
        <w:lastRenderedPageBreak/>
        <w:t>sensitivity analysis. In designing a framework</w:t>
      </w:r>
      <w:r w:rsidR="000F295D"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 xml:space="preserve"> close attention should be paid to whether the indicator in question is dependent on size-related factors. To have an objective comparison across small and large cities, scaling of variables by an appropriate size measure, </w:t>
      </w:r>
      <w:r w:rsidRPr="00E22B82">
        <w:rPr>
          <w:rFonts w:ascii="Times New Roman" w:hAnsi="Times New Roman" w:cs="Times New Roman"/>
          <w:iCs/>
          <w:sz w:val="22"/>
          <w:szCs w:val="22"/>
          <w:lang w:val="en-IE"/>
        </w:rPr>
        <w:t>e.g</w:t>
      </w:r>
      <w:r w:rsidRPr="00E22B82">
        <w:rPr>
          <w:rFonts w:ascii="Times New Roman" w:hAnsi="Times New Roman" w:cs="Times New Roman"/>
          <w:i/>
          <w:iCs/>
          <w:sz w:val="22"/>
          <w:szCs w:val="22"/>
          <w:lang w:val="en-IE"/>
        </w:rPr>
        <w:t xml:space="preserve">. </w:t>
      </w:r>
      <w:r w:rsidRPr="00E22B82">
        <w:rPr>
          <w:rFonts w:ascii="Times New Roman" w:hAnsi="Times New Roman" w:cs="Times New Roman"/>
          <w:sz w:val="22"/>
          <w:szCs w:val="22"/>
          <w:lang w:val="en-IE"/>
        </w:rPr>
        <w:t>population or populated land area</w:t>
      </w:r>
      <w:r w:rsidR="000F295D" w:rsidRPr="00E22B82">
        <w:rPr>
          <w:rFonts w:ascii="Times New Roman" w:hAnsi="Times New Roman" w:cs="Times New Roman"/>
          <w:sz w:val="22"/>
          <w:szCs w:val="22"/>
          <w:lang w:val="en-IE"/>
        </w:rPr>
        <w:t>,</w:t>
      </w:r>
      <w:r w:rsidRPr="00E22B82">
        <w:rPr>
          <w:rFonts w:ascii="Times New Roman" w:hAnsi="Times New Roman" w:cs="Times New Roman"/>
          <w:sz w:val="22"/>
          <w:szCs w:val="22"/>
          <w:lang w:val="en-IE"/>
        </w:rPr>
        <w:t xml:space="preserve"> is required. </w:t>
      </w:r>
    </w:p>
    <w:p w14:paraId="7277A459" w14:textId="77777777" w:rsidR="00AD59A7" w:rsidRPr="00E22B82" w:rsidRDefault="00AD59A7" w:rsidP="00B53C4D">
      <w:pPr>
        <w:autoSpaceDE w:val="0"/>
        <w:autoSpaceDN w:val="0"/>
        <w:adjustRightInd w:val="0"/>
        <w:spacing w:line="276" w:lineRule="auto"/>
        <w:jc w:val="both"/>
        <w:rPr>
          <w:rFonts w:ascii="Times New Roman" w:hAnsi="Times New Roman" w:cs="Times New Roman"/>
          <w:sz w:val="22"/>
          <w:szCs w:val="22"/>
          <w:lang w:val="en-IE"/>
        </w:rPr>
      </w:pPr>
    </w:p>
    <w:p w14:paraId="72E8D4BA" w14:textId="77777777" w:rsidR="00AD59A7" w:rsidRDefault="00AD59A7"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 quality and accuracy of composite indicators should evolve in parallel with improvements in data collection and indicator development. The current trend towards constructing composite indicators of city performance in a range of policy areas may provide further impetus to improving data collection, identifying new data sources and enhancing the comparability of statistics. Poor data will produce poor results</w:t>
      </w:r>
      <w:r w:rsidR="00BA5BAF" w:rsidRPr="00E22B82">
        <w:rPr>
          <w:rFonts w:ascii="Times New Roman" w:hAnsi="Times New Roman" w:cs="Times New Roman"/>
          <w:sz w:val="22"/>
          <w:szCs w:val="22"/>
          <w:lang w:val="en-IE"/>
        </w:rPr>
        <w:t>. F</w:t>
      </w:r>
      <w:r w:rsidRPr="00E22B82">
        <w:rPr>
          <w:rFonts w:ascii="Times New Roman" w:hAnsi="Times New Roman" w:cs="Times New Roman"/>
          <w:sz w:val="22"/>
          <w:szCs w:val="22"/>
          <w:lang w:val="en-IE"/>
        </w:rPr>
        <w:t xml:space="preserve">rom a pragmatic point of view, however, compromises need to be </w:t>
      </w:r>
      <w:r w:rsidR="00BA5BAF" w:rsidRPr="00E22B82">
        <w:rPr>
          <w:rFonts w:ascii="Times New Roman" w:hAnsi="Times New Roman" w:cs="Times New Roman"/>
          <w:sz w:val="22"/>
          <w:szCs w:val="22"/>
          <w:lang w:val="en-IE"/>
        </w:rPr>
        <w:t xml:space="preserve">made </w:t>
      </w:r>
      <w:r w:rsidRPr="00E22B82">
        <w:rPr>
          <w:rFonts w:ascii="Times New Roman" w:hAnsi="Times New Roman" w:cs="Times New Roman"/>
          <w:sz w:val="22"/>
          <w:szCs w:val="22"/>
          <w:lang w:val="en-IE"/>
        </w:rPr>
        <w:t>when constructing a composite: What is essential is the transparency of any compromises.</w:t>
      </w:r>
    </w:p>
    <w:p w14:paraId="6935E113" w14:textId="77777777" w:rsidR="00DB4ABB" w:rsidRDefault="00DB4ABB" w:rsidP="00DB4ABB">
      <w:pPr>
        <w:spacing w:line="276" w:lineRule="auto"/>
        <w:jc w:val="both"/>
        <w:rPr>
          <w:rFonts w:ascii="Times New Roman" w:hAnsi="Times New Roman" w:cs="Times New Roman"/>
          <w:i/>
          <w:sz w:val="22"/>
          <w:szCs w:val="22"/>
          <w:lang w:val="en-IE"/>
        </w:rPr>
      </w:pPr>
    </w:p>
    <w:p w14:paraId="53087955" w14:textId="77777777" w:rsidR="00DB4ABB" w:rsidRPr="00E22B82" w:rsidRDefault="00DB4ABB" w:rsidP="00DB4ABB">
      <w:pPr>
        <w:spacing w:line="276" w:lineRule="auto"/>
        <w:jc w:val="both"/>
        <w:rPr>
          <w:rFonts w:ascii="Times New Roman" w:hAnsi="Times New Roman" w:cs="Times New Roman"/>
          <w:i/>
          <w:sz w:val="22"/>
          <w:szCs w:val="22"/>
          <w:lang w:val="en-IE"/>
        </w:rPr>
      </w:pPr>
      <w:r w:rsidRPr="00E22B82">
        <w:rPr>
          <w:rFonts w:ascii="Times New Roman" w:hAnsi="Times New Roman" w:cs="Times New Roman"/>
          <w:i/>
          <w:sz w:val="22"/>
          <w:szCs w:val="22"/>
          <w:lang w:val="en-IE"/>
        </w:rPr>
        <w:t>Table 1. The criteria used for indicator selection (</w:t>
      </w:r>
      <w:r>
        <w:rPr>
          <w:rFonts w:ascii="Times New Roman" w:hAnsi="Times New Roman" w:cs="Times New Roman"/>
          <w:i/>
          <w:sz w:val="22"/>
          <w:szCs w:val="22"/>
          <w:lang w:val="en-IE"/>
        </w:rPr>
        <w:t>developed from</w:t>
      </w:r>
      <w:r w:rsidRPr="00E22B82">
        <w:rPr>
          <w:rFonts w:ascii="Times New Roman" w:hAnsi="Times New Roman" w:cs="Times New Roman"/>
          <w:i/>
          <w:sz w:val="22"/>
          <w:szCs w:val="22"/>
          <w:lang w:val="en-IE"/>
        </w:rPr>
        <w:t xml:space="preserve"> the </w:t>
      </w:r>
      <w:r>
        <w:rPr>
          <w:rFonts w:ascii="Times New Roman" w:hAnsi="Times New Roman" w:cs="Times New Roman"/>
          <w:i/>
          <w:sz w:val="22"/>
          <w:szCs w:val="22"/>
          <w:lang w:val="en-IE"/>
        </w:rPr>
        <w:t>‘</w:t>
      </w:r>
      <w:r w:rsidRPr="00E22B82">
        <w:rPr>
          <w:rFonts w:ascii="Times New Roman" w:hAnsi="Times New Roman" w:cs="Times New Roman"/>
          <w:i/>
          <w:sz w:val="22"/>
          <w:szCs w:val="22"/>
          <w:lang w:val="en-IE"/>
        </w:rPr>
        <w:t>good indicator list</w:t>
      </w:r>
      <w:r>
        <w:rPr>
          <w:rFonts w:ascii="Times New Roman" w:hAnsi="Times New Roman" w:cs="Times New Roman"/>
          <w:i/>
          <w:sz w:val="22"/>
          <w:szCs w:val="22"/>
          <w:lang w:val="en-IE"/>
        </w:rPr>
        <w:t>’</w:t>
      </w:r>
      <w:r w:rsidRPr="00E22B82">
        <w:rPr>
          <w:rFonts w:ascii="Times New Roman" w:hAnsi="Times New Roman" w:cs="Times New Roman"/>
          <w:i/>
          <w:sz w:val="22"/>
          <w:szCs w:val="22"/>
          <w:lang w:val="en-IE"/>
        </w:rPr>
        <w:t xml:space="preserve"> put forward by Whate et al. 2006)</w:t>
      </w:r>
    </w:p>
    <w:tbl>
      <w:tblPr>
        <w:tblStyle w:val="TableGrid"/>
        <w:tblW w:w="0" w:type="auto"/>
        <w:tblLook w:val="04A0" w:firstRow="1" w:lastRow="0" w:firstColumn="1" w:lastColumn="0" w:noHBand="0" w:noVBand="1"/>
      </w:tblPr>
      <w:tblGrid>
        <w:gridCol w:w="9010"/>
      </w:tblGrid>
      <w:tr w:rsidR="00DB4ABB" w:rsidRPr="00E22B82" w14:paraId="79EA810E" w14:textId="77777777" w:rsidTr="0024515B">
        <w:tc>
          <w:tcPr>
            <w:tcW w:w="9010" w:type="dxa"/>
            <w:shd w:val="clear" w:color="auto" w:fill="002060"/>
          </w:tcPr>
          <w:p w14:paraId="07238D25" w14:textId="77777777" w:rsidR="00DB4ABB" w:rsidRPr="00E22B82" w:rsidRDefault="00DB4ABB" w:rsidP="0024515B">
            <w:pPr>
              <w:spacing w:line="276" w:lineRule="auto"/>
              <w:jc w:val="both"/>
              <w:rPr>
                <w:rFonts w:ascii="Times New Roman" w:hAnsi="Times New Roman" w:cs="Times New Roman"/>
                <w:lang w:val="en-IE"/>
              </w:rPr>
            </w:pPr>
            <w:r w:rsidRPr="00E22B82">
              <w:rPr>
                <w:rFonts w:ascii="Times New Roman" w:hAnsi="Times New Roman" w:cs="Times New Roman"/>
                <w:lang w:val="en-IE"/>
              </w:rPr>
              <w:t>SUI Selection Consideration</w:t>
            </w:r>
          </w:p>
        </w:tc>
      </w:tr>
      <w:tr w:rsidR="00DB4ABB" w:rsidRPr="00E22B82" w14:paraId="528063ED" w14:textId="77777777" w:rsidTr="0024515B">
        <w:tc>
          <w:tcPr>
            <w:tcW w:w="9010" w:type="dxa"/>
            <w:shd w:val="clear" w:color="auto" w:fill="D9D9D9" w:themeFill="background1" w:themeFillShade="D9"/>
          </w:tcPr>
          <w:p w14:paraId="3465F444" w14:textId="77777777" w:rsidR="00DB4ABB" w:rsidRPr="00E22B82" w:rsidRDefault="00DB4ABB" w:rsidP="00DB4ABB">
            <w:pPr>
              <w:numPr>
                <w:ilvl w:val="0"/>
                <w:numId w:val="23"/>
              </w:numPr>
              <w:spacing w:after="200" w:line="276" w:lineRule="auto"/>
              <w:contextualSpacing/>
              <w:jc w:val="both"/>
              <w:rPr>
                <w:rFonts w:ascii="Times New Roman" w:hAnsi="Times New Roman" w:cs="Times New Roman"/>
                <w:lang w:val="en-IE"/>
              </w:rPr>
            </w:pPr>
            <w:r w:rsidRPr="00E22B82">
              <w:rPr>
                <w:rFonts w:ascii="Times New Roman" w:hAnsi="Times New Roman" w:cs="Times New Roman"/>
                <w:i/>
                <w:lang w:val="en-IE"/>
              </w:rPr>
              <w:t>Alignment with Existing Standards &amp; Indices:</w:t>
            </w:r>
            <w:r w:rsidRPr="00E22B82">
              <w:rPr>
                <w:rFonts w:ascii="Times New Roman" w:hAnsi="Times New Roman" w:cs="Times New Roman"/>
                <w:lang w:val="en-IE"/>
              </w:rPr>
              <w:t xml:space="preserve"> Indicators need to reflect local policy objectives, but also needs to be consistent with other international indicator programs to allow comparisons across countries</w:t>
            </w:r>
          </w:p>
          <w:p w14:paraId="4658AA0C" w14:textId="77777777" w:rsidR="00DB4ABB" w:rsidRPr="00E22B82" w:rsidRDefault="00DB4ABB" w:rsidP="0024515B">
            <w:pPr>
              <w:spacing w:line="276" w:lineRule="auto"/>
              <w:jc w:val="both"/>
              <w:rPr>
                <w:rFonts w:ascii="Times New Roman" w:hAnsi="Times New Roman" w:cs="Times New Roman"/>
                <w:lang w:val="en-IE"/>
              </w:rPr>
            </w:pPr>
          </w:p>
        </w:tc>
      </w:tr>
      <w:tr w:rsidR="00DB4ABB" w:rsidRPr="00E22B82" w14:paraId="4E22410A" w14:textId="77777777" w:rsidTr="0024515B">
        <w:tc>
          <w:tcPr>
            <w:tcW w:w="9010" w:type="dxa"/>
          </w:tcPr>
          <w:p w14:paraId="22866593" w14:textId="77777777" w:rsidR="00DB4ABB" w:rsidRPr="00E22B82" w:rsidRDefault="00DB4ABB" w:rsidP="00DB4ABB">
            <w:pPr>
              <w:numPr>
                <w:ilvl w:val="0"/>
                <w:numId w:val="23"/>
              </w:numPr>
              <w:spacing w:after="200" w:line="276" w:lineRule="auto"/>
              <w:contextualSpacing/>
              <w:jc w:val="both"/>
              <w:rPr>
                <w:rFonts w:ascii="Times New Roman" w:hAnsi="Times New Roman" w:cs="Times New Roman"/>
                <w:lang w:val="en-IE"/>
              </w:rPr>
            </w:pPr>
            <w:r w:rsidRPr="00E22B82">
              <w:rPr>
                <w:rFonts w:ascii="Times New Roman" w:hAnsi="Times New Roman" w:cs="Times New Roman"/>
                <w:i/>
                <w:lang w:val="en-IE"/>
              </w:rPr>
              <w:t>Stakeholder Input</w:t>
            </w:r>
            <w:r w:rsidRPr="00E22B82">
              <w:rPr>
                <w:rFonts w:ascii="Times New Roman" w:hAnsi="Times New Roman" w:cs="Times New Roman"/>
                <w:lang w:val="en-IE"/>
              </w:rPr>
              <w:t>: Refers to the solicited preferences of members of the end user community, in terms of indicators best suited to reflect the stated objectives</w:t>
            </w:r>
          </w:p>
          <w:p w14:paraId="18F37027" w14:textId="77777777" w:rsidR="00DB4ABB" w:rsidRPr="00E22B82" w:rsidRDefault="00DB4ABB" w:rsidP="0024515B">
            <w:pPr>
              <w:spacing w:line="276" w:lineRule="auto"/>
              <w:jc w:val="both"/>
              <w:rPr>
                <w:rFonts w:ascii="Times New Roman" w:hAnsi="Times New Roman" w:cs="Times New Roman"/>
                <w:lang w:val="en-IE"/>
              </w:rPr>
            </w:pPr>
          </w:p>
        </w:tc>
      </w:tr>
      <w:tr w:rsidR="00DB4ABB" w:rsidRPr="00E22B82" w14:paraId="6DE6DC6B" w14:textId="77777777" w:rsidTr="0024515B">
        <w:tc>
          <w:tcPr>
            <w:tcW w:w="9010" w:type="dxa"/>
            <w:shd w:val="clear" w:color="auto" w:fill="D9D9D9" w:themeFill="background1" w:themeFillShade="D9"/>
          </w:tcPr>
          <w:p w14:paraId="1325F14E" w14:textId="77777777" w:rsidR="00DB4ABB" w:rsidRPr="00E22B82" w:rsidRDefault="00DB4ABB" w:rsidP="00DB4ABB">
            <w:pPr>
              <w:numPr>
                <w:ilvl w:val="0"/>
                <w:numId w:val="23"/>
              </w:numPr>
              <w:spacing w:after="200" w:line="276" w:lineRule="auto"/>
              <w:contextualSpacing/>
              <w:jc w:val="both"/>
              <w:rPr>
                <w:rFonts w:ascii="Times New Roman" w:hAnsi="Times New Roman" w:cs="Times New Roman"/>
                <w:lang w:val="en-IE"/>
              </w:rPr>
            </w:pPr>
            <w:r w:rsidRPr="00E22B82">
              <w:rPr>
                <w:rFonts w:ascii="Times New Roman" w:hAnsi="Times New Roman" w:cs="Times New Roman"/>
                <w:i/>
                <w:lang w:val="en-IE"/>
              </w:rPr>
              <w:t>Technical Feasibility</w:t>
            </w:r>
            <w:r w:rsidRPr="00E22B82">
              <w:rPr>
                <w:rFonts w:ascii="Times New Roman" w:hAnsi="Times New Roman" w:cs="Times New Roman"/>
                <w:lang w:val="en-IE"/>
              </w:rPr>
              <w:t>: Refers to the feasibility of technically representing a SUI in the decision support tool.</w:t>
            </w:r>
          </w:p>
          <w:p w14:paraId="31A6FA8E" w14:textId="77777777" w:rsidR="00DB4ABB" w:rsidRPr="00E22B82" w:rsidRDefault="00DB4ABB" w:rsidP="0024515B">
            <w:pPr>
              <w:spacing w:line="276" w:lineRule="auto"/>
              <w:jc w:val="both"/>
              <w:rPr>
                <w:rFonts w:ascii="Times New Roman" w:hAnsi="Times New Roman" w:cs="Times New Roman"/>
                <w:lang w:val="en-IE"/>
              </w:rPr>
            </w:pPr>
          </w:p>
        </w:tc>
      </w:tr>
      <w:tr w:rsidR="00DB4ABB" w:rsidRPr="00E22B82" w14:paraId="3432D65A" w14:textId="77777777" w:rsidTr="0024515B">
        <w:trPr>
          <w:trHeight w:val="294"/>
        </w:trPr>
        <w:tc>
          <w:tcPr>
            <w:tcW w:w="9010" w:type="dxa"/>
          </w:tcPr>
          <w:p w14:paraId="4CA2F5F9" w14:textId="77777777" w:rsidR="00DB4ABB" w:rsidRPr="00E22B82" w:rsidRDefault="00DB4ABB" w:rsidP="00DB4ABB">
            <w:pPr>
              <w:numPr>
                <w:ilvl w:val="0"/>
                <w:numId w:val="23"/>
              </w:numPr>
              <w:spacing w:after="200" w:line="276" w:lineRule="auto"/>
              <w:contextualSpacing/>
              <w:jc w:val="both"/>
              <w:rPr>
                <w:rFonts w:ascii="Times New Roman" w:hAnsi="Times New Roman" w:cs="Times New Roman"/>
                <w:lang w:val="en-IE"/>
              </w:rPr>
            </w:pPr>
            <w:r w:rsidRPr="00E22B82">
              <w:rPr>
                <w:rFonts w:ascii="Times New Roman" w:hAnsi="Times New Roman" w:cs="Times New Roman"/>
                <w:i/>
                <w:lang w:val="en-IE"/>
              </w:rPr>
              <w:t>Data Availability</w:t>
            </w:r>
            <w:r w:rsidRPr="00E22B82">
              <w:rPr>
                <w:rFonts w:ascii="Times New Roman" w:hAnsi="Times New Roman" w:cs="Times New Roman"/>
                <w:lang w:val="en-IE"/>
              </w:rPr>
              <w:t>: Refers to the availability of data to effectively support the operation of the SUI in the decision support tool.</w:t>
            </w:r>
          </w:p>
          <w:p w14:paraId="22C32A19" w14:textId="77777777" w:rsidR="00DB4ABB" w:rsidRPr="00E22B82" w:rsidRDefault="00DB4ABB" w:rsidP="0024515B">
            <w:pPr>
              <w:spacing w:line="276" w:lineRule="auto"/>
              <w:jc w:val="both"/>
              <w:rPr>
                <w:rFonts w:ascii="Times New Roman" w:hAnsi="Times New Roman" w:cs="Times New Roman"/>
                <w:lang w:val="en-IE"/>
              </w:rPr>
            </w:pPr>
          </w:p>
        </w:tc>
      </w:tr>
      <w:tr w:rsidR="00DB4ABB" w:rsidRPr="00E22B82" w14:paraId="4D88C5D7" w14:textId="77777777" w:rsidTr="0024515B">
        <w:trPr>
          <w:trHeight w:val="912"/>
        </w:trPr>
        <w:tc>
          <w:tcPr>
            <w:tcW w:w="9010" w:type="dxa"/>
            <w:shd w:val="clear" w:color="auto" w:fill="D9D9D9" w:themeFill="background1" w:themeFillShade="D9"/>
          </w:tcPr>
          <w:p w14:paraId="1D56094C" w14:textId="77777777" w:rsidR="00DB4ABB" w:rsidRPr="00E22B82" w:rsidRDefault="00DB4ABB" w:rsidP="00DB4ABB">
            <w:pPr>
              <w:numPr>
                <w:ilvl w:val="0"/>
                <w:numId w:val="23"/>
              </w:numPr>
              <w:spacing w:after="200" w:line="276" w:lineRule="auto"/>
              <w:contextualSpacing/>
              <w:jc w:val="both"/>
              <w:rPr>
                <w:rFonts w:ascii="Times New Roman" w:hAnsi="Times New Roman" w:cs="Times New Roman"/>
                <w:lang w:val="en-IE"/>
              </w:rPr>
            </w:pPr>
            <w:r w:rsidRPr="00E22B82">
              <w:rPr>
                <w:rFonts w:ascii="Times New Roman" w:hAnsi="Times New Roman" w:cs="Times New Roman"/>
                <w:i/>
                <w:lang w:val="en-IE"/>
              </w:rPr>
              <w:t>Clear consistent focus</w:t>
            </w:r>
            <w:r w:rsidRPr="00E22B82">
              <w:rPr>
                <w:rFonts w:ascii="Times New Roman" w:hAnsi="Times New Roman" w:cs="Times New Roman"/>
                <w:lang w:val="en-IE"/>
              </w:rPr>
              <w:t>: linkages with the core objectives of carbon reduction, energy cost reduction, and increased energy efficiency</w:t>
            </w:r>
          </w:p>
          <w:p w14:paraId="08AF70D8" w14:textId="77777777" w:rsidR="00DB4ABB" w:rsidRPr="00E22B82" w:rsidRDefault="00DB4ABB" w:rsidP="0024515B">
            <w:pPr>
              <w:spacing w:after="200" w:line="276" w:lineRule="auto"/>
              <w:ind w:left="720"/>
              <w:contextualSpacing/>
              <w:jc w:val="both"/>
              <w:rPr>
                <w:rFonts w:ascii="Times New Roman" w:hAnsi="Times New Roman" w:cs="Times New Roman"/>
                <w:lang w:val="en-IE"/>
              </w:rPr>
            </w:pPr>
          </w:p>
        </w:tc>
      </w:tr>
      <w:tr w:rsidR="00DB4ABB" w:rsidRPr="00E22B82" w14:paraId="0F545FE0" w14:textId="77777777" w:rsidTr="0024515B">
        <w:tc>
          <w:tcPr>
            <w:tcW w:w="9010" w:type="dxa"/>
          </w:tcPr>
          <w:p w14:paraId="131AABDD" w14:textId="77777777" w:rsidR="00DB4ABB" w:rsidRPr="00E22B82" w:rsidRDefault="00DB4ABB" w:rsidP="00DB4ABB">
            <w:pPr>
              <w:pStyle w:val="ListParagraph"/>
              <w:numPr>
                <w:ilvl w:val="0"/>
                <w:numId w:val="23"/>
              </w:numPr>
              <w:spacing w:line="276" w:lineRule="auto"/>
              <w:textAlignment w:val="baseline"/>
              <w:rPr>
                <w:rFonts w:ascii="Times New Roman" w:hAnsi="Times New Roman" w:cs="Times New Roman"/>
                <w:lang w:val="en-IE"/>
              </w:rPr>
            </w:pPr>
            <w:r w:rsidRPr="00E22B82">
              <w:rPr>
                <w:rFonts w:ascii="Times New Roman" w:hAnsi="Times New Roman" w:cs="Times New Roman"/>
                <w:i/>
                <w:iCs/>
                <w:bdr w:val="none" w:sz="0" w:space="0" w:color="auto" w:frame="1"/>
                <w:lang w:val="en-IE"/>
              </w:rPr>
              <w:t>Be sensitive and specific to the underlying phenomenon</w:t>
            </w:r>
            <w:r w:rsidRPr="00E22B82">
              <w:rPr>
                <w:rFonts w:ascii="Times New Roman" w:hAnsi="Times New Roman" w:cs="Times New Roman"/>
                <w:lang w:val="en-IE"/>
              </w:rPr>
              <w:t>: The indicator should respond relatively quickly and noticeably to changes</w:t>
            </w:r>
          </w:p>
          <w:p w14:paraId="01400033" w14:textId="77777777" w:rsidR="00DB4ABB" w:rsidRPr="00E22B82" w:rsidRDefault="00DB4ABB" w:rsidP="0024515B">
            <w:pPr>
              <w:spacing w:line="276" w:lineRule="auto"/>
              <w:ind w:left="2700"/>
              <w:textAlignment w:val="baseline"/>
              <w:rPr>
                <w:rFonts w:ascii="Times New Roman" w:hAnsi="Times New Roman" w:cs="Times New Roman"/>
                <w:lang w:val="en-IE"/>
              </w:rPr>
            </w:pPr>
          </w:p>
        </w:tc>
      </w:tr>
      <w:tr w:rsidR="00DB4ABB" w:rsidRPr="00E22B82" w14:paraId="786CDD0E" w14:textId="77777777" w:rsidTr="0024515B">
        <w:tc>
          <w:tcPr>
            <w:tcW w:w="9010" w:type="dxa"/>
            <w:shd w:val="clear" w:color="auto" w:fill="D9D9D9" w:themeFill="background1" w:themeFillShade="D9"/>
          </w:tcPr>
          <w:p w14:paraId="32EEC275" w14:textId="77777777" w:rsidR="00DB4ABB" w:rsidRPr="00E22B82" w:rsidRDefault="00DB4ABB" w:rsidP="00DB4ABB">
            <w:pPr>
              <w:pStyle w:val="ListParagraph"/>
              <w:numPr>
                <w:ilvl w:val="0"/>
                <w:numId w:val="23"/>
              </w:numPr>
              <w:spacing w:line="276" w:lineRule="auto"/>
              <w:textAlignment w:val="baseline"/>
              <w:rPr>
                <w:rFonts w:ascii="Times New Roman" w:hAnsi="Times New Roman" w:cs="Times New Roman"/>
                <w:lang w:val="en-IE"/>
              </w:rPr>
            </w:pPr>
            <w:r w:rsidRPr="00E22B82">
              <w:rPr>
                <w:rFonts w:ascii="Times New Roman" w:hAnsi="Times New Roman" w:cs="Times New Roman"/>
                <w:i/>
                <w:iCs/>
                <w:bdr w:val="none" w:sz="0" w:space="0" w:color="auto" w:frame="1"/>
                <w:lang w:val="en-IE"/>
              </w:rPr>
              <w:t>Be statistically sound</w:t>
            </w:r>
            <w:r w:rsidRPr="00E22B82">
              <w:rPr>
                <w:rFonts w:ascii="Times New Roman" w:hAnsi="Times New Roman" w:cs="Times New Roman"/>
                <w:lang w:val="en-IE"/>
              </w:rPr>
              <w:t>: Indicator measurement needs to be methodologically sound and fit for the purpose to which it is being applied,</w:t>
            </w:r>
          </w:p>
          <w:p w14:paraId="0CA6DCAF" w14:textId="77777777" w:rsidR="00DB4ABB" w:rsidRPr="00E22B82" w:rsidRDefault="00DB4ABB" w:rsidP="0024515B">
            <w:pPr>
              <w:spacing w:before="7" w:line="276" w:lineRule="auto"/>
              <w:jc w:val="both"/>
              <w:rPr>
                <w:rFonts w:ascii="Times New Roman" w:hAnsi="Times New Roman" w:cs="Times New Roman"/>
                <w:lang w:val="en-IE"/>
              </w:rPr>
            </w:pPr>
          </w:p>
        </w:tc>
      </w:tr>
      <w:tr w:rsidR="00DB4ABB" w:rsidRPr="00E22B82" w14:paraId="2C0AD3A4" w14:textId="77777777" w:rsidTr="0024515B">
        <w:tc>
          <w:tcPr>
            <w:tcW w:w="9010" w:type="dxa"/>
          </w:tcPr>
          <w:p w14:paraId="0369627B" w14:textId="77777777" w:rsidR="00DB4ABB" w:rsidRPr="00E22B82" w:rsidRDefault="00DB4ABB" w:rsidP="00DB4ABB">
            <w:pPr>
              <w:pStyle w:val="ListParagraph"/>
              <w:numPr>
                <w:ilvl w:val="0"/>
                <w:numId w:val="23"/>
              </w:numPr>
              <w:spacing w:line="276" w:lineRule="auto"/>
              <w:textAlignment w:val="baseline"/>
              <w:rPr>
                <w:rFonts w:ascii="Times New Roman" w:hAnsi="Times New Roman" w:cs="Times New Roman"/>
                <w:lang w:val="en-IE"/>
              </w:rPr>
            </w:pPr>
            <w:r w:rsidRPr="00E22B82">
              <w:rPr>
                <w:rFonts w:ascii="Times New Roman" w:hAnsi="Times New Roman" w:cs="Times New Roman"/>
                <w:i/>
                <w:iCs/>
                <w:bdr w:val="none" w:sz="0" w:space="0" w:color="auto" w:frame="1"/>
                <w:lang w:val="en-IE"/>
              </w:rPr>
              <w:t>Be intelligible</w:t>
            </w:r>
            <w:r w:rsidRPr="00E22B82">
              <w:rPr>
                <w:rFonts w:ascii="Times New Roman" w:hAnsi="Times New Roman" w:cs="Times New Roman"/>
                <w:lang w:val="en-IE"/>
              </w:rPr>
              <w:t>: It should be sufficiently simple to be interpreted in practice,</w:t>
            </w:r>
          </w:p>
          <w:p w14:paraId="7CF3B244" w14:textId="77777777" w:rsidR="00DB4ABB" w:rsidRPr="00E22B82" w:rsidRDefault="00DB4ABB" w:rsidP="0024515B">
            <w:pPr>
              <w:spacing w:before="7" w:line="276" w:lineRule="auto"/>
              <w:jc w:val="both"/>
              <w:rPr>
                <w:rFonts w:ascii="Times New Roman" w:hAnsi="Times New Roman" w:cs="Times New Roman"/>
                <w:lang w:val="en-IE"/>
              </w:rPr>
            </w:pPr>
          </w:p>
        </w:tc>
      </w:tr>
      <w:tr w:rsidR="00DB4ABB" w:rsidRPr="00E22B82" w14:paraId="1743323F" w14:textId="77777777" w:rsidTr="0024515B">
        <w:tc>
          <w:tcPr>
            <w:tcW w:w="9010" w:type="dxa"/>
            <w:shd w:val="clear" w:color="auto" w:fill="D9D9D9" w:themeFill="background1" w:themeFillShade="D9"/>
          </w:tcPr>
          <w:p w14:paraId="3665F4A6" w14:textId="77777777" w:rsidR="00DB4ABB" w:rsidRPr="00E22B82" w:rsidRDefault="00DB4ABB" w:rsidP="00DB4ABB">
            <w:pPr>
              <w:pStyle w:val="ListParagraph"/>
              <w:numPr>
                <w:ilvl w:val="0"/>
                <w:numId w:val="23"/>
              </w:numPr>
              <w:spacing w:before="7" w:line="276" w:lineRule="auto"/>
              <w:jc w:val="both"/>
              <w:rPr>
                <w:rFonts w:ascii="Times New Roman" w:hAnsi="Times New Roman" w:cs="Times New Roman"/>
                <w:lang w:val="en-IE"/>
              </w:rPr>
            </w:pPr>
            <w:r w:rsidRPr="00E22B82">
              <w:rPr>
                <w:rFonts w:ascii="Times New Roman" w:hAnsi="Times New Roman" w:cs="Times New Roman"/>
                <w:i/>
                <w:iCs/>
                <w:bdr w:val="none" w:sz="0" w:space="0" w:color="auto" w:frame="1"/>
                <w:shd w:val="clear" w:color="auto" w:fill="D9D9D9" w:themeFill="background1" w:themeFillShade="D9"/>
                <w:lang w:val="en-IE"/>
              </w:rPr>
              <w:t>Be consistent over time</w:t>
            </w:r>
            <w:r w:rsidRPr="00E22B82">
              <w:rPr>
                <w:rFonts w:ascii="Times New Roman" w:hAnsi="Times New Roman" w:cs="Times New Roman"/>
                <w:shd w:val="clear" w:color="auto" w:fill="D9D9D9" w:themeFill="background1" w:themeFillShade="D9"/>
                <w:lang w:val="en-IE"/>
              </w:rPr>
              <w:t>: The usefulness</w:t>
            </w:r>
            <w:r w:rsidRPr="00E22B82">
              <w:rPr>
                <w:rFonts w:ascii="Times New Roman" w:hAnsi="Times New Roman" w:cs="Times New Roman"/>
                <w:lang w:val="en-IE"/>
              </w:rPr>
              <w:t xml:space="preserve"> of each indicator is related directly to the ability to track trends over time</w:t>
            </w:r>
          </w:p>
          <w:p w14:paraId="00675562" w14:textId="77777777" w:rsidR="00DB4ABB" w:rsidRPr="00E22B82" w:rsidRDefault="00DB4ABB" w:rsidP="0024515B">
            <w:pPr>
              <w:pStyle w:val="ListParagraph"/>
              <w:spacing w:before="7" w:line="276" w:lineRule="auto"/>
              <w:jc w:val="both"/>
              <w:rPr>
                <w:rFonts w:ascii="Times New Roman" w:hAnsi="Times New Roman" w:cs="Times New Roman"/>
                <w:lang w:val="en-IE"/>
              </w:rPr>
            </w:pPr>
          </w:p>
        </w:tc>
      </w:tr>
    </w:tbl>
    <w:p w14:paraId="07EB63B9" w14:textId="77777777" w:rsidR="00DB4ABB" w:rsidRPr="00E22B82" w:rsidRDefault="00DB4ABB" w:rsidP="00DB4ABB">
      <w:pPr>
        <w:spacing w:before="7" w:line="276" w:lineRule="auto"/>
        <w:jc w:val="both"/>
        <w:rPr>
          <w:rFonts w:ascii="Times New Roman" w:hAnsi="Times New Roman" w:cs="Times New Roman"/>
          <w:sz w:val="22"/>
          <w:szCs w:val="22"/>
          <w:lang w:val="en-IE"/>
        </w:rPr>
      </w:pPr>
    </w:p>
    <w:p w14:paraId="6C5D60F7" w14:textId="77777777" w:rsidR="007C546D" w:rsidRDefault="007C546D" w:rsidP="00B53C4D">
      <w:pPr>
        <w:pStyle w:val="Heading2"/>
        <w:spacing w:line="276" w:lineRule="auto"/>
        <w:rPr>
          <w:rFonts w:ascii="Times New Roman" w:hAnsi="Times New Roman" w:cs="Times New Roman"/>
          <w:b/>
          <w:color w:val="auto"/>
          <w:sz w:val="24"/>
          <w:lang w:val="en-IE"/>
        </w:rPr>
      </w:pPr>
      <w:bookmarkStart w:id="4" w:name="_Toc450945617"/>
      <w:r w:rsidRPr="00E22B82">
        <w:rPr>
          <w:rFonts w:ascii="Times New Roman" w:hAnsi="Times New Roman" w:cs="Times New Roman"/>
          <w:b/>
          <w:color w:val="auto"/>
          <w:sz w:val="24"/>
          <w:lang w:val="en-IE"/>
        </w:rPr>
        <w:t>Indicator Selection</w:t>
      </w:r>
      <w:bookmarkEnd w:id="4"/>
    </w:p>
    <w:p w14:paraId="555DCEEF" w14:textId="77777777" w:rsidR="00511857" w:rsidRPr="00511857" w:rsidRDefault="00511857" w:rsidP="00511857">
      <w:pPr>
        <w:rPr>
          <w:lang w:val="en-IE"/>
        </w:rPr>
      </w:pPr>
    </w:p>
    <w:p w14:paraId="0AD885C3" w14:textId="77777777" w:rsidR="00DA68B0" w:rsidRPr="00E22B82" w:rsidRDefault="00E709EC"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In line with the rationale advanced in Keirstead (2007), before the drafting process commenced, the goal and scope of the indicators were explored in order to provide a foundation upon which the </w:t>
      </w:r>
      <w:r w:rsidRPr="00E22B82">
        <w:rPr>
          <w:rFonts w:ascii="Times New Roman" w:hAnsi="Times New Roman" w:cs="Times New Roman"/>
          <w:sz w:val="22"/>
          <w:szCs w:val="22"/>
          <w:lang w:val="en-IE"/>
        </w:rPr>
        <w:lastRenderedPageBreak/>
        <w:t>indicators could be based. The goal of the indicators is to reflect changes arising from interventions in the simulated built environment in a manner which is accessible to the citizen, decision maker as well as professional practitioner.</w:t>
      </w:r>
      <w:r w:rsidRPr="00E22B82">
        <w:rPr>
          <w:rFonts w:ascii="Times New Roman" w:hAnsi="Times New Roman" w:cs="Times New Roman"/>
          <w:b/>
          <w:sz w:val="22"/>
          <w:szCs w:val="22"/>
          <w:lang w:val="en-IE"/>
        </w:rPr>
        <w:t xml:space="preserve"> </w:t>
      </w:r>
      <w:r w:rsidRPr="00E22B82">
        <w:rPr>
          <w:rFonts w:ascii="Times New Roman" w:hAnsi="Times New Roman" w:cs="Times New Roman"/>
          <w:sz w:val="22"/>
          <w:szCs w:val="22"/>
          <w:lang w:val="en-IE"/>
        </w:rPr>
        <w:t xml:space="preserve">It was envisioned that a number of the SUIs would be applicable across the spectrum of spatial scales outlined above, depending on the availability of accurate data and technical feasibility. Due to the expected interrelationship between those domains, the framework for the indicator suite would </w:t>
      </w:r>
      <w:r w:rsidR="00517FEE">
        <w:rPr>
          <w:rFonts w:ascii="Times New Roman" w:hAnsi="Times New Roman" w:cs="Times New Roman"/>
          <w:sz w:val="22"/>
          <w:szCs w:val="22"/>
          <w:lang w:val="en-IE"/>
        </w:rPr>
        <w:t xml:space="preserve">be advanced as a comprehensive and </w:t>
      </w:r>
      <w:r w:rsidRPr="00E22B82">
        <w:rPr>
          <w:rFonts w:ascii="Times New Roman" w:hAnsi="Times New Roman" w:cs="Times New Roman"/>
          <w:sz w:val="22"/>
          <w:szCs w:val="22"/>
          <w:lang w:val="en-IE"/>
        </w:rPr>
        <w:t xml:space="preserve">responsive feature to reflect the impact of modelled </w:t>
      </w:r>
      <w:r w:rsidR="00517FEE">
        <w:rPr>
          <w:rFonts w:ascii="Times New Roman" w:hAnsi="Times New Roman" w:cs="Times New Roman"/>
          <w:sz w:val="22"/>
          <w:szCs w:val="22"/>
          <w:lang w:val="en-IE"/>
        </w:rPr>
        <w:t>energy interventions on urban</w:t>
      </w:r>
      <w:r w:rsidRPr="00E22B82">
        <w:rPr>
          <w:rFonts w:ascii="Times New Roman" w:hAnsi="Times New Roman" w:cs="Times New Roman"/>
          <w:sz w:val="22"/>
          <w:szCs w:val="22"/>
          <w:lang w:val="en-IE"/>
        </w:rPr>
        <w:t xml:space="preserve"> structures. Consideration was given to the need to incorporate an acknowledgement of temporal as well as seasonal influences on the use of energy. As a result, a seasonal and temporal attribute was built in to the indicator drafting process in order to accurately </w:t>
      </w:r>
      <w:r w:rsidR="00C13BEE">
        <w:rPr>
          <w:rFonts w:ascii="Times New Roman" w:hAnsi="Times New Roman" w:cs="Times New Roman"/>
          <w:sz w:val="22"/>
          <w:szCs w:val="22"/>
          <w:lang w:val="en-IE"/>
        </w:rPr>
        <w:t>demonstrate</w:t>
      </w:r>
      <w:r w:rsidRPr="00E22B82">
        <w:rPr>
          <w:rFonts w:ascii="Times New Roman" w:hAnsi="Times New Roman" w:cs="Times New Roman"/>
          <w:sz w:val="22"/>
          <w:szCs w:val="22"/>
          <w:lang w:val="en-IE"/>
        </w:rPr>
        <w:t xml:space="preserve"> the energy dynamics of the chosen intervention at a specified spatial scale where the data permits. </w:t>
      </w:r>
      <w:r w:rsidR="00DA68B0" w:rsidRPr="00E22B82">
        <w:rPr>
          <w:rFonts w:ascii="Times New Roman" w:hAnsi="Times New Roman" w:cs="Times New Roman"/>
          <w:sz w:val="22"/>
          <w:szCs w:val="22"/>
          <w:lang w:val="en-IE"/>
        </w:rPr>
        <w:t>The goal of the devised SUIs was to facilitate the creation of a solid evidence base upon which decisions relating to interventions in the urban environment can be assessed and validated against the principles of sustainable development. The indicators would need to be able to accurately represent the impact of modelled interventions in respect of the following components of the urban environment:</w:t>
      </w:r>
    </w:p>
    <w:p w14:paraId="2F9042A3" w14:textId="77777777" w:rsidR="007C6230" w:rsidRPr="00E22B82" w:rsidRDefault="007C6230" w:rsidP="00B53C4D">
      <w:pPr>
        <w:spacing w:line="276" w:lineRule="auto"/>
        <w:jc w:val="both"/>
        <w:rPr>
          <w:rFonts w:ascii="Times New Roman" w:hAnsi="Times New Roman" w:cs="Times New Roman"/>
          <w:sz w:val="22"/>
          <w:szCs w:val="22"/>
          <w:lang w:val="en-IE"/>
        </w:rPr>
      </w:pPr>
    </w:p>
    <w:p w14:paraId="4C5934EA" w14:textId="77777777" w:rsidR="00DA68B0" w:rsidRPr="00E22B82" w:rsidRDefault="00DA68B0" w:rsidP="00B53C4D">
      <w:pPr>
        <w:pStyle w:val="ListParagraph"/>
        <w:numPr>
          <w:ilvl w:val="0"/>
          <w:numId w:val="30"/>
        </w:numPr>
        <w:tabs>
          <w:tab w:val="left" w:pos="940"/>
        </w:tabs>
        <w:spacing w:line="276" w:lineRule="auto"/>
        <w:ind w:right="-20"/>
        <w:jc w:val="both"/>
        <w:rPr>
          <w:rFonts w:ascii="Times New Roman" w:eastAsia="Calibri" w:hAnsi="Times New Roman" w:cs="Times New Roman"/>
          <w:sz w:val="22"/>
          <w:szCs w:val="22"/>
          <w:lang w:val="en-IE"/>
        </w:rPr>
      </w:pPr>
      <w:r w:rsidRPr="00E22B82">
        <w:rPr>
          <w:rFonts w:ascii="Times New Roman" w:eastAsia="Calibri" w:hAnsi="Times New Roman" w:cs="Times New Roman"/>
          <w:bCs/>
          <w:i/>
          <w:spacing w:val="-1"/>
          <w:sz w:val="22"/>
          <w:szCs w:val="22"/>
          <w:lang w:val="en-IE"/>
        </w:rPr>
        <w:t>Ene</w:t>
      </w:r>
      <w:r w:rsidRPr="00E22B82">
        <w:rPr>
          <w:rFonts w:ascii="Times New Roman" w:eastAsia="Calibri" w:hAnsi="Times New Roman" w:cs="Times New Roman"/>
          <w:bCs/>
          <w:i/>
          <w:spacing w:val="1"/>
          <w:sz w:val="22"/>
          <w:szCs w:val="22"/>
          <w:lang w:val="en-IE"/>
        </w:rPr>
        <w:t>rg</w:t>
      </w:r>
      <w:r w:rsidRPr="00E22B82">
        <w:rPr>
          <w:rFonts w:ascii="Times New Roman" w:eastAsia="Calibri" w:hAnsi="Times New Roman" w:cs="Times New Roman"/>
          <w:bCs/>
          <w:i/>
          <w:sz w:val="22"/>
          <w:szCs w:val="22"/>
          <w:lang w:val="en-IE"/>
        </w:rPr>
        <w:t>y</w:t>
      </w:r>
      <w:r w:rsidRPr="00E22B82">
        <w:rPr>
          <w:rFonts w:ascii="Times New Roman" w:eastAsia="Calibri" w:hAnsi="Times New Roman" w:cs="Times New Roman"/>
          <w:bCs/>
          <w:i/>
          <w:spacing w:val="-1"/>
          <w:sz w:val="22"/>
          <w:szCs w:val="22"/>
          <w:lang w:val="en-IE"/>
        </w:rPr>
        <w:t xml:space="preserve"> </w:t>
      </w:r>
      <w:r w:rsidRPr="00E22B82">
        <w:rPr>
          <w:rFonts w:ascii="Times New Roman" w:eastAsia="Calibri" w:hAnsi="Times New Roman" w:cs="Times New Roman"/>
          <w:bCs/>
          <w:i/>
          <w:spacing w:val="1"/>
          <w:sz w:val="22"/>
          <w:szCs w:val="22"/>
          <w:lang w:val="en-IE"/>
        </w:rPr>
        <w:t>s</w:t>
      </w:r>
      <w:r w:rsidRPr="00E22B82">
        <w:rPr>
          <w:rFonts w:ascii="Times New Roman" w:eastAsia="Calibri" w:hAnsi="Times New Roman" w:cs="Times New Roman"/>
          <w:bCs/>
          <w:i/>
          <w:spacing w:val="-1"/>
          <w:sz w:val="22"/>
          <w:szCs w:val="22"/>
          <w:lang w:val="en-IE"/>
        </w:rPr>
        <w:t>ou</w:t>
      </w:r>
      <w:r w:rsidRPr="00E22B82">
        <w:rPr>
          <w:rFonts w:ascii="Times New Roman" w:eastAsia="Calibri" w:hAnsi="Times New Roman" w:cs="Times New Roman"/>
          <w:bCs/>
          <w:i/>
          <w:spacing w:val="-2"/>
          <w:sz w:val="22"/>
          <w:szCs w:val="22"/>
          <w:lang w:val="en-IE"/>
        </w:rPr>
        <w:t>r</w:t>
      </w:r>
      <w:r w:rsidRPr="00E22B82">
        <w:rPr>
          <w:rFonts w:ascii="Times New Roman" w:eastAsia="Calibri" w:hAnsi="Times New Roman" w:cs="Times New Roman"/>
          <w:bCs/>
          <w:i/>
          <w:spacing w:val="1"/>
          <w:sz w:val="22"/>
          <w:szCs w:val="22"/>
          <w:lang w:val="en-IE"/>
        </w:rPr>
        <w:t>c</w:t>
      </w:r>
      <w:r w:rsidRPr="00E22B82">
        <w:rPr>
          <w:rFonts w:ascii="Times New Roman" w:eastAsia="Calibri" w:hAnsi="Times New Roman" w:cs="Times New Roman"/>
          <w:bCs/>
          <w:i/>
          <w:spacing w:val="-1"/>
          <w:sz w:val="22"/>
          <w:szCs w:val="22"/>
          <w:lang w:val="en-IE"/>
        </w:rPr>
        <w:t>e</w:t>
      </w:r>
      <w:r w:rsidRPr="00E22B82">
        <w:rPr>
          <w:rFonts w:ascii="Times New Roman" w:eastAsia="Calibri" w:hAnsi="Times New Roman" w:cs="Times New Roman"/>
          <w:bCs/>
          <w:i/>
          <w:sz w:val="22"/>
          <w:szCs w:val="22"/>
          <w:lang w:val="en-IE"/>
        </w:rPr>
        <w:t>s:</w:t>
      </w:r>
      <w:r w:rsidRPr="00E22B82">
        <w:rPr>
          <w:rFonts w:ascii="Times New Roman" w:eastAsia="Calibri" w:hAnsi="Times New Roman" w:cs="Times New Roman"/>
          <w:b/>
          <w:bCs/>
          <w:spacing w:val="1"/>
          <w:sz w:val="22"/>
          <w:szCs w:val="22"/>
          <w:lang w:val="en-IE"/>
        </w:rPr>
        <w:t xml:space="preserve"> </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1"/>
          <w:sz w:val="22"/>
          <w:szCs w:val="22"/>
          <w:lang w:val="en-IE"/>
        </w:rPr>
        <w:t>i</w:t>
      </w:r>
      <w:r w:rsidRPr="00E22B82">
        <w:rPr>
          <w:rFonts w:ascii="Times New Roman" w:eastAsia="Calibri" w:hAnsi="Times New Roman" w:cs="Times New Roman"/>
          <w:spacing w:val="-2"/>
          <w:sz w:val="22"/>
          <w:szCs w:val="22"/>
          <w:lang w:val="en-IE"/>
        </w:rPr>
        <w:t>t</w:t>
      </w:r>
      <w:r w:rsidRPr="00E22B82">
        <w:rPr>
          <w:rFonts w:ascii="Times New Roman" w:eastAsia="Calibri" w:hAnsi="Times New Roman" w:cs="Times New Roman"/>
          <w:sz w:val="22"/>
          <w:szCs w:val="22"/>
          <w:lang w:val="en-IE"/>
        </w:rPr>
        <w:t>es</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w</w:t>
      </w:r>
      <w:r w:rsidRPr="00E22B82">
        <w:rPr>
          <w:rFonts w:ascii="Times New Roman" w:eastAsia="Calibri" w:hAnsi="Times New Roman" w:cs="Times New Roman"/>
          <w:spacing w:val="-3"/>
          <w:sz w:val="22"/>
          <w:szCs w:val="22"/>
          <w:lang w:val="en-IE"/>
        </w:rPr>
        <w:t>h</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2"/>
          <w:sz w:val="22"/>
          <w:szCs w:val="22"/>
          <w:lang w:val="en-IE"/>
        </w:rPr>
        <w:t>r</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ener</w:t>
      </w:r>
      <w:r w:rsidRPr="00E22B82">
        <w:rPr>
          <w:rFonts w:ascii="Times New Roman" w:eastAsia="Calibri" w:hAnsi="Times New Roman" w:cs="Times New Roman"/>
          <w:spacing w:val="-3"/>
          <w:sz w:val="22"/>
          <w:szCs w:val="22"/>
          <w:lang w:val="en-IE"/>
        </w:rPr>
        <w:t>g</w:t>
      </w:r>
      <w:r w:rsidRPr="00E22B82">
        <w:rPr>
          <w:rFonts w:ascii="Times New Roman" w:eastAsia="Calibri" w:hAnsi="Times New Roman" w:cs="Times New Roman"/>
          <w:sz w:val="22"/>
          <w:szCs w:val="22"/>
          <w:lang w:val="en-IE"/>
        </w:rPr>
        <w:t>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is</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3"/>
          <w:sz w:val="22"/>
          <w:szCs w:val="22"/>
          <w:lang w:val="en-IE"/>
        </w:rPr>
        <w:t>g</w:t>
      </w:r>
      <w:r w:rsidRPr="00E22B82">
        <w:rPr>
          <w:rFonts w:ascii="Times New Roman" w:eastAsia="Calibri" w:hAnsi="Times New Roman" w:cs="Times New Roman"/>
          <w:sz w:val="22"/>
          <w:szCs w:val="22"/>
          <w:lang w:val="en-IE"/>
        </w:rPr>
        <w:t>enera</w:t>
      </w:r>
      <w:r w:rsidRPr="00E22B82">
        <w:rPr>
          <w:rFonts w:ascii="Times New Roman" w:eastAsia="Calibri" w:hAnsi="Times New Roman" w:cs="Times New Roman"/>
          <w:spacing w:val="-2"/>
          <w:sz w:val="22"/>
          <w:szCs w:val="22"/>
          <w:lang w:val="en-IE"/>
        </w:rPr>
        <w:t>t</w:t>
      </w:r>
      <w:r w:rsidRPr="00E22B82">
        <w:rPr>
          <w:rFonts w:ascii="Times New Roman" w:eastAsia="Calibri" w:hAnsi="Times New Roman" w:cs="Times New Roman"/>
          <w:sz w:val="22"/>
          <w:szCs w:val="22"/>
          <w:lang w:val="en-IE"/>
        </w:rPr>
        <w:t>ed (su</w:t>
      </w:r>
      <w:r w:rsidRPr="00E22B82">
        <w:rPr>
          <w:rFonts w:ascii="Times New Roman" w:eastAsia="Calibri" w:hAnsi="Times New Roman" w:cs="Times New Roman"/>
          <w:spacing w:val="-4"/>
          <w:sz w:val="22"/>
          <w:szCs w:val="22"/>
          <w:lang w:val="en-IE"/>
        </w:rPr>
        <w:t>p</w:t>
      </w:r>
      <w:r w:rsidRPr="00E22B82">
        <w:rPr>
          <w:rFonts w:ascii="Times New Roman" w:eastAsia="Calibri" w:hAnsi="Times New Roman" w:cs="Times New Roman"/>
          <w:spacing w:val="-1"/>
          <w:sz w:val="22"/>
          <w:szCs w:val="22"/>
          <w:lang w:val="en-IE"/>
        </w:rPr>
        <w:t>p</w:t>
      </w:r>
      <w:r w:rsidRPr="00E22B82">
        <w:rPr>
          <w:rFonts w:ascii="Times New Roman" w:eastAsia="Calibri" w:hAnsi="Times New Roman" w:cs="Times New Roman"/>
          <w:sz w:val="22"/>
          <w:szCs w:val="22"/>
          <w:lang w:val="en-IE"/>
        </w:rPr>
        <w:t>l</w:t>
      </w:r>
      <w:r w:rsidRPr="00E22B82">
        <w:rPr>
          <w:rFonts w:ascii="Times New Roman" w:eastAsia="Calibri" w:hAnsi="Times New Roman" w:cs="Times New Roman"/>
          <w:spacing w:val="2"/>
          <w:sz w:val="22"/>
          <w:szCs w:val="22"/>
          <w:lang w:val="en-IE"/>
        </w:rPr>
        <w:t>y</w:t>
      </w:r>
      <w:r w:rsidRPr="00E22B82">
        <w:rPr>
          <w:rFonts w:ascii="Times New Roman" w:eastAsia="Calibri" w:hAnsi="Times New Roman" w:cs="Times New Roman"/>
          <w:sz w:val="22"/>
          <w:szCs w:val="22"/>
          <w:lang w:val="en-IE"/>
        </w:rPr>
        <w:t>-si</w:t>
      </w:r>
      <w:r w:rsidRPr="00E22B82">
        <w:rPr>
          <w:rFonts w:ascii="Times New Roman" w:eastAsia="Calibri" w:hAnsi="Times New Roman" w:cs="Times New Roman"/>
          <w:spacing w:val="-1"/>
          <w:sz w:val="22"/>
          <w:szCs w:val="22"/>
          <w:lang w:val="en-IE"/>
        </w:rPr>
        <w:t>d</w:t>
      </w:r>
      <w:r w:rsidRPr="00E22B82">
        <w:rPr>
          <w:rFonts w:ascii="Times New Roman" w:eastAsia="Calibri" w:hAnsi="Times New Roman" w:cs="Times New Roman"/>
          <w:sz w:val="22"/>
          <w:szCs w:val="22"/>
          <w:lang w:val="en-IE"/>
        </w:rPr>
        <w:t>e)</w:t>
      </w:r>
    </w:p>
    <w:p w14:paraId="154FDCB6" w14:textId="77777777" w:rsidR="00DA68B0" w:rsidRPr="00E22B82" w:rsidRDefault="00DA68B0" w:rsidP="00B53C4D">
      <w:pPr>
        <w:pStyle w:val="ListParagraph"/>
        <w:numPr>
          <w:ilvl w:val="0"/>
          <w:numId w:val="30"/>
        </w:numPr>
        <w:tabs>
          <w:tab w:val="left" w:pos="940"/>
        </w:tabs>
        <w:spacing w:line="276" w:lineRule="auto"/>
        <w:ind w:right="-20"/>
        <w:jc w:val="both"/>
        <w:rPr>
          <w:rFonts w:ascii="Times New Roman" w:eastAsia="Calibri" w:hAnsi="Times New Roman" w:cs="Times New Roman"/>
          <w:sz w:val="22"/>
          <w:szCs w:val="22"/>
          <w:lang w:val="en-IE"/>
        </w:rPr>
      </w:pPr>
      <w:r w:rsidRPr="00E22B82">
        <w:rPr>
          <w:rFonts w:ascii="Times New Roman" w:eastAsia="Calibri" w:hAnsi="Times New Roman" w:cs="Times New Roman"/>
          <w:bCs/>
          <w:i/>
          <w:sz w:val="22"/>
          <w:szCs w:val="22"/>
          <w:lang w:val="en-IE"/>
        </w:rPr>
        <w:t>E</w:t>
      </w:r>
      <w:r w:rsidRPr="00E22B82">
        <w:rPr>
          <w:rFonts w:ascii="Times New Roman" w:eastAsia="Calibri" w:hAnsi="Times New Roman" w:cs="Times New Roman"/>
          <w:bCs/>
          <w:i/>
          <w:spacing w:val="-1"/>
          <w:sz w:val="22"/>
          <w:szCs w:val="22"/>
          <w:lang w:val="en-IE"/>
        </w:rPr>
        <w:t>ne</w:t>
      </w:r>
      <w:r w:rsidRPr="00E22B82">
        <w:rPr>
          <w:rFonts w:ascii="Times New Roman" w:eastAsia="Calibri" w:hAnsi="Times New Roman" w:cs="Times New Roman"/>
          <w:bCs/>
          <w:i/>
          <w:spacing w:val="1"/>
          <w:sz w:val="22"/>
          <w:szCs w:val="22"/>
          <w:lang w:val="en-IE"/>
        </w:rPr>
        <w:t>rg</w:t>
      </w:r>
      <w:r w:rsidRPr="00E22B82">
        <w:rPr>
          <w:rFonts w:ascii="Times New Roman" w:eastAsia="Calibri" w:hAnsi="Times New Roman" w:cs="Times New Roman"/>
          <w:bCs/>
          <w:i/>
          <w:sz w:val="22"/>
          <w:szCs w:val="22"/>
          <w:lang w:val="en-IE"/>
        </w:rPr>
        <w:t>y</w:t>
      </w:r>
      <w:r w:rsidRPr="00E22B82">
        <w:rPr>
          <w:rFonts w:ascii="Times New Roman" w:eastAsia="Calibri" w:hAnsi="Times New Roman" w:cs="Times New Roman"/>
          <w:bCs/>
          <w:i/>
          <w:spacing w:val="-1"/>
          <w:sz w:val="22"/>
          <w:szCs w:val="22"/>
          <w:lang w:val="en-IE"/>
        </w:rPr>
        <w:t xml:space="preserve"> </w:t>
      </w:r>
      <w:r w:rsidR="00517FEE">
        <w:rPr>
          <w:rFonts w:ascii="Times New Roman" w:eastAsia="Calibri" w:hAnsi="Times New Roman" w:cs="Times New Roman"/>
          <w:bCs/>
          <w:i/>
          <w:spacing w:val="-1"/>
          <w:sz w:val="22"/>
          <w:szCs w:val="22"/>
          <w:lang w:val="en-IE"/>
        </w:rPr>
        <w:t>users</w:t>
      </w:r>
      <w:r w:rsidRPr="00E22B82">
        <w:rPr>
          <w:rFonts w:ascii="Times New Roman" w:eastAsia="Calibri" w:hAnsi="Times New Roman" w:cs="Times New Roman"/>
          <w:bCs/>
          <w:i/>
          <w:sz w:val="22"/>
          <w:szCs w:val="22"/>
          <w:lang w:val="en-IE"/>
        </w:rPr>
        <w:t>:</w:t>
      </w:r>
      <w:r w:rsidRPr="00E22B82">
        <w:rPr>
          <w:rFonts w:ascii="Times New Roman" w:eastAsia="Calibri" w:hAnsi="Times New Roman" w:cs="Times New Roman"/>
          <w:b/>
          <w:bCs/>
          <w:spacing w:val="1"/>
          <w:sz w:val="22"/>
          <w:szCs w:val="22"/>
          <w:lang w:val="en-IE"/>
        </w:rPr>
        <w:t xml:space="preserve"> </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1"/>
          <w:sz w:val="22"/>
          <w:szCs w:val="22"/>
          <w:lang w:val="en-IE"/>
        </w:rPr>
        <w:t>i</w:t>
      </w:r>
      <w:r w:rsidRPr="00E22B82">
        <w:rPr>
          <w:rFonts w:ascii="Times New Roman" w:eastAsia="Calibri" w:hAnsi="Times New Roman" w:cs="Times New Roman"/>
          <w:sz w:val="22"/>
          <w:szCs w:val="22"/>
          <w:lang w:val="en-IE"/>
        </w:rPr>
        <w:t>t</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 xml:space="preserve">s </w:t>
      </w:r>
      <w:r w:rsidRPr="00E22B82">
        <w:rPr>
          <w:rFonts w:ascii="Times New Roman" w:eastAsia="Calibri" w:hAnsi="Times New Roman" w:cs="Times New Roman"/>
          <w:spacing w:val="1"/>
          <w:sz w:val="22"/>
          <w:szCs w:val="22"/>
          <w:lang w:val="en-IE"/>
        </w:rPr>
        <w:t>w</w:t>
      </w:r>
      <w:r w:rsidRPr="00E22B82">
        <w:rPr>
          <w:rFonts w:ascii="Times New Roman" w:eastAsia="Calibri" w:hAnsi="Times New Roman" w:cs="Times New Roman"/>
          <w:spacing w:val="-3"/>
          <w:sz w:val="22"/>
          <w:szCs w:val="22"/>
          <w:lang w:val="en-IE"/>
        </w:rPr>
        <w:t>h</w:t>
      </w:r>
      <w:r w:rsidRPr="00E22B82">
        <w:rPr>
          <w:rFonts w:ascii="Times New Roman" w:eastAsia="Calibri" w:hAnsi="Times New Roman" w:cs="Times New Roman"/>
          <w:sz w:val="22"/>
          <w:szCs w:val="22"/>
          <w:lang w:val="en-IE"/>
        </w:rPr>
        <w:t>ere</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2"/>
          <w:sz w:val="22"/>
          <w:szCs w:val="22"/>
          <w:lang w:val="en-IE"/>
        </w:rPr>
        <w:t>e</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z w:val="22"/>
          <w:szCs w:val="22"/>
          <w:lang w:val="en-IE"/>
        </w:rPr>
        <w:t>ergy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is</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c</w:t>
      </w:r>
      <w:r w:rsidRPr="00E22B82">
        <w:rPr>
          <w:rFonts w:ascii="Times New Roman" w:eastAsia="Calibri" w:hAnsi="Times New Roman" w:cs="Times New Roman"/>
          <w:spacing w:val="1"/>
          <w:sz w:val="22"/>
          <w:szCs w:val="22"/>
          <w:lang w:val="en-IE"/>
        </w:rPr>
        <w:t>o</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3"/>
          <w:sz w:val="22"/>
          <w:szCs w:val="22"/>
          <w:lang w:val="en-IE"/>
        </w:rPr>
        <w:t>u</w:t>
      </w:r>
      <w:r w:rsidRPr="00E22B82">
        <w:rPr>
          <w:rFonts w:ascii="Times New Roman" w:eastAsia="Calibri" w:hAnsi="Times New Roman" w:cs="Times New Roman"/>
          <w:spacing w:val="1"/>
          <w:sz w:val="22"/>
          <w:szCs w:val="22"/>
          <w:lang w:val="en-IE"/>
        </w:rPr>
        <w:t>m</w:t>
      </w:r>
      <w:r w:rsidRPr="00E22B82">
        <w:rPr>
          <w:rFonts w:ascii="Times New Roman" w:eastAsia="Calibri" w:hAnsi="Times New Roman" w:cs="Times New Roman"/>
          <w:sz w:val="22"/>
          <w:szCs w:val="22"/>
          <w:lang w:val="en-IE"/>
        </w:rPr>
        <w:t>ed (</w:t>
      </w:r>
      <w:r w:rsidRPr="00E22B82">
        <w:rPr>
          <w:rFonts w:ascii="Times New Roman" w:eastAsia="Calibri" w:hAnsi="Times New Roman" w:cs="Times New Roman"/>
          <w:spacing w:val="-3"/>
          <w:sz w:val="22"/>
          <w:szCs w:val="22"/>
          <w:lang w:val="en-IE"/>
        </w:rPr>
        <w:t>d</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m</w:t>
      </w:r>
      <w:r w:rsidRPr="00E22B82">
        <w:rPr>
          <w:rFonts w:ascii="Times New Roman" w:eastAsia="Calibri" w:hAnsi="Times New Roman" w:cs="Times New Roman"/>
          <w:sz w:val="22"/>
          <w:szCs w:val="22"/>
          <w:lang w:val="en-IE"/>
        </w:rPr>
        <w:t>a</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pacing w:val="1"/>
          <w:sz w:val="22"/>
          <w:szCs w:val="22"/>
          <w:lang w:val="en-IE"/>
        </w:rPr>
        <w:t>d</w:t>
      </w:r>
      <w:r w:rsidRPr="00E22B82">
        <w:rPr>
          <w:rFonts w:ascii="Times New Roman" w:eastAsia="Calibri" w:hAnsi="Times New Roman" w:cs="Times New Roman"/>
          <w:sz w:val="22"/>
          <w:szCs w:val="22"/>
          <w:lang w:val="en-IE"/>
        </w:rPr>
        <w:t>-si</w:t>
      </w:r>
      <w:r w:rsidRPr="00E22B82">
        <w:rPr>
          <w:rFonts w:ascii="Times New Roman" w:eastAsia="Calibri" w:hAnsi="Times New Roman" w:cs="Times New Roman"/>
          <w:spacing w:val="-1"/>
          <w:sz w:val="22"/>
          <w:szCs w:val="22"/>
          <w:lang w:val="en-IE"/>
        </w:rPr>
        <w:t>d</w:t>
      </w:r>
      <w:r w:rsidRPr="00E22B82">
        <w:rPr>
          <w:rFonts w:ascii="Times New Roman" w:eastAsia="Calibri" w:hAnsi="Times New Roman" w:cs="Times New Roman"/>
          <w:sz w:val="22"/>
          <w:szCs w:val="22"/>
          <w:lang w:val="en-IE"/>
        </w:rPr>
        <w:t>e)</w:t>
      </w:r>
    </w:p>
    <w:p w14:paraId="33D2F494" w14:textId="77777777" w:rsidR="00DA68B0" w:rsidRPr="00E22B82" w:rsidRDefault="00DA68B0" w:rsidP="00B53C4D">
      <w:pPr>
        <w:pStyle w:val="ListParagraph"/>
        <w:numPr>
          <w:ilvl w:val="0"/>
          <w:numId w:val="30"/>
        </w:numPr>
        <w:tabs>
          <w:tab w:val="left" w:pos="940"/>
        </w:tabs>
        <w:spacing w:line="276" w:lineRule="auto"/>
        <w:ind w:right="-20"/>
        <w:jc w:val="both"/>
        <w:rPr>
          <w:rFonts w:ascii="Times New Roman" w:eastAsia="Calibri" w:hAnsi="Times New Roman" w:cs="Times New Roman"/>
          <w:sz w:val="22"/>
          <w:szCs w:val="22"/>
          <w:lang w:val="en-IE"/>
        </w:rPr>
      </w:pPr>
      <w:r w:rsidRPr="00E22B82">
        <w:rPr>
          <w:rFonts w:ascii="Times New Roman" w:eastAsia="Calibri" w:hAnsi="Times New Roman" w:cs="Times New Roman"/>
          <w:bCs/>
          <w:i/>
          <w:sz w:val="22"/>
          <w:szCs w:val="22"/>
          <w:lang w:val="en-IE"/>
        </w:rPr>
        <w:t>E</w:t>
      </w:r>
      <w:r w:rsidRPr="00E22B82">
        <w:rPr>
          <w:rFonts w:ascii="Times New Roman" w:eastAsia="Calibri" w:hAnsi="Times New Roman" w:cs="Times New Roman"/>
          <w:bCs/>
          <w:i/>
          <w:spacing w:val="-1"/>
          <w:sz w:val="22"/>
          <w:szCs w:val="22"/>
          <w:lang w:val="en-IE"/>
        </w:rPr>
        <w:t>ne</w:t>
      </w:r>
      <w:r w:rsidRPr="00E22B82">
        <w:rPr>
          <w:rFonts w:ascii="Times New Roman" w:eastAsia="Calibri" w:hAnsi="Times New Roman" w:cs="Times New Roman"/>
          <w:bCs/>
          <w:i/>
          <w:spacing w:val="1"/>
          <w:sz w:val="22"/>
          <w:szCs w:val="22"/>
          <w:lang w:val="en-IE"/>
        </w:rPr>
        <w:t>rg</w:t>
      </w:r>
      <w:r w:rsidRPr="00E22B82">
        <w:rPr>
          <w:rFonts w:ascii="Times New Roman" w:eastAsia="Calibri" w:hAnsi="Times New Roman" w:cs="Times New Roman"/>
          <w:bCs/>
          <w:i/>
          <w:sz w:val="22"/>
          <w:szCs w:val="22"/>
          <w:lang w:val="en-IE"/>
        </w:rPr>
        <w:t>y</w:t>
      </w:r>
      <w:r w:rsidRPr="00E22B82">
        <w:rPr>
          <w:rFonts w:ascii="Times New Roman" w:eastAsia="Calibri" w:hAnsi="Times New Roman" w:cs="Times New Roman"/>
          <w:bCs/>
          <w:i/>
          <w:spacing w:val="-1"/>
          <w:sz w:val="22"/>
          <w:szCs w:val="22"/>
          <w:lang w:val="en-IE"/>
        </w:rPr>
        <w:t xml:space="preserve"> </w:t>
      </w:r>
      <w:r w:rsidRPr="00E22B82">
        <w:rPr>
          <w:rFonts w:ascii="Times New Roman" w:eastAsia="Calibri" w:hAnsi="Times New Roman" w:cs="Times New Roman"/>
          <w:bCs/>
          <w:i/>
          <w:sz w:val="22"/>
          <w:szCs w:val="22"/>
          <w:lang w:val="en-IE"/>
        </w:rPr>
        <w:t>n</w:t>
      </w:r>
      <w:r w:rsidRPr="00E22B82">
        <w:rPr>
          <w:rFonts w:ascii="Times New Roman" w:eastAsia="Calibri" w:hAnsi="Times New Roman" w:cs="Times New Roman"/>
          <w:bCs/>
          <w:i/>
          <w:spacing w:val="-1"/>
          <w:sz w:val="22"/>
          <w:szCs w:val="22"/>
          <w:lang w:val="en-IE"/>
        </w:rPr>
        <w:t>e</w:t>
      </w:r>
      <w:r w:rsidRPr="00E22B82">
        <w:rPr>
          <w:rFonts w:ascii="Times New Roman" w:eastAsia="Calibri" w:hAnsi="Times New Roman" w:cs="Times New Roman"/>
          <w:bCs/>
          <w:i/>
          <w:sz w:val="22"/>
          <w:szCs w:val="22"/>
          <w:lang w:val="en-IE"/>
        </w:rPr>
        <w:t>t</w:t>
      </w:r>
      <w:r w:rsidRPr="00E22B82">
        <w:rPr>
          <w:rFonts w:ascii="Times New Roman" w:eastAsia="Calibri" w:hAnsi="Times New Roman" w:cs="Times New Roman"/>
          <w:bCs/>
          <w:i/>
          <w:spacing w:val="1"/>
          <w:sz w:val="22"/>
          <w:szCs w:val="22"/>
          <w:lang w:val="en-IE"/>
        </w:rPr>
        <w:t>w</w:t>
      </w:r>
      <w:r w:rsidRPr="00E22B82">
        <w:rPr>
          <w:rFonts w:ascii="Times New Roman" w:eastAsia="Calibri" w:hAnsi="Times New Roman" w:cs="Times New Roman"/>
          <w:bCs/>
          <w:i/>
          <w:spacing w:val="-1"/>
          <w:sz w:val="22"/>
          <w:szCs w:val="22"/>
          <w:lang w:val="en-IE"/>
        </w:rPr>
        <w:t>o</w:t>
      </w:r>
      <w:r w:rsidRPr="00E22B82">
        <w:rPr>
          <w:rFonts w:ascii="Times New Roman" w:eastAsia="Calibri" w:hAnsi="Times New Roman" w:cs="Times New Roman"/>
          <w:bCs/>
          <w:i/>
          <w:spacing w:val="1"/>
          <w:sz w:val="22"/>
          <w:szCs w:val="22"/>
          <w:lang w:val="en-IE"/>
        </w:rPr>
        <w:t>r</w:t>
      </w:r>
      <w:r w:rsidRPr="00E22B82">
        <w:rPr>
          <w:rFonts w:ascii="Times New Roman" w:eastAsia="Calibri" w:hAnsi="Times New Roman" w:cs="Times New Roman"/>
          <w:bCs/>
          <w:i/>
          <w:spacing w:val="-3"/>
          <w:sz w:val="22"/>
          <w:szCs w:val="22"/>
          <w:lang w:val="en-IE"/>
        </w:rPr>
        <w:t>k</w:t>
      </w:r>
      <w:r w:rsidRPr="00E22B82">
        <w:rPr>
          <w:rFonts w:ascii="Times New Roman" w:eastAsia="Calibri" w:hAnsi="Times New Roman" w:cs="Times New Roman"/>
          <w:bCs/>
          <w:i/>
          <w:sz w:val="22"/>
          <w:szCs w:val="22"/>
          <w:lang w:val="en-IE"/>
        </w:rPr>
        <w:t>s:</w:t>
      </w:r>
      <w:r w:rsidRPr="00E22B82">
        <w:rPr>
          <w:rFonts w:ascii="Times New Roman" w:eastAsia="Calibri" w:hAnsi="Times New Roman" w:cs="Times New Roman"/>
          <w:b/>
          <w:bCs/>
          <w:sz w:val="22"/>
          <w:szCs w:val="22"/>
          <w:lang w:val="en-IE"/>
        </w:rPr>
        <w:t xml:space="preserve"> </w:t>
      </w:r>
      <w:r w:rsidRPr="00E22B82">
        <w:rPr>
          <w:rFonts w:ascii="Times New Roman" w:eastAsia="Calibri" w:hAnsi="Times New Roman" w:cs="Times New Roman"/>
          <w:sz w:val="22"/>
          <w:szCs w:val="22"/>
          <w:lang w:val="en-IE"/>
        </w:rPr>
        <w:t>The</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in</w:t>
      </w:r>
      <w:r w:rsidRPr="00E22B82">
        <w:rPr>
          <w:rFonts w:ascii="Times New Roman" w:eastAsia="Calibri" w:hAnsi="Times New Roman" w:cs="Times New Roman"/>
          <w:spacing w:val="-1"/>
          <w:sz w:val="22"/>
          <w:szCs w:val="22"/>
          <w:lang w:val="en-IE"/>
        </w:rPr>
        <w:t>f</w:t>
      </w:r>
      <w:r w:rsidRPr="00E22B82">
        <w:rPr>
          <w:rFonts w:ascii="Times New Roman" w:eastAsia="Calibri" w:hAnsi="Times New Roman" w:cs="Times New Roman"/>
          <w:sz w:val="22"/>
          <w:szCs w:val="22"/>
          <w:lang w:val="en-IE"/>
        </w:rPr>
        <w:t>r</w:t>
      </w:r>
      <w:r w:rsidRPr="00E22B82">
        <w:rPr>
          <w:rFonts w:ascii="Times New Roman" w:eastAsia="Calibri" w:hAnsi="Times New Roman" w:cs="Times New Roman"/>
          <w:spacing w:val="-3"/>
          <w:sz w:val="22"/>
          <w:szCs w:val="22"/>
          <w:lang w:val="en-IE"/>
        </w:rPr>
        <w:t>a</w:t>
      </w:r>
      <w:r w:rsidRPr="00E22B82">
        <w:rPr>
          <w:rFonts w:ascii="Times New Roman" w:eastAsia="Calibri" w:hAnsi="Times New Roman" w:cs="Times New Roman"/>
          <w:sz w:val="22"/>
          <w:szCs w:val="22"/>
          <w:lang w:val="en-IE"/>
        </w:rPr>
        <w:t>structu</w:t>
      </w:r>
      <w:r w:rsidRPr="00E22B82">
        <w:rPr>
          <w:rFonts w:ascii="Times New Roman" w:eastAsia="Calibri" w:hAnsi="Times New Roman" w:cs="Times New Roman"/>
          <w:spacing w:val="-1"/>
          <w:sz w:val="22"/>
          <w:szCs w:val="22"/>
          <w:lang w:val="en-IE"/>
        </w:rPr>
        <w:t>r</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that distri</w:t>
      </w:r>
      <w:r w:rsidRPr="00E22B82">
        <w:rPr>
          <w:rFonts w:ascii="Times New Roman" w:eastAsia="Calibri" w:hAnsi="Times New Roman" w:cs="Times New Roman"/>
          <w:spacing w:val="-1"/>
          <w:sz w:val="22"/>
          <w:szCs w:val="22"/>
          <w:lang w:val="en-IE"/>
        </w:rPr>
        <w:t>bu</w:t>
      </w:r>
      <w:r w:rsidRPr="00E22B82">
        <w:rPr>
          <w:rFonts w:ascii="Times New Roman" w:eastAsia="Calibri" w:hAnsi="Times New Roman" w:cs="Times New Roman"/>
          <w:spacing w:val="-2"/>
          <w:sz w:val="22"/>
          <w:szCs w:val="22"/>
          <w:lang w:val="en-IE"/>
        </w:rPr>
        <w:t>t</w:t>
      </w:r>
      <w:r w:rsidRPr="00E22B82">
        <w:rPr>
          <w:rFonts w:ascii="Times New Roman" w:eastAsia="Calibri" w:hAnsi="Times New Roman" w:cs="Times New Roman"/>
          <w:sz w:val="22"/>
          <w:szCs w:val="22"/>
          <w:lang w:val="en-IE"/>
        </w:rPr>
        <w:t>es</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2"/>
          <w:sz w:val="22"/>
          <w:szCs w:val="22"/>
          <w:lang w:val="en-IE"/>
        </w:rPr>
        <w:t>e</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z w:val="22"/>
          <w:szCs w:val="22"/>
          <w:lang w:val="en-IE"/>
        </w:rPr>
        <w:t>ergy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b</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t</w:t>
      </w:r>
      <w:r w:rsidRPr="00E22B82">
        <w:rPr>
          <w:rFonts w:ascii="Times New Roman" w:eastAsia="Calibri" w:hAnsi="Times New Roman" w:cs="Times New Roman"/>
          <w:sz w:val="22"/>
          <w:szCs w:val="22"/>
          <w:lang w:val="en-IE"/>
        </w:rPr>
        <w:t>w</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en the</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1"/>
          <w:sz w:val="22"/>
          <w:szCs w:val="22"/>
          <w:lang w:val="en-IE"/>
        </w:rPr>
        <w:t>o</w:t>
      </w:r>
      <w:r w:rsidRPr="00E22B82">
        <w:rPr>
          <w:rFonts w:ascii="Times New Roman" w:eastAsia="Calibri" w:hAnsi="Times New Roman" w:cs="Times New Roman"/>
          <w:spacing w:val="-1"/>
          <w:sz w:val="22"/>
          <w:szCs w:val="22"/>
          <w:lang w:val="en-IE"/>
        </w:rPr>
        <w:t>u</w:t>
      </w:r>
      <w:r w:rsidRPr="00E22B82">
        <w:rPr>
          <w:rFonts w:ascii="Times New Roman" w:eastAsia="Calibri" w:hAnsi="Times New Roman" w:cs="Times New Roman"/>
          <w:sz w:val="22"/>
          <w:szCs w:val="22"/>
          <w:lang w:val="en-IE"/>
        </w:rPr>
        <w:t>r</w:t>
      </w:r>
      <w:r w:rsidRPr="00E22B82">
        <w:rPr>
          <w:rFonts w:ascii="Times New Roman" w:eastAsia="Calibri" w:hAnsi="Times New Roman" w:cs="Times New Roman"/>
          <w:spacing w:val="-2"/>
          <w:sz w:val="22"/>
          <w:szCs w:val="22"/>
          <w:lang w:val="en-IE"/>
        </w:rPr>
        <w:t>c</w:t>
      </w:r>
      <w:r w:rsidRPr="00E22B82">
        <w:rPr>
          <w:rFonts w:ascii="Times New Roman" w:eastAsia="Calibri" w:hAnsi="Times New Roman" w:cs="Times New Roman"/>
          <w:sz w:val="22"/>
          <w:szCs w:val="22"/>
          <w:lang w:val="en-IE"/>
        </w:rPr>
        <w:t>es</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and</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t</w:t>
      </w:r>
      <w:r w:rsidRPr="00E22B82">
        <w:rPr>
          <w:rFonts w:ascii="Times New Roman" w:eastAsia="Calibri" w:hAnsi="Times New Roman" w:cs="Times New Roman"/>
          <w:spacing w:val="-1"/>
          <w:sz w:val="22"/>
          <w:szCs w:val="22"/>
          <w:lang w:val="en-IE"/>
        </w:rPr>
        <w:t>h</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si</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pacing w:val="-2"/>
          <w:sz w:val="22"/>
          <w:szCs w:val="22"/>
          <w:lang w:val="en-IE"/>
        </w:rPr>
        <w:t>k</w:t>
      </w:r>
      <w:r w:rsidRPr="00E22B82">
        <w:rPr>
          <w:rFonts w:ascii="Times New Roman" w:eastAsia="Calibri" w:hAnsi="Times New Roman" w:cs="Times New Roman"/>
          <w:sz w:val="22"/>
          <w:szCs w:val="22"/>
          <w:lang w:val="en-IE"/>
        </w:rPr>
        <w:t>s</w:t>
      </w:r>
    </w:p>
    <w:p w14:paraId="3EFDB007" w14:textId="77777777" w:rsidR="00DA68B0" w:rsidRPr="00E22B82" w:rsidRDefault="00DA68B0" w:rsidP="00B53C4D">
      <w:pPr>
        <w:pStyle w:val="ListParagraph"/>
        <w:numPr>
          <w:ilvl w:val="0"/>
          <w:numId w:val="30"/>
        </w:numPr>
        <w:tabs>
          <w:tab w:val="left" w:pos="940"/>
        </w:tabs>
        <w:spacing w:line="276" w:lineRule="auto"/>
        <w:ind w:right="-20"/>
        <w:jc w:val="both"/>
        <w:rPr>
          <w:rFonts w:ascii="Times New Roman" w:eastAsia="Calibri" w:hAnsi="Times New Roman" w:cs="Times New Roman"/>
          <w:sz w:val="22"/>
          <w:szCs w:val="22"/>
          <w:lang w:val="en-IE"/>
        </w:rPr>
      </w:pPr>
      <w:r w:rsidRPr="00E22B82">
        <w:rPr>
          <w:rFonts w:ascii="Times New Roman" w:eastAsia="Calibri" w:hAnsi="Times New Roman" w:cs="Times New Roman"/>
          <w:bCs/>
          <w:i/>
          <w:spacing w:val="-1"/>
          <w:sz w:val="22"/>
          <w:szCs w:val="22"/>
          <w:lang w:val="en-IE"/>
        </w:rPr>
        <w:t>Ene</w:t>
      </w:r>
      <w:r w:rsidRPr="00E22B82">
        <w:rPr>
          <w:rFonts w:ascii="Times New Roman" w:eastAsia="Calibri" w:hAnsi="Times New Roman" w:cs="Times New Roman"/>
          <w:bCs/>
          <w:i/>
          <w:spacing w:val="1"/>
          <w:sz w:val="22"/>
          <w:szCs w:val="22"/>
          <w:lang w:val="en-IE"/>
        </w:rPr>
        <w:t>rg</w:t>
      </w:r>
      <w:r w:rsidRPr="00E22B82">
        <w:rPr>
          <w:rFonts w:ascii="Times New Roman" w:eastAsia="Calibri" w:hAnsi="Times New Roman" w:cs="Times New Roman"/>
          <w:bCs/>
          <w:i/>
          <w:sz w:val="22"/>
          <w:szCs w:val="22"/>
          <w:lang w:val="en-IE"/>
        </w:rPr>
        <w:t>y</w:t>
      </w:r>
      <w:r w:rsidRPr="00E22B82">
        <w:rPr>
          <w:rFonts w:ascii="Times New Roman" w:eastAsia="Calibri" w:hAnsi="Times New Roman" w:cs="Times New Roman"/>
          <w:bCs/>
          <w:i/>
          <w:spacing w:val="-1"/>
          <w:sz w:val="22"/>
          <w:szCs w:val="22"/>
          <w:lang w:val="en-IE"/>
        </w:rPr>
        <w:t xml:space="preserve"> </w:t>
      </w:r>
      <w:r w:rsidRPr="00E22B82">
        <w:rPr>
          <w:rFonts w:ascii="Times New Roman" w:eastAsia="Calibri" w:hAnsi="Times New Roman" w:cs="Times New Roman"/>
          <w:bCs/>
          <w:i/>
          <w:spacing w:val="1"/>
          <w:sz w:val="22"/>
          <w:szCs w:val="22"/>
          <w:lang w:val="en-IE"/>
        </w:rPr>
        <w:t>s</w:t>
      </w:r>
      <w:r w:rsidRPr="00E22B82">
        <w:rPr>
          <w:rFonts w:ascii="Times New Roman" w:eastAsia="Calibri" w:hAnsi="Times New Roman" w:cs="Times New Roman"/>
          <w:bCs/>
          <w:i/>
          <w:sz w:val="22"/>
          <w:szCs w:val="22"/>
          <w:lang w:val="en-IE"/>
        </w:rPr>
        <w:t>t</w:t>
      </w:r>
      <w:r w:rsidRPr="00E22B82">
        <w:rPr>
          <w:rFonts w:ascii="Times New Roman" w:eastAsia="Calibri" w:hAnsi="Times New Roman" w:cs="Times New Roman"/>
          <w:bCs/>
          <w:i/>
          <w:spacing w:val="-3"/>
          <w:sz w:val="22"/>
          <w:szCs w:val="22"/>
          <w:lang w:val="en-IE"/>
        </w:rPr>
        <w:t>o</w:t>
      </w:r>
      <w:r w:rsidRPr="00E22B82">
        <w:rPr>
          <w:rFonts w:ascii="Times New Roman" w:eastAsia="Calibri" w:hAnsi="Times New Roman" w:cs="Times New Roman"/>
          <w:bCs/>
          <w:i/>
          <w:spacing w:val="1"/>
          <w:sz w:val="22"/>
          <w:szCs w:val="22"/>
          <w:lang w:val="en-IE"/>
        </w:rPr>
        <w:t>r</w:t>
      </w:r>
      <w:r w:rsidRPr="00E22B82">
        <w:rPr>
          <w:rFonts w:ascii="Times New Roman" w:eastAsia="Calibri" w:hAnsi="Times New Roman" w:cs="Times New Roman"/>
          <w:bCs/>
          <w:i/>
          <w:spacing w:val="-1"/>
          <w:sz w:val="22"/>
          <w:szCs w:val="22"/>
          <w:lang w:val="en-IE"/>
        </w:rPr>
        <w:t>a</w:t>
      </w:r>
      <w:r w:rsidRPr="00E22B82">
        <w:rPr>
          <w:rFonts w:ascii="Times New Roman" w:eastAsia="Calibri" w:hAnsi="Times New Roman" w:cs="Times New Roman"/>
          <w:bCs/>
          <w:i/>
          <w:spacing w:val="1"/>
          <w:sz w:val="22"/>
          <w:szCs w:val="22"/>
          <w:lang w:val="en-IE"/>
        </w:rPr>
        <w:t>g</w:t>
      </w:r>
      <w:r w:rsidRPr="00E22B82">
        <w:rPr>
          <w:rFonts w:ascii="Times New Roman" w:eastAsia="Calibri" w:hAnsi="Times New Roman" w:cs="Times New Roman"/>
          <w:bCs/>
          <w:i/>
          <w:spacing w:val="-1"/>
          <w:sz w:val="22"/>
          <w:szCs w:val="22"/>
          <w:lang w:val="en-IE"/>
        </w:rPr>
        <w:t>e</w:t>
      </w:r>
      <w:r w:rsidRPr="00E22B82">
        <w:rPr>
          <w:rFonts w:ascii="Times New Roman" w:eastAsia="Calibri" w:hAnsi="Times New Roman" w:cs="Times New Roman"/>
          <w:bCs/>
          <w:i/>
          <w:sz w:val="22"/>
          <w:szCs w:val="22"/>
          <w:lang w:val="en-IE"/>
        </w:rPr>
        <w:t>:</w:t>
      </w:r>
      <w:r w:rsidRPr="00E22B82">
        <w:rPr>
          <w:rFonts w:ascii="Times New Roman" w:eastAsia="Calibri" w:hAnsi="Times New Roman" w:cs="Times New Roman"/>
          <w:b/>
          <w:bCs/>
          <w:spacing w:val="1"/>
          <w:sz w:val="22"/>
          <w:szCs w:val="22"/>
          <w:lang w:val="en-IE"/>
        </w:rPr>
        <w:t xml:space="preserve"> </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1"/>
          <w:sz w:val="22"/>
          <w:szCs w:val="22"/>
          <w:lang w:val="en-IE"/>
        </w:rPr>
        <w:t>i</w:t>
      </w:r>
      <w:r w:rsidRPr="00E22B82">
        <w:rPr>
          <w:rFonts w:ascii="Times New Roman" w:eastAsia="Calibri" w:hAnsi="Times New Roman" w:cs="Times New Roman"/>
          <w:sz w:val="22"/>
          <w:szCs w:val="22"/>
          <w:lang w:val="en-IE"/>
        </w:rPr>
        <w:t>t</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s</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pacing w:val="1"/>
          <w:sz w:val="22"/>
          <w:szCs w:val="22"/>
          <w:lang w:val="en-IE"/>
        </w:rPr>
        <w:t>w</w:t>
      </w:r>
      <w:r w:rsidRPr="00E22B82">
        <w:rPr>
          <w:rFonts w:ascii="Times New Roman" w:eastAsia="Calibri" w:hAnsi="Times New Roman" w:cs="Times New Roman"/>
          <w:spacing w:val="-1"/>
          <w:sz w:val="22"/>
          <w:szCs w:val="22"/>
          <w:lang w:val="en-IE"/>
        </w:rPr>
        <w:t>h</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2"/>
          <w:sz w:val="22"/>
          <w:szCs w:val="22"/>
          <w:lang w:val="en-IE"/>
        </w:rPr>
        <w:t>r</w:t>
      </w:r>
      <w:r w:rsidRPr="00E22B82">
        <w:rPr>
          <w:rFonts w:ascii="Times New Roman" w:eastAsia="Calibri" w:hAnsi="Times New Roman" w:cs="Times New Roman"/>
          <w:sz w:val="22"/>
          <w:szCs w:val="22"/>
          <w:lang w:val="en-IE"/>
        </w:rPr>
        <w:t>e</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g</w:t>
      </w:r>
      <w:r w:rsidRPr="00E22B82">
        <w:rPr>
          <w:rFonts w:ascii="Times New Roman" w:eastAsia="Calibri" w:hAnsi="Times New Roman" w:cs="Times New Roman"/>
          <w:sz w:val="22"/>
          <w:szCs w:val="22"/>
          <w:lang w:val="en-IE"/>
        </w:rPr>
        <w:t>ener</w:t>
      </w:r>
      <w:r w:rsidRPr="00E22B82">
        <w:rPr>
          <w:rFonts w:ascii="Times New Roman" w:eastAsia="Calibri" w:hAnsi="Times New Roman" w:cs="Times New Roman"/>
          <w:spacing w:val="-2"/>
          <w:sz w:val="22"/>
          <w:szCs w:val="22"/>
          <w:lang w:val="en-IE"/>
        </w:rPr>
        <w:t>a</w:t>
      </w:r>
      <w:r w:rsidRPr="00E22B82">
        <w:rPr>
          <w:rFonts w:ascii="Times New Roman" w:eastAsia="Calibri" w:hAnsi="Times New Roman" w:cs="Times New Roman"/>
          <w:sz w:val="22"/>
          <w:szCs w:val="22"/>
          <w:lang w:val="en-IE"/>
        </w:rPr>
        <w:t>t</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d</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pacing w:val="-3"/>
          <w:sz w:val="22"/>
          <w:szCs w:val="22"/>
          <w:lang w:val="en-IE"/>
        </w:rPr>
        <w:t>n</w:t>
      </w:r>
      <w:r w:rsidRPr="00E22B82">
        <w:rPr>
          <w:rFonts w:ascii="Times New Roman" w:eastAsia="Calibri" w:hAnsi="Times New Roman" w:cs="Times New Roman"/>
          <w:sz w:val="22"/>
          <w:szCs w:val="22"/>
          <w:lang w:val="en-IE"/>
        </w:rPr>
        <w:t>ergy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m</w:t>
      </w:r>
      <w:r w:rsidRPr="00E22B82">
        <w:rPr>
          <w:rFonts w:ascii="Times New Roman" w:eastAsia="Calibri" w:hAnsi="Times New Roman" w:cs="Times New Roman"/>
          <w:spacing w:val="-3"/>
          <w:sz w:val="22"/>
          <w:szCs w:val="22"/>
          <w:lang w:val="en-IE"/>
        </w:rPr>
        <w:t>a</w:t>
      </w:r>
      <w:r w:rsidRPr="00E22B82">
        <w:rPr>
          <w:rFonts w:ascii="Times New Roman" w:eastAsia="Calibri" w:hAnsi="Times New Roman" w:cs="Times New Roman"/>
          <w:sz w:val="22"/>
          <w:szCs w:val="22"/>
          <w:lang w:val="en-IE"/>
        </w:rPr>
        <w:t>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be</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r</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tai</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z w:val="22"/>
          <w:szCs w:val="22"/>
          <w:lang w:val="en-IE"/>
        </w:rPr>
        <w:t xml:space="preserve">ed </w:t>
      </w:r>
      <w:r w:rsidRPr="00E22B82">
        <w:rPr>
          <w:rFonts w:ascii="Times New Roman" w:eastAsia="Calibri" w:hAnsi="Times New Roman" w:cs="Times New Roman"/>
          <w:spacing w:val="-2"/>
          <w:sz w:val="22"/>
          <w:szCs w:val="22"/>
          <w:lang w:val="en-IE"/>
        </w:rPr>
        <w:t>f</w:t>
      </w:r>
      <w:r w:rsidRPr="00E22B82">
        <w:rPr>
          <w:rFonts w:ascii="Times New Roman" w:eastAsia="Calibri" w:hAnsi="Times New Roman" w:cs="Times New Roman"/>
          <w:spacing w:val="1"/>
          <w:sz w:val="22"/>
          <w:szCs w:val="22"/>
          <w:lang w:val="en-IE"/>
        </w:rPr>
        <w:t>o</w:t>
      </w:r>
      <w:r w:rsidRPr="00E22B82">
        <w:rPr>
          <w:rFonts w:ascii="Times New Roman" w:eastAsia="Calibri" w:hAnsi="Times New Roman" w:cs="Times New Roman"/>
          <w:sz w:val="22"/>
          <w:szCs w:val="22"/>
          <w:lang w:val="en-IE"/>
        </w:rPr>
        <w:t>r l</w:t>
      </w:r>
      <w:r w:rsidRPr="00E22B82">
        <w:rPr>
          <w:rFonts w:ascii="Times New Roman" w:eastAsia="Calibri" w:hAnsi="Times New Roman" w:cs="Times New Roman"/>
          <w:spacing w:val="-3"/>
          <w:sz w:val="22"/>
          <w:szCs w:val="22"/>
          <w:lang w:val="en-IE"/>
        </w:rPr>
        <w:t>a</w:t>
      </w:r>
      <w:r w:rsidRPr="00E22B82">
        <w:rPr>
          <w:rFonts w:ascii="Times New Roman" w:eastAsia="Calibri" w:hAnsi="Times New Roman" w:cs="Times New Roman"/>
          <w:sz w:val="22"/>
          <w:szCs w:val="22"/>
          <w:lang w:val="en-IE"/>
        </w:rPr>
        <w:t>t</w:t>
      </w:r>
      <w:r w:rsidRPr="00E22B82">
        <w:rPr>
          <w:rFonts w:ascii="Times New Roman" w:eastAsia="Calibri" w:hAnsi="Times New Roman" w:cs="Times New Roman"/>
          <w:spacing w:val="1"/>
          <w:sz w:val="22"/>
          <w:szCs w:val="22"/>
          <w:lang w:val="en-IE"/>
        </w:rPr>
        <w:t>e</w:t>
      </w:r>
      <w:r w:rsidRPr="00E22B82">
        <w:rPr>
          <w:rFonts w:ascii="Times New Roman" w:eastAsia="Calibri" w:hAnsi="Times New Roman" w:cs="Times New Roman"/>
          <w:sz w:val="22"/>
          <w:szCs w:val="22"/>
          <w:lang w:val="en-IE"/>
        </w:rPr>
        <w:t>r u</w:t>
      </w:r>
      <w:r w:rsidRPr="00E22B82">
        <w:rPr>
          <w:rFonts w:ascii="Times New Roman" w:eastAsia="Calibri" w:hAnsi="Times New Roman" w:cs="Times New Roman"/>
          <w:spacing w:val="-3"/>
          <w:sz w:val="22"/>
          <w:szCs w:val="22"/>
          <w:lang w:val="en-IE"/>
        </w:rPr>
        <w:t>s</w:t>
      </w:r>
      <w:r w:rsidRPr="00E22B82">
        <w:rPr>
          <w:rFonts w:ascii="Times New Roman" w:eastAsia="Calibri" w:hAnsi="Times New Roman" w:cs="Times New Roman"/>
          <w:sz w:val="22"/>
          <w:szCs w:val="22"/>
          <w:lang w:val="en-IE"/>
        </w:rPr>
        <w:t>e</w:t>
      </w:r>
    </w:p>
    <w:p w14:paraId="2556C35A" w14:textId="77777777" w:rsidR="00DA68B0" w:rsidRPr="00E22B82" w:rsidRDefault="00DA68B0" w:rsidP="00B53C4D">
      <w:pPr>
        <w:pStyle w:val="ListParagraph"/>
        <w:numPr>
          <w:ilvl w:val="0"/>
          <w:numId w:val="30"/>
        </w:numPr>
        <w:tabs>
          <w:tab w:val="left" w:pos="940"/>
        </w:tabs>
        <w:spacing w:line="276" w:lineRule="auto"/>
        <w:ind w:right="-20"/>
        <w:jc w:val="both"/>
        <w:rPr>
          <w:rFonts w:ascii="Times New Roman" w:eastAsia="Calibri" w:hAnsi="Times New Roman" w:cs="Times New Roman"/>
          <w:sz w:val="22"/>
          <w:szCs w:val="22"/>
          <w:lang w:val="en-IE"/>
        </w:rPr>
      </w:pPr>
      <w:r w:rsidRPr="00E22B82">
        <w:rPr>
          <w:rFonts w:ascii="Times New Roman" w:eastAsia="Calibri" w:hAnsi="Times New Roman" w:cs="Times New Roman"/>
          <w:bCs/>
          <w:i/>
          <w:spacing w:val="-1"/>
          <w:sz w:val="22"/>
          <w:szCs w:val="22"/>
          <w:lang w:val="en-IE"/>
        </w:rPr>
        <w:t>So</w:t>
      </w:r>
      <w:r w:rsidRPr="00E22B82">
        <w:rPr>
          <w:rFonts w:ascii="Times New Roman" w:eastAsia="Calibri" w:hAnsi="Times New Roman" w:cs="Times New Roman"/>
          <w:bCs/>
          <w:i/>
          <w:spacing w:val="1"/>
          <w:sz w:val="22"/>
          <w:szCs w:val="22"/>
          <w:lang w:val="en-IE"/>
        </w:rPr>
        <w:t>ci</w:t>
      </w:r>
      <w:r w:rsidRPr="00E22B82">
        <w:rPr>
          <w:rFonts w:ascii="Times New Roman" w:eastAsia="Calibri" w:hAnsi="Times New Roman" w:cs="Times New Roman"/>
          <w:bCs/>
          <w:i/>
          <w:spacing w:val="-1"/>
          <w:sz w:val="22"/>
          <w:szCs w:val="22"/>
          <w:lang w:val="en-IE"/>
        </w:rPr>
        <w:t>oe</w:t>
      </w:r>
      <w:r w:rsidRPr="00E22B82">
        <w:rPr>
          <w:rFonts w:ascii="Times New Roman" w:eastAsia="Calibri" w:hAnsi="Times New Roman" w:cs="Times New Roman"/>
          <w:bCs/>
          <w:i/>
          <w:spacing w:val="1"/>
          <w:sz w:val="22"/>
          <w:szCs w:val="22"/>
          <w:lang w:val="en-IE"/>
        </w:rPr>
        <w:t>c</w:t>
      </w:r>
      <w:r w:rsidRPr="00E22B82">
        <w:rPr>
          <w:rFonts w:ascii="Times New Roman" w:eastAsia="Calibri" w:hAnsi="Times New Roman" w:cs="Times New Roman"/>
          <w:bCs/>
          <w:i/>
          <w:spacing w:val="-1"/>
          <w:sz w:val="22"/>
          <w:szCs w:val="22"/>
          <w:lang w:val="en-IE"/>
        </w:rPr>
        <w:t>ono</w:t>
      </w:r>
      <w:r w:rsidRPr="00E22B82">
        <w:rPr>
          <w:rFonts w:ascii="Times New Roman" w:eastAsia="Calibri" w:hAnsi="Times New Roman" w:cs="Times New Roman"/>
          <w:bCs/>
          <w:i/>
          <w:sz w:val="22"/>
          <w:szCs w:val="22"/>
          <w:lang w:val="en-IE"/>
        </w:rPr>
        <w:t>m</w:t>
      </w:r>
      <w:r w:rsidRPr="00E22B82">
        <w:rPr>
          <w:rFonts w:ascii="Times New Roman" w:eastAsia="Calibri" w:hAnsi="Times New Roman" w:cs="Times New Roman"/>
          <w:bCs/>
          <w:i/>
          <w:spacing w:val="-1"/>
          <w:sz w:val="22"/>
          <w:szCs w:val="22"/>
          <w:lang w:val="en-IE"/>
        </w:rPr>
        <w:t>i</w:t>
      </w:r>
      <w:r w:rsidRPr="00E22B82">
        <w:rPr>
          <w:rFonts w:ascii="Times New Roman" w:eastAsia="Calibri" w:hAnsi="Times New Roman" w:cs="Times New Roman"/>
          <w:bCs/>
          <w:i/>
          <w:spacing w:val="1"/>
          <w:sz w:val="22"/>
          <w:szCs w:val="22"/>
          <w:lang w:val="en-IE"/>
        </w:rPr>
        <w:t>c</w:t>
      </w:r>
      <w:r w:rsidR="00517FEE">
        <w:rPr>
          <w:rFonts w:ascii="Times New Roman" w:eastAsia="Calibri" w:hAnsi="Times New Roman" w:cs="Times New Roman"/>
          <w:bCs/>
          <w:i/>
          <w:spacing w:val="1"/>
          <w:sz w:val="22"/>
          <w:szCs w:val="22"/>
          <w:lang w:val="en-IE"/>
        </w:rPr>
        <w:t xml:space="preserve"> impact</w:t>
      </w:r>
      <w:r w:rsidRPr="00E22B82">
        <w:rPr>
          <w:rFonts w:ascii="Times New Roman" w:eastAsia="Calibri" w:hAnsi="Times New Roman" w:cs="Times New Roman"/>
          <w:bCs/>
          <w:i/>
          <w:sz w:val="22"/>
          <w:szCs w:val="22"/>
          <w:lang w:val="en-IE"/>
        </w:rPr>
        <w:t>s:</w:t>
      </w:r>
      <w:r w:rsidRPr="00E22B82">
        <w:rPr>
          <w:rFonts w:ascii="Times New Roman" w:eastAsia="Calibri" w:hAnsi="Times New Roman" w:cs="Times New Roman"/>
          <w:b/>
          <w:bCs/>
          <w:spacing w:val="1"/>
          <w:sz w:val="22"/>
          <w:szCs w:val="22"/>
          <w:lang w:val="en-IE"/>
        </w:rPr>
        <w:t xml:space="preserve"> </w:t>
      </w:r>
      <w:r w:rsidRPr="00E22B82">
        <w:rPr>
          <w:rFonts w:ascii="Times New Roman" w:eastAsia="Calibri" w:hAnsi="Times New Roman" w:cs="Times New Roman"/>
          <w:sz w:val="22"/>
          <w:szCs w:val="22"/>
          <w:lang w:val="en-IE"/>
        </w:rPr>
        <w:t>The</w:t>
      </w:r>
      <w:r w:rsidRPr="00E22B82">
        <w:rPr>
          <w:rFonts w:ascii="Times New Roman" w:eastAsia="Calibri" w:hAnsi="Times New Roman" w:cs="Times New Roman"/>
          <w:spacing w:val="-2"/>
          <w:sz w:val="22"/>
          <w:szCs w:val="22"/>
          <w:lang w:val="en-IE"/>
        </w:rPr>
        <w:t xml:space="preserve"> </w:t>
      </w:r>
      <w:r w:rsidRPr="00E22B82">
        <w:rPr>
          <w:rFonts w:ascii="Times New Roman" w:eastAsia="Calibri" w:hAnsi="Times New Roman" w:cs="Times New Roman"/>
          <w:sz w:val="22"/>
          <w:szCs w:val="22"/>
          <w:lang w:val="en-IE"/>
        </w:rPr>
        <w:t>i</w:t>
      </w:r>
      <w:r w:rsidRPr="00E22B82">
        <w:rPr>
          <w:rFonts w:ascii="Times New Roman" w:eastAsia="Calibri" w:hAnsi="Times New Roman" w:cs="Times New Roman"/>
          <w:spacing w:val="1"/>
          <w:sz w:val="22"/>
          <w:szCs w:val="22"/>
          <w:lang w:val="en-IE"/>
        </w:rPr>
        <w:t>m</w:t>
      </w:r>
      <w:r w:rsidRPr="00E22B82">
        <w:rPr>
          <w:rFonts w:ascii="Times New Roman" w:eastAsia="Calibri" w:hAnsi="Times New Roman" w:cs="Times New Roman"/>
          <w:spacing w:val="-1"/>
          <w:sz w:val="22"/>
          <w:szCs w:val="22"/>
          <w:lang w:val="en-IE"/>
        </w:rPr>
        <w:t>p</w:t>
      </w:r>
      <w:r w:rsidRPr="00E22B82">
        <w:rPr>
          <w:rFonts w:ascii="Times New Roman" w:eastAsia="Calibri" w:hAnsi="Times New Roman" w:cs="Times New Roman"/>
          <w:spacing w:val="-3"/>
          <w:sz w:val="22"/>
          <w:szCs w:val="22"/>
          <w:lang w:val="en-IE"/>
        </w:rPr>
        <w:t>a</w:t>
      </w:r>
      <w:r w:rsidRPr="00E22B82">
        <w:rPr>
          <w:rFonts w:ascii="Times New Roman" w:eastAsia="Calibri" w:hAnsi="Times New Roman" w:cs="Times New Roman"/>
          <w:sz w:val="22"/>
          <w:szCs w:val="22"/>
          <w:lang w:val="en-IE"/>
        </w:rPr>
        <w:t>ct</w:t>
      </w:r>
      <w:r w:rsidRPr="00E22B82">
        <w:rPr>
          <w:rFonts w:ascii="Times New Roman" w:eastAsia="Calibri" w:hAnsi="Times New Roman" w:cs="Times New Roman"/>
          <w:spacing w:val="1"/>
          <w:sz w:val="22"/>
          <w:szCs w:val="22"/>
          <w:lang w:val="en-IE"/>
        </w:rPr>
        <w:t xml:space="preserve"> o</w:t>
      </w:r>
      <w:r w:rsidRPr="00E22B82">
        <w:rPr>
          <w:rFonts w:ascii="Times New Roman" w:eastAsia="Calibri" w:hAnsi="Times New Roman" w:cs="Times New Roman"/>
          <w:sz w:val="22"/>
          <w:szCs w:val="22"/>
          <w:lang w:val="en-IE"/>
        </w:rPr>
        <w:t>f</w:t>
      </w:r>
      <w:r w:rsidRPr="00E22B82">
        <w:rPr>
          <w:rFonts w:ascii="Times New Roman" w:eastAsia="Calibri" w:hAnsi="Times New Roman" w:cs="Times New Roman"/>
          <w:spacing w:val="-3"/>
          <w:sz w:val="22"/>
          <w:szCs w:val="22"/>
          <w:lang w:val="en-IE"/>
        </w:rPr>
        <w:t xml:space="preserve"> </w:t>
      </w:r>
      <w:r w:rsidR="0018511B" w:rsidRPr="00E22B82">
        <w:rPr>
          <w:rFonts w:ascii="Times New Roman" w:eastAsia="Calibri" w:hAnsi="Times New Roman" w:cs="Times New Roman"/>
          <w:sz w:val="22"/>
          <w:szCs w:val="22"/>
          <w:lang w:val="en-IE"/>
        </w:rPr>
        <w:t>citizen behaviour / characteristics</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pacing w:val="1"/>
          <w:sz w:val="22"/>
          <w:szCs w:val="22"/>
          <w:lang w:val="en-IE"/>
        </w:rPr>
        <w:t>o</w:t>
      </w:r>
      <w:r w:rsidRPr="00E22B82">
        <w:rPr>
          <w:rFonts w:ascii="Times New Roman" w:eastAsia="Calibri" w:hAnsi="Times New Roman" w:cs="Times New Roman"/>
          <w:sz w:val="22"/>
          <w:szCs w:val="22"/>
          <w:lang w:val="en-IE"/>
        </w:rPr>
        <w:t>n</w:t>
      </w:r>
      <w:r w:rsidRPr="00E22B82">
        <w:rPr>
          <w:rFonts w:ascii="Times New Roman" w:eastAsia="Calibri" w:hAnsi="Times New Roman" w:cs="Times New Roman"/>
          <w:spacing w:val="-3"/>
          <w:sz w:val="22"/>
          <w:szCs w:val="22"/>
          <w:lang w:val="en-IE"/>
        </w:rPr>
        <w:t xml:space="preserve"> </w:t>
      </w:r>
      <w:r w:rsidRPr="00E22B82">
        <w:rPr>
          <w:rFonts w:ascii="Times New Roman" w:eastAsia="Calibri" w:hAnsi="Times New Roman" w:cs="Times New Roman"/>
          <w:sz w:val="22"/>
          <w:szCs w:val="22"/>
          <w:lang w:val="en-IE"/>
        </w:rPr>
        <w:t>ener</w:t>
      </w:r>
      <w:r w:rsidRPr="00E22B82">
        <w:rPr>
          <w:rFonts w:ascii="Times New Roman" w:eastAsia="Calibri" w:hAnsi="Times New Roman" w:cs="Times New Roman"/>
          <w:spacing w:val="-1"/>
          <w:sz w:val="22"/>
          <w:szCs w:val="22"/>
          <w:lang w:val="en-IE"/>
        </w:rPr>
        <w:t>g</w:t>
      </w:r>
      <w:r w:rsidRPr="00E22B82">
        <w:rPr>
          <w:rFonts w:ascii="Times New Roman" w:eastAsia="Calibri" w:hAnsi="Times New Roman" w:cs="Times New Roman"/>
          <w:sz w:val="22"/>
          <w:szCs w:val="22"/>
          <w:lang w:val="en-IE"/>
        </w:rPr>
        <w:t>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su</w:t>
      </w:r>
      <w:r w:rsidRPr="00E22B82">
        <w:rPr>
          <w:rFonts w:ascii="Times New Roman" w:eastAsia="Calibri" w:hAnsi="Times New Roman" w:cs="Times New Roman"/>
          <w:spacing w:val="-1"/>
          <w:sz w:val="22"/>
          <w:szCs w:val="22"/>
          <w:lang w:val="en-IE"/>
        </w:rPr>
        <w:t>pp</w:t>
      </w:r>
      <w:r w:rsidRPr="00E22B82">
        <w:rPr>
          <w:rFonts w:ascii="Times New Roman" w:eastAsia="Calibri" w:hAnsi="Times New Roman" w:cs="Times New Roman"/>
          <w:sz w:val="22"/>
          <w:szCs w:val="22"/>
          <w:lang w:val="en-IE"/>
        </w:rPr>
        <w:t>ly</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a</w:t>
      </w:r>
      <w:r w:rsidRPr="00E22B82">
        <w:rPr>
          <w:rFonts w:ascii="Times New Roman" w:eastAsia="Calibri" w:hAnsi="Times New Roman" w:cs="Times New Roman"/>
          <w:spacing w:val="-1"/>
          <w:sz w:val="22"/>
          <w:szCs w:val="22"/>
          <w:lang w:val="en-IE"/>
        </w:rPr>
        <w:t>n</w:t>
      </w:r>
      <w:r w:rsidRPr="00E22B82">
        <w:rPr>
          <w:rFonts w:ascii="Times New Roman" w:eastAsia="Calibri" w:hAnsi="Times New Roman" w:cs="Times New Roman"/>
          <w:sz w:val="22"/>
          <w:szCs w:val="22"/>
          <w:lang w:val="en-IE"/>
        </w:rPr>
        <w:t>d</w:t>
      </w:r>
      <w:r w:rsidRPr="00E22B82">
        <w:rPr>
          <w:rFonts w:ascii="Times New Roman" w:eastAsia="Calibri" w:hAnsi="Times New Roman" w:cs="Times New Roman"/>
          <w:spacing w:val="-1"/>
          <w:sz w:val="22"/>
          <w:szCs w:val="22"/>
          <w:lang w:val="en-IE"/>
        </w:rPr>
        <w:t xml:space="preserve"> </w:t>
      </w:r>
      <w:r w:rsidRPr="00E22B82">
        <w:rPr>
          <w:rFonts w:ascii="Times New Roman" w:eastAsia="Calibri" w:hAnsi="Times New Roman" w:cs="Times New Roman"/>
          <w:sz w:val="22"/>
          <w:szCs w:val="22"/>
          <w:lang w:val="en-IE"/>
        </w:rPr>
        <w:t>de</w:t>
      </w:r>
      <w:r w:rsidRPr="00E22B82">
        <w:rPr>
          <w:rFonts w:ascii="Times New Roman" w:eastAsia="Calibri" w:hAnsi="Times New Roman" w:cs="Times New Roman"/>
          <w:spacing w:val="-1"/>
          <w:sz w:val="22"/>
          <w:szCs w:val="22"/>
          <w:lang w:val="en-IE"/>
        </w:rPr>
        <w:t>m</w:t>
      </w:r>
      <w:r w:rsidRPr="00E22B82">
        <w:rPr>
          <w:rFonts w:ascii="Times New Roman" w:eastAsia="Calibri" w:hAnsi="Times New Roman" w:cs="Times New Roman"/>
          <w:sz w:val="22"/>
          <w:szCs w:val="22"/>
          <w:lang w:val="en-IE"/>
        </w:rPr>
        <w:t>a</w:t>
      </w:r>
      <w:r w:rsidRPr="00E22B82">
        <w:rPr>
          <w:rFonts w:ascii="Times New Roman" w:eastAsia="Calibri" w:hAnsi="Times New Roman" w:cs="Times New Roman"/>
          <w:spacing w:val="-1"/>
          <w:sz w:val="22"/>
          <w:szCs w:val="22"/>
          <w:lang w:val="en-IE"/>
        </w:rPr>
        <w:t>nd</w:t>
      </w:r>
    </w:p>
    <w:p w14:paraId="0C912020" w14:textId="77777777" w:rsidR="00DA68B0" w:rsidRPr="00E22B82" w:rsidRDefault="00DA68B0" w:rsidP="00B53C4D">
      <w:pPr>
        <w:spacing w:line="276" w:lineRule="auto"/>
        <w:jc w:val="both"/>
        <w:rPr>
          <w:rFonts w:ascii="Times New Roman" w:hAnsi="Times New Roman" w:cs="Times New Roman"/>
          <w:sz w:val="22"/>
          <w:szCs w:val="22"/>
          <w:lang w:val="en-IE"/>
        </w:rPr>
      </w:pPr>
    </w:p>
    <w:p w14:paraId="368A2997" w14:textId="77777777" w:rsidR="007C546D" w:rsidRPr="00E22B82" w:rsidRDefault="007C546D"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w:t>
      </w:r>
      <w:r w:rsidRPr="00E22B82">
        <w:rPr>
          <w:rFonts w:ascii="Times New Roman" w:hAnsi="Times New Roman" w:cs="Times New Roman"/>
          <w:i/>
          <w:sz w:val="22"/>
          <w:szCs w:val="22"/>
          <w:lang w:val="en-IE"/>
        </w:rPr>
        <w:t>The Handbook on Constructing Composite Indicators: Methodology and User Guide</w:t>
      </w:r>
      <w:r w:rsidRPr="00E22B82">
        <w:rPr>
          <w:rFonts w:ascii="Times New Roman" w:hAnsi="Times New Roman" w:cs="Times New Roman"/>
          <w:sz w:val="22"/>
          <w:szCs w:val="22"/>
          <w:lang w:val="en-IE"/>
        </w:rPr>
        <w:t>”</w:t>
      </w:r>
      <w:r w:rsidR="003E544A" w:rsidRPr="00E22B82">
        <w:rPr>
          <w:rFonts w:ascii="Times New Roman" w:hAnsi="Times New Roman" w:cs="Times New Roman"/>
          <w:sz w:val="22"/>
          <w:szCs w:val="22"/>
          <w:lang w:val="en-IE"/>
        </w:rPr>
        <w:t xml:space="preserve"> (OECD, 2005)</w:t>
      </w:r>
      <w:r w:rsidRPr="00E22B82">
        <w:rPr>
          <w:rFonts w:ascii="Times New Roman" w:hAnsi="Times New Roman" w:cs="Times New Roman"/>
          <w:sz w:val="22"/>
          <w:szCs w:val="22"/>
          <w:lang w:val="en-IE"/>
        </w:rPr>
        <w:t xml:space="preserve"> </w:t>
      </w:r>
      <w:r w:rsidR="00B83D5C" w:rsidRPr="00E22B82">
        <w:rPr>
          <w:rFonts w:ascii="Times New Roman" w:hAnsi="Times New Roman" w:cs="Times New Roman"/>
          <w:sz w:val="22"/>
          <w:szCs w:val="22"/>
          <w:lang w:val="en-IE"/>
        </w:rPr>
        <w:t>and the “Bellagio Principles”</w:t>
      </w:r>
      <w:r w:rsidR="003E544A" w:rsidRPr="00E22B82">
        <w:rPr>
          <w:rFonts w:ascii="Times New Roman" w:hAnsi="Times New Roman" w:cs="Times New Roman"/>
          <w:sz w:val="22"/>
          <w:szCs w:val="22"/>
          <w:lang w:val="en-IE"/>
        </w:rPr>
        <w:t xml:space="preserve"> (Hardi and Zdan, 1997)</w:t>
      </w:r>
      <w:r w:rsidR="00B83D5C" w:rsidRPr="00E22B82">
        <w:rPr>
          <w:rFonts w:ascii="Times New Roman" w:hAnsi="Times New Roman" w:cs="Times New Roman"/>
          <w:sz w:val="22"/>
          <w:szCs w:val="22"/>
          <w:lang w:val="en-IE"/>
        </w:rPr>
        <w:t xml:space="preserve"> were</w:t>
      </w:r>
      <w:r w:rsidRPr="00E22B82">
        <w:rPr>
          <w:rFonts w:ascii="Times New Roman" w:hAnsi="Times New Roman" w:cs="Times New Roman"/>
          <w:sz w:val="22"/>
          <w:szCs w:val="22"/>
          <w:lang w:val="en-IE"/>
        </w:rPr>
        <w:t xml:space="preserve"> </w:t>
      </w:r>
      <w:r w:rsidR="00400253" w:rsidRPr="00E22B82">
        <w:rPr>
          <w:rFonts w:ascii="Times New Roman" w:hAnsi="Times New Roman" w:cs="Times New Roman"/>
          <w:sz w:val="22"/>
          <w:szCs w:val="22"/>
          <w:lang w:val="en-IE"/>
        </w:rPr>
        <w:t>used</w:t>
      </w:r>
      <w:r w:rsidRPr="00E22B82">
        <w:rPr>
          <w:rFonts w:ascii="Times New Roman" w:hAnsi="Times New Roman" w:cs="Times New Roman"/>
          <w:sz w:val="22"/>
          <w:szCs w:val="22"/>
          <w:lang w:val="en-IE"/>
        </w:rPr>
        <w:t xml:space="preserve"> in terms of guiding the definition </w:t>
      </w:r>
      <w:r w:rsidR="007923BE">
        <w:rPr>
          <w:rFonts w:ascii="Times New Roman" w:hAnsi="Times New Roman" w:cs="Times New Roman"/>
          <w:sz w:val="22"/>
          <w:szCs w:val="22"/>
          <w:lang w:val="en-IE"/>
        </w:rPr>
        <w:t xml:space="preserve">and </w:t>
      </w:r>
      <w:r w:rsidR="007923BE" w:rsidRPr="00E22B82">
        <w:rPr>
          <w:rFonts w:ascii="Times New Roman" w:hAnsi="Times New Roman" w:cs="Times New Roman"/>
          <w:sz w:val="22"/>
          <w:szCs w:val="22"/>
          <w:lang w:val="en-IE"/>
        </w:rPr>
        <w:t>the</w:t>
      </w:r>
      <w:r w:rsidRPr="00E22B82">
        <w:rPr>
          <w:rFonts w:ascii="Times New Roman" w:hAnsi="Times New Roman" w:cs="Times New Roman"/>
          <w:sz w:val="22"/>
          <w:szCs w:val="22"/>
          <w:lang w:val="en-IE"/>
        </w:rPr>
        <w:t xml:space="preserve"> structure of the SUIs. </w:t>
      </w:r>
      <w:r w:rsidR="00B83D5C" w:rsidRPr="00E22B82">
        <w:rPr>
          <w:rFonts w:ascii="Times New Roman" w:hAnsi="Times New Roman" w:cs="Times New Roman"/>
          <w:sz w:val="22"/>
          <w:szCs w:val="22"/>
          <w:lang w:val="en-IE"/>
        </w:rPr>
        <w:t>The</w:t>
      </w:r>
      <w:r w:rsidRPr="00E22B82">
        <w:rPr>
          <w:rFonts w:ascii="Times New Roman" w:hAnsi="Times New Roman" w:cs="Times New Roman"/>
          <w:sz w:val="22"/>
          <w:szCs w:val="22"/>
          <w:lang w:val="en-IE"/>
        </w:rPr>
        <w:t xml:space="preserve"> 10 step process outlined in </w:t>
      </w:r>
      <w:r w:rsidR="00B83D5C" w:rsidRPr="00E22B82">
        <w:rPr>
          <w:rFonts w:ascii="Times New Roman" w:hAnsi="Times New Roman" w:cs="Times New Roman"/>
          <w:sz w:val="22"/>
          <w:szCs w:val="22"/>
          <w:lang w:val="en-IE"/>
        </w:rPr>
        <w:t>the handbook</w:t>
      </w:r>
      <w:r w:rsidRPr="00E22B82">
        <w:rPr>
          <w:rFonts w:ascii="Times New Roman" w:hAnsi="Times New Roman" w:cs="Times New Roman"/>
          <w:sz w:val="22"/>
          <w:szCs w:val="22"/>
          <w:lang w:val="en-IE"/>
        </w:rPr>
        <w:t xml:space="preserve"> </w:t>
      </w:r>
      <w:r w:rsidR="007923BE">
        <w:rPr>
          <w:rFonts w:ascii="Times New Roman" w:hAnsi="Times New Roman" w:cs="Times New Roman"/>
          <w:sz w:val="22"/>
          <w:szCs w:val="22"/>
          <w:lang w:val="en-IE"/>
        </w:rPr>
        <w:t>detailing</w:t>
      </w:r>
      <w:r w:rsidRPr="00E22B82">
        <w:rPr>
          <w:rFonts w:ascii="Times New Roman" w:hAnsi="Times New Roman" w:cs="Times New Roman"/>
          <w:sz w:val="22"/>
          <w:szCs w:val="22"/>
          <w:lang w:val="en-IE"/>
        </w:rPr>
        <w:t xml:space="preserve"> the formation of composite indicators</w:t>
      </w:r>
      <w:r w:rsidR="00B83D5C" w:rsidRPr="00E22B82">
        <w:rPr>
          <w:rFonts w:ascii="Times New Roman" w:hAnsi="Times New Roman" w:cs="Times New Roman"/>
          <w:sz w:val="22"/>
          <w:szCs w:val="22"/>
          <w:lang w:val="en-IE"/>
        </w:rPr>
        <w:t xml:space="preserve"> </w:t>
      </w:r>
      <w:r w:rsidR="007923BE">
        <w:rPr>
          <w:rFonts w:ascii="Times New Roman" w:hAnsi="Times New Roman" w:cs="Times New Roman"/>
          <w:sz w:val="22"/>
          <w:szCs w:val="22"/>
          <w:lang w:val="en-IE"/>
        </w:rPr>
        <w:t>informed</w:t>
      </w:r>
      <w:r w:rsidR="00B83D5C" w:rsidRPr="00E22B82">
        <w:rPr>
          <w:rFonts w:ascii="Times New Roman" w:hAnsi="Times New Roman" w:cs="Times New Roman"/>
          <w:sz w:val="22"/>
          <w:szCs w:val="22"/>
          <w:lang w:val="en-IE"/>
        </w:rPr>
        <w:t xml:space="preserve"> our own </w:t>
      </w:r>
      <w:r w:rsidRPr="00E22B82">
        <w:rPr>
          <w:rFonts w:ascii="Times New Roman" w:hAnsi="Times New Roman" w:cs="Times New Roman"/>
          <w:sz w:val="22"/>
          <w:szCs w:val="22"/>
          <w:lang w:val="en-IE"/>
        </w:rPr>
        <w:t>methodology for the selection of the SUIs. In addition to the content of the handbook, existing indices were reviewed and the following structure was devised for the SUIs</w:t>
      </w:r>
      <w:r w:rsidR="00DA68B0" w:rsidRPr="00E22B82">
        <w:rPr>
          <w:rFonts w:ascii="Times New Roman" w:hAnsi="Times New Roman" w:cs="Times New Roman"/>
          <w:sz w:val="22"/>
          <w:szCs w:val="22"/>
          <w:lang w:val="en-IE"/>
        </w:rPr>
        <w:t xml:space="preserve"> </w:t>
      </w:r>
      <w:r w:rsidR="00E709EC" w:rsidRPr="00E22B82">
        <w:rPr>
          <w:rFonts w:ascii="Times New Roman" w:hAnsi="Times New Roman" w:cs="Times New Roman"/>
          <w:sz w:val="22"/>
          <w:szCs w:val="22"/>
          <w:lang w:val="en-IE"/>
        </w:rPr>
        <w:t>in order to transparently outline</w:t>
      </w:r>
      <w:r w:rsidRPr="00E22B82">
        <w:rPr>
          <w:rFonts w:ascii="Times New Roman" w:hAnsi="Times New Roman" w:cs="Times New Roman"/>
          <w:sz w:val="22"/>
          <w:szCs w:val="22"/>
          <w:lang w:val="en-IE"/>
        </w:rPr>
        <w:t xml:space="preserve"> the constituent elements and rationale for each SUI. The structure is set out </w:t>
      </w:r>
      <w:r w:rsidR="00DA68B0" w:rsidRPr="00E22B82">
        <w:rPr>
          <w:rFonts w:ascii="Times New Roman" w:hAnsi="Times New Roman" w:cs="Times New Roman"/>
          <w:sz w:val="22"/>
          <w:szCs w:val="22"/>
          <w:lang w:val="en-IE"/>
        </w:rPr>
        <w:t>as follows</w:t>
      </w:r>
      <w:r w:rsidRPr="00E22B82">
        <w:rPr>
          <w:rFonts w:ascii="Times New Roman" w:hAnsi="Times New Roman" w:cs="Times New Roman"/>
          <w:sz w:val="22"/>
          <w:szCs w:val="22"/>
          <w:lang w:val="en-IE"/>
        </w:rPr>
        <w:t xml:space="preserve">: </w:t>
      </w:r>
    </w:p>
    <w:p w14:paraId="6D6A6802" w14:textId="77777777" w:rsidR="007C6230" w:rsidRPr="00E22B82" w:rsidRDefault="007C6230" w:rsidP="00B53C4D">
      <w:pPr>
        <w:spacing w:line="276" w:lineRule="auto"/>
        <w:jc w:val="both"/>
        <w:rPr>
          <w:rFonts w:ascii="Times New Roman" w:hAnsi="Times New Roman" w:cs="Times New Roman"/>
          <w:sz w:val="22"/>
          <w:szCs w:val="22"/>
          <w:lang w:val="en-IE"/>
        </w:rPr>
      </w:pPr>
    </w:p>
    <w:p w14:paraId="262512FC" w14:textId="77777777" w:rsidR="007C546D" w:rsidRPr="00E22B82" w:rsidRDefault="007C546D" w:rsidP="00B53C4D">
      <w:pPr>
        <w:pStyle w:val="ListParagraph"/>
        <w:numPr>
          <w:ilvl w:val="0"/>
          <w:numId w:val="2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 xml:space="preserve">Indicator </w:t>
      </w:r>
      <w:r w:rsidRPr="00E22B82">
        <w:rPr>
          <w:rFonts w:ascii="Times New Roman" w:hAnsi="Times New Roman" w:cs="Times New Roman"/>
          <w:sz w:val="22"/>
          <w:szCs w:val="22"/>
          <w:lang w:val="en-IE"/>
        </w:rPr>
        <w:t>- refers to the name of the indicator</w:t>
      </w:r>
    </w:p>
    <w:p w14:paraId="77560391" w14:textId="77777777" w:rsidR="007C546D" w:rsidRPr="00E22B82" w:rsidRDefault="007C546D" w:rsidP="00B53C4D">
      <w:pPr>
        <w:pStyle w:val="ListParagraph"/>
        <w:numPr>
          <w:ilvl w:val="0"/>
          <w:numId w:val="2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 xml:space="preserve">Scale </w:t>
      </w:r>
      <w:r w:rsidRPr="00E22B82">
        <w:rPr>
          <w:rFonts w:ascii="Times New Roman" w:hAnsi="Times New Roman" w:cs="Times New Roman"/>
          <w:sz w:val="22"/>
          <w:szCs w:val="22"/>
          <w:lang w:val="en-IE"/>
        </w:rPr>
        <w:t>- refers to the spatial</w:t>
      </w:r>
      <w:r w:rsidR="00CC10FE" w:rsidRPr="00E22B82">
        <w:rPr>
          <w:rFonts w:ascii="Times New Roman" w:hAnsi="Times New Roman" w:cs="Times New Roman"/>
          <w:sz w:val="22"/>
          <w:szCs w:val="22"/>
          <w:lang w:val="en-IE"/>
        </w:rPr>
        <w:t xml:space="preserve"> applicability of the indicator</w:t>
      </w:r>
    </w:p>
    <w:p w14:paraId="39D3D075" w14:textId="77777777" w:rsidR="007C546D" w:rsidRPr="00E22B82" w:rsidRDefault="007C546D" w:rsidP="00B53C4D">
      <w:pPr>
        <w:pStyle w:val="ListParagraph"/>
        <w:numPr>
          <w:ilvl w:val="0"/>
          <w:numId w:val="2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 xml:space="preserve">Definition </w:t>
      </w:r>
      <w:r w:rsidRPr="00E22B82">
        <w:rPr>
          <w:rFonts w:ascii="Times New Roman" w:hAnsi="Times New Roman" w:cs="Times New Roman"/>
          <w:sz w:val="22"/>
          <w:szCs w:val="22"/>
          <w:lang w:val="en-IE"/>
        </w:rPr>
        <w:t>- describes the remit</w:t>
      </w:r>
      <w:r w:rsidR="00CC10FE" w:rsidRPr="00E22B82">
        <w:rPr>
          <w:rFonts w:ascii="Times New Roman" w:hAnsi="Times New Roman" w:cs="Times New Roman"/>
          <w:sz w:val="22"/>
          <w:szCs w:val="22"/>
          <w:lang w:val="en-IE"/>
        </w:rPr>
        <w:t xml:space="preserve"> and focus of the indicator</w:t>
      </w:r>
      <w:r w:rsidRPr="00E22B82">
        <w:rPr>
          <w:rFonts w:ascii="Times New Roman" w:hAnsi="Times New Roman" w:cs="Times New Roman"/>
          <w:sz w:val="22"/>
          <w:szCs w:val="22"/>
          <w:lang w:val="en-IE"/>
        </w:rPr>
        <w:tab/>
      </w:r>
    </w:p>
    <w:p w14:paraId="0DF0D8DF" w14:textId="77777777" w:rsidR="007C546D" w:rsidRPr="00E22B82" w:rsidRDefault="007C546D" w:rsidP="00B53C4D">
      <w:pPr>
        <w:pStyle w:val="ListParagraph"/>
        <w:numPr>
          <w:ilvl w:val="0"/>
          <w:numId w:val="2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 xml:space="preserve">Unit of Measurement </w:t>
      </w:r>
      <w:r w:rsidRPr="00E22B82">
        <w:rPr>
          <w:rFonts w:ascii="Times New Roman" w:hAnsi="Times New Roman" w:cs="Times New Roman"/>
          <w:sz w:val="22"/>
          <w:szCs w:val="22"/>
          <w:lang w:val="en-IE"/>
        </w:rPr>
        <w:t>- refers to the measure</w:t>
      </w:r>
      <w:r w:rsidR="00CC10FE" w:rsidRPr="00E22B82">
        <w:rPr>
          <w:rFonts w:ascii="Times New Roman" w:hAnsi="Times New Roman" w:cs="Times New Roman"/>
          <w:sz w:val="22"/>
          <w:szCs w:val="22"/>
          <w:lang w:val="en-IE"/>
        </w:rPr>
        <w:t>able attribute of the indicator</w:t>
      </w:r>
    </w:p>
    <w:p w14:paraId="6BBC979C" w14:textId="77777777" w:rsidR="007C546D" w:rsidRPr="00E22B82" w:rsidRDefault="007C546D" w:rsidP="00B53C4D">
      <w:pPr>
        <w:pStyle w:val="ListParagraph"/>
        <w:numPr>
          <w:ilvl w:val="0"/>
          <w:numId w:val="2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Pattern of Use</w:t>
      </w:r>
      <w:r w:rsidRPr="00E22B82">
        <w:rPr>
          <w:rFonts w:ascii="Times New Roman" w:hAnsi="Times New Roman" w:cs="Times New Roman"/>
          <w:sz w:val="22"/>
          <w:szCs w:val="22"/>
          <w:lang w:val="en-IE"/>
        </w:rPr>
        <w:t xml:space="preserve"> - refers to temporal and seasonal consideratio</w:t>
      </w:r>
      <w:r w:rsidR="00CC10FE" w:rsidRPr="00E22B82">
        <w:rPr>
          <w:rFonts w:ascii="Times New Roman" w:hAnsi="Times New Roman" w:cs="Times New Roman"/>
          <w:sz w:val="22"/>
          <w:szCs w:val="22"/>
          <w:lang w:val="en-IE"/>
        </w:rPr>
        <w:t>ns which apply to the indicator</w:t>
      </w:r>
    </w:p>
    <w:p w14:paraId="3D112925" w14:textId="77777777" w:rsidR="00DA68B0" w:rsidRPr="00E22B82" w:rsidRDefault="00DA68B0" w:rsidP="00B53C4D">
      <w:pPr>
        <w:spacing w:line="276" w:lineRule="auto"/>
        <w:jc w:val="both"/>
        <w:rPr>
          <w:rFonts w:ascii="Times New Roman" w:hAnsi="Times New Roman" w:cs="Times New Roman"/>
          <w:sz w:val="22"/>
          <w:szCs w:val="22"/>
          <w:lang w:val="en-IE"/>
        </w:rPr>
      </w:pPr>
      <w:bookmarkStart w:id="5" w:name="_Toc448909753"/>
      <w:r w:rsidRPr="00E22B82">
        <w:rPr>
          <w:rFonts w:ascii="Times New Roman" w:hAnsi="Times New Roman" w:cs="Times New Roman"/>
          <w:sz w:val="22"/>
          <w:szCs w:val="22"/>
          <w:lang w:val="en-IE"/>
        </w:rPr>
        <w:t xml:space="preserve">In order to develop indicators </w:t>
      </w:r>
      <w:r w:rsidR="00332118" w:rsidRPr="00E22B82">
        <w:rPr>
          <w:rFonts w:ascii="Times New Roman" w:hAnsi="Times New Roman" w:cs="Times New Roman"/>
          <w:sz w:val="22"/>
          <w:szCs w:val="22"/>
          <w:lang w:val="en-IE"/>
        </w:rPr>
        <w:t>which,</w:t>
      </w:r>
      <w:r w:rsidRPr="00E22B82">
        <w:rPr>
          <w:rFonts w:ascii="Times New Roman" w:hAnsi="Times New Roman" w:cs="Times New Roman"/>
          <w:sz w:val="22"/>
          <w:szCs w:val="22"/>
          <w:lang w:val="en-IE"/>
        </w:rPr>
        <w:t xml:space="preserve"> align with the requirements of the end users and stakeholders as well as the core objectives, ‘domains’ which reflect the priorities of both were considered. The domains which were decided upon were emissions reduction, cost reduction, and increased </w:t>
      </w:r>
      <w:r w:rsidR="00BA5BAF" w:rsidRPr="00E22B82">
        <w:rPr>
          <w:rFonts w:ascii="Times New Roman" w:hAnsi="Times New Roman" w:cs="Times New Roman"/>
          <w:sz w:val="22"/>
          <w:szCs w:val="22"/>
          <w:lang w:val="en-IE"/>
        </w:rPr>
        <w:t xml:space="preserve">energy </w:t>
      </w:r>
      <w:r w:rsidRPr="00E22B82">
        <w:rPr>
          <w:rFonts w:ascii="Times New Roman" w:hAnsi="Times New Roman" w:cs="Times New Roman"/>
          <w:sz w:val="22"/>
          <w:szCs w:val="22"/>
          <w:lang w:val="en-IE"/>
        </w:rPr>
        <w:t>efficiency.</w:t>
      </w:r>
    </w:p>
    <w:p w14:paraId="56643274" w14:textId="77777777" w:rsidR="00DA68B0" w:rsidRPr="00E22B82" w:rsidRDefault="00DA68B0" w:rsidP="00B53C4D">
      <w:pPr>
        <w:spacing w:line="276" w:lineRule="auto"/>
        <w:jc w:val="both"/>
        <w:rPr>
          <w:rFonts w:ascii="Times New Roman" w:hAnsi="Times New Roman" w:cs="Times New Roman"/>
          <w:sz w:val="22"/>
          <w:szCs w:val="22"/>
          <w:lang w:val="en-IE"/>
        </w:rPr>
      </w:pPr>
    </w:p>
    <w:p w14:paraId="5CF066F4" w14:textId="77777777" w:rsidR="005E7CC5" w:rsidRPr="00E22B82" w:rsidRDefault="005E7CC5" w:rsidP="005E7CC5">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rationale for dividing the indicator development process arose from the need to establish a comprehensive assessment of the existing academic work and professional practice in the field of sustainable energy research, to comprehensively collate existing energy focused indicators and to assess that body of indicators against the needs of the end user community. By combining this with existing indices relating to energy and sustainable communities, the indicators could then be assessed </w:t>
      </w:r>
      <w:r w:rsidRPr="00E22B82">
        <w:rPr>
          <w:rFonts w:ascii="Times New Roman" w:hAnsi="Times New Roman" w:cs="Times New Roman"/>
          <w:sz w:val="22"/>
          <w:szCs w:val="22"/>
          <w:lang w:val="en-IE"/>
        </w:rPr>
        <w:lastRenderedPageBreak/>
        <w:t xml:space="preserve">with reference to their relevance to the identified domains of cost reduction, emissions reduction and increased energy efficiency. </w:t>
      </w:r>
    </w:p>
    <w:p w14:paraId="0DAA7E2D" w14:textId="77777777" w:rsidR="005E7CC5" w:rsidRPr="00E22B82" w:rsidRDefault="005E7CC5" w:rsidP="005E7CC5">
      <w:pPr>
        <w:spacing w:line="276" w:lineRule="auto"/>
        <w:jc w:val="both"/>
        <w:rPr>
          <w:rFonts w:ascii="Times New Roman" w:hAnsi="Times New Roman" w:cs="Times New Roman"/>
          <w:sz w:val="22"/>
          <w:szCs w:val="22"/>
          <w:lang w:val="en-IE"/>
        </w:rPr>
      </w:pPr>
    </w:p>
    <w:p w14:paraId="60B74E86" w14:textId="77777777" w:rsidR="005E7CC5" w:rsidRPr="00E22B82" w:rsidRDefault="005E7CC5" w:rsidP="005E7CC5">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Energy indicators which relate to the domains outlined above were extracted from a range of existing indices. At the initial phase of the compilation process, the indicators taken from existing indices were cross referenced in order to determine if they arose in more than one indicator list. Niche or uncommon indicators amongst those selected were evaluated on their merits and capacities to contribute to the overall index. Niche indicators found to be of merit were retained while those whose focus did not align with the indicator objectives</w:t>
      </w:r>
      <w:r w:rsidRPr="00E22B82">
        <w:rPr>
          <w:rStyle w:val="CommentReference"/>
        </w:rPr>
        <w:t xml:space="preserve"> </w:t>
      </w:r>
      <w:r w:rsidRPr="00E22B82">
        <w:rPr>
          <w:rFonts w:ascii="Times New Roman" w:hAnsi="Times New Roman" w:cs="Times New Roman"/>
          <w:sz w:val="22"/>
          <w:szCs w:val="22"/>
          <w:lang w:val="en-IE"/>
        </w:rPr>
        <w:t>were discharged. Consultation with stakeholders resulted in the development of indicators which reflect their interests with reference to their experiences of and interactions with the urban environment. The indicators arising from the stakeholder consultation were categorised under the following headings:</w:t>
      </w:r>
    </w:p>
    <w:p w14:paraId="734C6423" w14:textId="77777777" w:rsidR="005E7CC5" w:rsidRPr="00E22B82" w:rsidRDefault="005E7CC5" w:rsidP="005E7CC5">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 </w:t>
      </w:r>
    </w:p>
    <w:p w14:paraId="54AA7D69" w14:textId="77777777" w:rsidR="005E7CC5" w:rsidRPr="00E22B82" w:rsidRDefault="005E7CC5" w:rsidP="005E7CC5">
      <w:pPr>
        <w:pStyle w:val="ListParagraph"/>
        <w:numPr>
          <w:ilvl w:val="0"/>
          <w:numId w:val="14"/>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Demograp</w:t>
      </w:r>
      <w:r w:rsidR="007923BE">
        <w:rPr>
          <w:rFonts w:ascii="Times New Roman" w:hAnsi="Times New Roman" w:cs="Times New Roman"/>
          <w:sz w:val="22"/>
          <w:szCs w:val="22"/>
          <w:lang w:val="en-IE"/>
        </w:rPr>
        <w:t>hic dynamics</w:t>
      </w:r>
    </w:p>
    <w:p w14:paraId="2B9A1829" w14:textId="77777777" w:rsidR="005E7CC5" w:rsidRPr="00E22B82" w:rsidRDefault="005E7CC5" w:rsidP="005E7CC5">
      <w:pPr>
        <w:pStyle w:val="ListParagraph"/>
        <w:numPr>
          <w:ilvl w:val="0"/>
          <w:numId w:val="14"/>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Accessibili</w:t>
      </w:r>
      <w:r w:rsidR="007923BE">
        <w:rPr>
          <w:rFonts w:ascii="Times New Roman" w:hAnsi="Times New Roman" w:cs="Times New Roman"/>
          <w:sz w:val="22"/>
          <w:szCs w:val="22"/>
          <w:lang w:val="en-IE"/>
        </w:rPr>
        <w:t>ty to services and green areas</w:t>
      </w:r>
    </w:p>
    <w:p w14:paraId="519DAFC4" w14:textId="77777777" w:rsidR="005E7CC5" w:rsidRPr="00E22B82" w:rsidRDefault="007923BE" w:rsidP="005E7CC5">
      <w:pPr>
        <w:pStyle w:val="ListParagraph"/>
        <w:numPr>
          <w:ilvl w:val="0"/>
          <w:numId w:val="14"/>
        </w:numPr>
        <w:spacing w:after="200" w:line="276" w:lineRule="auto"/>
        <w:jc w:val="both"/>
        <w:rPr>
          <w:rFonts w:ascii="Times New Roman" w:hAnsi="Times New Roman" w:cs="Times New Roman"/>
          <w:sz w:val="22"/>
          <w:szCs w:val="22"/>
          <w:lang w:val="en-IE"/>
        </w:rPr>
      </w:pPr>
      <w:r>
        <w:rPr>
          <w:rFonts w:ascii="Times New Roman" w:hAnsi="Times New Roman" w:cs="Times New Roman"/>
          <w:sz w:val="22"/>
          <w:szCs w:val="22"/>
          <w:lang w:val="en-IE"/>
        </w:rPr>
        <w:t>Urban mobility and transport</w:t>
      </w:r>
    </w:p>
    <w:p w14:paraId="296CC7FF" w14:textId="77777777" w:rsidR="005E7CC5" w:rsidRPr="00E22B82" w:rsidRDefault="007923BE" w:rsidP="005E7CC5">
      <w:pPr>
        <w:pStyle w:val="ListParagraph"/>
        <w:numPr>
          <w:ilvl w:val="0"/>
          <w:numId w:val="14"/>
        </w:numPr>
        <w:spacing w:after="200" w:line="276" w:lineRule="auto"/>
        <w:jc w:val="both"/>
        <w:rPr>
          <w:rFonts w:ascii="Times New Roman" w:hAnsi="Times New Roman" w:cs="Times New Roman"/>
          <w:sz w:val="22"/>
          <w:szCs w:val="22"/>
          <w:lang w:val="en-IE"/>
        </w:rPr>
      </w:pPr>
      <w:r>
        <w:rPr>
          <w:rFonts w:ascii="Times New Roman" w:hAnsi="Times New Roman" w:cs="Times New Roman"/>
          <w:sz w:val="22"/>
          <w:szCs w:val="22"/>
          <w:lang w:val="en-IE"/>
        </w:rPr>
        <w:t>Health and safety</w:t>
      </w:r>
    </w:p>
    <w:p w14:paraId="4D415AA7" w14:textId="77777777" w:rsidR="005E7CC5" w:rsidRPr="00E22B82" w:rsidRDefault="007923BE" w:rsidP="005E7CC5">
      <w:pPr>
        <w:pStyle w:val="ListParagraph"/>
        <w:numPr>
          <w:ilvl w:val="0"/>
          <w:numId w:val="14"/>
        </w:numPr>
        <w:spacing w:after="200" w:line="276" w:lineRule="auto"/>
        <w:jc w:val="both"/>
        <w:rPr>
          <w:rFonts w:ascii="Times New Roman" w:hAnsi="Times New Roman" w:cs="Times New Roman"/>
          <w:sz w:val="22"/>
          <w:szCs w:val="22"/>
          <w:lang w:val="en-IE"/>
        </w:rPr>
      </w:pPr>
      <w:r>
        <w:rPr>
          <w:rFonts w:ascii="Times New Roman" w:hAnsi="Times New Roman" w:cs="Times New Roman"/>
          <w:sz w:val="22"/>
          <w:szCs w:val="22"/>
          <w:lang w:val="en-IE"/>
        </w:rPr>
        <w:t>Awareness and behaviours</w:t>
      </w:r>
    </w:p>
    <w:p w14:paraId="5F3F8A6A" w14:textId="77777777" w:rsidR="00DA68B0" w:rsidRPr="00E22B82" w:rsidRDefault="00DA68B0"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high level domains reflect the needs of decision makers, urban environment professionals as well </w:t>
      </w:r>
      <w:r w:rsidR="00BA5BAF" w:rsidRPr="00E22B82">
        <w:rPr>
          <w:rFonts w:ascii="Times New Roman" w:hAnsi="Times New Roman" w:cs="Times New Roman"/>
          <w:sz w:val="22"/>
          <w:szCs w:val="22"/>
          <w:lang w:val="en-IE"/>
        </w:rPr>
        <w:t xml:space="preserve">as </w:t>
      </w:r>
      <w:r w:rsidRPr="00E22B82">
        <w:rPr>
          <w:rFonts w:ascii="Times New Roman" w:hAnsi="Times New Roman" w:cs="Times New Roman"/>
          <w:sz w:val="22"/>
          <w:szCs w:val="22"/>
          <w:lang w:val="en-IE"/>
        </w:rPr>
        <w:t xml:space="preserve">citizens when it comes to cataloguing the impact of interventions in the urban environment which generate savings, reduce carbon and other emissions into the atmosphere and enhance the overall energy efficiency of the urban environment. </w:t>
      </w:r>
      <w:r w:rsidR="005E7CC5">
        <w:rPr>
          <w:rFonts w:ascii="Times New Roman" w:hAnsi="Times New Roman" w:cs="Times New Roman"/>
          <w:sz w:val="22"/>
          <w:szCs w:val="22"/>
          <w:lang w:val="en-IE"/>
        </w:rPr>
        <w:t>Through the consultation process</w:t>
      </w:r>
      <w:r w:rsidR="00517FEE">
        <w:rPr>
          <w:rFonts w:ascii="Times New Roman" w:hAnsi="Times New Roman" w:cs="Times New Roman"/>
          <w:sz w:val="22"/>
          <w:szCs w:val="22"/>
          <w:lang w:val="en-IE"/>
        </w:rPr>
        <w:t xml:space="preserve"> indicators selected during the initial literature and policy review were</w:t>
      </w:r>
      <w:r w:rsidR="005E7CC5">
        <w:rPr>
          <w:rFonts w:ascii="Times New Roman" w:hAnsi="Times New Roman" w:cs="Times New Roman"/>
          <w:sz w:val="22"/>
          <w:szCs w:val="22"/>
          <w:lang w:val="en-IE"/>
        </w:rPr>
        <w:t xml:space="preserve"> </w:t>
      </w:r>
      <w:r w:rsidR="00517FEE">
        <w:rPr>
          <w:rFonts w:ascii="Times New Roman" w:hAnsi="Times New Roman" w:cs="Times New Roman"/>
          <w:sz w:val="22"/>
          <w:szCs w:val="22"/>
          <w:lang w:val="en-IE"/>
        </w:rPr>
        <w:t xml:space="preserve">weighted by key stakeholders including academics, local government officials, energy providers and potential end user </w:t>
      </w:r>
      <w:r w:rsidR="005E7CC5">
        <w:rPr>
          <w:rFonts w:ascii="Times New Roman" w:hAnsi="Times New Roman" w:cs="Times New Roman"/>
          <w:sz w:val="22"/>
          <w:szCs w:val="22"/>
          <w:lang w:val="en-IE"/>
        </w:rPr>
        <w:t xml:space="preserve">with regards to how each indicator </w:t>
      </w:r>
      <w:r w:rsidR="00517FEE">
        <w:rPr>
          <w:rFonts w:ascii="Times New Roman" w:hAnsi="Times New Roman" w:cs="Times New Roman"/>
          <w:sz w:val="22"/>
          <w:szCs w:val="22"/>
          <w:lang w:val="en-IE"/>
        </w:rPr>
        <w:t xml:space="preserve">pertained </w:t>
      </w:r>
      <w:r w:rsidR="005E7CC5">
        <w:rPr>
          <w:rFonts w:ascii="Times New Roman" w:hAnsi="Times New Roman" w:cs="Times New Roman"/>
          <w:sz w:val="22"/>
          <w:szCs w:val="22"/>
          <w:lang w:val="en-IE"/>
        </w:rPr>
        <w:t>to</w:t>
      </w:r>
      <w:r w:rsidR="00517FEE">
        <w:rPr>
          <w:rFonts w:ascii="Times New Roman" w:hAnsi="Times New Roman" w:cs="Times New Roman"/>
          <w:sz w:val="22"/>
          <w:szCs w:val="22"/>
          <w:lang w:val="en-IE"/>
        </w:rPr>
        <w:t xml:space="preserve"> their individual needs. </w:t>
      </w:r>
      <w:r w:rsidR="005E7CC5">
        <w:rPr>
          <w:rFonts w:ascii="Times New Roman" w:hAnsi="Times New Roman" w:cs="Times New Roman"/>
          <w:sz w:val="22"/>
          <w:szCs w:val="22"/>
          <w:lang w:val="en-IE"/>
        </w:rPr>
        <w:t xml:space="preserve">The further review of the indicators selected in relation to supporting data available ensured the final SUIs would be usable across different urban environments. </w:t>
      </w:r>
    </w:p>
    <w:p w14:paraId="23ADE4DE" w14:textId="77777777" w:rsidR="007C546D" w:rsidRPr="00E22B82" w:rsidRDefault="007C546D" w:rsidP="00307D57">
      <w:pPr>
        <w:rPr>
          <w:lang w:val="en-IE"/>
        </w:rPr>
      </w:pPr>
      <w:bookmarkStart w:id="6" w:name="_Toc448909745"/>
      <w:bookmarkEnd w:id="5"/>
    </w:p>
    <w:bookmarkEnd w:id="6"/>
    <w:p w14:paraId="6131E2C0" w14:textId="77777777" w:rsidR="007C546D" w:rsidRPr="00E22B82" w:rsidRDefault="00C41E7E"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While our core aim was</w:t>
      </w:r>
      <w:r w:rsidR="007C546D" w:rsidRPr="00E22B82">
        <w:rPr>
          <w:rFonts w:ascii="Times New Roman" w:hAnsi="Times New Roman" w:cs="Times New Roman"/>
          <w:sz w:val="22"/>
          <w:szCs w:val="22"/>
          <w:lang w:val="en-IE"/>
        </w:rPr>
        <w:t xml:space="preserve"> to devise SUIs which focus on the domains of cost reduction, energy efficiency and red</w:t>
      </w:r>
      <w:r w:rsidRPr="00E22B82">
        <w:rPr>
          <w:rFonts w:ascii="Times New Roman" w:hAnsi="Times New Roman" w:cs="Times New Roman"/>
          <w:sz w:val="22"/>
          <w:szCs w:val="22"/>
          <w:lang w:val="en-IE"/>
        </w:rPr>
        <w:t>ucing carbon dioxide emissions i</w:t>
      </w:r>
      <w:r w:rsidR="007C546D" w:rsidRPr="00E22B82">
        <w:rPr>
          <w:rFonts w:ascii="Times New Roman" w:hAnsi="Times New Roman" w:cs="Times New Roman"/>
          <w:sz w:val="22"/>
          <w:szCs w:val="22"/>
          <w:lang w:val="en-IE"/>
        </w:rPr>
        <w:t>t</w:t>
      </w:r>
      <w:r w:rsidRPr="00E22B82">
        <w:rPr>
          <w:rFonts w:ascii="Times New Roman" w:hAnsi="Times New Roman" w:cs="Times New Roman"/>
          <w:sz w:val="22"/>
          <w:szCs w:val="22"/>
          <w:lang w:val="en-IE"/>
        </w:rPr>
        <w:t xml:space="preserve"> wa</w:t>
      </w:r>
      <w:r w:rsidR="007C546D" w:rsidRPr="00E22B82">
        <w:rPr>
          <w:rFonts w:ascii="Times New Roman" w:hAnsi="Times New Roman" w:cs="Times New Roman"/>
          <w:sz w:val="22"/>
          <w:szCs w:val="22"/>
          <w:lang w:val="en-IE"/>
        </w:rPr>
        <w:t xml:space="preserve">s </w:t>
      </w:r>
      <w:r w:rsidRPr="00E22B82">
        <w:rPr>
          <w:rFonts w:ascii="Times New Roman" w:hAnsi="Times New Roman" w:cs="Times New Roman"/>
          <w:sz w:val="22"/>
          <w:szCs w:val="22"/>
          <w:lang w:val="en-IE"/>
        </w:rPr>
        <w:t xml:space="preserve">also </w:t>
      </w:r>
      <w:r w:rsidR="007C546D" w:rsidRPr="00E22B82">
        <w:rPr>
          <w:rFonts w:ascii="Times New Roman" w:hAnsi="Times New Roman" w:cs="Times New Roman"/>
          <w:sz w:val="22"/>
          <w:szCs w:val="22"/>
          <w:lang w:val="en-IE"/>
        </w:rPr>
        <w:t>important to characteri</w:t>
      </w:r>
      <w:r w:rsidR="00AF71A9" w:rsidRPr="00E22B82">
        <w:rPr>
          <w:rFonts w:ascii="Times New Roman" w:hAnsi="Times New Roman" w:cs="Times New Roman"/>
          <w:sz w:val="22"/>
          <w:szCs w:val="22"/>
          <w:lang w:val="en-IE"/>
        </w:rPr>
        <w:t>s</w:t>
      </w:r>
      <w:r w:rsidR="007C546D" w:rsidRPr="00E22B82">
        <w:rPr>
          <w:rFonts w:ascii="Times New Roman" w:hAnsi="Times New Roman" w:cs="Times New Roman"/>
          <w:sz w:val="22"/>
          <w:szCs w:val="22"/>
          <w:lang w:val="en-IE"/>
        </w:rPr>
        <w:t>e the city as an overall integrated system</w:t>
      </w:r>
      <w:r w:rsidR="007C546D" w:rsidRPr="00E22B82">
        <w:rPr>
          <w:rFonts w:ascii="Times New Roman" w:hAnsi="Times New Roman" w:cs="Times New Roman"/>
          <w:i/>
          <w:sz w:val="22"/>
          <w:szCs w:val="22"/>
          <w:lang w:val="en-IE"/>
        </w:rPr>
        <w:t xml:space="preserve"> </w:t>
      </w:r>
      <w:r w:rsidR="007C546D" w:rsidRPr="00E22B82">
        <w:rPr>
          <w:rFonts w:ascii="Times New Roman" w:hAnsi="Times New Roman" w:cs="Times New Roman"/>
          <w:sz w:val="22"/>
          <w:szCs w:val="22"/>
          <w:lang w:val="en-IE"/>
        </w:rPr>
        <w:t>and develop the SUIs to be combined with a “</w:t>
      </w:r>
      <w:r w:rsidR="00CC10FE" w:rsidRPr="00E22B82">
        <w:rPr>
          <w:rFonts w:ascii="Times New Roman" w:hAnsi="Times New Roman" w:cs="Times New Roman"/>
          <w:sz w:val="22"/>
          <w:szCs w:val="22"/>
          <w:lang w:val="en-IE"/>
        </w:rPr>
        <w:t>sub-</w:t>
      </w:r>
      <w:r w:rsidR="007C546D" w:rsidRPr="00E22B82">
        <w:rPr>
          <w:rFonts w:ascii="Times New Roman" w:hAnsi="Times New Roman" w:cs="Times New Roman"/>
          <w:sz w:val="22"/>
          <w:szCs w:val="22"/>
          <w:lang w:val="en-IE"/>
        </w:rPr>
        <w:t xml:space="preserve">systems of a system” approach to the urban environment. The </w:t>
      </w:r>
      <w:r w:rsidRPr="00E22B82">
        <w:rPr>
          <w:rFonts w:ascii="Times New Roman" w:hAnsi="Times New Roman" w:cs="Times New Roman"/>
          <w:sz w:val="22"/>
          <w:szCs w:val="22"/>
          <w:lang w:val="en-IE"/>
        </w:rPr>
        <w:t>indicators were</w:t>
      </w:r>
      <w:r w:rsidR="007C546D" w:rsidRPr="00E22B82">
        <w:rPr>
          <w:rFonts w:ascii="Times New Roman" w:hAnsi="Times New Roman" w:cs="Times New Roman"/>
          <w:sz w:val="22"/>
          <w:szCs w:val="22"/>
          <w:lang w:val="en-IE"/>
        </w:rPr>
        <w:t xml:space="preserve"> effective in the manner in which </w:t>
      </w:r>
      <w:r w:rsidRPr="00E22B82">
        <w:rPr>
          <w:rFonts w:ascii="Times New Roman" w:hAnsi="Times New Roman" w:cs="Times New Roman"/>
          <w:sz w:val="22"/>
          <w:szCs w:val="22"/>
          <w:lang w:val="en-IE"/>
        </w:rPr>
        <w:t>they</w:t>
      </w:r>
      <w:r w:rsidR="007C546D" w:rsidRPr="00E22B82">
        <w:rPr>
          <w:rFonts w:ascii="Times New Roman" w:hAnsi="Times New Roman" w:cs="Times New Roman"/>
          <w:sz w:val="22"/>
          <w:szCs w:val="22"/>
          <w:lang w:val="en-IE"/>
        </w:rPr>
        <w:t xml:space="preserve"> considered the components of the built environment and as such, </w:t>
      </w:r>
      <w:r w:rsidRPr="00E22B82">
        <w:rPr>
          <w:rFonts w:ascii="Times New Roman" w:hAnsi="Times New Roman" w:cs="Times New Roman"/>
          <w:sz w:val="22"/>
          <w:szCs w:val="22"/>
          <w:lang w:val="en-IE"/>
        </w:rPr>
        <w:t>they</w:t>
      </w:r>
      <w:r w:rsidR="007C546D" w:rsidRPr="00E22B82">
        <w:rPr>
          <w:rFonts w:ascii="Times New Roman" w:hAnsi="Times New Roman" w:cs="Times New Roman"/>
          <w:sz w:val="22"/>
          <w:szCs w:val="22"/>
          <w:lang w:val="en-IE"/>
        </w:rPr>
        <w:t xml:space="preserve"> are attuned to the interrelated nature of the urban environment</w:t>
      </w:r>
      <w:r w:rsidR="00427D46" w:rsidRPr="00E22B82">
        <w:rPr>
          <w:rFonts w:ascii="Times New Roman" w:hAnsi="Times New Roman" w:cs="Times New Roman"/>
          <w:sz w:val="22"/>
          <w:szCs w:val="22"/>
          <w:lang w:val="en-IE"/>
        </w:rPr>
        <w:t>.</w:t>
      </w:r>
      <w:r w:rsidR="007C546D" w:rsidRPr="00E22B82">
        <w:rPr>
          <w:rFonts w:ascii="Times New Roman" w:hAnsi="Times New Roman" w:cs="Times New Roman"/>
          <w:sz w:val="22"/>
          <w:szCs w:val="22"/>
          <w:lang w:val="en-IE"/>
        </w:rPr>
        <w:t xml:space="preserve"> </w:t>
      </w:r>
      <w:r w:rsidR="00427D46" w:rsidRPr="00E22B82">
        <w:rPr>
          <w:rFonts w:ascii="Times New Roman" w:hAnsi="Times New Roman" w:cs="Times New Roman"/>
          <w:sz w:val="22"/>
          <w:szCs w:val="22"/>
          <w:lang w:val="en-IE"/>
        </w:rPr>
        <w:t>T</w:t>
      </w:r>
      <w:r w:rsidR="007C546D" w:rsidRPr="00E22B82">
        <w:rPr>
          <w:rFonts w:ascii="Times New Roman" w:hAnsi="Times New Roman" w:cs="Times New Roman"/>
          <w:sz w:val="22"/>
          <w:szCs w:val="22"/>
          <w:lang w:val="en-IE"/>
        </w:rPr>
        <w:t>he manner in which one indicator may be utili</w:t>
      </w:r>
      <w:r w:rsidR="00AF71A9" w:rsidRPr="00E22B82">
        <w:rPr>
          <w:rFonts w:ascii="Times New Roman" w:hAnsi="Times New Roman" w:cs="Times New Roman"/>
          <w:sz w:val="22"/>
          <w:szCs w:val="22"/>
          <w:lang w:val="en-IE"/>
        </w:rPr>
        <w:t>s</w:t>
      </w:r>
      <w:r w:rsidR="007C546D" w:rsidRPr="00E22B82">
        <w:rPr>
          <w:rFonts w:ascii="Times New Roman" w:hAnsi="Times New Roman" w:cs="Times New Roman"/>
          <w:sz w:val="22"/>
          <w:szCs w:val="22"/>
          <w:lang w:val="en-IE"/>
        </w:rPr>
        <w:t xml:space="preserve">ed to correlate the impact of interventions is reflective of the interconnected nature of urban environment systems in relation </w:t>
      </w:r>
      <w:r w:rsidR="00AF71A9" w:rsidRPr="00E22B82">
        <w:rPr>
          <w:rFonts w:ascii="Times New Roman" w:hAnsi="Times New Roman" w:cs="Times New Roman"/>
          <w:sz w:val="22"/>
          <w:szCs w:val="22"/>
          <w:lang w:val="en-IE"/>
        </w:rPr>
        <w:t xml:space="preserve">to the </w:t>
      </w:r>
      <w:r w:rsidR="007C546D" w:rsidRPr="00E22B82">
        <w:rPr>
          <w:rFonts w:ascii="Times New Roman" w:hAnsi="Times New Roman" w:cs="Times New Roman"/>
          <w:sz w:val="22"/>
          <w:szCs w:val="22"/>
          <w:lang w:val="en-IE"/>
        </w:rPr>
        <w:t xml:space="preserve">provision and consumption of energy. The characterisation of the city and its energy network in the manner outlined above assisted in the development of indicators which align with the constituent components of the urban environment under the three objectives specified </w:t>
      </w:r>
      <w:r w:rsidR="00CC10FE" w:rsidRPr="00E22B82">
        <w:rPr>
          <w:rFonts w:ascii="Times New Roman" w:hAnsi="Times New Roman" w:cs="Times New Roman"/>
          <w:sz w:val="22"/>
          <w:szCs w:val="22"/>
          <w:lang w:val="en-IE"/>
        </w:rPr>
        <w:t>above.</w:t>
      </w:r>
    </w:p>
    <w:p w14:paraId="51D4D23D" w14:textId="77777777" w:rsidR="00C41E7E" w:rsidRPr="00E22B82" w:rsidRDefault="00C41E7E" w:rsidP="00B53C4D">
      <w:pPr>
        <w:spacing w:line="276" w:lineRule="auto"/>
        <w:jc w:val="both"/>
        <w:rPr>
          <w:rFonts w:ascii="Times New Roman" w:hAnsi="Times New Roman" w:cs="Times New Roman"/>
          <w:sz w:val="22"/>
          <w:szCs w:val="22"/>
          <w:lang w:val="en-IE"/>
        </w:rPr>
      </w:pPr>
    </w:p>
    <w:p w14:paraId="6C925CFA" w14:textId="77777777" w:rsidR="00C50A09" w:rsidRPr="00C50A09" w:rsidRDefault="00014E13" w:rsidP="00C50A09">
      <w:pPr>
        <w:spacing w:before="7" w:line="276" w:lineRule="auto"/>
        <w:jc w:val="both"/>
        <w:rPr>
          <w:rFonts w:ascii="Times New Roman" w:hAnsi="Times New Roman" w:cs="Times New Roman"/>
          <w:sz w:val="22"/>
          <w:lang w:val="en-IE"/>
        </w:rPr>
      </w:pPr>
      <w:r>
        <w:rPr>
          <w:rFonts w:ascii="Times New Roman" w:hAnsi="Times New Roman" w:cs="Times New Roman"/>
          <w:sz w:val="22"/>
          <w:lang w:val="en-IE"/>
        </w:rPr>
        <w:t>The i</w:t>
      </w:r>
      <w:r w:rsidR="00C50A09" w:rsidRPr="00E22B82">
        <w:rPr>
          <w:rFonts w:ascii="Times New Roman" w:hAnsi="Times New Roman" w:cs="Times New Roman"/>
          <w:sz w:val="22"/>
          <w:lang w:val="en-IE"/>
        </w:rPr>
        <w:t xml:space="preserve">ndicators </w:t>
      </w:r>
      <w:r>
        <w:rPr>
          <w:rFonts w:ascii="Times New Roman" w:hAnsi="Times New Roman" w:cs="Times New Roman"/>
          <w:sz w:val="22"/>
          <w:lang w:val="en-IE"/>
        </w:rPr>
        <w:t>put forward were</w:t>
      </w:r>
      <w:r w:rsidR="00C50A09" w:rsidRPr="00E22B82">
        <w:rPr>
          <w:rFonts w:ascii="Times New Roman" w:hAnsi="Times New Roman" w:cs="Times New Roman"/>
          <w:sz w:val="22"/>
          <w:lang w:val="en-IE"/>
        </w:rPr>
        <w:t xml:space="preserve"> carefully </w:t>
      </w:r>
      <w:r>
        <w:rPr>
          <w:rFonts w:ascii="Times New Roman" w:hAnsi="Times New Roman" w:cs="Times New Roman"/>
          <w:sz w:val="22"/>
          <w:lang w:val="en-IE"/>
        </w:rPr>
        <w:t xml:space="preserve">chosen </w:t>
      </w:r>
      <w:r w:rsidR="00C50A09" w:rsidRPr="00E22B82">
        <w:rPr>
          <w:rFonts w:ascii="Times New Roman" w:hAnsi="Times New Roman" w:cs="Times New Roman"/>
          <w:sz w:val="22"/>
          <w:lang w:val="en-IE"/>
        </w:rPr>
        <w:t>so that they reflect the environmental issues and measure the sustainability performance of the applied area effectively. Through the literature review we selected 186 indicators which were then filtered through the framework set out above. As part of this process we consulted industry experts, the aim of which was to enable experts from various backgrounds and who are familiar with local conditions, environmental needs and policy priorities to voice their opinions. The consultees included academics, local council employees, and energy providers and we worked towards agreement on a consensus view of the relative importance of the indicators based on</w:t>
      </w:r>
      <w:r w:rsidR="00C50A09">
        <w:rPr>
          <w:rFonts w:ascii="Times New Roman" w:hAnsi="Times New Roman" w:cs="Times New Roman"/>
          <w:sz w:val="22"/>
          <w:lang w:val="en-IE"/>
        </w:rPr>
        <w:t xml:space="preserve"> their experience and judgment.</w:t>
      </w:r>
    </w:p>
    <w:p w14:paraId="4605D576" w14:textId="77777777" w:rsidR="00C50A09" w:rsidRDefault="00C50A09" w:rsidP="00B53C4D">
      <w:pPr>
        <w:spacing w:line="276" w:lineRule="auto"/>
        <w:jc w:val="both"/>
        <w:rPr>
          <w:rFonts w:ascii="Times New Roman" w:hAnsi="Times New Roman" w:cs="Times New Roman"/>
          <w:sz w:val="22"/>
          <w:szCs w:val="22"/>
          <w:lang w:val="en-IE"/>
        </w:rPr>
      </w:pPr>
    </w:p>
    <w:p w14:paraId="68DAE668" w14:textId="77777777" w:rsidR="007C546D" w:rsidRPr="00E22B82" w:rsidRDefault="007C546D"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lastRenderedPageBreak/>
        <w:t xml:space="preserve">A data catalogue was </w:t>
      </w:r>
      <w:r w:rsidR="00C41E7E" w:rsidRPr="00E22B82">
        <w:rPr>
          <w:rFonts w:ascii="Times New Roman" w:hAnsi="Times New Roman" w:cs="Times New Roman"/>
          <w:sz w:val="22"/>
          <w:szCs w:val="22"/>
          <w:lang w:val="en-IE"/>
        </w:rPr>
        <w:t xml:space="preserve">also </w:t>
      </w:r>
      <w:r w:rsidRPr="00E22B82">
        <w:rPr>
          <w:rFonts w:ascii="Times New Roman" w:hAnsi="Times New Roman" w:cs="Times New Roman"/>
          <w:sz w:val="22"/>
          <w:szCs w:val="22"/>
          <w:lang w:val="en-IE"/>
        </w:rPr>
        <w:t>developed in a manner which recognised the need to be applicable across multiple urban contexts. A key requirement, in this regard, was the need for commonality and standardisation of data characteristics, associated attributes and accepted terminology in order to present a catalogue that represents most urban contexts within the EU while at the same time providing an extensive data coverage best suited to determine the efficiencies and potential solutions in energy generation, transmission and consumption. Accordingly, eight categories of data were identified as being an appropriate data classification that corresponds to t</w:t>
      </w:r>
      <w:r w:rsidR="00427D46" w:rsidRPr="00E22B82">
        <w:rPr>
          <w:rFonts w:ascii="Times New Roman" w:hAnsi="Times New Roman" w:cs="Times New Roman"/>
          <w:sz w:val="22"/>
          <w:szCs w:val="22"/>
          <w:lang w:val="en-IE"/>
        </w:rPr>
        <w:t xml:space="preserve">hese requirements. </w:t>
      </w:r>
      <w:r w:rsidRPr="00E22B82">
        <w:rPr>
          <w:rFonts w:ascii="Times New Roman" w:hAnsi="Times New Roman" w:cs="Times New Roman"/>
          <w:sz w:val="22"/>
          <w:szCs w:val="22"/>
          <w:lang w:val="en-IE"/>
        </w:rPr>
        <w:t>Data corresponding to these categories were presented in a manner that captured, where possible, the key characteristics, attributes, units, sources and re</w:t>
      </w:r>
      <w:r w:rsidR="00427D46" w:rsidRPr="00E22B82">
        <w:rPr>
          <w:rFonts w:ascii="Times New Roman" w:hAnsi="Times New Roman" w:cs="Times New Roman"/>
          <w:sz w:val="22"/>
          <w:szCs w:val="22"/>
          <w:lang w:val="en-IE"/>
        </w:rPr>
        <w:t xml:space="preserve">ference standards. In addition, </w:t>
      </w:r>
      <w:r w:rsidRPr="00E22B82">
        <w:rPr>
          <w:rFonts w:ascii="Times New Roman" w:hAnsi="Times New Roman" w:cs="Times New Roman"/>
          <w:sz w:val="22"/>
          <w:szCs w:val="22"/>
          <w:lang w:val="en-IE"/>
        </w:rPr>
        <w:t xml:space="preserve">where possible each data type was delineated according to their spatial scale of applicability based on micro, </w:t>
      </w:r>
      <w:r w:rsidR="00AF71A9" w:rsidRPr="00E22B82">
        <w:rPr>
          <w:rFonts w:ascii="Times New Roman" w:hAnsi="Times New Roman" w:cs="Times New Roman"/>
          <w:sz w:val="22"/>
          <w:szCs w:val="22"/>
          <w:lang w:val="en-IE"/>
        </w:rPr>
        <w:t xml:space="preserve">meso </w:t>
      </w:r>
      <w:r w:rsidRPr="00E22B82">
        <w:rPr>
          <w:rFonts w:ascii="Times New Roman" w:hAnsi="Times New Roman" w:cs="Times New Roman"/>
          <w:sz w:val="22"/>
          <w:szCs w:val="22"/>
          <w:lang w:val="en-IE"/>
        </w:rPr>
        <w:t>and macro scales</w:t>
      </w:r>
      <w:r w:rsidR="00CC10FE" w:rsidRPr="00E22B82">
        <w:rPr>
          <w:rFonts w:ascii="Times New Roman" w:hAnsi="Times New Roman" w:cs="Times New Roman"/>
          <w:sz w:val="22"/>
          <w:szCs w:val="22"/>
          <w:lang w:val="en-IE"/>
        </w:rPr>
        <w:t xml:space="preserve"> (see table 2)</w:t>
      </w:r>
      <w:r w:rsidRPr="00E22B82">
        <w:rPr>
          <w:rFonts w:ascii="Times New Roman" w:hAnsi="Times New Roman" w:cs="Times New Roman"/>
          <w:sz w:val="22"/>
          <w:szCs w:val="22"/>
          <w:lang w:val="en-IE"/>
        </w:rPr>
        <w:t>.</w:t>
      </w:r>
    </w:p>
    <w:p w14:paraId="30C61C1E" w14:textId="77777777" w:rsidR="001F67BA" w:rsidRPr="00E22B82" w:rsidRDefault="001F67BA" w:rsidP="00B53C4D">
      <w:pPr>
        <w:spacing w:before="7" w:line="276" w:lineRule="auto"/>
        <w:jc w:val="both"/>
        <w:rPr>
          <w:rFonts w:ascii="Times New Roman" w:hAnsi="Times New Roman" w:cs="Times New Roman"/>
          <w:sz w:val="22"/>
          <w:szCs w:val="22"/>
          <w:lang w:val="en-IE"/>
        </w:rPr>
      </w:pPr>
    </w:p>
    <w:p w14:paraId="3B3179CC" w14:textId="77777777" w:rsidR="00C41E7E" w:rsidRPr="00E22B82" w:rsidRDefault="00C41E7E" w:rsidP="00B53C4D">
      <w:pPr>
        <w:spacing w:before="7"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Table 2. Sustainable Urban Indicator List</w:t>
      </w:r>
    </w:p>
    <w:p w14:paraId="741A6B36" w14:textId="77777777" w:rsidR="00CC10FE" w:rsidRPr="00E22B82" w:rsidRDefault="00CC10FE" w:rsidP="00B53C4D">
      <w:pPr>
        <w:spacing w:before="7" w:line="276" w:lineRule="auto"/>
        <w:jc w:val="both"/>
        <w:rPr>
          <w:rFonts w:ascii="Times New Roman" w:hAnsi="Times New Roman" w:cs="Times New Roman"/>
          <w:i/>
          <w:sz w:val="22"/>
          <w:szCs w:val="22"/>
          <w:lang w:val="en-IE"/>
        </w:rPr>
      </w:pPr>
      <w:r w:rsidRPr="00E22B82">
        <w:rPr>
          <w:rFonts w:ascii="Times New Roman" w:hAnsi="Times New Roman" w:cs="Times New Roman"/>
          <w:i/>
          <w:sz w:val="22"/>
          <w:szCs w:val="22"/>
          <w:lang w:val="en-IE"/>
        </w:rPr>
        <w:t>(</w:t>
      </w:r>
      <w:r w:rsidR="007D5A77" w:rsidRPr="00E22B82">
        <w:rPr>
          <w:rFonts w:ascii="Times New Roman" w:hAnsi="Times New Roman" w:cs="Times New Roman"/>
          <w:i/>
          <w:sz w:val="22"/>
          <w:szCs w:val="22"/>
          <w:lang w:val="en-IE"/>
        </w:rPr>
        <w:t xml:space="preserve">‘-’ </w:t>
      </w:r>
      <w:r w:rsidR="002F14EE" w:rsidRPr="00E22B82">
        <w:rPr>
          <w:rFonts w:ascii="Times New Roman" w:hAnsi="Times New Roman" w:cs="Times New Roman"/>
          <w:i/>
          <w:sz w:val="22"/>
          <w:szCs w:val="22"/>
          <w:lang w:val="en-IE"/>
        </w:rPr>
        <w:t xml:space="preserve">denotes </w:t>
      </w:r>
      <w:r w:rsidR="007D5A77" w:rsidRPr="00E22B82">
        <w:rPr>
          <w:rFonts w:ascii="Times New Roman" w:hAnsi="Times New Roman" w:cs="Times New Roman"/>
          <w:i/>
          <w:sz w:val="22"/>
          <w:szCs w:val="22"/>
          <w:lang w:val="en-IE"/>
        </w:rPr>
        <w:t>information as un</w:t>
      </w:r>
      <w:r w:rsidR="002F14EE" w:rsidRPr="00E22B82">
        <w:rPr>
          <w:rFonts w:ascii="Times New Roman" w:hAnsi="Times New Roman" w:cs="Times New Roman"/>
          <w:i/>
          <w:sz w:val="22"/>
          <w:szCs w:val="22"/>
          <w:lang w:val="en-IE"/>
        </w:rPr>
        <w:t>available)</w:t>
      </w:r>
    </w:p>
    <w:tbl>
      <w:tblPr>
        <w:tblStyle w:val="LightShading-Accent3"/>
        <w:tblW w:w="48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573"/>
        <w:gridCol w:w="1095"/>
        <w:gridCol w:w="2172"/>
        <w:gridCol w:w="2515"/>
        <w:gridCol w:w="1073"/>
      </w:tblGrid>
      <w:tr w:rsidR="007C6425" w:rsidRPr="00E22B82" w14:paraId="5C4EEBB6" w14:textId="77777777" w:rsidTr="007D2D1E">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301" w:type="pct"/>
            <w:tcBorders>
              <w:top w:val="none" w:sz="0" w:space="0" w:color="auto"/>
              <w:left w:val="none" w:sz="0" w:space="0" w:color="auto"/>
              <w:bottom w:val="none" w:sz="0" w:space="0" w:color="auto"/>
              <w:right w:val="none" w:sz="0" w:space="0" w:color="auto"/>
            </w:tcBorders>
            <w:shd w:val="clear" w:color="auto" w:fill="002060"/>
          </w:tcPr>
          <w:p w14:paraId="348FEA3C" w14:textId="77777777" w:rsidR="007C6425" w:rsidRPr="00E22B82" w:rsidRDefault="007C6425" w:rsidP="00B53C4D">
            <w:pPr>
              <w:spacing w:line="276" w:lineRule="auto"/>
              <w:jc w:val="both"/>
              <w:rPr>
                <w:rFonts w:ascii="Times New Roman" w:eastAsia="Times New Roman" w:hAnsi="Times New Roman" w:cs="Times New Roman"/>
                <w:bCs w:val="0"/>
              </w:rPr>
            </w:pPr>
            <w:r w:rsidRPr="00E22B82">
              <w:rPr>
                <w:rFonts w:ascii="Times New Roman" w:eastAsia="Times New Roman" w:hAnsi="Times New Roman" w:cs="Times New Roman"/>
              </w:rPr>
              <w:t>No.</w:t>
            </w:r>
          </w:p>
        </w:tc>
        <w:tc>
          <w:tcPr>
            <w:tcW w:w="877" w:type="pct"/>
            <w:tcBorders>
              <w:top w:val="none" w:sz="0" w:space="0" w:color="auto"/>
              <w:left w:val="none" w:sz="0" w:space="0" w:color="auto"/>
              <w:bottom w:val="none" w:sz="0" w:space="0" w:color="auto"/>
              <w:right w:val="none" w:sz="0" w:space="0" w:color="auto"/>
            </w:tcBorders>
            <w:shd w:val="clear" w:color="auto" w:fill="002060"/>
          </w:tcPr>
          <w:p w14:paraId="1019BDC4" w14:textId="77777777" w:rsidR="007C6425" w:rsidRPr="00E22B82" w:rsidRDefault="007C6425" w:rsidP="00B53C4D">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rPr>
            </w:pPr>
            <w:r w:rsidRPr="00E22B82">
              <w:rPr>
                <w:rFonts w:ascii="Times New Roman" w:eastAsia="Times New Roman" w:hAnsi="Times New Roman" w:cs="Times New Roman"/>
              </w:rPr>
              <w:t>Indicator</w:t>
            </w:r>
          </w:p>
        </w:tc>
        <w:tc>
          <w:tcPr>
            <w:tcW w:w="611" w:type="pct"/>
            <w:tcBorders>
              <w:top w:val="none" w:sz="0" w:space="0" w:color="auto"/>
              <w:left w:val="none" w:sz="0" w:space="0" w:color="auto"/>
              <w:bottom w:val="none" w:sz="0" w:space="0" w:color="auto"/>
              <w:right w:val="none" w:sz="0" w:space="0" w:color="auto"/>
            </w:tcBorders>
            <w:shd w:val="clear" w:color="auto" w:fill="002060"/>
          </w:tcPr>
          <w:p w14:paraId="4691C3FF" w14:textId="77777777" w:rsidR="007C6425" w:rsidRPr="00E22B82" w:rsidRDefault="007C6425" w:rsidP="00B53C4D">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rPr>
            </w:pPr>
            <w:r w:rsidRPr="00E22B82">
              <w:rPr>
                <w:rFonts w:ascii="Times New Roman" w:eastAsia="Times New Roman" w:hAnsi="Times New Roman" w:cs="Times New Roman"/>
              </w:rPr>
              <w:t>Scale</w:t>
            </w:r>
          </w:p>
        </w:tc>
        <w:tc>
          <w:tcPr>
            <w:tcW w:w="1211" w:type="pct"/>
            <w:tcBorders>
              <w:top w:val="none" w:sz="0" w:space="0" w:color="auto"/>
              <w:left w:val="none" w:sz="0" w:space="0" w:color="auto"/>
              <w:bottom w:val="none" w:sz="0" w:space="0" w:color="auto"/>
              <w:right w:val="none" w:sz="0" w:space="0" w:color="auto"/>
            </w:tcBorders>
            <w:shd w:val="clear" w:color="auto" w:fill="002060"/>
          </w:tcPr>
          <w:p w14:paraId="6118E587" w14:textId="77777777" w:rsidR="007C6425" w:rsidRPr="00E22B82" w:rsidRDefault="007C6425" w:rsidP="00B53C4D">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rPr>
            </w:pPr>
            <w:r w:rsidRPr="00E22B82">
              <w:rPr>
                <w:rFonts w:ascii="Times New Roman" w:eastAsia="Times New Roman" w:hAnsi="Times New Roman" w:cs="Times New Roman"/>
              </w:rPr>
              <w:t>Definition</w:t>
            </w:r>
          </w:p>
        </w:tc>
        <w:tc>
          <w:tcPr>
            <w:tcW w:w="1402" w:type="pct"/>
            <w:tcBorders>
              <w:top w:val="none" w:sz="0" w:space="0" w:color="auto"/>
              <w:left w:val="none" w:sz="0" w:space="0" w:color="auto"/>
              <w:bottom w:val="none" w:sz="0" w:space="0" w:color="auto"/>
              <w:right w:val="none" w:sz="0" w:space="0" w:color="auto"/>
            </w:tcBorders>
            <w:shd w:val="clear" w:color="auto" w:fill="002060"/>
          </w:tcPr>
          <w:p w14:paraId="132A485C" w14:textId="77777777" w:rsidR="007C6425" w:rsidRPr="00E22B82" w:rsidRDefault="007C6425" w:rsidP="00B53C4D">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rPr>
            </w:pPr>
            <w:r w:rsidRPr="00E22B82">
              <w:rPr>
                <w:rFonts w:ascii="Times New Roman" w:eastAsia="Times New Roman" w:hAnsi="Times New Roman" w:cs="Times New Roman"/>
              </w:rPr>
              <w:t>Unit of Measurement</w:t>
            </w:r>
          </w:p>
        </w:tc>
        <w:tc>
          <w:tcPr>
            <w:tcW w:w="598" w:type="pct"/>
            <w:tcBorders>
              <w:top w:val="none" w:sz="0" w:space="0" w:color="auto"/>
              <w:left w:val="none" w:sz="0" w:space="0" w:color="auto"/>
              <w:bottom w:val="none" w:sz="0" w:space="0" w:color="auto"/>
              <w:right w:val="none" w:sz="0" w:space="0" w:color="auto"/>
            </w:tcBorders>
            <w:shd w:val="clear" w:color="auto" w:fill="002060"/>
          </w:tcPr>
          <w:p w14:paraId="58269C81" w14:textId="77777777" w:rsidR="007C6425" w:rsidRPr="00E22B82" w:rsidRDefault="007C6425" w:rsidP="00B53C4D">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rPr>
            </w:pPr>
            <w:r w:rsidRPr="00E22B82">
              <w:rPr>
                <w:rFonts w:ascii="Times New Roman" w:eastAsia="Times New Roman" w:hAnsi="Times New Roman" w:cs="Times New Roman"/>
              </w:rPr>
              <w:t xml:space="preserve">Pattern of Use </w:t>
            </w:r>
          </w:p>
        </w:tc>
      </w:tr>
      <w:tr w:rsidR="007C6425" w:rsidRPr="00E22B82" w14:paraId="79BECB1A" w14:textId="77777777" w:rsidTr="007D2D1E">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5AB57FB4" w14:textId="77777777" w:rsidR="007C6425" w:rsidRPr="00E22B82" w:rsidRDefault="007C6425" w:rsidP="00B53C4D">
            <w:pPr>
              <w:spacing w:line="276" w:lineRule="auto"/>
              <w:rPr>
                <w:rFonts w:ascii="Times New Roman" w:eastAsia="Times New Roman" w:hAnsi="Times New Roman" w:cs="Times New Roman"/>
                <w:bCs w:val="0"/>
              </w:rPr>
            </w:pPr>
          </w:p>
          <w:p w14:paraId="7FF10D61" w14:textId="77777777" w:rsidR="007C6425" w:rsidRPr="00E22B82" w:rsidRDefault="007C6425" w:rsidP="00B53C4D">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1.</w:t>
            </w:r>
          </w:p>
        </w:tc>
        <w:tc>
          <w:tcPr>
            <w:tcW w:w="877" w:type="pct"/>
            <w:tcBorders>
              <w:left w:val="none" w:sz="0" w:space="0" w:color="auto"/>
              <w:right w:val="none" w:sz="0" w:space="0" w:color="auto"/>
            </w:tcBorders>
            <w:shd w:val="clear" w:color="auto" w:fill="D9D9D9" w:themeFill="background1" w:themeFillShade="D9"/>
          </w:tcPr>
          <w:p w14:paraId="5D9B3F24" w14:textId="77777777" w:rsidR="007C6425" w:rsidRPr="00E22B82" w:rsidRDefault="007C6425" w:rsidP="00B53C4D">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Consumption of renewables</w:t>
            </w:r>
          </w:p>
        </w:tc>
        <w:tc>
          <w:tcPr>
            <w:tcW w:w="611" w:type="pct"/>
            <w:tcBorders>
              <w:left w:val="none" w:sz="0" w:space="0" w:color="auto"/>
              <w:right w:val="none" w:sz="0" w:space="0" w:color="auto"/>
            </w:tcBorders>
            <w:shd w:val="clear" w:color="auto" w:fill="D9D9D9" w:themeFill="background1" w:themeFillShade="D9"/>
          </w:tcPr>
          <w:p w14:paraId="27D2407D" w14:textId="77777777" w:rsidR="007C6425" w:rsidRPr="00E22B82" w:rsidRDefault="007C6425" w:rsidP="00B53C4D">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4800D147" w14:textId="77777777" w:rsidR="007C6425" w:rsidRPr="00E22B82" w:rsidRDefault="007C6425" w:rsidP="00B53C4D">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Renewable energy consumption as a % of total energy consumption in the urban area.</w:t>
            </w:r>
          </w:p>
        </w:tc>
        <w:tc>
          <w:tcPr>
            <w:tcW w:w="1402" w:type="pct"/>
            <w:tcBorders>
              <w:left w:val="none" w:sz="0" w:space="0" w:color="auto"/>
              <w:right w:val="none" w:sz="0" w:space="0" w:color="auto"/>
            </w:tcBorders>
            <w:shd w:val="clear" w:color="auto" w:fill="D9D9D9" w:themeFill="background1" w:themeFillShade="D9"/>
          </w:tcPr>
          <w:p w14:paraId="626970C6" w14:textId="77777777" w:rsidR="007C6425" w:rsidRPr="00E22B82" w:rsidRDefault="002C6DE5" w:rsidP="001F338B">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kWh divided by the total kWh consumed in the city over what period of time</w:t>
            </w:r>
          </w:p>
        </w:tc>
        <w:tc>
          <w:tcPr>
            <w:tcW w:w="598" w:type="pct"/>
            <w:tcBorders>
              <w:left w:val="none" w:sz="0" w:space="0" w:color="auto"/>
              <w:right w:val="none" w:sz="0" w:space="0" w:color="auto"/>
            </w:tcBorders>
            <w:shd w:val="clear" w:color="auto" w:fill="D9D9D9" w:themeFill="background1" w:themeFillShade="D9"/>
          </w:tcPr>
          <w:p w14:paraId="02184FEC" w14:textId="77777777" w:rsidR="007C6425" w:rsidRPr="00E22B82" w:rsidRDefault="007C6425" w:rsidP="00B53C4D">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Temporal + Seasonal</w:t>
            </w:r>
          </w:p>
        </w:tc>
      </w:tr>
      <w:tr w:rsidR="007C6425" w:rsidRPr="00E22B82" w14:paraId="336FBB19" w14:textId="77777777" w:rsidTr="007D2D1E">
        <w:trPr>
          <w:trHeight w:val="1200"/>
        </w:trPr>
        <w:tc>
          <w:tcPr>
            <w:cnfStyle w:val="001000000000" w:firstRow="0" w:lastRow="0" w:firstColumn="1" w:lastColumn="0" w:oddVBand="0" w:evenVBand="0" w:oddHBand="0" w:evenHBand="0" w:firstRowFirstColumn="0" w:firstRowLastColumn="0" w:lastRowFirstColumn="0" w:lastRowLastColumn="0"/>
            <w:tcW w:w="301" w:type="pct"/>
          </w:tcPr>
          <w:p w14:paraId="27829165" w14:textId="77777777" w:rsidR="007C6425" w:rsidRPr="00E22B82" w:rsidRDefault="007C6425" w:rsidP="00B53C4D">
            <w:pPr>
              <w:spacing w:line="276" w:lineRule="auto"/>
              <w:rPr>
                <w:rFonts w:ascii="Times New Roman" w:eastAsia="Times New Roman" w:hAnsi="Times New Roman" w:cs="Times New Roman"/>
                <w:bCs w:val="0"/>
              </w:rPr>
            </w:pPr>
          </w:p>
          <w:p w14:paraId="57109E4A" w14:textId="77777777" w:rsidR="007C6425" w:rsidRPr="00E22B82" w:rsidRDefault="007C6425" w:rsidP="00B53C4D">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w:t>
            </w:r>
          </w:p>
          <w:p w14:paraId="33956B7A" w14:textId="77777777" w:rsidR="007C6425" w:rsidRPr="00E22B82" w:rsidRDefault="007C6425" w:rsidP="00B53C4D">
            <w:pPr>
              <w:spacing w:line="276" w:lineRule="auto"/>
              <w:rPr>
                <w:rFonts w:ascii="Times New Roman" w:eastAsia="Times New Roman" w:hAnsi="Times New Roman" w:cs="Times New Roman"/>
                <w:bCs w:val="0"/>
              </w:rPr>
            </w:pPr>
          </w:p>
        </w:tc>
        <w:tc>
          <w:tcPr>
            <w:tcW w:w="877" w:type="pct"/>
          </w:tcPr>
          <w:p w14:paraId="0649050F"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GHG emissions per sector (residential, industry, use type)</w:t>
            </w:r>
          </w:p>
        </w:tc>
        <w:tc>
          <w:tcPr>
            <w:tcW w:w="611" w:type="pct"/>
          </w:tcPr>
          <w:p w14:paraId="3A53CCD8"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Pr>
          <w:p w14:paraId="3BE63D61"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The per capita emissions (Tonnes of Emissions eq. per individual).</w:t>
            </w:r>
          </w:p>
        </w:tc>
        <w:tc>
          <w:tcPr>
            <w:tcW w:w="1402" w:type="pct"/>
          </w:tcPr>
          <w:p w14:paraId="0ACD93F3"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C02/CH4/N2O/O3/CFC’s emissions per unit GDP (g/€) (GHG emissions in tonnes per capita)</w:t>
            </w:r>
          </w:p>
        </w:tc>
        <w:tc>
          <w:tcPr>
            <w:tcW w:w="598" w:type="pct"/>
          </w:tcPr>
          <w:p w14:paraId="0BB17F5D"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Temporal + Seasonal</w:t>
            </w:r>
          </w:p>
        </w:tc>
      </w:tr>
      <w:tr w:rsidR="007C6425" w:rsidRPr="00E22B82" w14:paraId="6FE938C1" w14:textId="77777777" w:rsidTr="007D2D1E">
        <w:trPr>
          <w:cnfStyle w:val="000000100000" w:firstRow="0" w:lastRow="0" w:firstColumn="0" w:lastColumn="0" w:oddVBand="0" w:evenVBand="0" w:oddHBand="1" w:evenHBand="0" w:firstRowFirstColumn="0" w:firstRowLastColumn="0" w:lastRowFirstColumn="0" w:lastRowLastColumn="0"/>
          <w:trHeight w:val="126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60697D48" w14:textId="77777777" w:rsidR="007C6425" w:rsidRPr="00E22B82" w:rsidRDefault="007C6425" w:rsidP="00B53C4D">
            <w:pPr>
              <w:spacing w:line="276" w:lineRule="auto"/>
              <w:jc w:val="both"/>
              <w:rPr>
                <w:rFonts w:ascii="Times New Roman" w:eastAsia="Times New Roman" w:hAnsi="Times New Roman" w:cs="Times New Roman"/>
                <w:bCs w:val="0"/>
              </w:rPr>
            </w:pPr>
          </w:p>
          <w:p w14:paraId="49F80CC5" w14:textId="77777777" w:rsidR="007C6425" w:rsidRPr="00E22B82" w:rsidRDefault="007C6425" w:rsidP="00B53C4D">
            <w:pPr>
              <w:spacing w:line="276" w:lineRule="auto"/>
              <w:jc w:val="both"/>
              <w:rPr>
                <w:rFonts w:ascii="Times New Roman" w:eastAsia="Times New Roman" w:hAnsi="Times New Roman" w:cs="Times New Roman"/>
                <w:bCs w:val="0"/>
              </w:rPr>
            </w:pPr>
            <w:r w:rsidRPr="00E22B82">
              <w:rPr>
                <w:rFonts w:ascii="Times New Roman" w:eastAsia="Times New Roman" w:hAnsi="Times New Roman" w:cs="Times New Roman"/>
              </w:rPr>
              <w:t>3.</w:t>
            </w:r>
          </w:p>
          <w:p w14:paraId="4C0EC4B2" w14:textId="77777777" w:rsidR="007C6425" w:rsidRPr="00E22B82" w:rsidRDefault="007C6425" w:rsidP="00B53C4D">
            <w:pPr>
              <w:spacing w:line="276" w:lineRule="auto"/>
              <w:jc w:val="both"/>
              <w:rPr>
                <w:rFonts w:ascii="Times New Roman" w:eastAsia="Times New Roman" w:hAnsi="Times New Roman" w:cs="Times New Roman"/>
                <w:bCs w:val="0"/>
              </w:rPr>
            </w:pPr>
          </w:p>
        </w:tc>
        <w:tc>
          <w:tcPr>
            <w:tcW w:w="877" w:type="pct"/>
            <w:tcBorders>
              <w:left w:val="none" w:sz="0" w:space="0" w:color="auto"/>
              <w:right w:val="none" w:sz="0" w:space="0" w:color="auto"/>
            </w:tcBorders>
            <w:shd w:val="clear" w:color="auto" w:fill="D9D9D9" w:themeFill="background1" w:themeFillShade="D9"/>
          </w:tcPr>
          <w:p w14:paraId="6D9CC66A" w14:textId="77777777" w:rsidR="007C6425" w:rsidRPr="00E22B82" w:rsidRDefault="007C6425" w:rsidP="00B53C4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Renewable plants (managed by public/private authority) kWh produced</w:t>
            </w:r>
          </w:p>
        </w:tc>
        <w:tc>
          <w:tcPr>
            <w:tcW w:w="611" w:type="pct"/>
            <w:tcBorders>
              <w:left w:val="none" w:sz="0" w:space="0" w:color="auto"/>
              <w:right w:val="none" w:sz="0" w:space="0" w:color="auto"/>
            </w:tcBorders>
            <w:shd w:val="clear" w:color="auto" w:fill="D9D9D9" w:themeFill="background1" w:themeFillShade="D9"/>
          </w:tcPr>
          <w:p w14:paraId="3274C3F9" w14:textId="77777777" w:rsidR="007C6425" w:rsidRPr="00E22B82" w:rsidRDefault="007C6425" w:rsidP="00B53C4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448EFDD9" w14:textId="77777777" w:rsidR="007C6425" w:rsidRPr="00E22B82" w:rsidRDefault="007C6425" w:rsidP="00B53C4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xml:space="preserve">Renewable electricity produced by LA/PA (kWh). (managed by public/private authority) </w:t>
            </w:r>
          </w:p>
        </w:tc>
        <w:tc>
          <w:tcPr>
            <w:tcW w:w="1402" w:type="pct"/>
            <w:tcBorders>
              <w:left w:val="none" w:sz="0" w:space="0" w:color="auto"/>
              <w:right w:val="none" w:sz="0" w:space="0" w:color="auto"/>
            </w:tcBorders>
            <w:shd w:val="clear" w:color="auto" w:fill="D9D9D9" w:themeFill="background1" w:themeFillShade="D9"/>
          </w:tcPr>
          <w:p w14:paraId="3CAD583B" w14:textId="77777777" w:rsidR="007C6425" w:rsidRPr="00E22B82" w:rsidRDefault="007C6425" w:rsidP="00B53C4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kWh per annum</w:t>
            </w:r>
          </w:p>
        </w:tc>
        <w:tc>
          <w:tcPr>
            <w:tcW w:w="598" w:type="pct"/>
            <w:tcBorders>
              <w:left w:val="none" w:sz="0" w:space="0" w:color="auto"/>
              <w:right w:val="none" w:sz="0" w:space="0" w:color="auto"/>
            </w:tcBorders>
            <w:shd w:val="clear" w:color="auto" w:fill="D9D9D9" w:themeFill="background1" w:themeFillShade="D9"/>
          </w:tcPr>
          <w:p w14:paraId="611EA693" w14:textId="77777777" w:rsidR="007C6425" w:rsidRPr="00E22B82" w:rsidRDefault="007C6425" w:rsidP="00B53C4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C6425" w:rsidRPr="00E22B82" w14:paraId="0E91BD25" w14:textId="77777777" w:rsidTr="007D2D1E">
        <w:trPr>
          <w:trHeight w:val="1200"/>
        </w:trPr>
        <w:tc>
          <w:tcPr>
            <w:cnfStyle w:val="001000000000" w:firstRow="0" w:lastRow="0" w:firstColumn="1" w:lastColumn="0" w:oddVBand="0" w:evenVBand="0" w:oddHBand="0" w:evenHBand="0" w:firstRowFirstColumn="0" w:firstRowLastColumn="0" w:lastRowFirstColumn="0" w:lastRowLastColumn="0"/>
            <w:tcW w:w="301" w:type="pct"/>
          </w:tcPr>
          <w:p w14:paraId="61333EC5" w14:textId="77777777" w:rsidR="007C6425" w:rsidRPr="00E22B82" w:rsidRDefault="007C6425" w:rsidP="00B53C4D">
            <w:pPr>
              <w:spacing w:line="276" w:lineRule="auto"/>
              <w:rPr>
                <w:rFonts w:ascii="Times New Roman" w:eastAsia="Times New Roman" w:hAnsi="Times New Roman" w:cs="Times New Roman"/>
                <w:bCs w:val="0"/>
              </w:rPr>
            </w:pPr>
          </w:p>
          <w:p w14:paraId="05FBF2BF" w14:textId="77777777" w:rsidR="007C6425" w:rsidRPr="00E22B82" w:rsidRDefault="007C6425" w:rsidP="00B53C4D">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4.</w:t>
            </w:r>
          </w:p>
          <w:p w14:paraId="2D9C416F" w14:textId="77777777" w:rsidR="007C6425" w:rsidRPr="00E22B82" w:rsidRDefault="007C6425" w:rsidP="00B53C4D">
            <w:pPr>
              <w:spacing w:line="276" w:lineRule="auto"/>
              <w:rPr>
                <w:rFonts w:ascii="Times New Roman" w:eastAsia="Times New Roman" w:hAnsi="Times New Roman" w:cs="Times New Roman"/>
                <w:bCs w:val="0"/>
                <w:highlight w:val="yellow"/>
              </w:rPr>
            </w:pPr>
          </w:p>
        </w:tc>
        <w:tc>
          <w:tcPr>
            <w:tcW w:w="877" w:type="pct"/>
          </w:tcPr>
          <w:p w14:paraId="5E871411"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 xml:space="preserve">Energy consumption of public buildings </w:t>
            </w:r>
          </w:p>
        </w:tc>
        <w:tc>
          <w:tcPr>
            <w:tcW w:w="611" w:type="pct"/>
          </w:tcPr>
          <w:p w14:paraId="7F19BAB8"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Pr>
          <w:p w14:paraId="191D304A"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The energy consumption of municipal buildings per sq. m measure.</w:t>
            </w:r>
          </w:p>
        </w:tc>
        <w:tc>
          <w:tcPr>
            <w:tcW w:w="1402" w:type="pct"/>
          </w:tcPr>
          <w:p w14:paraId="0FD23BB6" w14:textId="77777777" w:rsidR="007C6425" w:rsidRPr="00E22B82" w:rsidRDefault="005417CB" w:rsidP="005417C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Avg</w:t>
            </w:r>
            <w:r w:rsidR="007C6425" w:rsidRPr="00E22B82">
              <w:rPr>
                <w:rFonts w:ascii="Times New Roman" w:eastAsia="Times New Roman" w:hAnsi="Times New Roman" w:cs="Times New Roman"/>
              </w:rPr>
              <w:t xml:space="preserve"> </w:t>
            </w:r>
            <w:r w:rsidR="00FB5732" w:rsidRPr="00E22B82">
              <w:rPr>
                <w:rFonts w:ascii="Times New Roman" w:eastAsia="Times New Roman" w:hAnsi="Times New Roman" w:cs="Times New Roman"/>
              </w:rPr>
              <w:t xml:space="preserve">kWh </w:t>
            </w:r>
          </w:p>
        </w:tc>
        <w:tc>
          <w:tcPr>
            <w:tcW w:w="598" w:type="pct"/>
          </w:tcPr>
          <w:p w14:paraId="0F496AC5" w14:textId="77777777" w:rsidR="007C6425" w:rsidRPr="00E22B82" w:rsidRDefault="007C6425" w:rsidP="00B53C4D">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Temporal + Seasonal</w:t>
            </w:r>
          </w:p>
        </w:tc>
      </w:tr>
      <w:tr w:rsidR="002C6DE5" w:rsidRPr="00E22B82" w14:paraId="137ED0AF" w14:textId="77777777" w:rsidTr="007D2D1E">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0811E30D" w14:textId="77777777" w:rsidR="002C6DE5" w:rsidRPr="00E22B82" w:rsidRDefault="002C6DE5" w:rsidP="002C6DE5">
            <w:pPr>
              <w:spacing w:line="276" w:lineRule="auto"/>
              <w:rPr>
                <w:rFonts w:ascii="Times New Roman" w:eastAsia="Times New Roman" w:hAnsi="Times New Roman" w:cs="Times New Roman"/>
                <w:bCs w:val="0"/>
              </w:rPr>
            </w:pPr>
          </w:p>
          <w:p w14:paraId="31401C73" w14:textId="77777777" w:rsidR="002C6DE5" w:rsidRPr="00E22B82" w:rsidRDefault="002C6DE5" w:rsidP="002C6DE5">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5.</w:t>
            </w:r>
          </w:p>
        </w:tc>
        <w:tc>
          <w:tcPr>
            <w:tcW w:w="877" w:type="pct"/>
            <w:tcBorders>
              <w:left w:val="none" w:sz="0" w:space="0" w:color="auto"/>
              <w:right w:val="none" w:sz="0" w:space="0" w:color="auto"/>
            </w:tcBorders>
            <w:shd w:val="clear" w:color="auto" w:fill="D9D9D9" w:themeFill="background1" w:themeFillShade="D9"/>
          </w:tcPr>
          <w:p w14:paraId="0390407F"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hAnsi="Times New Roman" w:cs="Times New Roman"/>
                <w:b/>
                <w:bCs/>
              </w:rPr>
              <w:t>Energy consumption of public buildings II</w:t>
            </w:r>
          </w:p>
        </w:tc>
        <w:tc>
          <w:tcPr>
            <w:tcW w:w="611" w:type="pct"/>
            <w:tcBorders>
              <w:left w:val="none" w:sz="0" w:space="0" w:color="auto"/>
              <w:right w:val="none" w:sz="0" w:space="0" w:color="auto"/>
            </w:tcBorders>
            <w:shd w:val="clear" w:color="auto" w:fill="D9D9D9" w:themeFill="background1" w:themeFillShade="D9"/>
          </w:tcPr>
          <w:p w14:paraId="5006FE02"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374B8392"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hAnsi="Times New Roman" w:cs="Times New Roman"/>
              </w:rPr>
              <w:t>% of public buildings that have been audited in terms of their energy usage (i.e. building energy rating/efficiency assessment)</w:t>
            </w:r>
          </w:p>
        </w:tc>
        <w:tc>
          <w:tcPr>
            <w:tcW w:w="1402" w:type="pct"/>
            <w:tcBorders>
              <w:left w:val="none" w:sz="0" w:space="0" w:color="auto"/>
              <w:right w:val="none" w:sz="0" w:space="0" w:color="auto"/>
            </w:tcBorders>
            <w:shd w:val="clear" w:color="auto" w:fill="D9D9D9" w:themeFill="background1" w:themeFillShade="D9"/>
          </w:tcPr>
          <w:p w14:paraId="670340A4"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hAnsi="Times New Roman" w:cs="Times New Roman"/>
              </w:rPr>
              <w:t>% of public buildings audited</w:t>
            </w:r>
          </w:p>
        </w:tc>
        <w:tc>
          <w:tcPr>
            <w:tcW w:w="598" w:type="pct"/>
            <w:tcBorders>
              <w:left w:val="none" w:sz="0" w:space="0" w:color="auto"/>
              <w:right w:val="none" w:sz="0" w:space="0" w:color="auto"/>
            </w:tcBorders>
            <w:shd w:val="clear" w:color="auto" w:fill="D9D9D9" w:themeFill="background1" w:themeFillShade="D9"/>
          </w:tcPr>
          <w:p w14:paraId="02D3D429"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hAnsi="Times New Roman" w:cs="Times New Roman"/>
              </w:rPr>
              <w:t>Temporal + Seasonal</w:t>
            </w:r>
          </w:p>
        </w:tc>
      </w:tr>
      <w:tr w:rsidR="002C6DE5" w:rsidRPr="00E22B82" w14:paraId="72A88036" w14:textId="77777777" w:rsidTr="007D2D1E">
        <w:trPr>
          <w:trHeight w:val="1200"/>
        </w:trPr>
        <w:tc>
          <w:tcPr>
            <w:cnfStyle w:val="001000000000" w:firstRow="0" w:lastRow="0" w:firstColumn="1" w:lastColumn="0" w:oddVBand="0" w:evenVBand="0" w:oddHBand="0" w:evenHBand="0" w:firstRowFirstColumn="0" w:firstRowLastColumn="0" w:lastRowFirstColumn="0" w:lastRowLastColumn="0"/>
            <w:tcW w:w="301" w:type="pct"/>
          </w:tcPr>
          <w:p w14:paraId="03188E5D" w14:textId="77777777" w:rsidR="002C6DE5" w:rsidRPr="00E22B82" w:rsidRDefault="002C6DE5" w:rsidP="002C6DE5">
            <w:pPr>
              <w:spacing w:line="276" w:lineRule="auto"/>
              <w:rPr>
                <w:rFonts w:ascii="Times New Roman" w:eastAsia="Times New Roman" w:hAnsi="Times New Roman" w:cs="Times New Roman"/>
                <w:bCs w:val="0"/>
              </w:rPr>
            </w:pPr>
          </w:p>
          <w:p w14:paraId="601A4686" w14:textId="77777777" w:rsidR="002C6DE5" w:rsidRPr="00E22B82" w:rsidRDefault="002C6DE5" w:rsidP="002C6DE5">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6.</w:t>
            </w:r>
          </w:p>
          <w:p w14:paraId="6B105A1F" w14:textId="77777777" w:rsidR="002C6DE5" w:rsidRPr="00E22B82" w:rsidRDefault="002C6DE5" w:rsidP="002C6DE5">
            <w:pPr>
              <w:spacing w:line="276" w:lineRule="auto"/>
              <w:rPr>
                <w:rFonts w:ascii="Times New Roman" w:eastAsia="Times New Roman" w:hAnsi="Times New Roman" w:cs="Times New Roman"/>
                <w:bCs w:val="0"/>
              </w:rPr>
            </w:pPr>
          </w:p>
        </w:tc>
        <w:tc>
          <w:tcPr>
            <w:tcW w:w="877" w:type="pct"/>
          </w:tcPr>
          <w:p w14:paraId="6D5E4721"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Brownfield versus greenfield development</w:t>
            </w:r>
          </w:p>
        </w:tc>
        <w:tc>
          <w:tcPr>
            <w:tcW w:w="611" w:type="pct"/>
          </w:tcPr>
          <w:p w14:paraId="54DB9E2B"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City/Sub City Level</w:t>
            </w:r>
          </w:p>
        </w:tc>
        <w:tc>
          <w:tcPr>
            <w:tcW w:w="1211" w:type="pct"/>
          </w:tcPr>
          <w:p w14:paraId="084FC818"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Ratio of new developments on brownfield to new developments on Greenfields.</w:t>
            </w:r>
          </w:p>
        </w:tc>
        <w:tc>
          <w:tcPr>
            <w:tcW w:w="1402" w:type="pct"/>
          </w:tcPr>
          <w:p w14:paraId="77BBE67B" w14:textId="77777777" w:rsidR="002C6DE5" w:rsidRPr="00E22B82" w:rsidRDefault="005417CB"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xml:space="preserve">m2 </w:t>
            </w:r>
          </w:p>
        </w:tc>
        <w:tc>
          <w:tcPr>
            <w:tcW w:w="598" w:type="pct"/>
          </w:tcPr>
          <w:p w14:paraId="7E85EB80"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2C6DE5" w:rsidRPr="00E22B82" w14:paraId="71830188" w14:textId="77777777" w:rsidTr="007D2D1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454B9B6B" w14:textId="77777777" w:rsidR="002C6DE5" w:rsidRPr="00E22B82" w:rsidRDefault="002C6DE5" w:rsidP="002C6DE5">
            <w:pPr>
              <w:spacing w:line="276" w:lineRule="auto"/>
              <w:rPr>
                <w:rFonts w:ascii="Times New Roman" w:eastAsia="Times New Roman" w:hAnsi="Times New Roman" w:cs="Times New Roman"/>
                <w:bCs w:val="0"/>
              </w:rPr>
            </w:pPr>
          </w:p>
          <w:p w14:paraId="00961ED5" w14:textId="77777777" w:rsidR="002C6DE5" w:rsidRPr="00E22B82" w:rsidRDefault="002C6DE5" w:rsidP="002C6DE5">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7.</w:t>
            </w:r>
          </w:p>
          <w:p w14:paraId="1A298562" w14:textId="77777777" w:rsidR="002C6DE5" w:rsidRPr="00E22B82" w:rsidRDefault="002C6DE5" w:rsidP="002C6DE5">
            <w:pPr>
              <w:spacing w:line="276" w:lineRule="auto"/>
              <w:rPr>
                <w:rFonts w:ascii="Times New Roman" w:eastAsia="Times New Roman" w:hAnsi="Times New Roman" w:cs="Times New Roman"/>
                <w:bCs w:val="0"/>
              </w:rPr>
            </w:pPr>
          </w:p>
        </w:tc>
        <w:tc>
          <w:tcPr>
            <w:tcW w:w="877" w:type="pct"/>
            <w:tcBorders>
              <w:left w:val="none" w:sz="0" w:space="0" w:color="auto"/>
              <w:right w:val="none" w:sz="0" w:space="0" w:color="auto"/>
            </w:tcBorders>
            <w:shd w:val="clear" w:color="auto" w:fill="D9D9D9" w:themeFill="background1" w:themeFillShade="D9"/>
          </w:tcPr>
          <w:p w14:paraId="45EEB654"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Roof Space available for PV</w:t>
            </w:r>
          </w:p>
        </w:tc>
        <w:tc>
          <w:tcPr>
            <w:tcW w:w="611" w:type="pct"/>
            <w:tcBorders>
              <w:left w:val="none" w:sz="0" w:space="0" w:color="auto"/>
              <w:right w:val="none" w:sz="0" w:space="0" w:color="auto"/>
            </w:tcBorders>
            <w:shd w:val="clear" w:color="auto" w:fill="D9D9D9" w:themeFill="background1" w:themeFillShade="D9"/>
          </w:tcPr>
          <w:p w14:paraId="71D57C8E"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Borders>
              <w:left w:val="none" w:sz="0" w:space="0" w:color="auto"/>
              <w:right w:val="none" w:sz="0" w:space="0" w:color="auto"/>
            </w:tcBorders>
            <w:shd w:val="clear" w:color="auto" w:fill="D9D9D9" w:themeFill="background1" w:themeFillShade="D9"/>
          </w:tcPr>
          <w:p w14:paraId="26185969"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Area of roof space suitable for PV.</w:t>
            </w:r>
          </w:p>
        </w:tc>
        <w:tc>
          <w:tcPr>
            <w:tcW w:w="1402" w:type="pct"/>
            <w:tcBorders>
              <w:left w:val="none" w:sz="0" w:space="0" w:color="auto"/>
              <w:right w:val="none" w:sz="0" w:space="0" w:color="auto"/>
            </w:tcBorders>
            <w:shd w:val="clear" w:color="auto" w:fill="D9D9D9" w:themeFill="background1" w:themeFillShade="D9"/>
          </w:tcPr>
          <w:p w14:paraId="0F2AD482"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m2</w:t>
            </w:r>
          </w:p>
        </w:tc>
        <w:tc>
          <w:tcPr>
            <w:tcW w:w="598" w:type="pct"/>
            <w:tcBorders>
              <w:left w:val="none" w:sz="0" w:space="0" w:color="auto"/>
              <w:right w:val="none" w:sz="0" w:space="0" w:color="auto"/>
            </w:tcBorders>
            <w:shd w:val="clear" w:color="auto" w:fill="D9D9D9" w:themeFill="background1" w:themeFillShade="D9"/>
          </w:tcPr>
          <w:p w14:paraId="79273E03"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2C6DE5" w:rsidRPr="00E22B82" w14:paraId="51E2FF6E" w14:textId="77777777" w:rsidTr="007D2D1E">
        <w:trPr>
          <w:trHeight w:val="315"/>
        </w:trPr>
        <w:tc>
          <w:tcPr>
            <w:cnfStyle w:val="001000000000" w:firstRow="0" w:lastRow="0" w:firstColumn="1" w:lastColumn="0" w:oddVBand="0" w:evenVBand="0" w:oddHBand="0" w:evenHBand="0" w:firstRowFirstColumn="0" w:firstRowLastColumn="0" w:lastRowFirstColumn="0" w:lastRowLastColumn="0"/>
            <w:tcW w:w="301" w:type="pct"/>
          </w:tcPr>
          <w:p w14:paraId="49DEB5C4" w14:textId="77777777" w:rsidR="002C6DE5" w:rsidRPr="00E22B82" w:rsidRDefault="002C6DE5" w:rsidP="002C6DE5">
            <w:pPr>
              <w:spacing w:line="276" w:lineRule="auto"/>
              <w:rPr>
                <w:rFonts w:ascii="Times New Roman" w:eastAsia="Times New Roman" w:hAnsi="Times New Roman" w:cs="Times New Roman"/>
                <w:bCs w:val="0"/>
              </w:rPr>
            </w:pPr>
          </w:p>
          <w:p w14:paraId="7FF007AD" w14:textId="77777777" w:rsidR="002C6DE5" w:rsidRPr="00E22B82" w:rsidRDefault="002C6DE5" w:rsidP="002C6DE5">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8.</w:t>
            </w:r>
          </w:p>
        </w:tc>
        <w:tc>
          <w:tcPr>
            <w:tcW w:w="877" w:type="pct"/>
          </w:tcPr>
          <w:p w14:paraId="36637222"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Roof Space Available for Solar Thermal</w:t>
            </w:r>
          </w:p>
        </w:tc>
        <w:tc>
          <w:tcPr>
            <w:tcW w:w="611" w:type="pct"/>
          </w:tcPr>
          <w:p w14:paraId="201E469D"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Pr>
          <w:p w14:paraId="4487BAB8"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Area of roof space suitable for Solar Thermal.</w:t>
            </w:r>
          </w:p>
        </w:tc>
        <w:tc>
          <w:tcPr>
            <w:tcW w:w="1402" w:type="pct"/>
          </w:tcPr>
          <w:p w14:paraId="2612FBD6"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m2</w:t>
            </w:r>
          </w:p>
        </w:tc>
        <w:tc>
          <w:tcPr>
            <w:tcW w:w="598" w:type="pct"/>
          </w:tcPr>
          <w:p w14:paraId="41541629"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2C6DE5" w:rsidRPr="00E22B82" w14:paraId="0176A762" w14:textId="77777777" w:rsidTr="007D2D1E">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0C6E0551" w14:textId="77777777" w:rsidR="002C6DE5" w:rsidRPr="00E22B82" w:rsidRDefault="002C6DE5" w:rsidP="002C6DE5">
            <w:pPr>
              <w:spacing w:line="276" w:lineRule="auto"/>
              <w:rPr>
                <w:rFonts w:ascii="Times New Roman" w:hAnsi="Times New Roman" w:cs="Times New Roman"/>
                <w:bCs w:val="0"/>
              </w:rPr>
            </w:pPr>
          </w:p>
          <w:p w14:paraId="73CEAC8B" w14:textId="77777777" w:rsidR="002C6DE5" w:rsidRPr="00E22B82" w:rsidRDefault="002C6DE5" w:rsidP="002C6DE5">
            <w:pPr>
              <w:spacing w:line="276" w:lineRule="auto"/>
              <w:rPr>
                <w:rFonts w:ascii="Times New Roman" w:hAnsi="Times New Roman" w:cs="Times New Roman"/>
                <w:bCs w:val="0"/>
              </w:rPr>
            </w:pPr>
            <w:r w:rsidRPr="00E22B82">
              <w:rPr>
                <w:rFonts w:ascii="Times New Roman" w:hAnsi="Times New Roman" w:cs="Times New Roman"/>
              </w:rPr>
              <w:t>9.</w:t>
            </w:r>
          </w:p>
        </w:tc>
        <w:tc>
          <w:tcPr>
            <w:tcW w:w="877" w:type="pct"/>
            <w:tcBorders>
              <w:left w:val="none" w:sz="0" w:space="0" w:color="auto"/>
              <w:right w:val="none" w:sz="0" w:space="0" w:color="auto"/>
            </w:tcBorders>
            <w:shd w:val="clear" w:color="auto" w:fill="D9D9D9" w:themeFill="background1" w:themeFillShade="D9"/>
          </w:tcPr>
          <w:p w14:paraId="5ABE5292"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Final energy consumption, by sector</w:t>
            </w:r>
          </w:p>
        </w:tc>
        <w:tc>
          <w:tcPr>
            <w:tcW w:w="611" w:type="pct"/>
            <w:tcBorders>
              <w:left w:val="none" w:sz="0" w:space="0" w:color="auto"/>
              <w:right w:val="none" w:sz="0" w:space="0" w:color="auto"/>
            </w:tcBorders>
            <w:shd w:val="clear" w:color="auto" w:fill="D9D9D9" w:themeFill="background1" w:themeFillShade="D9"/>
          </w:tcPr>
          <w:p w14:paraId="52729177"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104367B0"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The total electricity consumption per capita (kWh/individual) Trends in electricity consumption.</w:t>
            </w:r>
          </w:p>
        </w:tc>
        <w:tc>
          <w:tcPr>
            <w:tcW w:w="1402" w:type="pct"/>
            <w:tcBorders>
              <w:left w:val="none" w:sz="0" w:space="0" w:color="auto"/>
              <w:right w:val="none" w:sz="0" w:space="0" w:color="auto"/>
            </w:tcBorders>
            <w:shd w:val="clear" w:color="auto" w:fill="D9D9D9" w:themeFill="background1" w:themeFillShade="D9"/>
          </w:tcPr>
          <w:p w14:paraId="04ED7C2B"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per capita (GJ/inhabitant)</w:t>
            </w:r>
          </w:p>
        </w:tc>
        <w:tc>
          <w:tcPr>
            <w:tcW w:w="598" w:type="pct"/>
            <w:tcBorders>
              <w:left w:val="none" w:sz="0" w:space="0" w:color="auto"/>
              <w:right w:val="none" w:sz="0" w:space="0" w:color="auto"/>
            </w:tcBorders>
            <w:shd w:val="clear" w:color="auto" w:fill="D9D9D9" w:themeFill="background1" w:themeFillShade="D9"/>
          </w:tcPr>
          <w:p w14:paraId="25C13E10" w14:textId="77777777" w:rsidR="002C6DE5" w:rsidRPr="00E22B82" w:rsidRDefault="002C6DE5" w:rsidP="002C6DE5">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2C6DE5" w:rsidRPr="00E22B82" w14:paraId="531450D0" w14:textId="77777777" w:rsidTr="007D2D1E">
        <w:trPr>
          <w:trHeight w:val="900"/>
        </w:trPr>
        <w:tc>
          <w:tcPr>
            <w:cnfStyle w:val="001000000000" w:firstRow="0" w:lastRow="0" w:firstColumn="1" w:lastColumn="0" w:oddVBand="0" w:evenVBand="0" w:oddHBand="0" w:evenHBand="0" w:firstRowFirstColumn="0" w:firstRowLastColumn="0" w:lastRowFirstColumn="0" w:lastRowLastColumn="0"/>
            <w:tcW w:w="301" w:type="pct"/>
          </w:tcPr>
          <w:p w14:paraId="40001D96" w14:textId="77777777" w:rsidR="002C6DE5" w:rsidRPr="00E22B82" w:rsidRDefault="002C6DE5" w:rsidP="002C6DE5">
            <w:pPr>
              <w:spacing w:line="276" w:lineRule="auto"/>
              <w:rPr>
                <w:rFonts w:ascii="Times New Roman" w:hAnsi="Times New Roman" w:cs="Times New Roman"/>
                <w:bCs w:val="0"/>
              </w:rPr>
            </w:pPr>
          </w:p>
          <w:p w14:paraId="5F7BEC2B" w14:textId="77777777" w:rsidR="002C6DE5" w:rsidRPr="00E22B82" w:rsidRDefault="002C6DE5" w:rsidP="002C6DE5">
            <w:pPr>
              <w:spacing w:line="276" w:lineRule="auto"/>
              <w:rPr>
                <w:rFonts w:ascii="Times New Roman" w:hAnsi="Times New Roman" w:cs="Times New Roman"/>
                <w:bCs w:val="0"/>
              </w:rPr>
            </w:pPr>
            <w:r w:rsidRPr="00E22B82">
              <w:rPr>
                <w:rFonts w:ascii="Times New Roman" w:hAnsi="Times New Roman" w:cs="Times New Roman"/>
              </w:rPr>
              <w:t>10.</w:t>
            </w:r>
          </w:p>
        </w:tc>
        <w:tc>
          <w:tcPr>
            <w:tcW w:w="877" w:type="pct"/>
          </w:tcPr>
          <w:p w14:paraId="30200969"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Energy dependency</w:t>
            </w:r>
          </w:p>
        </w:tc>
        <w:tc>
          <w:tcPr>
            <w:tcW w:w="611" w:type="pct"/>
          </w:tcPr>
          <w:p w14:paraId="5815C82D"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56AD47AE"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The percentage of total electricity consumption per capita generated elsewhere and imported.</w:t>
            </w:r>
          </w:p>
        </w:tc>
        <w:tc>
          <w:tcPr>
            <w:tcW w:w="1402" w:type="pct"/>
          </w:tcPr>
          <w:p w14:paraId="50A3B62D" w14:textId="77777777" w:rsidR="002C6DE5" w:rsidRPr="00E22B82" w:rsidRDefault="00245D3A" w:rsidP="00245D3A">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of total kWh use</w:t>
            </w:r>
          </w:p>
        </w:tc>
        <w:tc>
          <w:tcPr>
            <w:tcW w:w="598" w:type="pct"/>
          </w:tcPr>
          <w:p w14:paraId="3390BFA1" w14:textId="77777777" w:rsidR="002C6DE5" w:rsidRPr="00E22B82" w:rsidRDefault="002C6DE5" w:rsidP="002C6DE5">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w:t>
            </w:r>
          </w:p>
        </w:tc>
      </w:tr>
      <w:tr w:rsidR="007D2D1E" w:rsidRPr="00E22B82" w14:paraId="1CD34563" w14:textId="77777777" w:rsidTr="007D2D1E">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4D6D26C9" w14:textId="77777777" w:rsidR="007D2D1E" w:rsidRPr="00E22B82" w:rsidRDefault="007D2D1E" w:rsidP="007D2D1E">
            <w:pPr>
              <w:spacing w:line="276" w:lineRule="auto"/>
              <w:rPr>
                <w:rFonts w:ascii="Times New Roman" w:hAnsi="Times New Roman" w:cs="Times New Roman"/>
                <w:bCs w:val="0"/>
              </w:rPr>
            </w:pPr>
          </w:p>
          <w:p w14:paraId="6F75C415"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11.</w:t>
            </w:r>
          </w:p>
        </w:tc>
        <w:tc>
          <w:tcPr>
            <w:tcW w:w="877" w:type="pct"/>
            <w:tcBorders>
              <w:left w:val="none" w:sz="0" w:space="0" w:color="auto"/>
              <w:right w:val="none" w:sz="0" w:space="0" w:color="auto"/>
            </w:tcBorders>
            <w:shd w:val="clear" w:color="auto" w:fill="D9D9D9" w:themeFill="background1" w:themeFillShade="D9"/>
          </w:tcPr>
          <w:p w14:paraId="13F05C6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eastAsia="Times New Roman" w:hAnsi="Times New Roman" w:cs="Times New Roman"/>
                <w:b/>
                <w:bCs/>
              </w:rPr>
              <w:t>Total waste generated per year per capita</w:t>
            </w:r>
          </w:p>
        </w:tc>
        <w:tc>
          <w:tcPr>
            <w:tcW w:w="611" w:type="pct"/>
            <w:tcBorders>
              <w:left w:val="none" w:sz="0" w:space="0" w:color="auto"/>
              <w:right w:val="none" w:sz="0" w:space="0" w:color="auto"/>
            </w:tcBorders>
            <w:shd w:val="clear" w:color="auto" w:fill="D9D9D9" w:themeFill="background1" w:themeFillShade="D9"/>
          </w:tcPr>
          <w:p w14:paraId="0714CDB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eastAsia="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44254644"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eastAsia="Times New Roman" w:hAnsi="Times New Roman" w:cs="Times New Roman"/>
              </w:rPr>
              <w:t>Municipal waste per capita</w:t>
            </w:r>
          </w:p>
        </w:tc>
        <w:tc>
          <w:tcPr>
            <w:tcW w:w="1402" w:type="pct"/>
            <w:tcBorders>
              <w:left w:val="none" w:sz="0" w:space="0" w:color="auto"/>
              <w:right w:val="none" w:sz="0" w:space="0" w:color="auto"/>
            </w:tcBorders>
            <w:shd w:val="clear" w:color="auto" w:fill="D9D9D9" w:themeFill="background1" w:themeFillShade="D9"/>
          </w:tcPr>
          <w:p w14:paraId="6505758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eastAsia="Times New Roman" w:hAnsi="Times New Roman" w:cs="Times New Roman"/>
              </w:rPr>
              <w:t>kg/inhabitant</w:t>
            </w:r>
          </w:p>
        </w:tc>
        <w:tc>
          <w:tcPr>
            <w:tcW w:w="598" w:type="pct"/>
            <w:tcBorders>
              <w:left w:val="none" w:sz="0" w:space="0" w:color="auto"/>
              <w:right w:val="none" w:sz="0" w:space="0" w:color="auto"/>
            </w:tcBorders>
            <w:shd w:val="clear" w:color="auto" w:fill="D9D9D9" w:themeFill="background1" w:themeFillShade="D9"/>
          </w:tcPr>
          <w:p w14:paraId="1D7B4358"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eastAsia="Times New Roman" w:hAnsi="Times New Roman" w:cs="Times New Roman"/>
              </w:rPr>
              <w:t>-</w:t>
            </w:r>
          </w:p>
        </w:tc>
      </w:tr>
      <w:tr w:rsidR="007D2D1E" w:rsidRPr="00E22B82" w14:paraId="15360783" w14:textId="77777777" w:rsidTr="007D2D1E">
        <w:trPr>
          <w:trHeight w:val="986"/>
        </w:trPr>
        <w:tc>
          <w:tcPr>
            <w:cnfStyle w:val="001000000000" w:firstRow="0" w:lastRow="0" w:firstColumn="1" w:lastColumn="0" w:oddVBand="0" w:evenVBand="0" w:oddHBand="0" w:evenHBand="0" w:firstRowFirstColumn="0" w:firstRowLastColumn="0" w:lastRowFirstColumn="0" w:lastRowLastColumn="0"/>
            <w:tcW w:w="301" w:type="pct"/>
          </w:tcPr>
          <w:p w14:paraId="7019A634" w14:textId="77777777" w:rsidR="007D2D1E" w:rsidRPr="00E22B82" w:rsidRDefault="007D2D1E" w:rsidP="007D2D1E">
            <w:pPr>
              <w:spacing w:line="276" w:lineRule="auto"/>
              <w:rPr>
                <w:rFonts w:ascii="Times New Roman" w:hAnsi="Times New Roman" w:cs="Times New Roman"/>
                <w:bCs w:val="0"/>
              </w:rPr>
            </w:pPr>
          </w:p>
          <w:p w14:paraId="2309FE6C"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12.</w:t>
            </w:r>
          </w:p>
        </w:tc>
        <w:tc>
          <w:tcPr>
            <w:tcW w:w="877" w:type="pct"/>
          </w:tcPr>
          <w:p w14:paraId="51722D81"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Building stock energy efficiency</w:t>
            </w:r>
          </w:p>
        </w:tc>
        <w:tc>
          <w:tcPr>
            <w:tcW w:w="611" w:type="pct"/>
          </w:tcPr>
          <w:p w14:paraId="24489784"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0FE95AC7" w14:textId="77777777" w:rsidR="007D2D1E" w:rsidRPr="00E22B82" w:rsidRDefault="0089482F"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hyperlink r:id="rId8" w:anchor="t5_4_1" w:history="1">
              <w:r w:rsidR="007D2D1E" w:rsidRPr="00E22B82">
                <w:rPr>
                  <w:rStyle w:val="Hyperlink"/>
                  <w:rFonts w:ascii="Times New Roman" w:hAnsi="Times New Roman" w:cs="Times New Roman"/>
                  <w:color w:val="auto"/>
                  <w:u w:val="none"/>
                </w:rPr>
                <w:t>New buildings and renovations assessed in terms of environmental sustainability. % of sustainably classified buildings (both new and renovated).</w:t>
              </w:r>
            </w:hyperlink>
          </w:p>
        </w:tc>
        <w:tc>
          <w:tcPr>
            <w:tcW w:w="1402" w:type="pct"/>
          </w:tcPr>
          <w:p w14:paraId="064C442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residential buildings (MJ/m2)by building type residential, public, commercial as % of total stock</w:t>
            </w:r>
          </w:p>
        </w:tc>
        <w:tc>
          <w:tcPr>
            <w:tcW w:w="598" w:type="pct"/>
          </w:tcPr>
          <w:p w14:paraId="36DE9CE6"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w:t>
            </w:r>
          </w:p>
        </w:tc>
      </w:tr>
      <w:tr w:rsidR="007D2D1E" w:rsidRPr="00E22B82" w14:paraId="010E6ED3" w14:textId="77777777" w:rsidTr="007D2D1E">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54CAEBE7" w14:textId="77777777" w:rsidR="007D2D1E" w:rsidRPr="00E22B82" w:rsidRDefault="007D2D1E" w:rsidP="007D2D1E">
            <w:pPr>
              <w:spacing w:line="276" w:lineRule="auto"/>
              <w:rPr>
                <w:rFonts w:ascii="Times New Roman" w:hAnsi="Times New Roman" w:cs="Times New Roman"/>
                <w:bCs w:val="0"/>
              </w:rPr>
            </w:pPr>
          </w:p>
          <w:p w14:paraId="07C8E96B"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13.</w:t>
            </w:r>
          </w:p>
        </w:tc>
        <w:tc>
          <w:tcPr>
            <w:tcW w:w="877" w:type="pct"/>
            <w:tcBorders>
              <w:left w:val="none" w:sz="0" w:space="0" w:color="auto"/>
              <w:right w:val="none" w:sz="0" w:space="0" w:color="auto"/>
            </w:tcBorders>
            <w:shd w:val="clear" w:color="auto" w:fill="D9D9D9" w:themeFill="background1" w:themeFillShade="D9"/>
          </w:tcPr>
          <w:p w14:paraId="41AF61F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Residential Stock Energy Efficiency</w:t>
            </w:r>
          </w:p>
        </w:tc>
        <w:tc>
          <w:tcPr>
            <w:tcW w:w="611" w:type="pct"/>
            <w:tcBorders>
              <w:left w:val="none" w:sz="0" w:space="0" w:color="auto"/>
              <w:right w:val="none" w:sz="0" w:space="0" w:color="auto"/>
            </w:tcBorders>
            <w:shd w:val="clear" w:color="auto" w:fill="D9D9D9" w:themeFill="background1" w:themeFillShade="D9"/>
          </w:tcPr>
          <w:p w14:paraId="004D63F9"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3400FFE1"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Assessment of Energy Efficiency of Housing Stock based on unit type and year of construction. </w:t>
            </w:r>
          </w:p>
        </w:tc>
        <w:tc>
          <w:tcPr>
            <w:tcW w:w="1402" w:type="pct"/>
            <w:tcBorders>
              <w:left w:val="none" w:sz="0" w:space="0" w:color="auto"/>
              <w:right w:val="none" w:sz="0" w:space="0" w:color="auto"/>
            </w:tcBorders>
            <w:shd w:val="clear" w:color="auto" w:fill="D9D9D9" w:themeFill="background1" w:themeFillShade="D9"/>
          </w:tcPr>
          <w:p w14:paraId="25652BF7"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Borders>
              <w:left w:val="none" w:sz="0" w:space="0" w:color="auto"/>
              <w:right w:val="none" w:sz="0" w:space="0" w:color="auto"/>
            </w:tcBorders>
            <w:shd w:val="clear" w:color="auto" w:fill="D9D9D9" w:themeFill="background1" w:themeFillShade="D9"/>
          </w:tcPr>
          <w:p w14:paraId="355460B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312B0A33" w14:textId="77777777" w:rsidTr="007D2D1E">
        <w:trPr>
          <w:trHeight w:val="702"/>
        </w:trPr>
        <w:tc>
          <w:tcPr>
            <w:cnfStyle w:val="001000000000" w:firstRow="0" w:lastRow="0" w:firstColumn="1" w:lastColumn="0" w:oddVBand="0" w:evenVBand="0" w:oddHBand="0" w:evenHBand="0" w:firstRowFirstColumn="0" w:firstRowLastColumn="0" w:lastRowFirstColumn="0" w:lastRowLastColumn="0"/>
            <w:tcW w:w="301" w:type="pct"/>
          </w:tcPr>
          <w:p w14:paraId="21BE462F" w14:textId="77777777" w:rsidR="007D2D1E" w:rsidRPr="00E22B82" w:rsidRDefault="007D2D1E" w:rsidP="007D2D1E">
            <w:pPr>
              <w:spacing w:line="276" w:lineRule="auto"/>
              <w:rPr>
                <w:rFonts w:ascii="Times New Roman" w:hAnsi="Times New Roman" w:cs="Times New Roman"/>
                <w:bCs w:val="0"/>
              </w:rPr>
            </w:pPr>
          </w:p>
          <w:p w14:paraId="1B972F07"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14.</w:t>
            </w:r>
          </w:p>
        </w:tc>
        <w:tc>
          <w:tcPr>
            <w:tcW w:w="877" w:type="pct"/>
          </w:tcPr>
          <w:p w14:paraId="11F3D622"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Commercial Stock Energy Efficiency</w:t>
            </w:r>
          </w:p>
        </w:tc>
        <w:tc>
          <w:tcPr>
            <w:tcW w:w="611" w:type="pct"/>
          </w:tcPr>
          <w:p w14:paraId="526A831F"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5B35174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Assessment of Energy Efficiency of Commercial Stock based on unit type and year of construction. </w:t>
            </w:r>
          </w:p>
        </w:tc>
        <w:tc>
          <w:tcPr>
            <w:tcW w:w="1402" w:type="pct"/>
          </w:tcPr>
          <w:p w14:paraId="1ECA4327"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Pr>
          <w:p w14:paraId="507EF287"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3F236915" w14:textId="77777777" w:rsidTr="007D2D1E">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5B33023E" w14:textId="77777777" w:rsidR="007D2D1E" w:rsidRPr="00E22B82" w:rsidRDefault="007D2D1E" w:rsidP="007D2D1E">
            <w:pPr>
              <w:spacing w:line="276" w:lineRule="auto"/>
              <w:rPr>
                <w:rFonts w:ascii="Times New Roman" w:hAnsi="Times New Roman" w:cs="Times New Roman"/>
                <w:bCs w:val="0"/>
              </w:rPr>
            </w:pPr>
          </w:p>
          <w:p w14:paraId="4EE9FBCF"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15.</w:t>
            </w:r>
          </w:p>
        </w:tc>
        <w:tc>
          <w:tcPr>
            <w:tcW w:w="877" w:type="pct"/>
            <w:tcBorders>
              <w:left w:val="none" w:sz="0" w:space="0" w:color="auto"/>
              <w:right w:val="none" w:sz="0" w:space="0" w:color="auto"/>
            </w:tcBorders>
            <w:shd w:val="clear" w:color="auto" w:fill="D9D9D9" w:themeFill="background1" w:themeFillShade="D9"/>
          </w:tcPr>
          <w:p w14:paraId="016E14A3"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Industrial Stock Energy Efficiency</w:t>
            </w:r>
          </w:p>
        </w:tc>
        <w:tc>
          <w:tcPr>
            <w:tcW w:w="611" w:type="pct"/>
            <w:tcBorders>
              <w:left w:val="none" w:sz="0" w:space="0" w:color="auto"/>
              <w:right w:val="none" w:sz="0" w:space="0" w:color="auto"/>
            </w:tcBorders>
            <w:shd w:val="clear" w:color="auto" w:fill="D9D9D9" w:themeFill="background1" w:themeFillShade="D9"/>
          </w:tcPr>
          <w:p w14:paraId="771A5BEC"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49455B1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Assessment of Energy Efficiency of Industrial Stock based on unit type and year of construction. </w:t>
            </w:r>
          </w:p>
        </w:tc>
        <w:tc>
          <w:tcPr>
            <w:tcW w:w="1402" w:type="pct"/>
            <w:tcBorders>
              <w:left w:val="none" w:sz="0" w:space="0" w:color="auto"/>
              <w:right w:val="none" w:sz="0" w:space="0" w:color="auto"/>
            </w:tcBorders>
            <w:shd w:val="clear" w:color="auto" w:fill="D9D9D9" w:themeFill="background1" w:themeFillShade="D9"/>
          </w:tcPr>
          <w:p w14:paraId="04C4EF4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Borders>
              <w:left w:val="none" w:sz="0" w:space="0" w:color="auto"/>
              <w:right w:val="none" w:sz="0" w:space="0" w:color="auto"/>
            </w:tcBorders>
            <w:shd w:val="clear" w:color="auto" w:fill="D9D9D9" w:themeFill="background1" w:themeFillShade="D9"/>
          </w:tcPr>
          <w:p w14:paraId="121B5F4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1D56E693" w14:textId="77777777" w:rsidTr="007D2D1E">
        <w:trPr>
          <w:trHeight w:val="1130"/>
        </w:trPr>
        <w:tc>
          <w:tcPr>
            <w:cnfStyle w:val="001000000000" w:firstRow="0" w:lastRow="0" w:firstColumn="1" w:lastColumn="0" w:oddVBand="0" w:evenVBand="0" w:oddHBand="0" w:evenHBand="0" w:firstRowFirstColumn="0" w:firstRowLastColumn="0" w:lastRowFirstColumn="0" w:lastRowLastColumn="0"/>
            <w:tcW w:w="301" w:type="pct"/>
          </w:tcPr>
          <w:p w14:paraId="4C83243E" w14:textId="77777777" w:rsidR="007D2D1E" w:rsidRPr="00E22B82" w:rsidRDefault="007D2D1E" w:rsidP="007D2D1E">
            <w:pPr>
              <w:spacing w:line="276" w:lineRule="auto"/>
              <w:rPr>
                <w:rFonts w:ascii="Times New Roman" w:hAnsi="Times New Roman" w:cs="Times New Roman"/>
                <w:bCs w:val="0"/>
              </w:rPr>
            </w:pPr>
          </w:p>
          <w:p w14:paraId="5E1241A7"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16.</w:t>
            </w:r>
          </w:p>
        </w:tc>
        <w:tc>
          <w:tcPr>
            <w:tcW w:w="877" w:type="pct"/>
          </w:tcPr>
          <w:p w14:paraId="7D6D896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Leisure Stock Energy Efficiency</w:t>
            </w:r>
          </w:p>
        </w:tc>
        <w:tc>
          <w:tcPr>
            <w:tcW w:w="611" w:type="pct"/>
          </w:tcPr>
          <w:p w14:paraId="6E3DC155"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522ED6A2"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Assessment of Leisure Stock Energy Efficiency based on unit type and year of construction. </w:t>
            </w:r>
          </w:p>
        </w:tc>
        <w:tc>
          <w:tcPr>
            <w:tcW w:w="1402" w:type="pct"/>
          </w:tcPr>
          <w:p w14:paraId="69ECEF5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Pr>
          <w:p w14:paraId="41A6214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56616DC3" w14:textId="77777777" w:rsidTr="007D2D1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29D86A13" w14:textId="77777777" w:rsidR="007D2D1E" w:rsidRPr="00E22B82" w:rsidRDefault="007D2D1E" w:rsidP="007D2D1E">
            <w:pPr>
              <w:spacing w:line="276" w:lineRule="auto"/>
              <w:rPr>
                <w:rFonts w:ascii="Times New Roman" w:hAnsi="Times New Roman" w:cs="Times New Roman"/>
                <w:bCs w:val="0"/>
              </w:rPr>
            </w:pPr>
          </w:p>
          <w:p w14:paraId="6E6A181E"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17.</w:t>
            </w:r>
          </w:p>
        </w:tc>
        <w:tc>
          <w:tcPr>
            <w:tcW w:w="877" w:type="pct"/>
            <w:tcBorders>
              <w:left w:val="none" w:sz="0" w:space="0" w:color="auto"/>
              <w:right w:val="none" w:sz="0" w:space="0" w:color="auto"/>
            </w:tcBorders>
            <w:shd w:val="clear" w:color="auto" w:fill="D9D9D9" w:themeFill="background1" w:themeFillShade="D9"/>
          </w:tcPr>
          <w:p w14:paraId="772C2018"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Public Stock Energy Efficiency (Health) I</w:t>
            </w:r>
          </w:p>
        </w:tc>
        <w:tc>
          <w:tcPr>
            <w:tcW w:w="611" w:type="pct"/>
            <w:tcBorders>
              <w:left w:val="none" w:sz="0" w:space="0" w:color="auto"/>
              <w:right w:val="none" w:sz="0" w:space="0" w:color="auto"/>
            </w:tcBorders>
            <w:shd w:val="clear" w:color="auto" w:fill="D9D9D9" w:themeFill="background1" w:themeFillShade="D9"/>
          </w:tcPr>
          <w:p w14:paraId="72D839D1"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6C2F05ED"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Assessment of Public (or private) healthcare facility energy efficiency</w:t>
            </w:r>
          </w:p>
        </w:tc>
        <w:tc>
          <w:tcPr>
            <w:tcW w:w="1402" w:type="pct"/>
            <w:tcBorders>
              <w:left w:val="none" w:sz="0" w:space="0" w:color="auto"/>
              <w:right w:val="none" w:sz="0" w:space="0" w:color="auto"/>
            </w:tcBorders>
            <w:shd w:val="clear" w:color="auto" w:fill="D9D9D9" w:themeFill="background1" w:themeFillShade="D9"/>
          </w:tcPr>
          <w:p w14:paraId="630350CD"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Borders>
              <w:left w:val="none" w:sz="0" w:space="0" w:color="auto"/>
              <w:right w:val="none" w:sz="0" w:space="0" w:color="auto"/>
            </w:tcBorders>
            <w:shd w:val="clear" w:color="auto" w:fill="D9D9D9" w:themeFill="background1" w:themeFillShade="D9"/>
          </w:tcPr>
          <w:p w14:paraId="113FC47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47844E86" w14:textId="77777777" w:rsidTr="007D2D1E">
        <w:trPr>
          <w:trHeight w:val="302"/>
        </w:trPr>
        <w:tc>
          <w:tcPr>
            <w:cnfStyle w:val="001000000000" w:firstRow="0" w:lastRow="0" w:firstColumn="1" w:lastColumn="0" w:oddVBand="0" w:evenVBand="0" w:oddHBand="0" w:evenHBand="0" w:firstRowFirstColumn="0" w:firstRowLastColumn="0" w:lastRowFirstColumn="0" w:lastRowLastColumn="0"/>
            <w:tcW w:w="301" w:type="pct"/>
          </w:tcPr>
          <w:p w14:paraId="72BCABD3" w14:textId="77777777" w:rsidR="007D2D1E" w:rsidRPr="00E22B82" w:rsidRDefault="007D2D1E" w:rsidP="007D2D1E">
            <w:pPr>
              <w:spacing w:line="276" w:lineRule="auto"/>
              <w:rPr>
                <w:rFonts w:ascii="Times New Roman" w:hAnsi="Times New Roman" w:cs="Times New Roman"/>
                <w:bCs w:val="0"/>
              </w:rPr>
            </w:pPr>
          </w:p>
          <w:p w14:paraId="4B18C3A0"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18.</w:t>
            </w:r>
          </w:p>
        </w:tc>
        <w:tc>
          <w:tcPr>
            <w:tcW w:w="877" w:type="pct"/>
          </w:tcPr>
          <w:p w14:paraId="1015A247"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Public Stock Energy Efficiency (Education) II</w:t>
            </w:r>
          </w:p>
        </w:tc>
        <w:tc>
          <w:tcPr>
            <w:tcW w:w="611" w:type="pct"/>
          </w:tcPr>
          <w:p w14:paraId="28FF2668"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5F71287D"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Assessment of public (or private) educational facility energy efficiency</w:t>
            </w:r>
          </w:p>
        </w:tc>
        <w:tc>
          <w:tcPr>
            <w:tcW w:w="1402" w:type="pct"/>
          </w:tcPr>
          <w:p w14:paraId="132B32E8"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Energy consumption of structure (MJ/m2) with regard to adjusted environmental norms</w:t>
            </w:r>
          </w:p>
        </w:tc>
        <w:tc>
          <w:tcPr>
            <w:tcW w:w="598" w:type="pct"/>
          </w:tcPr>
          <w:p w14:paraId="7B4CAC8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1B2CDEB6" w14:textId="77777777" w:rsidTr="007D2D1E">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39C5589A" w14:textId="77777777" w:rsidR="007D2D1E" w:rsidRPr="00E22B82" w:rsidRDefault="007D2D1E" w:rsidP="007D2D1E">
            <w:pPr>
              <w:spacing w:line="276" w:lineRule="auto"/>
              <w:rPr>
                <w:rFonts w:ascii="Times New Roman" w:hAnsi="Times New Roman" w:cs="Times New Roman"/>
                <w:bCs w:val="0"/>
              </w:rPr>
            </w:pPr>
          </w:p>
          <w:p w14:paraId="62E4D154"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19.</w:t>
            </w:r>
          </w:p>
        </w:tc>
        <w:tc>
          <w:tcPr>
            <w:tcW w:w="877" w:type="pct"/>
            <w:tcBorders>
              <w:left w:val="none" w:sz="0" w:space="0" w:color="auto"/>
              <w:right w:val="none" w:sz="0" w:space="0" w:color="auto"/>
            </w:tcBorders>
            <w:shd w:val="clear" w:color="auto" w:fill="D9D9D9" w:themeFill="background1" w:themeFillShade="D9"/>
          </w:tcPr>
          <w:p w14:paraId="7F3F64FE"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Special Heritage Status</w:t>
            </w:r>
          </w:p>
        </w:tc>
        <w:tc>
          <w:tcPr>
            <w:tcW w:w="611" w:type="pct"/>
            <w:tcBorders>
              <w:left w:val="none" w:sz="0" w:space="0" w:color="auto"/>
              <w:right w:val="none" w:sz="0" w:space="0" w:color="auto"/>
            </w:tcBorders>
            <w:shd w:val="clear" w:color="auto" w:fill="D9D9D9" w:themeFill="background1" w:themeFillShade="D9"/>
          </w:tcPr>
          <w:p w14:paraId="3E12708A"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City/Sub City Level</w:t>
            </w:r>
          </w:p>
        </w:tc>
        <w:tc>
          <w:tcPr>
            <w:tcW w:w="1211" w:type="pct"/>
            <w:tcBorders>
              <w:left w:val="none" w:sz="0" w:space="0" w:color="auto"/>
              <w:right w:val="none" w:sz="0" w:space="0" w:color="auto"/>
            </w:tcBorders>
            <w:shd w:val="clear" w:color="auto" w:fill="D9D9D9" w:themeFill="background1" w:themeFillShade="D9"/>
          </w:tcPr>
          <w:p w14:paraId="6474392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Building with heritage designation attached. </w:t>
            </w:r>
          </w:p>
        </w:tc>
        <w:tc>
          <w:tcPr>
            <w:tcW w:w="1402" w:type="pct"/>
            <w:tcBorders>
              <w:left w:val="none" w:sz="0" w:space="0" w:color="auto"/>
              <w:right w:val="none" w:sz="0" w:space="0" w:color="auto"/>
            </w:tcBorders>
            <w:shd w:val="clear" w:color="auto" w:fill="D9D9D9" w:themeFill="background1" w:themeFillShade="D9"/>
          </w:tcPr>
          <w:p w14:paraId="59C21B0F"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Y/N-Specification</w:t>
            </w:r>
          </w:p>
        </w:tc>
        <w:tc>
          <w:tcPr>
            <w:tcW w:w="598" w:type="pct"/>
            <w:tcBorders>
              <w:left w:val="none" w:sz="0" w:space="0" w:color="auto"/>
              <w:right w:val="none" w:sz="0" w:space="0" w:color="auto"/>
            </w:tcBorders>
            <w:shd w:val="clear" w:color="auto" w:fill="D9D9D9" w:themeFill="background1" w:themeFillShade="D9"/>
          </w:tcPr>
          <w:p w14:paraId="0694F2A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w:t>
            </w:r>
          </w:p>
        </w:tc>
      </w:tr>
      <w:tr w:rsidR="007D2D1E" w:rsidRPr="00E22B82" w14:paraId="0D9D09E8" w14:textId="77777777" w:rsidTr="007D2D1E">
        <w:trPr>
          <w:trHeight w:val="600"/>
        </w:trPr>
        <w:tc>
          <w:tcPr>
            <w:cnfStyle w:val="001000000000" w:firstRow="0" w:lastRow="0" w:firstColumn="1" w:lastColumn="0" w:oddVBand="0" w:evenVBand="0" w:oddHBand="0" w:evenHBand="0" w:firstRowFirstColumn="0" w:firstRowLastColumn="0" w:lastRowFirstColumn="0" w:lastRowLastColumn="0"/>
            <w:tcW w:w="301" w:type="pct"/>
          </w:tcPr>
          <w:p w14:paraId="2368A5E4" w14:textId="77777777" w:rsidR="007D2D1E" w:rsidRPr="00E22B82" w:rsidRDefault="007D2D1E" w:rsidP="007D2D1E">
            <w:pPr>
              <w:spacing w:line="276" w:lineRule="auto"/>
              <w:rPr>
                <w:rFonts w:ascii="Times New Roman" w:hAnsi="Times New Roman" w:cs="Times New Roman"/>
                <w:bCs w:val="0"/>
              </w:rPr>
            </w:pPr>
          </w:p>
          <w:p w14:paraId="00B0D108"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20.</w:t>
            </w:r>
          </w:p>
        </w:tc>
        <w:tc>
          <w:tcPr>
            <w:tcW w:w="877" w:type="pct"/>
          </w:tcPr>
          <w:p w14:paraId="1A4FD209"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Electricity Exported to Grid</w:t>
            </w:r>
          </w:p>
        </w:tc>
        <w:tc>
          <w:tcPr>
            <w:tcW w:w="611" w:type="pct"/>
          </w:tcPr>
          <w:p w14:paraId="03396A9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Building Level</w:t>
            </w:r>
          </w:p>
        </w:tc>
        <w:tc>
          <w:tcPr>
            <w:tcW w:w="1211" w:type="pct"/>
          </w:tcPr>
          <w:p w14:paraId="4CBB784A"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Amount of surplus energy exported to the national grid.</w:t>
            </w:r>
          </w:p>
        </w:tc>
        <w:tc>
          <w:tcPr>
            <w:tcW w:w="1402" w:type="pct"/>
          </w:tcPr>
          <w:p w14:paraId="4F028504"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Kwh</w:t>
            </w:r>
          </w:p>
        </w:tc>
        <w:tc>
          <w:tcPr>
            <w:tcW w:w="598" w:type="pct"/>
          </w:tcPr>
          <w:p w14:paraId="2EB5C03F"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338793A0" w14:textId="77777777" w:rsidTr="007D2D1E">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5C91B4AA" w14:textId="77777777" w:rsidR="007D2D1E" w:rsidRPr="00E22B82" w:rsidRDefault="007D2D1E" w:rsidP="007D2D1E">
            <w:pPr>
              <w:spacing w:line="276" w:lineRule="auto"/>
              <w:rPr>
                <w:rFonts w:ascii="Times New Roman" w:hAnsi="Times New Roman" w:cs="Times New Roman"/>
                <w:bCs w:val="0"/>
              </w:rPr>
            </w:pPr>
          </w:p>
          <w:p w14:paraId="5CCCBE1D"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21.</w:t>
            </w:r>
          </w:p>
        </w:tc>
        <w:tc>
          <w:tcPr>
            <w:tcW w:w="877" w:type="pct"/>
            <w:tcBorders>
              <w:left w:val="none" w:sz="0" w:space="0" w:color="auto"/>
              <w:right w:val="none" w:sz="0" w:space="0" w:color="auto"/>
            </w:tcBorders>
            <w:shd w:val="clear" w:color="auto" w:fill="D9D9D9" w:themeFill="background1" w:themeFillShade="D9"/>
          </w:tcPr>
          <w:p w14:paraId="35A64F01"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Residential population density</w:t>
            </w:r>
          </w:p>
        </w:tc>
        <w:tc>
          <w:tcPr>
            <w:tcW w:w="611" w:type="pct"/>
            <w:tcBorders>
              <w:left w:val="none" w:sz="0" w:space="0" w:color="auto"/>
              <w:right w:val="none" w:sz="0" w:space="0" w:color="auto"/>
            </w:tcBorders>
            <w:shd w:val="clear" w:color="auto" w:fill="D9D9D9" w:themeFill="background1" w:themeFillShade="D9"/>
          </w:tcPr>
          <w:p w14:paraId="4831A57E"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33A69B3B"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Total resident population per km 2 of built up area.</w:t>
            </w:r>
          </w:p>
        </w:tc>
        <w:tc>
          <w:tcPr>
            <w:tcW w:w="1402" w:type="pct"/>
            <w:tcBorders>
              <w:left w:val="none" w:sz="0" w:space="0" w:color="auto"/>
              <w:right w:val="none" w:sz="0" w:space="0" w:color="auto"/>
            </w:tcBorders>
            <w:shd w:val="clear" w:color="auto" w:fill="D9D9D9" w:themeFill="background1" w:themeFillShade="D9"/>
          </w:tcPr>
          <w:p w14:paraId="199DF2B7"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Population per km2</w:t>
            </w:r>
          </w:p>
        </w:tc>
        <w:tc>
          <w:tcPr>
            <w:tcW w:w="598" w:type="pct"/>
            <w:tcBorders>
              <w:left w:val="none" w:sz="0" w:space="0" w:color="auto"/>
              <w:right w:val="none" w:sz="0" w:space="0" w:color="auto"/>
            </w:tcBorders>
            <w:shd w:val="clear" w:color="auto" w:fill="D9D9D9" w:themeFill="background1" w:themeFillShade="D9"/>
          </w:tcPr>
          <w:p w14:paraId="5B75068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w:t>
            </w:r>
          </w:p>
        </w:tc>
      </w:tr>
      <w:tr w:rsidR="007D2D1E" w:rsidRPr="00E22B82" w14:paraId="5408DB23" w14:textId="77777777" w:rsidTr="007D2D1E">
        <w:trPr>
          <w:trHeight w:val="1155"/>
        </w:trPr>
        <w:tc>
          <w:tcPr>
            <w:cnfStyle w:val="001000000000" w:firstRow="0" w:lastRow="0" w:firstColumn="1" w:lastColumn="0" w:oddVBand="0" w:evenVBand="0" w:oddHBand="0" w:evenHBand="0" w:firstRowFirstColumn="0" w:firstRowLastColumn="0" w:lastRowFirstColumn="0" w:lastRowLastColumn="0"/>
            <w:tcW w:w="301" w:type="pct"/>
          </w:tcPr>
          <w:p w14:paraId="73373844" w14:textId="77777777" w:rsidR="007D2D1E" w:rsidRPr="00E22B82" w:rsidRDefault="007D2D1E" w:rsidP="007D2D1E">
            <w:pPr>
              <w:spacing w:line="276" w:lineRule="auto"/>
              <w:rPr>
                <w:rFonts w:ascii="Times New Roman" w:hAnsi="Times New Roman" w:cs="Times New Roman"/>
                <w:bCs w:val="0"/>
              </w:rPr>
            </w:pPr>
          </w:p>
          <w:p w14:paraId="28766C0F"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22.</w:t>
            </w:r>
          </w:p>
        </w:tc>
        <w:tc>
          <w:tcPr>
            <w:tcW w:w="877" w:type="pct"/>
          </w:tcPr>
          <w:p w14:paraId="621C4FE4"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Percentage of buildings assessed under a Building Energy Rating Scheme</w:t>
            </w:r>
          </w:p>
        </w:tc>
        <w:tc>
          <w:tcPr>
            <w:tcW w:w="611" w:type="pct"/>
          </w:tcPr>
          <w:p w14:paraId="7331D2DD"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City Level</w:t>
            </w:r>
          </w:p>
        </w:tc>
        <w:tc>
          <w:tcPr>
            <w:tcW w:w="1211" w:type="pct"/>
          </w:tcPr>
          <w:p w14:paraId="59735DD9"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This indicator defines the percentage of buildings classified among A+ and D.</w:t>
            </w:r>
          </w:p>
        </w:tc>
        <w:tc>
          <w:tcPr>
            <w:tcW w:w="1402" w:type="pct"/>
          </w:tcPr>
          <w:p w14:paraId="39E42786"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of total</w:t>
            </w:r>
          </w:p>
        </w:tc>
        <w:tc>
          <w:tcPr>
            <w:tcW w:w="598" w:type="pct"/>
          </w:tcPr>
          <w:p w14:paraId="00CD036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Temporal + Seasonal</w:t>
            </w:r>
          </w:p>
        </w:tc>
      </w:tr>
      <w:tr w:rsidR="007D2D1E" w:rsidRPr="00E22B82" w14:paraId="00CC7FD2" w14:textId="77777777" w:rsidTr="007D2D1E">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72CBC18D" w14:textId="77777777" w:rsidR="007D2D1E" w:rsidRPr="00E22B82" w:rsidRDefault="007D2D1E" w:rsidP="007D2D1E">
            <w:pPr>
              <w:spacing w:line="276" w:lineRule="auto"/>
              <w:rPr>
                <w:rFonts w:ascii="Times New Roman" w:hAnsi="Times New Roman" w:cs="Times New Roman"/>
                <w:bCs w:val="0"/>
              </w:rPr>
            </w:pPr>
          </w:p>
          <w:p w14:paraId="0DCD42D9" w14:textId="77777777" w:rsidR="007D2D1E" w:rsidRPr="00E22B82" w:rsidRDefault="007D2D1E" w:rsidP="007D2D1E">
            <w:pPr>
              <w:spacing w:line="276" w:lineRule="auto"/>
              <w:rPr>
                <w:rFonts w:ascii="Times New Roman" w:hAnsi="Times New Roman" w:cs="Times New Roman"/>
                <w:bCs w:val="0"/>
              </w:rPr>
            </w:pPr>
            <w:r w:rsidRPr="00E22B82">
              <w:rPr>
                <w:rFonts w:ascii="Times New Roman" w:hAnsi="Times New Roman" w:cs="Times New Roman"/>
              </w:rPr>
              <w:t>23.</w:t>
            </w:r>
          </w:p>
        </w:tc>
        <w:tc>
          <w:tcPr>
            <w:tcW w:w="877" w:type="pct"/>
            <w:tcBorders>
              <w:left w:val="none" w:sz="0" w:space="0" w:color="auto"/>
              <w:right w:val="none" w:sz="0" w:space="0" w:color="auto"/>
            </w:tcBorders>
            <w:shd w:val="clear" w:color="auto" w:fill="D9D9D9" w:themeFill="background1" w:themeFillShade="D9"/>
          </w:tcPr>
          <w:p w14:paraId="168A45CB" w14:textId="77777777" w:rsidR="007D2D1E" w:rsidRPr="00E22B82" w:rsidRDefault="00F46DE3" w:rsidP="00245D3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Population living within 1</w:t>
            </w:r>
            <w:r w:rsidR="007D2D1E" w:rsidRPr="00E22B82">
              <w:rPr>
                <w:rFonts w:ascii="Times New Roman" w:hAnsi="Times New Roman" w:cs="Times New Roman"/>
                <w:b/>
                <w:bCs/>
              </w:rPr>
              <w:t>0</w:t>
            </w:r>
            <w:r w:rsidR="00245D3A" w:rsidRPr="00E22B82">
              <w:rPr>
                <w:rFonts w:ascii="Times New Roman" w:hAnsi="Times New Roman" w:cs="Times New Roman"/>
                <w:b/>
                <w:bCs/>
              </w:rPr>
              <w:t>0</w:t>
            </w:r>
            <w:r w:rsidR="007D2D1E" w:rsidRPr="00E22B82">
              <w:rPr>
                <w:rFonts w:ascii="Times New Roman" w:hAnsi="Times New Roman" w:cs="Times New Roman"/>
                <w:b/>
                <w:bCs/>
              </w:rPr>
              <w:t xml:space="preserve">0 metres to public </w:t>
            </w:r>
            <w:r w:rsidR="00245D3A" w:rsidRPr="00E22B82">
              <w:rPr>
                <w:rFonts w:ascii="Times New Roman" w:hAnsi="Times New Roman" w:cs="Times New Roman"/>
                <w:b/>
                <w:bCs/>
              </w:rPr>
              <w:t xml:space="preserve">transport </w:t>
            </w:r>
            <w:r w:rsidR="007D2D1E" w:rsidRPr="00E22B82">
              <w:rPr>
                <w:rFonts w:ascii="Times New Roman" w:hAnsi="Times New Roman" w:cs="Times New Roman"/>
                <w:b/>
                <w:bCs/>
              </w:rPr>
              <w:t xml:space="preserve">services </w:t>
            </w:r>
          </w:p>
        </w:tc>
        <w:tc>
          <w:tcPr>
            <w:tcW w:w="611" w:type="pct"/>
            <w:tcBorders>
              <w:left w:val="none" w:sz="0" w:space="0" w:color="auto"/>
              <w:right w:val="none" w:sz="0" w:space="0" w:color="auto"/>
            </w:tcBorders>
            <w:shd w:val="clear" w:color="auto" w:fill="D9D9D9" w:themeFill="background1" w:themeFillShade="D9"/>
          </w:tcPr>
          <w:p w14:paraId="51A430BF"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Sub City Level</w:t>
            </w:r>
          </w:p>
        </w:tc>
        <w:tc>
          <w:tcPr>
            <w:tcW w:w="1211" w:type="pct"/>
            <w:tcBorders>
              <w:left w:val="none" w:sz="0" w:space="0" w:color="auto"/>
              <w:right w:val="none" w:sz="0" w:space="0" w:color="auto"/>
            </w:tcBorders>
            <w:shd w:val="clear" w:color="auto" w:fill="D9D9D9" w:themeFill="background1" w:themeFillShade="D9"/>
          </w:tcPr>
          <w:p w14:paraId="22EEEB7A" w14:textId="77777777" w:rsidR="007D2D1E" w:rsidRPr="00E22B82" w:rsidRDefault="007D2D1E" w:rsidP="00245D3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This considers the availability and vicinity of </w:t>
            </w:r>
            <w:r w:rsidR="00245D3A" w:rsidRPr="00E22B82">
              <w:rPr>
                <w:rFonts w:ascii="Times New Roman" w:hAnsi="Times New Roman" w:cs="Times New Roman"/>
              </w:rPr>
              <w:t>public</w:t>
            </w:r>
            <w:r w:rsidRPr="00E22B82">
              <w:rPr>
                <w:rFonts w:ascii="Times New Roman" w:hAnsi="Times New Roman" w:cs="Times New Roman"/>
              </w:rPr>
              <w:t xml:space="preserve"> </w:t>
            </w:r>
            <w:r w:rsidR="00245D3A" w:rsidRPr="00E22B82">
              <w:rPr>
                <w:rFonts w:ascii="Times New Roman" w:hAnsi="Times New Roman" w:cs="Times New Roman"/>
              </w:rPr>
              <w:t>transport</w:t>
            </w:r>
            <w:r w:rsidRPr="00E22B82">
              <w:rPr>
                <w:rFonts w:ascii="Times New Roman" w:hAnsi="Times New Roman" w:cs="Times New Roman"/>
              </w:rPr>
              <w:t>.</w:t>
            </w:r>
          </w:p>
        </w:tc>
        <w:tc>
          <w:tcPr>
            <w:tcW w:w="1402" w:type="pct"/>
            <w:tcBorders>
              <w:left w:val="none" w:sz="0" w:space="0" w:color="auto"/>
              <w:right w:val="none" w:sz="0" w:space="0" w:color="auto"/>
            </w:tcBorders>
            <w:shd w:val="clear" w:color="auto" w:fill="D9D9D9" w:themeFill="background1" w:themeFillShade="D9"/>
          </w:tcPr>
          <w:p w14:paraId="42CC63DD" w14:textId="77777777" w:rsidR="007D2D1E" w:rsidRPr="00E22B82" w:rsidRDefault="007D2D1E" w:rsidP="00245D3A">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 xml:space="preserve">% of the </w:t>
            </w:r>
            <w:r w:rsidR="00245D3A" w:rsidRPr="00E22B82">
              <w:rPr>
                <w:rFonts w:ascii="Times New Roman" w:hAnsi="Times New Roman" w:cs="Times New Roman"/>
              </w:rPr>
              <w:t xml:space="preserve">total </w:t>
            </w:r>
            <w:r w:rsidRPr="00E22B82">
              <w:rPr>
                <w:rFonts w:ascii="Times New Roman" w:hAnsi="Times New Roman" w:cs="Times New Roman"/>
              </w:rPr>
              <w:t>p</w:t>
            </w:r>
            <w:r w:rsidR="00245D3A" w:rsidRPr="00E22B82">
              <w:rPr>
                <w:rFonts w:ascii="Times New Roman" w:hAnsi="Times New Roman" w:cs="Times New Roman"/>
              </w:rPr>
              <w:t>op</w:t>
            </w:r>
            <w:r w:rsidRPr="00E22B82">
              <w:rPr>
                <w:rFonts w:ascii="Times New Roman" w:hAnsi="Times New Roman" w:cs="Times New Roman"/>
              </w:rPr>
              <w:t>ulation</w:t>
            </w:r>
          </w:p>
        </w:tc>
        <w:tc>
          <w:tcPr>
            <w:tcW w:w="598" w:type="pct"/>
            <w:tcBorders>
              <w:left w:val="none" w:sz="0" w:space="0" w:color="auto"/>
              <w:right w:val="none" w:sz="0" w:space="0" w:color="auto"/>
            </w:tcBorders>
            <w:shd w:val="clear" w:color="auto" w:fill="D9D9D9" w:themeFill="background1" w:themeFillShade="D9"/>
          </w:tcPr>
          <w:p w14:paraId="361FE62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2B82">
              <w:rPr>
                <w:rFonts w:ascii="Times New Roman" w:hAnsi="Times New Roman" w:cs="Times New Roman"/>
              </w:rPr>
              <w:t>-</w:t>
            </w:r>
          </w:p>
        </w:tc>
      </w:tr>
      <w:tr w:rsidR="007D2D1E" w:rsidRPr="00E22B82" w14:paraId="04983760" w14:textId="77777777" w:rsidTr="007D2D1E">
        <w:trPr>
          <w:trHeight w:val="600"/>
        </w:trPr>
        <w:tc>
          <w:tcPr>
            <w:cnfStyle w:val="001000000000" w:firstRow="0" w:lastRow="0" w:firstColumn="1" w:lastColumn="0" w:oddVBand="0" w:evenVBand="0" w:oddHBand="0" w:evenHBand="0" w:firstRowFirstColumn="0" w:firstRowLastColumn="0" w:lastRowFirstColumn="0" w:lastRowLastColumn="0"/>
            <w:tcW w:w="301" w:type="pct"/>
          </w:tcPr>
          <w:p w14:paraId="40504A1F" w14:textId="77777777" w:rsidR="007D2D1E" w:rsidRPr="00E22B82" w:rsidRDefault="007D2D1E" w:rsidP="007D2D1E">
            <w:pPr>
              <w:spacing w:line="276" w:lineRule="auto"/>
              <w:rPr>
                <w:rFonts w:ascii="Times New Roman" w:hAnsi="Times New Roman" w:cs="Times New Roman"/>
              </w:rPr>
            </w:pPr>
          </w:p>
          <w:p w14:paraId="63384EE4" w14:textId="77777777" w:rsidR="007D2D1E" w:rsidRPr="00E22B82" w:rsidRDefault="007D2D1E" w:rsidP="007D2D1E">
            <w:pPr>
              <w:spacing w:line="276" w:lineRule="auto"/>
              <w:rPr>
                <w:rFonts w:ascii="Times New Roman" w:hAnsi="Times New Roman" w:cs="Times New Roman"/>
              </w:rPr>
            </w:pPr>
            <w:r w:rsidRPr="00E22B82">
              <w:rPr>
                <w:rFonts w:ascii="Times New Roman" w:hAnsi="Times New Roman" w:cs="Times New Roman"/>
              </w:rPr>
              <w:t>24.</w:t>
            </w:r>
          </w:p>
        </w:tc>
        <w:tc>
          <w:tcPr>
            <w:tcW w:w="877" w:type="pct"/>
          </w:tcPr>
          <w:p w14:paraId="02377F0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E22B82">
              <w:rPr>
                <w:rFonts w:ascii="Times New Roman" w:hAnsi="Times New Roman" w:cs="Times New Roman"/>
                <w:b/>
                <w:bCs/>
              </w:rPr>
              <w:t>Heat Demand Density</w:t>
            </w:r>
          </w:p>
        </w:tc>
        <w:tc>
          <w:tcPr>
            <w:tcW w:w="611" w:type="pct"/>
          </w:tcPr>
          <w:p w14:paraId="26104512"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Sub City Level</w:t>
            </w:r>
          </w:p>
        </w:tc>
        <w:tc>
          <w:tcPr>
            <w:tcW w:w="1211" w:type="pct"/>
          </w:tcPr>
          <w:p w14:paraId="5936991C"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Heat density demand informs viability of District Heating.</w:t>
            </w:r>
          </w:p>
        </w:tc>
        <w:tc>
          <w:tcPr>
            <w:tcW w:w="1402" w:type="pct"/>
          </w:tcPr>
          <w:p w14:paraId="1E9CA249"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Kwh/m2</w:t>
            </w:r>
          </w:p>
        </w:tc>
        <w:tc>
          <w:tcPr>
            <w:tcW w:w="598" w:type="pct"/>
          </w:tcPr>
          <w:p w14:paraId="7A0A9F8F"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Temporal + Seasonal</w:t>
            </w:r>
          </w:p>
        </w:tc>
      </w:tr>
      <w:tr w:rsidR="007D2D1E" w:rsidRPr="00E22B82" w14:paraId="0DA84864" w14:textId="77777777" w:rsidTr="007D2D1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5E910C41" w14:textId="77777777" w:rsidR="007D2D1E" w:rsidRPr="00E22B82" w:rsidRDefault="007D2D1E" w:rsidP="007D2D1E">
            <w:pPr>
              <w:spacing w:line="276" w:lineRule="auto"/>
              <w:rPr>
                <w:rFonts w:ascii="Times New Roman" w:eastAsia="Times New Roman" w:hAnsi="Times New Roman" w:cs="Times New Roman"/>
                <w:bCs w:val="0"/>
              </w:rPr>
            </w:pPr>
          </w:p>
          <w:p w14:paraId="7D900428"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25.</w:t>
            </w:r>
          </w:p>
        </w:tc>
        <w:tc>
          <w:tcPr>
            <w:tcW w:w="877" w:type="pct"/>
            <w:tcBorders>
              <w:left w:val="none" w:sz="0" w:space="0" w:color="auto"/>
              <w:right w:val="none" w:sz="0" w:space="0" w:color="auto"/>
            </w:tcBorders>
            <w:shd w:val="clear" w:color="auto" w:fill="D9D9D9" w:themeFill="background1" w:themeFillShade="D9"/>
          </w:tcPr>
          <w:p w14:paraId="18FC7DFA"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Occupancy</w:t>
            </w:r>
          </w:p>
        </w:tc>
        <w:tc>
          <w:tcPr>
            <w:tcW w:w="611" w:type="pct"/>
            <w:tcBorders>
              <w:left w:val="none" w:sz="0" w:space="0" w:color="auto"/>
              <w:right w:val="none" w:sz="0" w:space="0" w:color="auto"/>
            </w:tcBorders>
            <w:shd w:val="clear" w:color="auto" w:fill="D9D9D9" w:themeFill="background1" w:themeFillShade="D9"/>
          </w:tcPr>
          <w:p w14:paraId="297994A5"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City/Sub City Level</w:t>
            </w:r>
          </w:p>
        </w:tc>
        <w:tc>
          <w:tcPr>
            <w:tcW w:w="1211" w:type="pct"/>
            <w:tcBorders>
              <w:left w:val="none" w:sz="0" w:space="0" w:color="auto"/>
              <w:right w:val="none" w:sz="0" w:space="0" w:color="auto"/>
            </w:tcBorders>
            <w:shd w:val="clear" w:color="auto" w:fill="D9D9D9" w:themeFill="background1" w:themeFillShade="D9"/>
          </w:tcPr>
          <w:p w14:paraId="384859F4" w14:textId="77777777" w:rsidR="007D2D1E" w:rsidRPr="00E22B82" w:rsidRDefault="007D2D1E" w:rsidP="00AA05B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xml:space="preserve">Percentage of buildings </w:t>
            </w:r>
            <w:r w:rsidR="00AA05B6" w:rsidRPr="00E22B82">
              <w:rPr>
                <w:rFonts w:ascii="Times New Roman" w:eastAsia="Times New Roman" w:hAnsi="Times New Roman" w:cs="Times New Roman"/>
              </w:rPr>
              <w:t xml:space="preserve">which are </w:t>
            </w:r>
            <w:r w:rsidRPr="00E22B82">
              <w:rPr>
                <w:rFonts w:ascii="Times New Roman" w:eastAsia="Times New Roman" w:hAnsi="Times New Roman" w:cs="Times New Roman"/>
              </w:rPr>
              <w:t>vacant.</w:t>
            </w:r>
          </w:p>
        </w:tc>
        <w:tc>
          <w:tcPr>
            <w:tcW w:w="1402" w:type="pct"/>
            <w:tcBorders>
              <w:left w:val="none" w:sz="0" w:space="0" w:color="auto"/>
              <w:right w:val="none" w:sz="0" w:space="0" w:color="auto"/>
            </w:tcBorders>
            <w:shd w:val="clear" w:color="auto" w:fill="D9D9D9" w:themeFill="background1" w:themeFillShade="D9"/>
          </w:tcPr>
          <w:p w14:paraId="4AAFC194" w14:textId="77777777" w:rsidR="007D2D1E" w:rsidRPr="00E22B82" w:rsidRDefault="007D2D1E" w:rsidP="00AA05B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r w:rsidR="00AA05B6" w:rsidRPr="00E22B82">
              <w:rPr>
                <w:rFonts w:ascii="Times New Roman" w:eastAsia="Times New Roman" w:hAnsi="Times New Roman" w:cs="Times New Roman"/>
              </w:rPr>
              <w:t xml:space="preserve"> of the vacant buildings in relation to the total buildings</w:t>
            </w:r>
          </w:p>
        </w:tc>
        <w:tc>
          <w:tcPr>
            <w:tcW w:w="598" w:type="pct"/>
            <w:tcBorders>
              <w:left w:val="none" w:sz="0" w:space="0" w:color="auto"/>
              <w:right w:val="none" w:sz="0" w:space="0" w:color="auto"/>
            </w:tcBorders>
            <w:shd w:val="clear" w:color="auto" w:fill="D9D9D9" w:themeFill="background1" w:themeFillShade="D9"/>
          </w:tcPr>
          <w:p w14:paraId="53A21FBC"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Temporal + Seasonal</w:t>
            </w:r>
          </w:p>
        </w:tc>
      </w:tr>
      <w:tr w:rsidR="007D2D1E" w:rsidRPr="00E22B82" w14:paraId="39205175" w14:textId="77777777" w:rsidTr="007D2D1E">
        <w:trPr>
          <w:trHeight w:val="600"/>
        </w:trPr>
        <w:tc>
          <w:tcPr>
            <w:cnfStyle w:val="001000000000" w:firstRow="0" w:lastRow="0" w:firstColumn="1" w:lastColumn="0" w:oddVBand="0" w:evenVBand="0" w:oddHBand="0" w:evenHBand="0" w:firstRowFirstColumn="0" w:firstRowLastColumn="0" w:lastRowFirstColumn="0" w:lastRowLastColumn="0"/>
            <w:tcW w:w="301" w:type="pct"/>
          </w:tcPr>
          <w:p w14:paraId="0BEDD6AF" w14:textId="77777777" w:rsidR="007D2D1E" w:rsidRPr="00E22B82" w:rsidRDefault="007D2D1E" w:rsidP="007D2D1E">
            <w:pPr>
              <w:spacing w:line="276" w:lineRule="auto"/>
              <w:rPr>
                <w:rFonts w:ascii="Times New Roman" w:eastAsia="Times New Roman" w:hAnsi="Times New Roman" w:cs="Times New Roman"/>
                <w:bCs w:val="0"/>
              </w:rPr>
            </w:pPr>
          </w:p>
          <w:p w14:paraId="3E51AD73"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26.</w:t>
            </w:r>
          </w:p>
        </w:tc>
        <w:tc>
          <w:tcPr>
            <w:tcW w:w="877" w:type="pct"/>
          </w:tcPr>
          <w:p w14:paraId="5E77DF41"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Smart Metering</w:t>
            </w:r>
          </w:p>
        </w:tc>
        <w:tc>
          <w:tcPr>
            <w:tcW w:w="611" w:type="pct"/>
          </w:tcPr>
          <w:p w14:paraId="37BCAF95"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City/Sub City Level</w:t>
            </w:r>
          </w:p>
        </w:tc>
        <w:tc>
          <w:tcPr>
            <w:tcW w:w="1211" w:type="pct"/>
          </w:tcPr>
          <w:p w14:paraId="5CA8C157"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Number of Buildings with Smart Meters installed.</w:t>
            </w:r>
          </w:p>
        </w:tc>
        <w:tc>
          <w:tcPr>
            <w:tcW w:w="1402" w:type="pct"/>
          </w:tcPr>
          <w:p w14:paraId="510E1B1E" w14:textId="77777777" w:rsidR="007D2D1E" w:rsidRPr="00E22B82" w:rsidRDefault="00AA05B6" w:rsidP="00AA05B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Number</w:t>
            </w:r>
            <w:r w:rsidR="007D2D1E" w:rsidRPr="00E22B82">
              <w:rPr>
                <w:rFonts w:ascii="Times New Roman" w:eastAsia="Times New Roman" w:hAnsi="Times New Roman" w:cs="Times New Roman"/>
              </w:rPr>
              <w:t xml:space="preserve"> of buildings equipped </w:t>
            </w:r>
          </w:p>
        </w:tc>
        <w:tc>
          <w:tcPr>
            <w:tcW w:w="598" w:type="pct"/>
          </w:tcPr>
          <w:p w14:paraId="2533390C"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2AE575C8" w14:textId="77777777" w:rsidTr="007D2D1E">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27E1D603" w14:textId="77777777" w:rsidR="007D2D1E" w:rsidRPr="00E22B82" w:rsidRDefault="007D2D1E" w:rsidP="007D2D1E">
            <w:pPr>
              <w:spacing w:line="276" w:lineRule="auto"/>
              <w:rPr>
                <w:rFonts w:ascii="Times New Roman" w:eastAsia="Times New Roman" w:hAnsi="Times New Roman" w:cs="Times New Roman"/>
                <w:bCs w:val="0"/>
              </w:rPr>
            </w:pPr>
          </w:p>
          <w:p w14:paraId="1DDC0922"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27.</w:t>
            </w:r>
          </w:p>
        </w:tc>
        <w:tc>
          <w:tcPr>
            <w:tcW w:w="877" w:type="pct"/>
            <w:tcBorders>
              <w:left w:val="none" w:sz="0" w:space="0" w:color="auto"/>
              <w:right w:val="none" w:sz="0" w:space="0" w:color="auto"/>
            </w:tcBorders>
            <w:shd w:val="clear" w:color="auto" w:fill="D9D9D9" w:themeFill="background1" w:themeFillShade="D9"/>
          </w:tcPr>
          <w:p w14:paraId="1D57213D"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Capital Expenditure on Energy Infrastructure</w:t>
            </w:r>
          </w:p>
        </w:tc>
        <w:tc>
          <w:tcPr>
            <w:tcW w:w="611" w:type="pct"/>
            <w:tcBorders>
              <w:left w:val="none" w:sz="0" w:space="0" w:color="auto"/>
              <w:right w:val="none" w:sz="0" w:space="0" w:color="auto"/>
            </w:tcBorders>
            <w:shd w:val="clear" w:color="auto" w:fill="D9D9D9" w:themeFill="background1" w:themeFillShade="D9"/>
          </w:tcPr>
          <w:p w14:paraId="32A2EA5E"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Borders>
              <w:left w:val="none" w:sz="0" w:space="0" w:color="auto"/>
              <w:right w:val="none" w:sz="0" w:space="0" w:color="auto"/>
            </w:tcBorders>
            <w:shd w:val="clear" w:color="auto" w:fill="D9D9D9" w:themeFill="background1" w:themeFillShade="D9"/>
          </w:tcPr>
          <w:p w14:paraId="2F05DD62"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xml:space="preserve">Amount expended on the management, upkeep and development of energy infrastructure. </w:t>
            </w:r>
          </w:p>
        </w:tc>
        <w:tc>
          <w:tcPr>
            <w:tcW w:w="1402" w:type="pct"/>
            <w:tcBorders>
              <w:left w:val="none" w:sz="0" w:space="0" w:color="auto"/>
              <w:right w:val="none" w:sz="0" w:space="0" w:color="auto"/>
            </w:tcBorders>
            <w:shd w:val="clear" w:color="auto" w:fill="D9D9D9" w:themeFill="background1" w:themeFillShade="D9"/>
          </w:tcPr>
          <w:p w14:paraId="0F0ACC26"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per head of population per annum</w:t>
            </w:r>
          </w:p>
        </w:tc>
        <w:tc>
          <w:tcPr>
            <w:tcW w:w="598" w:type="pct"/>
            <w:tcBorders>
              <w:left w:val="none" w:sz="0" w:space="0" w:color="auto"/>
              <w:right w:val="none" w:sz="0" w:space="0" w:color="auto"/>
            </w:tcBorders>
            <w:shd w:val="clear" w:color="auto" w:fill="D9D9D9" w:themeFill="background1" w:themeFillShade="D9"/>
          </w:tcPr>
          <w:p w14:paraId="2C469596"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2C60E209" w14:textId="77777777" w:rsidTr="007D2D1E">
        <w:trPr>
          <w:trHeight w:val="842"/>
        </w:trPr>
        <w:tc>
          <w:tcPr>
            <w:cnfStyle w:val="001000000000" w:firstRow="0" w:lastRow="0" w:firstColumn="1" w:lastColumn="0" w:oddVBand="0" w:evenVBand="0" w:oddHBand="0" w:evenHBand="0" w:firstRowFirstColumn="0" w:firstRowLastColumn="0" w:lastRowFirstColumn="0" w:lastRowLastColumn="0"/>
            <w:tcW w:w="301" w:type="pct"/>
          </w:tcPr>
          <w:p w14:paraId="3FE44EC6" w14:textId="77777777" w:rsidR="007D2D1E" w:rsidRPr="00E22B82" w:rsidRDefault="007D2D1E" w:rsidP="007D2D1E">
            <w:pPr>
              <w:spacing w:line="276" w:lineRule="auto"/>
              <w:rPr>
                <w:rFonts w:ascii="Times New Roman" w:eastAsia="Times New Roman" w:hAnsi="Times New Roman" w:cs="Times New Roman"/>
                <w:bCs w:val="0"/>
              </w:rPr>
            </w:pPr>
          </w:p>
          <w:p w14:paraId="34AEE8F5"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28.</w:t>
            </w:r>
          </w:p>
          <w:p w14:paraId="352BCF7A" w14:textId="77777777" w:rsidR="007D2D1E" w:rsidRPr="00E22B82" w:rsidRDefault="007D2D1E" w:rsidP="007D2D1E">
            <w:pPr>
              <w:spacing w:line="276" w:lineRule="auto"/>
              <w:rPr>
                <w:rFonts w:ascii="Times New Roman" w:eastAsia="Times New Roman" w:hAnsi="Times New Roman" w:cs="Times New Roman"/>
                <w:bCs w:val="0"/>
              </w:rPr>
            </w:pPr>
          </w:p>
        </w:tc>
        <w:tc>
          <w:tcPr>
            <w:tcW w:w="877" w:type="pct"/>
          </w:tcPr>
          <w:p w14:paraId="6CC3584E"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Total employment rate</w:t>
            </w:r>
          </w:p>
        </w:tc>
        <w:tc>
          <w:tcPr>
            <w:tcW w:w="611" w:type="pct"/>
          </w:tcPr>
          <w:p w14:paraId="1D1F9223"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Level</w:t>
            </w:r>
          </w:p>
        </w:tc>
        <w:tc>
          <w:tcPr>
            <w:tcW w:w="1211" w:type="pct"/>
          </w:tcPr>
          <w:p w14:paraId="5F360E79"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of working aged population employed in the locality.</w:t>
            </w:r>
          </w:p>
        </w:tc>
        <w:tc>
          <w:tcPr>
            <w:tcW w:w="1402" w:type="pct"/>
          </w:tcPr>
          <w:p w14:paraId="37D615E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City unemployment rate and % of people in full time employment</w:t>
            </w:r>
          </w:p>
        </w:tc>
        <w:tc>
          <w:tcPr>
            <w:tcW w:w="598" w:type="pct"/>
          </w:tcPr>
          <w:p w14:paraId="2B13A9A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3C018919" w14:textId="77777777" w:rsidTr="007D2D1E">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1BCC2FBD" w14:textId="77777777" w:rsidR="007D2D1E" w:rsidRPr="00E22B82" w:rsidRDefault="007D2D1E" w:rsidP="007D2D1E">
            <w:pPr>
              <w:spacing w:line="276" w:lineRule="auto"/>
              <w:rPr>
                <w:rFonts w:ascii="Times New Roman" w:eastAsia="Times New Roman" w:hAnsi="Times New Roman" w:cs="Times New Roman"/>
                <w:bCs w:val="0"/>
              </w:rPr>
            </w:pPr>
          </w:p>
          <w:p w14:paraId="03502F8B"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29.</w:t>
            </w:r>
          </w:p>
        </w:tc>
        <w:tc>
          <w:tcPr>
            <w:tcW w:w="877" w:type="pct"/>
            <w:tcBorders>
              <w:left w:val="none" w:sz="0" w:space="0" w:color="auto"/>
              <w:right w:val="none" w:sz="0" w:space="0" w:color="auto"/>
            </w:tcBorders>
            <w:shd w:val="clear" w:color="auto" w:fill="D9D9D9" w:themeFill="background1" w:themeFillShade="D9"/>
          </w:tcPr>
          <w:p w14:paraId="363C9EB8"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Retrofitted Elements (Generation)</w:t>
            </w:r>
          </w:p>
        </w:tc>
        <w:tc>
          <w:tcPr>
            <w:tcW w:w="611" w:type="pct"/>
            <w:tcBorders>
              <w:left w:val="none" w:sz="0" w:space="0" w:color="auto"/>
              <w:right w:val="none" w:sz="0" w:space="0" w:color="auto"/>
            </w:tcBorders>
            <w:shd w:val="clear" w:color="auto" w:fill="D9D9D9" w:themeFill="background1" w:themeFillShade="D9"/>
          </w:tcPr>
          <w:p w14:paraId="4EA1CDAA"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Borders>
              <w:left w:val="none" w:sz="0" w:space="0" w:color="auto"/>
              <w:right w:val="none" w:sz="0" w:space="0" w:color="auto"/>
            </w:tcBorders>
            <w:shd w:val="clear" w:color="auto" w:fill="D9D9D9" w:themeFill="background1" w:themeFillShade="D9"/>
          </w:tcPr>
          <w:p w14:paraId="305BD4EA"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Presence of specific interventions designed to generate energy (micro) at building level.</w:t>
            </w:r>
          </w:p>
        </w:tc>
        <w:tc>
          <w:tcPr>
            <w:tcW w:w="1402" w:type="pct"/>
            <w:tcBorders>
              <w:left w:val="none" w:sz="0" w:space="0" w:color="auto"/>
              <w:right w:val="none" w:sz="0" w:space="0" w:color="auto"/>
            </w:tcBorders>
            <w:shd w:val="clear" w:color="auto" w:fill="D9D9D9" w:themeFill="background1" w:themeFillShade="D9"/>
          </w:tcPr>
          <w:p w14:paraId="4E03ECE6"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Y/N-Specification</w:t>
            </w:r>
          </w:p>
        </w:tc>
        <w:tc>
          <w:tcPr>
            <w:tcW w:w="598" w:type="pct"/>
            <w:tcBorders>
              <w:left w:val="none" w:sz="0" w:space="0" w:color="auto"/>
              <w:right w:val="none" w:sz="0" w:space="0" w:color="auto"/>
            </w:tcBorders>
            <w:shd w:val="clear" w:color="auto" w:fill="D9D9D9" w:themeFill="background1" w:themeFillShade="D9"/>
          </w:tcPr>
          <w:p w14:paraId="07A40FDF"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69260676" w14:textId="77777777" w:rsidTr="007D2D1E">
        <w:trPr>
          <w:trHeight w:val="630"/>
        </w:trPr>
        <w:tc>
          <w:tcPr>
            <w:cnfStyle w:val="001000000000" w:firstRow="0" w:lastRow="0" w:firstColumn="1" w:lastColumn="0" w:oddVBand="0" w:evenVBand="0" w:oddHBand="0" w:evenHBand="0" w:firstRowFirstColumn="0" w:firstRowLastColumn="0" w:lastRowFirstColumn="0" w:lastRowLastColumn="0"/>
            <w:tcW w:w="301" w:type="pct"/>
          </w:tcPr>
          <w:p w14:paraId="21F54892" w14:textId="77777777" w:rsidR="007D2D1E" w:rsidRPr="00E22B82" w:rsidRDefault="007D2D1E" w:rsidP="007D2D1E">
            <w:pPr>
              <w:spacing w:line="276" w:lineRule="auto"/>
              <w:rPr>
                <w:rFonts w:ascii="Times New Roman" w:eastAsia="Times New Roman" w:hAnsi="Times New Roman" w:cs="Times New Roman"/>
                <w:bCs w:val="0"/>
              </w:rPr>
            </w:pPr>
          </w:p>
          <w:p w14:paraId="59EDBD43"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30.</w:t>
            </w:r>
          </w:p>
        </w:tc>
        <w:tc>
          <w:tcPr>
            <w:tcW w:w="877" w:type="pct"/>
          </w:tcPr>
          <w:p w14:paraId="1082A456"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Retrofitted Elements (Insulation)</w:t>
            </w:r>
          </w:p>
        </w:tc>
        <w:tc>
          <w:tcPr>
            <w:tcW w:w="611" w:type="pct"/>
          </w:tcPr>
          <w:p w14:paraId="7EE7276B"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Pr>
          <w:p w14:paraId="04E02C36"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Presence of specific interventions designed to reduce heating loss.</w:t>
            </w:r>
          </w:p>
        </w:tc>
        <w:tc>
          <w:tcPr>
            <w:tcW w:w="1402" w:type="pct"/>
          </w:tcPr>
          <w:p w14:paraId="270CBC4E"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Y/N-Specification</w:t>
            </w:r>
          </w:p>
        </w:tc>
        <w:tc>
          <w:tcPr>
            <w:tcW w:w="598" w:type="pct"/>
          </w:tcPr>
          <w:p w14:paraId="2EA0C804"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1BA0EDB4" w14:textId="77777777" w:rsidTr="007D2D1E">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01" w:type="pct"/>
            <w:tcBorders>
              <w:left w:val="none" w:sz="0" w:space="0" w:color="auto"/>
              <w:right w:val="none" w:sz="0" w:space="0" w:color="auto"/>
            </w:tcBorders>
            <w:shd w:val="clear" w:color="auto" w:fill="D9D9D9" w:themeFill="background1" w:themeFillShade="D9"/>
          </w:tcPr>
          <w:p w14:paraId="72D2C1DE" w14:textId="77777777" w:rsidR="007D2D1E" w:rsidRPr="00E22B82" w:rsidRDefault="007D2D1E" w:rsidP="007D2D1E">
            <w:pPr>
              <w:spacing w:line="276" w:lineRule="auto"/>
              <w:rPr>
                <w:rFonts w:ascii="Times New Roman" w:eastAsia="Times New Roman" w:hAnsi="Times New Roman" w:cs="Times New Roman"/>
                <w:bCs w:val="0"/>
              </w:rPr>
            </w:pPr>
          </w:p>
          <w:p w14:paraId="1A645C29"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31.</w:t>
            </w:r>
          </w:p>
        </w:tc>
        <w:tc>
          <w:tcPr>
            <w:tcW w:w="877" w:type="pct"/>
            <w:tcBorders>
              <w:left w:val="none" w:sz="0" w:space="0" w:color="auto"/>
              <w:right w:val="none" w:sz="0" w:space="0" w:color="auto"/>
            </w:tcBorders>
            <w:shd w:val="clear" w:color="auto" w:fill="D9D9D9" w:themeFill="background1" w:themeFillShade="D9"/>
          </w:tcPr>
          <w:p w14:paraId="173043C6"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Retrofitted Elements (Glazing)</w:t>
            </w:r>
          </w:p>
        </w:tc>
        <w:tc>
          <w:tcPr>
            <w:tcW w:w="611" w:type="pct"/>
            <w:tcBorders>
              <w:left w:val="none" w:sz="0" w:space="0" w:color="auto"/>
              <w:right w:val="none" w:sz="0" w:space="0" w:color="auto"/>
            </w:tcBorders>
            <w:shd w:val="clear" w:color="auto" w:fill="D9D9D9" w:themeFill="background1" w:themeFillShade="D9"/>
          </w:tcPr>
          <w:p w14:paraId="31A4C338"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Borders>
              <w:left w:val="none" w:sz="0" w:space="0" w:color="auto"/>
              <w:right w:val="none" w:sz="0" w:space="0" w:color="auto"/>
            </w:tcBorders>
            <w:shd w:val="clear" w:color="auto" w:fill="D9D9D9" w:themeFill="background1" w:themeFillShade="D9"/>
          </w:tcPr>
          <w:p w14:paraId="18E20F57"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Presence of specific interventions designed to reduce heating loss.</w:t>
            </w:r>
          </w:p>
        </w:tc>
        <w:tc>
          <w:tcPr>
            <w:tcW w:w="1402" w:type="pct"/>
            <w:tcBorders>
              <w:left w:val="none" w:sz="0" w:space="0" w:color="auto"/>
              <w:right w:val="none" w:sz="0" w:space="0" w:color="auto"/>
            </w:tcBorders>
            <w:shd w:val="clear" w:color="auto" w:fill="D9D9D9" w:themeFill="background1" w:themeFillShade="D9"/>
          </w:tcPr>
          <w:p w14:paraId="337347D6"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Y/N-Specification</w:t>
            </w:r>
          </w:p>
        </w:tc>
        <w:tc>
          <w:tcPr>
            <w:tcW w:w="598" w:type="pct"/>
            <w:tcBorders>
              <w:left w:val="none" w:sz="0" w:space="0" w:color="auto"/>
              <w:right w:val="none" w:sz="0" w:space="0" w:color="auto"/>
            </w:tcBorders>
            <w:shd w:val="clear" w:color="auto" w:fill="D9D9D9" w:themeFill="background1" w:themeFillShade="D9"/>
          </w:tcPr>
          <w:p w14:paraId="68979E4D" w14:textId="77777777" w:rsidR="007D2D1E" w:rsidRPr="00E22B82" w:rsidRDefault="007D2D1E" w:rsidP="007D2D1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r w:rsidR="007D2D1E" w:rsidRPr="00E22B82" w14:paraId="67932965" w14:textId="77777777" w:rsidTr="007D2D1E">
        <w:trPr>
          <w:trHeight w:val="630"/>
        </w:trPr>
        <w:tc>
          <w:tcPr>
            <w:cnfStyle w:val="001000000000" w:firstRow="0" w:lastRow="0" w:firstColumn="1" w:lastColumn="0" w:oddVBand="0" w:evenVBand="0" w:oddHBand="0" w:evenHBand="0" w:firstRowFirstColumn="0" w:firstRowLastColumn="0" w:lastRowFirstColumn="0" w:lastRowLastColumn="0"/>
            <w:tcW w:w="301" w:type="pct"/>
          </w:tcPr>
          <w:p w14:paraId="07CBE44A" w14:textId="77777777" w:rsidR="007D2D1E" w:rsidRPr="00E22B82" w:rsidRDefault="007D2D1E" w:rsidP="007D2D1E">
            <w:pPr>
              <w:spacing w:line="276" w:lineRule="auto"/>
              <w:rPr>
                <w:rFonts w:ascii="Times New Roman" w:eastAsia="Times New Roman" w:hAnsi="Times New Roman" w:cs="Times New Roman"/>
                <w:bCs w:val="0"/>
              </w:rPr>
            </w:pPr>
          </w:p>
          <w:p w14:paraId="3401B2D1" w14:textId="77777777" w:rsidR="007D2D1E" w:rsidRPr="00E22B82" w:rsidRDefault="007D2D1E" w:rsidP="007D2D1E">
            <w:pPr>
              <w:spacing w:line="276" w:lineRule="auto"/>
              <w:rPr>
                <w:rFonts w:ascii="Times New Roman" w:eastAsia="Times New Roman" w:hAnsi="Times New Roman" w:cs="Times New Roman"/>
                <w:bCs w:val="0"/>
              </w:rPr>
            </w:pPr>
            <w:r w:rsidRPr="00E22B82">
              <w:rPr>
                <w:rFonts w:ascii="Times New Roman" w:eastAsia="Times New Roman" w:hAnsi="Times New Roman" w:cs="Times New Roman"/>
              </w:rPr>
              <w:t>32.</w:t>
            </w:r>
          </w:p>
        </w:tc>
        <w:tc>
          <w:tcPr>
            <w:tcW w:w="877" w:type="pct"/>
          </w:tcPr>
          <w:p w14:paraId="4035BDCA"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rPr>
            </w:pPr>
            <w:r w:rsidRPr="00E22B82">
              <w:rPr>
                <w:rFonts w:ascii="Times New Roman" w:eastAsia="Times New Roman" w:hAnsi="Times New Roman" w:cs="Times New Roman"/>
                <w:b/>
                <w:bCs/>
              </w:rPr>
              <w:t>Retrofitted Elements (Heating)</w:t>
            </w:r>
          </w:p>
        </w:tc>
        <w:tc>
          <w:tcPr>
            <w:tcW w:w="611" w:type="pct"/>
          </w:tcPr>
          <w:p w14:paraId="68BEBB42"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Building Level</w:t>
            </w:r>
          </w:p>
        </w:tc>
        <w:tc>
          <w:tcPr>
            <w:tcW w:w="1211" w:type="pct"/>
          </w:tcPr>
          <w:p w14:paraId="7822BAC0"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 xml:space="preserve">Presence of specific interventions designed to efficiently generate heat. </w:t>
            </w:r>
          </w:p>
        </w:tc>
        <w:tc>
          <w:tcPr>
            <w:tcW w:w="1402" w:type="pct"/>
          </w:tcPr>
          <w:p w14:paraId="6763478A"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Y/N-Specification</w:t>
            </w:r>
          </w:p>
        </w:tc>
        <w:tc>
          <w:tcPr>
            <w:tcW w:w="598" w:type="pct"/>
          </w:tcPr>
          <w:p w14:paraId="66BC79A2" w14:textId="77777777" w:rsidR="007D2D1E" w:rsidRPr="00E22B82" w:rsidRDefault="007D2D1E" w:rsidP="007D2D1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22B82">
              <w:rPr>
                <w:rFonts w:ascii="Times New Roman" w:eastAsia="Times New Roman" w:hAnsi="Times New Roman" w:cs="Times New Roman"/>
              </w:rPr>
              <w:t>-</w:t>
            </w:r>
          </w:p>
        </w:tc>
      </w:tr>
    </w:tbl>
    <w:p w14:paraId="13A7F6F7" w14:textId="77777777" w:rsidR="008B17BF" w:rsidRPr="00E22B82" w:rsidRDefault="008B17BF" w:rsidP="00B53C4D">
      <w:pPr>
        <w:spacing w:before="7" w:line="276" w:lineRule="auto"/>
        <w:jc w:val="both"/>
        <w:rPr>
          <w:rFonts w:ascii="Times New Roman" w:hAnsi="Times New Roman" w:cs="Times New Roman"/>
          <w:sz w:val="22"/>
          <w:szCs w:val="22"/>
          <w:lang w:val="en-IE"/>
        </w:rPr>
      </w:pPr>
    </w:p>
    <w:p w14:paraId="2DBA0B18" w14:textId="77777777" w:rsidR="00DA68B0" w:rsidRPr="00E22B82" w:rsidRDefault="00DA68B0"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A system of default weightings </w:t>
      </w:r>
      <w:r w:rsidR="002F14EE" w:rsidRPr="00E22B82">
        <w:rPr>
          <w:rFonts w:ascii="Times New Roman" w:hAnsi="Times New Roman" w:cs="Times New Roman"/>
          <w:sz w:val="22"/>
          <w:szCs w:val="22"/>
          <w:lang w:val="en-IE"/>
        </w:rPr>
        <w:t>can</w:t>
      </w:r>
      <w:r w:rsidRPr="00E22B82">
        <w:rPr>
          <w:rFonts w:ascii="Times New Roman" w:hAnsi="Times New Roman" w:cs="Times New Roman"/>
          <w:sz w:val="22"/>
          <w:szCs w:val="22"/>
          <w:lang w:val="en-IE"/>
        </w:rPr>
        <w:t xml:space="preserve"> be applied to the SUIs in order to afford the end user to customise their selection. The </w:t>
      </w:r>
      <w:r w:rsidR="00427D46" w:rsidRPr="00E22B82">
        <w:rPr>
          <w:rFonts w:ascii="Times New Roman" w:hAnsi="Times New Roman" w:cs="Times New Roman"/>
          <w:sz w:val="22"/>
          <w:szCs w:val="22"/>
          <w:lang w:val="en-IE"/>
        </w:rPr>
        <w:t>operationali</w:t>
      </w:r>
      <w:r w:rsidR="00AF71A9" w:rsidRPr="00E22B82">
        <w:rPr>
          <w:rFonts w:ascii="Times New Roman" w:hAnsi="Times New Roman" w:cs="Times New Roman"/>
          <w:sz w:val="22"/>
          <w:szCs w:val="22"/>
          <w:lang w:val="en-IE"/>
        </w:rPr>
        <w:t>s</w:t>
      </w:r>
      <w:r w:rsidR="00427D46" w:rsidRPr="00E22B82">
        <w:rPr>
          <w:rFonts w:ascii="Times New Roman" w:hAnsi="Times New Roman" w:cs="Times New Roman"/>
          <w:sz w:val="22"/>
          <w:szCs w:val="22"/>
          <w:lang w:val="en-IE"/>
        </w:rPr>
        <w:t>ation</w:t>
      </w:r>
      <w:r w:rsidRPr="00E22B82">
        <w:rPr>
          <w:rFonts w:ascii="Times New Roman" w:hAnsi="Times New Roman" w:cs="Times New Roman"/>
          <w:sz w:val="22"/>
          <w:szCs w:val="22"/>
          <w:lang w:val="en-IE"/>
        </w:rPr>
        <w:t xml:space="preserve"> of the indicators in subsequent </w:t>
      </w:r>
      <w:r w:rsidR="00427D46" w:rsidRPr="00E22B82">
        <w:rPr>
          <w:rFonts w:ascii="Times New Roman" w:hAnsi="Times New Roman" w:cs="Times New Roman"/>
          <w:sz w:val="22"/>
          <w:szCs w:val="22"/>
          <w:lang w:val="en-IE"/>
        </w:rPr>
        <w:t>development work</w:t>
      </w:r>
      <w:r w:rsidRPr="00E22B82">
        <w:rPr>
          <w:rFonts w:ascii="Times New Roman" w:hAnsi="Times New Roman" w:cs="Times New Roman"/>
          <w:sz w:val="22"/>
          <w:szCs w:val="22"/>
          <w:lang w:val="en-IE"/>
        </w:rPr>
        <w:t xml:space="preserve"> requires that default w</w:t>
      </w:r>
      <w:r w:rsidR="00427D46" w:rsidRPr="00E22B82">
        <w:rPr>
          <w:rFonts w:ascii="Times New Roman" w:hAnsi="Times New Roman" w:cs="Times New Roman"/>
          <w:sz w:val="22"/>
          <w:szCs w:val="22"/>
          <w:lang w:val="en-IE"/>
        </w:rPr>
        <w:t>eightings be applied in advance of the final iteration</w:t>
      </w:r>
      <w:r w:rsidRPr="00E22B82">
        <w:rPr>
          <w:rFonts w:ascii="Times New Roman" w:hAnsi="Times New Roman" w:cs="Times New Roman"/>
          <w:sz w:val="22"/>
          <w:szCs w:val="22"/>
          <w:lang w:val="en-IE"/>
        </w:rPr>
        <w:t>. Assigning a default weighting is congruent with the majority of composite indices, as stated in OECD, 2008. It is recommended that, in order to enhance the utility of the decision</w:t>
      </w:r>
      <w:r w:rsidR="002F14EE" w:rsidRPr="00E22B82">
        <w:rPr>
          <w:rFonts w:ascii="Times New Roman" w:hAnsi="Times New Roman" w:cs="Times New Roman"/>
          <w:sz w:val="22"/>
          <w:szCs w:val="22"/>
          <w:lang w:val="en-IE"/>
        </w:rPr>
        <w:t xml:space="preserve"> making</w:t>
      </w:r>
      <w:r w:rsidRPr="00E22B82">
        <w:rPr>
          <w:rFonts w:ascii="Times New Roman" w:hAnsi="Times New Roman" w:cs="Times New Roman"/>
          <w:sz w:val="22"/>
          <w:szCs w:val="22"/>
          <w:lang w:val="en-IE"/>
        </w:rPr>
        <w:t>, end users be allowed to establish the weight of each indicator in order to adapt to the context in which the tool will be deployed.</w:t>
      </w:r>
    </w:p>
    <w:p w14:paraId="55485562" w14:textId="77777777" w:rsidR="00737FC4" w:rsidRPr="00E22B82" w:rsidRDefault="00737FC4" w:rsidP="00B53C4D">
      <w:pPr>
        <w:autoSpaceDE w:val="0"/>
        <w:autoSpaceDN w:val="0"/>
        <w:adjustRightInd w:val="0"/>
        <w:spacing w:line="276" w:lineRule="auto"/>
        <w:jc w:val="both"/>
        <w:rPr>
          <w:rFonts w:ascii="Times New Roman" w:hAnsi="Times New Roman" w:cs="Times New Roman"/>
          <w:sz w:val="22"/>
          <w:szCs w:val="22"/>
          <w:lang w:val="en-IE"/>
        </w:rPr>
      </w:pPr>
    </w:p>
    <w:p w14:paraId="53007D3F" w14:textId="77777777" w:rsidR="008B17BF" w:rsidRPr="00E22B82" w:rsidRDefault="008B17BF"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scope of the </w:t>
      </w:r>
      <w:r w:rsidR="00671E74" w:rsidRPr="00E22B82">
        <w:rPr>
          <w:rFonts w:ascii="Times New Roman" w:hAnsi="Times New Roman" w:cs="Times New Roman"/>
          <w:sz w:val="22"/>
          <w:szCs w:val="22"/>
          <w:lang w:val="en-IE"/>
        </w:rPr>
        <w:t>SUIs</w:t>
      </w:r>
      <w:r w:rsidRPr="00E22B82">
        <w:rPr>
          <w:rFonts w:ascii="Times New Roman" w:hAnsi="Times New Roman" w:cs="Times New Roman"/>
          <w:sz w:val="22"/>
          <w:szCs w:val="22"/>
          <w:lang w:val="en-IE"/>
        </w:rPr>
        <w:t xml:space="preserve"> relates to two key areas, the first is their feasible area of spatial applicability and the second related to the manner in which the interventions are captured and represented as a unit of measurement with an associated range of effectiveness in line with the goal stated above. The spatial applicability of the indicators are as follows:</w:t>
      </w:r>
    </w:p>
    <w:p w14:paraId="54D1C243" w14:textId="77777777" w:rsidR="00B53C4D" w:rsidRPr="00E22B82" w:rsidRDefault="00B53C4D" w:rsidP="00B53C4D">
      <w:pPr>
        <w:spacing w:line="276" w:lineRule="auto"/>
        <w:jc w:val="both"/>
        <w:rPr>
          <w:rFonts w:ascii="Times New Roman" w:hAnsi="Times New Roman" w:cs="Times New Roman"/>
          <w:sz w:val="22"/>
          <w:szCs w:val="22"/>
          <w:lang w:val="en-IE"/>
        </w:rPr>
      </w:pPr>
    </w:p>
    <w:p w14:paraId="0E165F28" w14:textId="77777777" w:rsidR="008B17BF" w:rsidRPr="00E22B82" w:rsidRDefault="008B17BF" w:rsidP="00B53C4D">
      <w:pPr>
        <w:pStyle w:val="ListParagraph"/>
        <w:numPr>
          <w:ilvl w:val="0"/>
          <w:numId w:val="22"/>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City Level:</w:t>
      </w:r>
      <w:r w:rsidRPr="00E22B82">
        <w:rPr>
          <w:rFonts w:ascii="Times New Roman" w:hAnsi="Times New Roman" w:cs="Times New Roman"/>
          <w:sz w:val="22"/>
          <w:szCs w:val="22"/>
          <w:lang w:val="en-IE"/>
        </w:rPr>
        <w:t xml:space="preserve"> Indicators at this scale provide a high level assessment of the performance of urban environments in respect of energy consumption, generation and potential for efficiency focused enhancements. </w:t>
      </w:r>
    </w:p>
    <w:p w14:paraId="0B4D3AB5" w14:textId="77777777" w:rsidR="008B17BF" w:rsidRPr="00E22B82" w:rsidRDefault="008B17BF" w:rsidP="00B53C4D">
      <w:pPr>
        <w:pStyle w:val="ListParagraph"/>
        <w:numPr>
          <w:ilvl w:val="0"/>
          <w:numId w:val="22"/>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District Level</w:t>
      </w:r>
      <w:r w:rsidRPr="00E22B82">
        <w:rPr>
          <w:rFonts w:ascii="Times New Roman" w:hAnsi="Times New Roman" w:cs="Times New Roman"/>
          <w:sz w:val="22"/>
          <w:szCs w:val="22"/>
          <w:lang w:val="en-IE"/>
        </w:rPr>
        <w:t xml:space="preserve">: Indicators at this scale provide a more focused and detailed assessment of energy generation and consumption at the sub city scale. This focus is valuable as urban environments </w:t>
      </w:r>
      <w:r w:rsidRPr="00E22B82">
        <w:rPr>
          <w:rFonts w:ascii="Times New Roman" w:hAnsi="Times New Roman" w:cs="Times New Roman"/>
          <w:sz w:val="22"/>
          <w:szCs w:val="22"/>
          <w:lang w:val="en-IE"/>
        </w:rPr>
        <w:lastRenderedPageBreak/>
        <w:t>are composed of sub city districts which are distinctive in terms of their energy characteristics. Developing metrics at this spatial scale requires cognisance of the fact that the definition of a “district” or sub city unit varies from country to country.</w:t>
      </w:r>
    </w:p>
    <w:p w14:paraId="2CD1D592" w14:textId="77777777" w:rsidR="008B17BF" w:rsidRPr="00E22B82" w:rsidRDefault="008B17BF" w:rsidP="00B53C4D">
      <w:pPr>
        <w:pStyle w:val="ListParagraph"/>
        <w:numPr>
          <w:ilvl w:val="0"/>
          <w:numId w:val="22"/>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i/>
          <w:sz w:val="22"/>
          <w:szCs w:val="22"/>
          <w:lang w:val="en-IE"/>
        </w:rPr>
        <w:t>Building Level</w:t>
      </w:r>
      <w:r w:rsidRPr="00E22B82">
        <w:rPr>
          <w:rFonts w:ascii="Times New Roman" w:hAnsi="Times New Roman" w:cs="Times New Roman"/>
          <w:sz w:val="22"/>
          <w:szCs w:val="22"/>
          <w:lang w:val="en-IE"/>
        </w:rPr>
        <w:t xml:space="preserve">: Indicators at this scale are geared toward the direct assessment of energy related interventions on a building or small cluster of buildings. </w:t>
      </w:r>
    </w:p>
    <w:p w14:paraId="08FB1523" w14:textId="77777777" w:rsidR="008B17BF" w:rsidRPr="00E22B82" w:rsidRDefault="008B17BF" w:rsidP="00B53C4D">
      <w:pPr>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 spatial scales outlined above are not mutually exclusive in terms of indicators as some indicators may be applicable across each spatial boundary. In addition to the spatial scale of the SUIs and their applicability, the</w:t>
      </w:r>
      <w:r w:rsidR="00671E74" w:rsidRPr="00E22B82">
        <w:rPr>
          <w:rFonts w:ascii="Times New Roman" w:hAnsi="Times New Roman" w:cs="Times New Roman"/>
          <w:sz w:val="22"/>
          <w:szCs w:val="22"/>
          <w:lang w:val="en-IE"/>
        </w:rPr>
        <w:t>ir</w:t>
      </w:r>
      <w:r w:rsidRPr="00E22B82">
        <w:rPr>
          <w:rFonts w:ascii="Times New Roman" w:hAnsi="Times New Roman" w:cs="Times New Roman"/>
          <w:sz w:val="22"/>
          <w:szCs w:val="22"/>
          <w:lang w:val="en-IE"/>
        </w:rPr>
        <w:t xml:space="preserve"> scope is required to cover the elements of the built environment which have a relationship to energy.</w:t>
      </w:r>
    </w:p>
    <w:p w14:paraId="2366A40D" w14:textId="77777777" w:rsidR="00DA68B0" w:rsidRPr="00E22B82" w:rsidRDefault="00DA68B0" w:rsidP="00B53C4D">
      <w:pPr>
        <w:spacing w:line="276" w:lineRule="auto"/>
        <w:rPr>
          <w:lang w:val="en-IE"/>
        </w:rPr>
      </w:pPr>
    </w:p>
    <w:p w14:paraId="33B05360" w14:textId="77777777" w:rsidR="009044F8" w:rsidRDefault="009044F8" w:rsidP="00B53C4D">
      <w:pPr>
        <w:pStyle w:val="Heading2"/>
        <w:spacing w:line="276" w:lineRule="auto"/>
        <w:jc w:val="both"/>
        <w:rPr>
          <w:rFonts w:ascii="Times New Roman" w:hAnsi="Times New Roman" w:cs="Times New Roman"/>
          <w:b/>
          <w:color w:val="auto"/>
          <w:sz w:val="24"/>
          <w:szCs w:val="22"/>
          <w:lang w:val="en-IE"/>
        </w:rPr>
      </w:pPr>
      <w:bookmarkStart w:id="7" w:name="_Toc450945619"/>
      <w:r w:rsidRPr="00A300AA">
        <w:rPr>
          <w:rFonts w:ascii="Times New Roman" w:hAnsi="Times New Roman" w:cs="Times New Roman"/>
          <w:b/>
          <w:color w:val="auto"/>
          <w:sz w:val="24"/>
          <w:szCs w:val="22"/>
          <w:lang w:val="en-IE"/>
        </w:rPr>
        <w:t>Limitations</w:t>
      </w:r>
      <w:bookmarkEnd w:id="7"/>
    </w:p>
    <w:p w14:paraId="0E7B5CC0" w14:textId="77777777" w:rsidR="00511857" w:rsidRPr="00511857" w:rsidRDefault="00511857" w:rsidP="00511857">
      <w:pPr>
        <w:rPr>
          <w:lang w:val="en-IE"/>
        </w:rPr>
      </w:pPr>
    </w:p>
    <w:p w14:paraId="2DA1E12E" w14:textId="77777777" w:rsidR="009044F8" w:rsidRPr="00E22B82" w:rsidRDefault="009044F8" w:rsidP="00B53C4D">
      <w:pPr>
        <w:pStyle w:val="ListParagraph"/>
        <w:numPr>
          <w:ilvl w:val="0"/>
          <w:numId w:val="46"/>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This </w:t>
      </w:r>
      <w:r w:rsidR="007A6FFA" w:rsidRPr="00E22B82">
        <w:rPr>
          <w:rFonts w:ascii="Times New Roman" w:hAnsi="Times New Roman" w:cs="Times New Roman"/>
          <w:sz w:val="22"/>
          <w:szCs w:val="22"/>
          <w:lang w:val="en-IE"/>
        </w:rPr>
        <w:t>research</w:t>
      </w:r>
      <w:r w:rsidRPr="00E22B82">
        <w:rPr>
          <w:rFonts w:ascii="Times New Roman" w:hAnsi="Times New Roman" w:cs="Times New Roman"/>
          <w:sz w:val="22"/>
          <w:szCs w:val="22"/>
          <w:lang w:val="en-IE"/>
        </w:rPr>
        <w:t xml:space="preserve"> relies upon a consultation process with members of the end user community in order to validate the reasoning for the selection of key SUIs from an expanded list. The range of end users consulted over the course of the </w:t>
      </w:r>
      <w:r w:rsidR="00671E74" w:rsidRPr="00E22B82">
        <w:rPr>
          <w:rFonts w:ascii="Times New Roman" w:hAnsi="Times New Roman" w:cs="Times New Roman"/>
          <w:sz w:val="22"/>
          <w:szCs w:val="22"/>
          <w:lang w:val="en-IE"/>
        </w:rPr>
        <w:t>research</w:t>
      </w:r>
      <w:r w:rsidRPr="00E22B82">
        <w:rPr>
          <w:rFonts w:ascii="Times New Roman" w:hAnsi="Times New Roman" w:cs="Times New Roman"/>
          <w:sz w:val="22"/>
          <w:szCs w:val="22"/>
          <w:lang w:val="en-IE"/>
        </w:rPr>
        <w:t xml:space="preserve"> were largely from Ireland and may not provide a wide</w:t>
      </w:r>
      <w:r w:rsidR="00671E74" w:rsidRPr="00E22B82">
        <w:rPr>
          <w:rFonts w:ascii="Times New Roman" w:hAnsi="Times New Roman" w:cs="Times New Roman"/>
          <w:sz w:val="22"/>
          <w:szCs w:val="22"/>
          <w:lang w:val="en-IE"/>
        </w:rPr>
        <w:t xml:space="preserve"> enough variety of sources for</w:t>
      </w:r>
      <w:r w:rsidRPr="00E22B82">
        <w:rPr>
          <w:rFonts w:ascii="Times New Roman" w:hAnsi="Times New Roman" w:cs="Times New Roman"/>
          <w:sz w:val="22"/>
          <w:szCs w:val="22"/>
          <w:lang w:val="en-IE"/>
        </w:rPr>
        <w:t xml:space="preserve"> European wide </w:t>
      </w:r>
      <w:r w:rsidR="00671E74" w:rsidRPr="00E22B82">
        <w:rPr>
          <w:rFonts w:ascii="Times New Roman" w:hAnsi="Times New Roman" w:cs="Times New Roman"/>
          <w:sz w:val="22"/>
          <w:szCs w:val="22"/>
          <w:lang w:val="en-IE"/>
        </w:rPr>
        <w:t>application.</w:t>
      </w:r>
      <w:r w:rsidRPr="00E22B82">
        <w:rPr>
          <w:rFonts w:ascii="Times New Roman" w:hAnsi="Times New Roman" w:cs="Times New Roman"/>
          <w:sz w:val="22"/>
          <w:szCs w:val="22"/>
          <w:lang w:val="en-IE"/>
        </w:rPr>
        <w:t xml:space="preserve"> This geographical limitation of the consultation and selection process might therefore mean that its use in other geographical regions might be limited or that the indicators might need refining before they could be applied.</w:t>
      </w:r>
    </w:p>
    <w:p w14:paraId="36487ABA" w14:textId="77777777" w:rsidR="0007729F" w:rsidRPr="00E22B82" w:rsidRDefault="009044F8" w:rsidP="0007729F">
      <w:pPr>
        <w:pStyle w:val="ListParagraph"/>
        <w:numPr>
          <w:ilvl w:val="0"/>
          <w:numId w:val="46"/>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The suite of indicators that form the starting basis for the SUI selection is based on the indicators put forward in the academic and research literature. The SUIs developed in this </w:t>
      </w:r>
      <w:r w:rsidR="00671E74" w:rsidRPr="00E22B82">
        <w:rPr>
          <w:rFonts w:ascii="Times New Roman" w:hAnsi="Times New Roman" w:cs="Times New Roman"/>
          <w:sz w:val="22"/>
          <w:szCs w:val="22"/>
          <w:lang w:val="en-IE"/>
        </w:rPr>
        <w:t>paper</w:t>
      </w:r>
      <w:r w:rsidRPr="00E22B82">
        <w:rPr>
          <w:rFonts w:ascii="Times New Roman" w:hAnsi="Times New Roman" w:cs="Times New Roman"/>
          <w:sz w:val="22"/>
          <w:szCs w:val="22"/>
          <w:lang w:val="en-IE"/>
        </w:rPr>
        <w:t xml:space="preserve"> are therefore limited to the available lists. Furthermore, the SUI selection process is limited to those which specifically address </w:t>
      </w:r>
      <w:r w:rsidR="00AC4930" w:rsidRPr="00E22B82">
        <w:rPr>
          <w:rFonts w:ascii="Times New Roman" w:hAnsi="Times New Roman" w:cs="Times New Roman"/>
          <w:sz w:val="22"/>
          <w:szCs w:val="22"/>
          <w:lang w:val="en-IE"/>
        </w:rPr>
        <w:t>our</w:t>
      </w:r>
      <w:r w:rsidRPr="00E22B82">
        <w:rPr>
          <w:rFonts w:ascii="Times New Roman" w:hAnsi="Times New Roman" w:cs="Times New Roman"/>
          <w:sz w:val="22"/>
          <w:szCs w:val="22"/>
          <w:lang w:val="en-IE"/>
        </w:rPr>
        <w:t xml:space="preserve"> limited overview goals of cost and CO</w:t>
      </w:r>
      <w:r w:rsidRPr="00E22B82">
        <w:rPr>
          <w:rFonts w:ascii="Times New Roman" w:hAnsi="Times New Roman" w:cs="Times New Roman"/>
          <w:sz w:val="22"/>
          <w:szCs w:val="22"/>
          <w:vertAlign w:val="subscript"/>
          <w:lang w:val="en-IE"/>
        </w:rPr>
        <w:t>2</w:t>
      </w:r>
      <w:r w:rsidRPr="00E22B82">
        <w:rPr>
          <w:rFonts w:ascii="Times New Roman" w:hAnsi="Times New Roman" w:cs="Times New Roman"/>
          <w:sz w:val="22"/>
          <w:szCs w:val="22"/>
          <w:lang w:val="en-IE"/>
        </w:rPr>
        <w:t xml:space="preserve"> reduction, and enhancement of urban energy efficiency. Other relevant and important sustainability criteria might therefore not be captured.</w:t>
      </w:r>
    </w:p>
    <w:p w14:paraId="15990352" w14:textId="77777777" w:rsidR="0007729F" w:rsidRPr="00E22B82" w:rsidRDefault="009044F8" w:rsidP="0007729F">
      <w:pPr>
        <w:pStyle w:val="ListParagraph"/>
        <w:numPr>
          <w:ilvl w:val="0"/>
          <w:numId w:val="46"/>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 time effectiveness of the use of the selected SUIs might still require demonstration, especial</w:t>
      </w:r>
      <w:r w:rsidR="00671E74" w:rsidRPr="00E22B82">
        <w:rPr>
          <w:rFonts w:ascii="Times New Roman" w:hAnsi="Times New Roman" w:cs="Times New Roman"/>
          <w:sz w:val="22"/>
          <w:szCs w:val="22"/>
          <w:lang w:val="en-IE"/>
        </w:rPr>
        <w:t xml:space="preserve">ly about existing methodologies. </w:t>
      </w:r>
      <w:r w:rsidR="001F67BA" w:rsidRPr="00E22B82">
        <w:rPr>
          <w:rFonts w:ascii="Times New Roman" w:eastAsia="Calibri" w:hAnsi="Times New Roman" w:cs="Times New Roman"/>
          <w:sz w:val="22"/>
          <w:szCs w:val="22"/>
          <w:lang w:val="en-IE"/>
        </w:rPr>
        <w:t>The</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z w:val="22"/>
          <w:szCs w:val="22"/>
          <w:lang w:val="en-IE"/>
        </w:rPr>
        <w:t>c</w:t>
      </w:r>
      <w:r w:rsidR="001F67BA" w:rsidRPr="00E22B82">
        <w:rPr>
          <w:rFonts w:ascii="Times New Roman" w:eastAsia="Calibri" w:hAnsi="Times New Roman" w:cs="Times New Roman"/>
          <w:spacing w:val="1"/>
          <w:sz w:val="22"/>
          <w:szCs w:val="22"/>
          <w:lang w:val="en-IE"/>
        </w:rPr>
        <w:t>o</w:t>
      </w:r>
      <w:r w:rsidR="001F67BA" w:rsidRPr="00E22B82">
        <w:rPr>
          <w:rFonts w:ascii="Times New Roman" w:eastAsia="Calibri" w:hAnsi="Times New Roman" w:cs="Times New Roman"/>
          <w:spacing w:val="-1"/>
          <w:sz w:val="22"/>
          <w:szCs w:val="22"/>
          <w:lang w:val="en-IE"/>
        </w:rPr>
        <w:t>n</w:t>
      </w:r>
      <w:r w:rsidR="001F67BA" w:rsidRPr="00E22B82">
        <w:rPr>
          <w:rFonts w:ascii="Times New Roman" w:eastAsia="Calibri" w:hAnsi="Times New Roman" w:cs="Times New Roman"/>
          <w:spacing w:val="-2"/>
          <w:sz w:val="22"/>
          <w:szCs w:val="22"/>
          <w:lang w:val="en-IE"/>
        </w:rPr>
        <w:t>s</w:t>
      </w:r>
      <w:r w:rsidR="001F67BA" w:rsidRPr="00E22B82">
        <w:rPr>
          <w:rFonts w:ascii="Times New Roman" w:eastAsia="Calibri" w:hAnsi="Times New Roman" w:cs="Times New Roman"/>
          <w:sz w:val="22"/>
          <w:szCs w:val="22"/>
          <w:lang w:val="en-IE"/>
        </w:rPr>
        <w:t>eq</w:t>
      </w:r>
      <w:r w:rsidR="001F67BA" w:rsidRPr="00E22B82">
        <w:rPr>
          <w:rFonts w:ascii="Times New Roman" w:eastAsia="Calibri" w:hAnsi="Times New Roman" w:cs="Times New Roman"/>
          <w:spacing w:val="-1"/>
          <w:sz w:val="22"/>
          <w:szCs w:val="22"/>
          <w:lang w:val="en-IE"/>
        </w:rPr>
        <w:t>u</w:t>
      </w:r>
      <w:r w:rsidR="001F67BA" w:rsidRPr="00E22B82">
        <w:rPr>
          <w:rFonts w:ascii="Times New Roman" w:eastAsia="Calibri" w:hAnsi="Times New Roman" w:cs="Times New Roman"/>
          <w:sz w:val="22"/>
          <w:szCs w:val="22"/>
          <w:lang w:val="en-IE"/>
        </w:rPr>
        <w:t>ences</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pacing w:val="-1"/>
          <w:sz w:val="22"/>
          <w:szCs w:val="22"/>
          <w:lang w:val="en-IE"/>
        </w:rPr>
        <w:t>o</w:t>
      </w:r>
      <w:r w:rsidR="001F67BA" w:rsidRPr="00E22B82">
        <w:rPr>
          <w:rFonts w:ascii="Times New Roman" w:eastAsia="Calibri" w:hAnsi="Times New Roman" w:cs="Times New Roman"/>
          <w:sz w:val="22"/>
          <w:szCs w:val="22"/>
          <w:lang w:val="en-IE"/>
        </w:rPr>
        <w:t>f</w:t>
      </w:r>
      <w:r w:rsidR="001F67BA" w:rsidRPr="00E22B82">
        <w:rPr>
          <w:rFonts w:ascii="Times New Roman" w:eastAsia="Calibri" w:hAnsi="Times New Roman" w:cs="Times New Roman"/>
          <w:spacing w:val="3"/>
          <w:sz w:val="22"/>
          <w:szCs w:val="22"/>
          <w:lang w:val="en-IE"/>
        </w:rPr>
        <w:t xml:space="preserve"> </w:t>
      </w:r>
      <w:r w:rsidR="001F67BA" w:rsidRPr="00E22B82">
        <w:rPr>
          <w:rFonts w:ascii="Times New Roman" w:eastAsia="Calibri" w:hAnsi="Times New Roman" w:cs="Times New Roman"/>
          <w:sz w:val="22"/>
          <w:szCs w:val="22"/>
          <w:lang w:val="en-IE"/>
        </w:rPr>
        <w:t>which</w:t>
      </w:r>
      <w:r w:rsidR="001F67BA" w:rsidRPr="00E22B82">
        <w:rPr>
          <w:rFonts w:ascii="Times New Roman" w:eastAsia="Calibri" w:hAnsi="Times New Roman" w:cs="Times New Roman"/>
          <w:spacing w:val="2"/>
          <w:sz w:val="22"/>
          <w:szCs w:val="22"/>
          <w:lang w:val="en-IE"/>
        </w:rPr>
        <w:t xml:space="preserve"> </w:t>
      </w:r>
      <w:r w:rsidR="001F67BA" w:rsidRPr="00E22B82">
        <w:rPr>
          <w:rFonts w:ascii="Times New Roman" w:eastAsia="Calibri" w:hAnsi="Times New Roman" w:cs="Times New Roman"/>
          <w:sz w:val="22"/>
          <w:szCs w:val="22"/>
          <w:lang w:val="en-IE"/>
        </w:rPr>
        <w:t>led to</w:t>
      </w:r>
      <w:r w:rsidR="001F67BA" w:rsidRPr="00E22B82">
        <w:rPr>
          <w:rFonts w:ascii="Times New Roman" w:eastAsia="Calibri" w:hAnsi="Times New Roman" w:cs="Times New Roman"/>
          <w:spacing w:val="2"/>
          <w:sz w:val="22"/>
          <w:szCs w:val="22"/>
          <w:lang w:val="en-IE"/>
        </w:rPr>
        <w:t xml:space="preserve"> </w:t>
      </w:r>
      <w:r w:rsidR="001F67BA" w:rsidRPr="00E22B82">
        <w:rPr>
          <w:rFonts w:ascii="Times New Roman" w:eastAsia="Calibri" w:hAnsi="Times New Roman" w:cs="Times New Roman"/>
          <w:sz w:val="22"/>
          <w:szCs w:val="22"/>
          <w:lang w:val="en-IE"/>
        </w:rPr>
        <w:t>the</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pacing w:val="-1"/>
          <w:sz w:val="22"/>
          <w:szCs w:val="22"/>
          <w:lang w:val="en-IE"/>
        </w:rPr>
        <w:t>u</w:t>
      </w:r>
      <w:r w:rsidR="001F67BA" w:rsidRPr="00E22B82">
        <w:rPr>
          <w:rFonts w:ascii="Times New Roman" w:eastAsia="Calibri" w:hAnsi="Times New Roman" w:cs="Times New Roman"/>
          <w:sz w:val="22"/>
          <w:szCs w:val="22"/>
          <w:lang w:val="en-IE"/>
        </w:rPr>
        <w:t>se</w:t>
      </w:r>
      <w:r w:rsidR="001F67BA" w:rsidRPr="00E22B82">
        <w:rPr>
          <w:rFonts w:ascii="Times New Roman" w:eastAsia="Calibri" w:hAnsi="Times New Roman" w:cs="Times New Roman"/>
          <w:spacing w:val="1"/>
          <w:sz w:val="22"/>
          <w:szCs w:val="22"/>
          <w:lang w:val="en-IE"/>
        </w:rPr>
        <w:t xml:space="preserve"> o</w:t>
      </w:r>
      <w:r w:rsidR="001F67BA" w:rsidRPr="00E22B82">
        <w:rPr>
          <w:rFonts w:ascii="Times New Roman" w:eastAsia="Calibri" w:hAnsi="Times New Roman" w:cs="Times New Roman"/>
          <w:sz w:val="22"/>
          <w:szCs w:val="22"/>
          <w:lang w:val="en-IE"/>
        </w:rPr>
        <w:t>f</w:t>
      </w:r>
      <w:r w:rsidR="001F67BA" w:rsidRPr="00E22B82">
        <w:rPr>
          <w:rFonts w:ascii="Times New Roman" w:eastAsia="Calibri" w:hAnsi="Times New Roman" w:cs="Times New Roman"/>
          <w:spacing w:val="3"/>
          <w:sz w:val="22"/>
          <w:szCs w:val="22"/>
          <w:lang w:val="en-IE"/>
        </w:rPr>
        <w:t xml:space="preserve"> </w:t>
      </w:r>
      <w:r w:rsidR="001F67BA" w:rsidRPr="00E22B82">
        <w:rPr>
          <w:rFonts w:ascii="Times New Roman" w:eastAsia="Calibri" w:hAnsi="Times New Roman" w:cs="Times New Roman"/>
          <w:sz w:val="22"/>
          <w:szCs w:val="22"/>
          <w:lang w:val="en-IE"/>
        </w:rPr>
        <w:t xml:space="preserve">a </w:t>
      </w:r>
      <w:r w:rsidR="001F67BA" w:rsidRPr="00E22B82">
        <w:rPr>
          <w:rFonts w:ascii="Times New Roman" w:eastAsia="Calibri" w:hAnsi="Times New Roman" w:cs="Times New Roman"/>
          <w:spacing w:val="-3"/>
          <w:sz w:val="22"/>
          <w:szCs w:val="22"/>
          <w:lang w:val="en-IE"/>
        </w:rPr>
        <w:t>r</w:t>
      </w:r>
      <w:r w:rsidR="001F67BA" w:rsidRPr="00E22B82">
        <w:rPr>
          <w:rFonts w:ascii="Times New Roman" w:eastAsia="Calibri" w:hAnsi="Times New Roman" w:cs="Times New Roman"/>
          <w:sz w:val="22"/>
          <w:szCs w:val="22"/>
          <w:lang w:val="en-IE"/>
        </w:rPr>
        <w:t>ed</w:t>
      </w:r>
      <w:r w:rsidR="001F67BA" w:rsidRPr="00E22B82">
        <w:rPr>
          <w:rFonts w:ascii="Times New Roman" w:eastAsia="Calibri" w:hAnsi="Times New Roman" w:cs="Times New Roman"/>
          <w:spacing w:val="-1"/>
          <w:sz w:val="22"/>
          <w:szCs w:val="22"/>
          <w:lang w:val="en-IE"/>
        </w:rPr>
        <w:t>u</w:t>
      </w:r>
      <w:r w:rsidR="001F67BA" w:rsidRPr="00E22B82">
        <w:rPr>
          <w:rFonts w:ascii="Times New Roman" w:eastAsia="Calibri" w:hAnsi="Times New Roman" w:cs="Times New Roman"/>
          <w:sz w:val="22"/>
          <w:szCs w:val="22"/>
          <w:lang w:val="en-IE"/>
        </w:rPr>
        <w:t>ced</w:t>
      </w:r>
      <w:r w:rsidR="001F67BA" w:rsidRPr="00E22B82">
        <w:rPr>
          <w:rFonts w:ascii="Times New Roman" w:eastAsia="Calibri" w:hAnsi="Times New Roman" w:cs="Times New Roman"/>
          <w:spacing w:val="3"/>
          <w:sz w:val="22"/>
          <w:szCs w:val="22"/>
          <w:lang w:val="en-IE"/>
        </w:rPr>
        <w:t xml:space="preserve"> </w:t>
      </w:r>
      <w:r w:rsidR="001F67BA" w:rsidRPr="00E22B82">
        <w:rPr>
          <w:rFonts w:ascii="Times New Roman" w:eastAsia="Calibri" w:hAnsi="Times New Roman" w:cs="Times New Roman"/>
          <w:sz w:val="22"/>
          <w:szCs w:val="22"/>
          <w:lang w:val="en-IE"/>
        </w:rPr>
        <w:t>s</w:t>
      </w:r>
      <w:r w:rsidR="001F67BA" w:rsidRPr="00E22B82">
        <w:rPr>
          <w:rFonts w:ascii="Times New Roman" w:eastAsia="Calibri" w:hAnsi="Times New Roman" w:cs="Times New Roman"/>
          <w:spacing w:val="-2"/>
          <w:sz w:val="22"/>
          <w:szCs w:val="22"/>
          <w:lang w:val="en-IE"/>
        </w:rPr>
        <w:t>e</w:t>
      </w:r>
      <w:r w:rsidR="001F67BA" w:rsidRPr="00E22B82">
        <w:rPr>
          <w:rFonts w:ascii="Times New Roman" w:eastAsia="Calibri" w:hAnsi="Times New Roman" w:cs="Times New Roman"/>
          <w:sz w:val="22"/>
          <w:szCs w:val="22"/>
          <w:lang w:val="en-IE"/>
        </w:rPr>
        <w:t>t</w:t>
      </w:r>
      <w:r w:rsidR="001F67BA" w:rsidRPr="00E22B82">
        <w:rPr>
          <w:rFonts w:ascii="Times New Roman" w:eastAsia="Calibri" w:hAnsi="Times New Roman" w:cs="Times New Roman"/>
          <w:spacing w:val="1"/>
          <w:sz w:val="22"/>
          <w:szCs w:val="22"/>
          <w:lang w:val="en-IE"/>
        </w:rPr>
        <w:t xml:space="preserve"> o</w:t>
      </w:r>
      <w:r w:rsidR="001F67BA" w:rsidRPr="00E22B82">
        <w:rPr>
          <w:rFonts w:ascii="Times New Roman" w:eastAsia="Calibri" w:hAnsi="Times New Roman" w:cs="Times New Roman"/>
          <w:sz w:val="22"/>
          <w:szCs w:val="22"/>
          <w:lang w:val="en-IE"/>
        </w:rPr>
        <w:t xml:space="preserve">f </w:t>
      </w:r>
      <w:r w:rsidR="001F67BA" w:rsidRPr="00E22B82">
        <w:rPr>
          <w:rFonts w:ascii="Times New Roman" w:eastAsia="Calibri" w:hAnsi="Times New Roman" w:cs="Times New Roman"/>
          <w:spacing w:val="1"/>
          <w:sz w:val="22"/>
          <w:szCs w:val="22"/>
          <w:lang w:val="en-IE"/>
        </w:rPr>
        <w:t>m</w:t>
      </w:r>
      <w:r w:rsidR="001F67BA" w:rsidRPr="00E22B82">
        <w:rPr>
          <w:rFonts w:ascii="Times New Roman" w:eastAsia="Calibri" w:hAnsi="Times New Roman" w:cs="Times New Roman"/>
          <w:sz w:val="22"/>
          <w:szCs w:val="22"/>
          <w:lang w:val="en-IE"/>
        </w:rPr>
        <w:t>e</w:t>
      </w:r>
      <w:r w:rsidR="001F67BA" w:rsidRPr="00E22B82">
        <w:rPr>
          <w:rFonts w:ascii="Times New Roman" w:eastAsia="Calibri" w:hAnsi="Times New Roman" w:cs="Times New Roman"/>
          <w:spacing w:val="-2"/>
          <w:sz w:val="22"/>
          <w:szCs w:val="22"/>
          <w:lang w:val="en-IE"/>
        </w:rPr>
        <w:t>t</w:t>
      </w:r>
      <w:r w:rsidR="001F67BA" w:rsidRPr="00E22B82">
        <w:rPr>
          <w:rFonts w:ascii="Times New Roman" w:eastAsia="Calibri" w:hAnsi="Times New Roman" w:cs="Times New Roman"/>
          <w:sz w:val="22"/>
          <w:szCs w:val="22"/>
          <w:lang w:val="en-IE"/>
        </w:rPr>
        <w:t>rics</w:t>
      </w:r>
      <w:r w:rsidR="001F67BA" w:rsidRPr="00E22B82">
        <w:rPr>
          <w:rFonts w:ascii="Times New Roman" w:eastAsia="Calibri" w:hAnsi="Times New Roman" w:cs="Times New Roman"/>
          <w:spacing w:val="2"/>
          <w:sz w:val="22"/>
          <w:szCs w:val="22"/>
          <w:lang w:val="en-IE"/>
        </w:rPr>
        <w:t xml:space="preserve"> </w:t>
      </w:r>
      <w:r w:rsidR="001F67BA" w:rsidRPr="00E22B82">
        <w:rPr>
          <w:rFonts w:ascii="Times New Roman" w:eastAsia="Calibri" w:hAnsi="Times New Roman" w:cs="Times New Roman"/>
          <w:sz w:val="22"/>
          <w:szCs w:val="22"/>
          <w:lang w:val="en-IE"/>
        </w:rPr>
        <w:t>su</w:t>
      </w:r>
      <w:r w:rsidR="001F67BA" w:rsidRPr="00E22B82">
        <w:rPr>
          <w:rFonts w:ascii="Times New Roman" w:eastAsia="Calibri" w:hAnsi="Times New Roman" w:cs="Times New Roman"/>
          <w:spacing w:val="-1"/>
          <w:sz w:val="22"/>
          <w:szCs w:val="22"/>
          <w:lang w:val="en-IE"/>
        </w:rPr>
        <w:t>p</w:t>
      </w:r>
      <w:r w:rsidR="001F67BA" w:rsidRPr="00E22B82">
        <w:rPr>
          <w:rFonts w:ascii="Times New Roman" w:eastAsia="Calibri" w:hAnsi="Times New Roman" w:cs="Times New Roman"/>
          <w:spacing w:val="-3"/>
          <w:sz w:val="22"/>
          <w:szCs w:val="22"/>
          <w:lang w:val="en-IE"/>
        </w:rPr>
        <w:t>p</w:t>
      </w:r>
      <w:r w:rsidR="001F67BA" w:rsidRPr="00E22B82">
        <w:rPr>
          <w:rFonts w:ascii="Times New Roman" w:eastAsia="Calibri" w:hAnsi="Times New Roman" w:cs="Times New Roman"/>
          <w:spacing w:val="1"/>
          <w:sz w:val="22"/>
          <w:szCs w:val="22"/>
          <w:lang w:val="en-IE"/>
        </w:rPr>
        <w:t>o</w:t>
      </w:r>
      <w:r w:rsidR="001F67BA" w:rsidRPr="00E22B82">
        <w:rPr>
          <w:rFonts w:ascii="Times New Roman" w:eastAsia="Calibri" w:hAnsi="Times New Roman" w:cs="Times New Roman"/>
          <w:sz w:val="22"/>
          <w:szCs w:val="22"/>
          <w:lang w:val="en-IE"/>
        </w:rPr>
        <w:t xml:space="preserve">rted </w:t>
      </w:r>
      <w:r w:rsidR="001F67BA" w:rsidRPr="00E22B82">
        <w:rPr>
          <w:rFonts w:ascii="Times New Roman" w:eastAsia="Calibri" w:hAnsi="Times New Roman" w:cs="Times New Roman"/>
          <w:spacing w:val="-1"/>
          <w:sz w:val="22"/>
          <w:szCs w:val="22"/>
          <w:lang w:val="en-IE"/>
        </w:rPr>
        <w:t>b</w:t>
      </w:r>
      <w:r w:rsidR="001F67BA" w:rsidRPr="00E22B82">
        <w:rPr>
          <w:rFonts w:ascii="Times New Roman" w:eastAsia="Calibri" w:hAnsi="Times New Roman" w:cs="Times New Roman"/>
          <w:sz w:val="22"/>
          <w:szCs w:val="22"/>
          <w:lang w:val="en-IE"/>
        </w:rPr>
        <w:t>y</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z w:val="22"/>
          <w:szCs w:val="22"/>
          <w:lang w:val="en-IE"/>
        </w:rPr>
        <w:t>r</w:t>
      </w:r>
      <w:r w:rsidR="001F67BA" w:rsidRPr="00E22B82">
        <w:rPr>
          <w:rFonts w:ascii="Times New Roman" w:eastAsia="Calibri" w:hAnsi="Times New Roman" w:cs="Times New Roman"/>
          <w:spacing w:val="1"/>
          <w:sz w:val="22"/>
          <w:szCs w:val="22"/>
          <w:lang w:val="en-IE"/>
        </w:rPr>
        <w:t>e</w:t>
      </w:r>
      <w:r w:rsidR="001F67BA" w:rsidRPr="00E22B82">
        <w:rPr>
          <w:rFonts w:ascii="Times New Roman" w:eastAsia="Calibri" w:hAnsi="Times New Roman" w:cs="Times New Roman"/>
          <w:sz w:val="22"/>
          <w:szCs w:val="22"/>
          <w:lang w:val="en-IE"/>
        </w:rPr>
        <w:t>a</w:t>
      </w:r>
      <w:r w:rsidR="001F67BA" w:rsidRPr="00E22B82">
        <w:rPr>
          <w:rFonts w:ascii="Times New Roman" w:eastAsia="Calibri" w:hAnsi="Times New Roman" w:cs="Times New Roman"/>
          <w:spacing w:val="-1"/>
          <w:sz w:val="22"/>
          <w:szCs w:val="22"/>
          <w:lang w:val="en-IE"/>
        </w:rPr>
        <w:t>d</w:t>
      </w:r>
      <w:r w:rsidR="001F67BA" w:rsidRPr="00E22B82">
        <w:rPr>
          <w:rFonts w:ascii="Times New Roman" w:eastAsia="Calibri" w:hAnsi="Times New Roman" w:cs="Times New Roman"/>
          <w:sz w:val="22"/>
          <w:szCs w:val="22"/>
          <w:lang w:val="en-IE"/>
        </w:rPr>
        <w:t>ily</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z w:val="22"/>
          <w:szCs w:val="22"/>
          <w:lang w:val="en-IE"/>
        </w:rPr>
        <w:t>a</w:t>
      </w:r>
      <w:r w:rsidR="001F67BA" w:rsidRPr="00E22B82">
        <w:rPr>
          <w:rFonts w:ascii="Times New Roman" w:eastAsia="Calibri" w:hAnsi="Times New Roman" w:cs="Times New Roman"/>
          <w:spacing w:val="1"/>
          <w:sz w:val="22"/>
          <w:szCs w:val="22"/>
          <w:lang w:val="en-IE"/>
        </w:rPr>
        <w:t>v</w:t>
      </w:r>
      <w:r w:rsidR="001F67BA" w:rsidRPr="00E22B82">
        <w:rPr>
          <w:rFonts w:ascii="Times New Roman" w:eastAsia="Calibri" w:hAnsi="Times New Roman" w:cs="Times New Roman"/>
          <w:sz w:val="22"/>
          <w:szCs w:val="22"/>
          <w:lang w:val="en-IE"/>
        </w:rPr>
        <w:t>ai</w:t>
      </w:r>
      <w:r w:rsidR="001F67BA" w:rsidRPr="00E22B82">
        <w:rPr>
          <w:rFonts w:ascii="Times New Roman" w:eastAsia="Calibri" w:hAnsi="Times New Roman" w:cs="Times New Roman"/>
          <w:spacing w:val="-1"/>
          <w:sz w:val="22"/>
          <w:szCs w:val="22"/>
          <w:lang w:val="en-IE"/>
        </w:rPr>
        <w:t>l</w:t>
      </w:r>
      <w:r w:rsidR="001F67BA" w:rsidRPr="00E22B82">
        <w:rPr>
          <w:rFonts w:ascii="Times New Roman" w:eastAsia="Calibri" w:hAnsi="Times New Roman" w:cs="Times New Roman"/>
          <w:sz w:val="22"/>
          <w:szCs w:val="22"/>
          <w:lang w:val="en-IE"/>
        </w:rPr>
        <w:t>a</w:t>
      </w:r>
      <w:r w:rsidR="001F67BA" w:rsidRPr="00E22B82">
        <w:rPr>
          <w:rFonts w:ascii="Times New Roman" w:eastAsia="Calibri" w:hAnsi="Times New Roman" w:cs="Times New Roman"/>
          <w:spacing w:val="-1"/>
          <w:sz w:val="22"/>
          <w:szCs w:val="22"/>
          <w:lang w:val="en-IE"/>
        </w:rPr>
        <w:t>b</w:t>
      </w:r>
      <w:r w:rsidR="001F67BA" w:rsidRPr="00E22B82">
        <w:rPr>
          <w:rFonts w:ascii="Times New Roman" w:eastAsia="Calibri" w:hAnsi="Times New Roman" w:cs="Times New Roman"/>
          <w:spacing w:val="-3"/>
          <w:sz w:val="22"/>
          <w:szCs w:val="22"/>
          <w:lang w:val="en-IE"/>
        </w:rPr>
        <w:t>l</w:t>
      </w:r>
      <w:r w:rsidR="001F67BA" w:rsidRPr="00E22B82">
        <w:rPr>
          <w:rFonts w:ascii="Times New Roman" w:eastAsia="Calibri" w:hAnsi="Times New Roman" w:cs="Times New Roman"/>
          <w:sz w:val="22"/>
          <w:szCs w:val="22"/>
          <w:lang w:val="en-IE"/>
        </w:rPr>
        <w:t>e</w:t>
      </w:r>
      <w:r w:rsidR="001F67BA" w:rsidRPr="00E22B82">
        <w:rPr>
          <w:rFonts w:ascii="Times New Roman" w:eastAsia="Calibri" w:hAnsi="Times New Roman" w:cs="Times New Roman"/>
          <w:spacing w:val="1"/>
          <w:sz w:val="22"/>
          <w:szCs w:val="22"/>
          <w:lang w:val="en-IE"/>
        </w:rPr>
        <w:t xml:space="preserve"> </w:t>
      </w:r>
      <w:r w:rsidR="001F67BA" w:rsidRPr="00E22B82">
        <w:rPr>
          <w:rFonts w:ascii="Times New Roman" w:eastAsia="Calibri" w:hAnsi="Times New Roman" w:cs="Times New Roman"/>
          <w:spacing w:val="-1"/>
          <w:sz w:val="22"/>
          <w:szCs w:val="22"/>
          <w:lang w:val="en-IE"/>
        </w:rPr>
        <w:t>d</w:t>
      </w:r>
      <w:r w:rsidR="001F67BA" w:rsidRPr="00E22B82">
        <w:rPr>
          <w:rFonts w:ascii="Times New Roman" w:eastAsia="Calibri" w:hAnsi="Times New Roman" w:cs="Times New Roman"/>
          <w:sz w:val="22"/>
          <w:szCs w:val="22"/>
          <w:lang w:val="en-IE"/>
        </w:rPr>
        <w:t xml:space="preserve">ata. The same issues were encountered during the development of this </w:t>
      </w:r>
      <w:r w:rsidR="00671E74" w:rsidRPr="00E22B82">
        <w:rPr>
          <w:rFonts w:ascii="Times New Roman" w:eastAsia="Calibri" w:hAnsi="Times New Roman" w:cs="Times New Roman"/>
          <w:sz w:val="22"/>
          <w:szCs w:val="22"/>
          <w:lang w:val="en-IE"/>
        </w:rPr>
        <w:t>paper</w:t>
      </w:r>
      <w:r w:rsidR="001F67BA" w:rsidRPr="00E22B82">
        <w:rPr>
          <w:rFonts w:ascii="Times New Roman" w:eastAsia="Calibri" w:hAnsi="Times New Roman" w:cs="Times New Roman"/>
          <w:sz w:val="22"/>
          <w:szCs w:val="22"/>
          <w:lang w:val="en-IE"/>
        </w:rPr>
        <w:t xml:space="preserve"> as a substantial number of indicators were found to be of theoretical and academic relevance to the SUI yet were not implementable due to the constraints imposed by data availability. </w:t>
      </w:r>
    </w:p>
    <w:p w14:paraId="2A211AC9" w14:textId="77777777" w:rsidR="001F67BA" w:rsidRPr="00E22B82" w:rsidRDefault="0007729F" w:rsidP="0007729F">
      <w:pPr>
        <w:pStyle w:val="ListParagraph"/>
        <w:numPr>
          <w:ilvl w:val="0"/>
          <w:numId w:val="46"/>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Morse (2003) questioned the quest for quantitative indicators, highlighting how qualitative measurements may provide better understandings of sustainability, given its socially constructed nature and the need for perceptions to change in order to achieve more sustainable behaviour. Considering the potential for indicators to mislead, or be manipulated and ‘cherry-picked’ to show what is desired, Meadows (1998) warns that, as an integral part of the decision-making process, indicators can be a ‘dangerous tool’. The desire of stakeholders and decision-makers, for simplicity, comparability and interpretability of indicators may inadvertently result in over-aggregation and/or over-simplification of complex relationships. Consequently, this may mislead or result in false representation (DSCWG, 2001). </w:t>
      </w:r>
    </w:p>
    <w:p w14:paraId="530D5B1F" w14:textId="77777777" w:rsidR="00284E51" w:rsidRPr="00E22B82" w:rsidRDefault="00284E51" w:rsidP="00B53C4D">
      <w:pPr>
        <w:pStyle w:val="ListParagraph"/>
        <w:spacing w:line="276" w:lineRule="auto"/>
        <w:ind w:right="88"/>
        <w:jc w:val="both"/>
        <w:rPr>
          <w:rFonts w:ascii="Times New Roman" w:eastAsia="Calibri" w:hAnsi="Times New Roman" w:cs="Times New Roman"/>
          <w:sz w:val="22"/>
          <w:szCs w:val="22"/>
          <w:lang w:val="en-IE"/>
        </w:rPr>
      </w:pPr>
    </w:p>
    <w:p w14:paraId="426DA6C1" w14:textId="77777777" w:rsidR="009044F8" w:rsidRDefault="009044F8" w:rsidP="00B53C4D">
      <w:pPr>
        <w:pStyle w:val="Heading2"/>
        <w:spacing w:line="276" w:lineRule="auto"/>
        <w:jc w:val="both"/>
        <w:rPr>
          <w:rFonts w:ascii="Times New Roman" w:hAnsi="Times New Roman" w:cs="Times New Roman"/>
          <w:b/>
          <w:color w:val="auto"/>
          <w:sz w:val="24"/>
          <w:szCs w:val="24"/>
          <w:lang w:val="en-IE"/>
        </w:rPr>
      </w:pPr>
      <w:bookmarkStart w:id="8" w:name="_Toc450945620"/>
      <w:r w:rsidRPr="00E22B82">
        <w:rPr>
          <w:rFonts w:ascii="Times New Roman" w:hAnsi="Times New Roman" w:cs="Times New Roman"/>
          <w:b/>
          <w:color w:val="auto"/>
          <w:sz w:val="24"/>
          <w:szCs w:val="24"/>
          <w:lang w:val="en-IE"/>
        </w:rPr>
        <w:t>Possible Solutions</w:t>
      </w:r>
      <w:bookmarkEnd w:id="8"/>
    </w:p>
    <w:p w14:paraId="03A30293" w14:textId="77777777" w:rsidR="00511857" w:rsidRPr="00511857" w:rsidRDefault="00511857" w:rsidP="00511857">
      <w:pPr>
        <w:rPr>
          <w:lang w:val="en-IE"/>
        </w:rPr>
      </w:pPr>
    </w:p>
    <w:p w14:paraId="1FA66752" w14:textId="77777777" w:rsidR="009044F8" w:rsidRPr="00E22B82" w:rsidRDefault="009044F8" w:rsidP="00B53C4D">
      <w:pPr>
        <w:pStyle w:val="ListParagraph"/>
        <w:numPr>
          <w:ilvl w:val="0"/>
          <w:numId w:val="4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Demonstration of the tool may be applicable in a jurisdiction with different climatic, geographic and cultural considerations in order to enable the testing of</w:t>
      </w:r>
      <w:r w:rsidR="00047BC9" w:rsidRPr="00E22B82">
        <w:rPr>
          <w:rFonts w:ascii="Times New Roman" w:hAnsi="Times New Roman" w:cs="Times New Roman"/>
          <w:sz w:val="22"/>
          <w:szCs w:val="22"/>
          <w:lang w:val="en-IE"/>
        </w:rPr>
        <w:t xml:space="preserve"> </w:t>
      </w:r>
      <w:r w:rsidRPr="00E22B82">
        <w:rPr>
          <w:rFonts w:ascii="Times New Roman" w:hAnsi="Times New Roman" w:cs="Times New Roman"/>
          <w:sz w:val="22"/>
          <w:szCs w:val="22"/>
          <w:lang w:val="en-IE"/>
        </w:rPr>
        <w:t>S</w:t>
      </w:r>
      <w:r w:rsidR="00047BC9" w:rsidRPr="00E22B82">
        <w:rPr>
          <w:rFonts w:ascii="Times New Roman" w:hAnsi="Times New Roman" w:cs="Times New Roman"/>
          <w:sz w:val="22"/>
          <w:szCs w:val="22"/>
          <w:lang w:val="en-IE"/>
        </w:rPr>
        <w:t>UI</w:t>
      </w:r>
      <w:r w:rsidRPr="00E22B82">
        <w:rPr>
          <w:rFonts w:ascii="Times New Roman" w:hAnsi="Times New Roman" w:cs="Times New Roman"/>
          <w:sz w:val="22"/>
          <w:szCs w:val="22"/>
          <w:lang w:val="en-IE"/>
        </w:rPr>
        <w:t xml:space="preserve"> transferability. </w:t>
      </w:r>
    </w:p>
    <w:p w14:paraId="4DD664D1" w14:textId="77777777" w:rsidR="009044F8" w:rsidRPr="00E22B82" w:rsidRDefault="009044F8" w:rsidP="00B53C4D">
      <w:pPr>
        <w:pStyle w:val="ListParagraph"/>
        <w:numPr>
          <w:ilvl w:val="0"/>
          <w:numId w:val="4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A broader more inclusive tool or a supporting tool which would work in conjunction with the </w:t>
      </w:r>
      <w:r w:rsidR="00307FE6" w:rsidRPr="00E22B82">
        <w:rPr>
          <w:rFonts w:ascii="Times New Roman" w:hAnsi="Times New Roman" w:cs="Times New Roman"/>
          <w:sz w:val="22"/>
          <w:szCs w:val="22"/>
          <w:lang w:val="en-IE"/>
        </w:rPr>
        <w:t>SUIs developed here</w:t>
      </w:r>
      <w:r w:rsidRPr="00E22B82">
        <w:rPr>
          <w:rFonts w:ascii="Times New Roman" w:hAnsi="Times New Roman" w:cs="Times New Roman"/>
          <w:sz w:val="22"/>
          <w:szCs w:val="22"/>
          <w:lang w:val="en-IE"/>
        </w:rPr>
        <w:t xml:space="preserve"> may be required to address other ar</w:t>
      </w:r>
      <w:r w:rsidR="000D2DF4" w:rsidRPr="00E22B82">
        <w:rPr>
          <w:rFonts w:ascii="Times New Roman" w:hAnsi="Times New Roman" w:cs="Times New Roman"/>
          <w:sz w:val="22"/>
          <w:szCs w:val="22"/>
          <w:lang w:val="en-IE"/>
        </w:rPr>
        <w:t>eas of sustainable development.</w:t>
      </w:r>
    </w:p>
    <w:p w14:paraId="34E69053" w14:textId="77777777" w:rsidR="009044F8" w:rsidRPr="00E22B82" w:rsidRDefault="009044F8" w:rsidP="00B53C4D">
      <w:pPr>
        <w:pStyle w:val="ListParagraph"/>
        <w:numPr>
          <w:ilvl w:val="0"/>
          <w:numId w:val="4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lastRenderedPageBreak/>
        <w:t xml:space="preserve">The operationalisation of the indicators in the decision support tool and the development of the wider apparatus may be able to compensate for any detected or undetected issues with the indicators theoretical framework. </w:t>
      </w:r>
    </w:p>
    <w:p w14:paraId="0C3B974C" w14:textId="77777777" w:rsidR="0007729F" w:rsidRPr="00E22B82" w:rsidRDefault="009044F8" w:rsidP="0007729F">
      <w:pPr>
        <w:pStyle w:val="ListParagraph"/>
        <w:numPr>
          <w:ilvl w:val="0"/>
          <w:numId w:val="4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Standardisation, incorporating the alignment of the SUIs with existing industry standards (e.g. ISO standards) </w:t>
      </w:r>
      <w:r w:rsidR="007A6FFA" w:rsidRPr="00E22B82">
        <w:rPr>
          <w:rFonts w:ascii="Times New Roman" w:hAnsi="Times New Roman" w:cs="Times New Roman"/>
          <w:sz w:val="22"/>
          <w:szCs w:val="22"/>
          <w:lang w:val="en-IE"/>
        </w:rPr>
        <w:t>may be needed</w:t>
      </w:r>
      <w:r w:rsidR="00B53C4D" w:rsidRPr="00E22B82">
        <w:rPr>
          <w:rFonts w:ascii="Times New Roman" w:hAnsi="Times New Roman" w:cs="Times New Roman"/>
          <w:sz w:val="22"/>
          <w:szCs w:val="22"/>
          <w:lang w:val="en-IE"/>
        </w:rPr>
        <w:t>.</w:t>
      </w:r>
      <w:r w:rsidR="0007729F" w:rsidRPr="00E22B82">
        <w:rPr>
          <w:rFonts w:ascii="Times New Roman" w:hAnsi="Times New Roman" w:cs="Times New Roman"/>
          <w:sz w:val="22"/>
          <w:szCs w:val="22"/>
          <w:lang w:val="en-IE"/>
        </w:rPr>
        <w:t xml:space="preserve"> </w:t>
      </w:r>
    </w:p>
    <w:p w14:paraId="6527FB99" w14:textId="77777777" w:rsidR="009044F8" w:rsidRPr="00E22B82" w:rsidRDefault="0007729F" w:rsidP="0007729F">
      <w:pPr>
        <w:pStyle w:val="ListParagraph"/>
        <w:numPr>
          <w:ilvl w:val="0"/>
          <w:numId w:val="47"/>
        </w:numPr>
        <w:spacing w:after="200"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During the development of the SUIs, it was determined during consultation that the incorporation of qualitative indicators would present a technical challenge as well as </w:t>
      </w:r>
      <w:r w:rsidR="006D0978">
        <w:rPr>
          <w:rFonts w:ascii="Times New Roman" w:hAnsi="Times New Roman" w:cs="Times New Roman"/>
          <w:sz w:val="22"/>
          <w:szCs w:val="22"/>
          <w:lang w:val="en-IE"/>
        </w:rPr>
        <w:t xml:space="preserve">a complication </w:t>
      </w:r>
      <w:r w:rsidRPr="00E22B82">
        <w:rPr>
          <w:rFonts w:ascii="Times New Roman" w:hAnsi="Times New Roman" w:cs="Times New Roman"/>
          <w:sz w:val="22"/>
          <w:szCs w:val="22"/>
          <w:lang w:val="en-IE"/>
        </w:rPr>
        <w:t>of transferability in terms of normalising such indicators across a variety of socio-environmental, cultural and economic contexts.</w:t>
      </w:r>
    </w:p>
    <w:p w14:paraId="49EC173D" w14:textId="77777777" w:rsidR="008534E2" w:rsidRDefault="008534E2" w:rsidP="00B53C4D">
      <w:pPr>
        <w:pStyle w:val="Heading2"/>
        <w:spacing w:line="276" w:lineRule="auto"/>
        <w:jc w:val="both"/>
        <w:rPr>
          <w:rFonts w:ascii="Times New Roman" w:hAnsi="Times New Roman" w:cs="Times New Roman"/>
          <w:b/>
          <w:color w:val="auto"/>
          <w:sz w:val="24"/>
          <w:szCs w:val="22"/>
          <w:lang w:val="en-IE"/>
        </w:rPr>
      </w:pPr>
      <w:bookmarkStart w:id="9" w:name="_Toc450945621"/>
      <w:r w:rsidRPr="00E22B82">
        <w:rPr>
          <w:rFonts w:ascii="Times New Roman" w:hAnsi="Times New Roman" w:cs="Times New Roman"/>
          <w:b/>
          <w:color w:val="auto"/>
          <w:sz w:val="24"/>
          <w:szCs w:val="22"/>
          <w:lang w:val="en-IE"/>
        </w:rPr>
        <w:t>Conclusion and Discussion</w:t>
      </w:r>
      <w:bookmarkEnd w:id="9"/>
    </w:p>
    <w:p w14:paraId="01446644" w14:textId="77777777" w:rsidR="00511857" w:rsidRPr="00511857" w:rsidRDefault="00511857" w:rsidP="00511857">
      <w:pPr>
        <w:rPr>
          <w:lang w:val="en-IE"/>
        </w:rPr>
      </w:pPr>
    </w:p>
    <w:p w14:paraId="3813EFC8" w14:textId="77777777" w:rsidR="00AF2FA8" w:rsidRPr="00E22B82" w:rsidRDefault="00AF2FA8"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 xml:space="preserve">Sustainable development is becoming an increasingly important issue on the global stage. To respond to many sustainability challenges that we are facing, we must be able to measure progress towards sustainable urban development. The generic </w:t>
      </w:r>
      <w:r w:rsidR="00A300AA" w:rsidRPr="00E22B82">
        <w:rPr>
          <w:rFonts w:ascii="Times New Roman" w:hAnsi="Times New Roman" w:cs="Times New Roman"/>
          <w:sz w:val="22"/>
          <w:szCs w:val="22"/>
          <w:lang w:val="en-IE"/>
        </w:rPr>
        <w:t xml:space="preserve">development </w:t>
      </w:r>
      <w:r w:rsidRPr="00E22B82">
        <w:rPr>
          <w:rFonts w:ascii="Times New Roman" w:hAnsi="Times New Roman" w:cs="Times New Roman"/>
          <w:sz w:val="22"/>
          <w:szCs w:val="22"/>
          <w:lang w:val="en-IE"/>
        </w:rPr>
        <w:t xml:space="preserve">framework for </w:t>
      </w:r>
      <w:r w:rsidR="00A300AA">
        <w:rPr>
          <w:rFonts w:ascii="Times New Roman" w:hAnsi="Times New Roman" w:cs="Times New Roman"/>
          <w:sz w:val="22"/>
          <w:szCs w:val="22"/>
          <w:lang w:val="en-IE"/>
        </w:rPr>
        <w:t>SUIs</w:t>
      </w:r>
      <w:r w:rsidRPr="00E22B82">
        <w:rPr>
          <w:rFonts w:ascii="Times New Roman" w:hAnsi="Times New Roman" w:cs="Times New Roman"/>
          <w:sz w:val="22"/>
          <w:szCs w:val="22"/>
          <w:lang w:val="en-IE"/>
        </w:rPr>
        <w:t xml:space="preserve"> proposed in this </w:t>
      </w:r>
      <w:r w:rsidR="000D2DF4" w:rsidRPr="00E22B82">
        <w:rPr>
          <w:rFonts w:ascii="Times New Roman" w:hAnsi="Times New Roman" w:cs="Times New Roman"/>
          <w:sz w:val="22"/>
          <w:szCs w:val="22"/>
          <w:lang w:val="en-IE"/>
        </w:rPr>
        <w:t>paper</w:t>
      </w:r>
      <w:r w:rsidRPr="00E22B82">
        <w:rPr>
          <w:rFonts w:ascii="Times New Roman" w:hAnsi="Times New Roman" w:cs="Times New Roman"/>
          <w:sz w:val="22"/>
          <w:szCs w:val="22"/>
          <w:lang w:val="en-IE"/>
        </w:rPr>
        <w:t xml:space="preserve"> could be used </w:t>
      </w:r>
      <w:r w:rsidR="00307D57">
        <w:rPr>
          <w:rFonts w:ascii="Times New Roman" w:hAnsi="Times New Roman" w:cs="Times New Roman"/>
          <w:sz w:val="22"/>
          <w:szCs w:val="22"/>
          <w:lang w:val="en-IE"/>
        </w:rPr>
        <w:t xml:space="preserve">by local governments </w:t>
      </w:r>
      <w:r w:rsidRPr="00E22B82">
        <w:rPr>
          <w:rFonts w:ascii="Times New Roman" w:hAnsi="Times New Roman" w:cs="Times New Roman"/>
          <w:sz w:val="22"/>
          <w:szCs w:val="22"/>
          <w:lang w:val="en-IE"/>
        </w:rPr>
        <w:t xml:space="preserve">as a tool for assessing the level of sustainability of urban systems. The proposed indicators have been developed specifically for a European context but could also be applicable to other areas where the weightings could be tailored for alternative needs. While the framework aims to capture most key issues for the urban environment, it should be emphasised that it would be impossible and indeed impractical to try to translate all the issues into indicators of sustainable development. Nevertheless, the framework is comprehensive, and given its scope, it may be more suitable for large-scale city systems which can afford the time and resources for its implementation. </w:t>
      </w:r>
    </w:p>
    <w:p w14:paraId="6FE2A485" w14:textId="77777777" w:rsidR="00AF2FA8" w:rsidRPr="00E22B82" w:rsidRDefault="00AF2FA8" w:rsidP="00B53C4D">
      <w:pPr>
        <w:autoSpaceDE w:val="0"/>
        <w:autoSpaceDN w:val="0"/>
        <w:adjustRightInd w:val="0"/>
        <w:spacing w:line="276" w:lineRule="auto"/>
        <w:jc w:val="both"/>
        <w:rPr>
          <w:rFonts w:ascii="Times New Roman" w:hAnsi="Times New Roman" w:cs="Times New Roman"/>
          <w:sz w:val="22"/>
          <w:szCs w:val="22"/>
          <w:lang w:val="en-IE"/>
        </w:rPr>
      </w:pPr>
    </w:p>
    <w:p w14:paraId="64CE77F4" w14:textId="77777777" w:rsidR="00427D46" w:rsidRPr="00E22B82" w:rsidRDefault="00427D46"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Having completed a comprehensive assessment of literature relating to the formation of indicators it was concluded that the indicator suite be a synthesis of composite indicators which lend themselves to intra-national comparison and indicators in tandem with expert evaluation. This will support decision making in respect of energy based on the accurate reflection of changes in the manner in which a specific, building, district or city manages its relationship with energy. The latter indicators examine metrics arising from the modelling of interventions to the structure or group of structures.</w:t>
      </w:r>
    </w:p>
    <w:p w14:paraId="5FDCAC5F" w14:textId="77777777" w:rsidR="00427D46" w:rsidRPr="00E22B82" w:rsidRDefault="00427D46" w:rsidP="00B53C4D">
      <w:pPr>
        <w:autoSpaceDE w:val="0"/>
        <w:autoSpaceDN w:val="0"/>
        <w:adjustRightInd w:val="0"/>
        <w:spacing w:line="276" w:lineRule="auto"/>
        <w:jc w:val="both"/>
        <w:rPr>
          <w:rFonts w:ascii="Times New Roman" w:hAnsi="Times New Roman" w:cs="Times New Roman"/>
          <w:sz w:val="22"/>
          <w:szCs w:val="22"/>
          <w:highlight w:val="yellow"/>
          <w:lang w:val="en-IE"/>
        </w:rPr>
      </w:pPr>
    </w:p>
    <w:p w14:paraId="2FCDA575" w14:textId="77777777" w:rsidR="0011598C" w:rsidRPr="00E22B82" w:rsidRDefault="0011598C"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Through our initial compilation process the indicators obtained were found ac</w:t>
      </w:r>
      <w:r w:rsidR="00B53C4D" w:rsidRPr="00E22B82">
        <w:rPr>
          <w:rFonts w:ascii="Times New Roman" w:hAnsi="Times New Roman" w:cs="Times New Roman"/>
          <w:sz w:val="22"/>
          <w:szCs w:val="22"/>
          <w:lang w:val="en-IE"/>
        </w:rPr>
        <w:t>ross different relevant domains</w:t>
      </w:r>
      <w:r w:rsidRPr="00E22B82">
        <w:rPr>
          <w:rFonts w:ascii="Times New Roman" w:hAnsi="Times New Roman" w:cs="Times New Roman"/>
          <w:sz w:val="22"/>
          <w:szCs w:val="22"/>
          <w:lang w:val="en-IE"/>
        </w:rPr>
        <w:t xml:space="preserve">. These indicators were taken from a combination of sources, including existing indices relating to the built environment as well </w:t>
      </w:r>
      <w:r w:rsidR="0007729F" w:rsidRPr="00E22B82">
        <w:rPr>
          <w:rFonts w:ascii="Times New Roman" w:hAnsi="Times New Roman" w:cs="Times New Roman"/>
          <w:sz w:val="22"/>
          <w:szCs w:val="22"/>
          <w:lang w:val="en-IE"/>
        </w:rPr>
        <w:t xml:space="preserve">as </w:t>
      </w:r>
      <w:r w:rsidRPr="00E22B82">
        <w:rPr>
          <w:rFonts w:ascii="Times New Roman" w:hAnsi="Times New Roman" w:cs="Times New Roman"/>
          <w:sz w:val="22"/>
          <w:szCs w:val="22"/>
          <w:lang w:val="en-IE"/>
        </w:rPr>
        <w:t>from a study of industry standards in the management of energy. The structure, scope, framework and weighting of the indicators have been developed in line with academic practice relating to the formation of composite indicators. Once compiled, the indicators were advanced for consideration at the consultation phase of the methodology.</w:t>
      </w:r>
    </w:p>
    <w:p w14:paraId="7F515763" w14:textId="77777777" w:rsidR="0011598C" w:rsidRPr="00E22B82" w:rsidRDefault="0011598C" w:rsidP="00B53C4D">
      <w:pPr>
        <w:autoSpaceDE w:val="0"/>
        <w:autoSpaceDN w:val="0"/>
        <w:adjustRightInd w:val="0"/>
        <w:spacing w:line="276" w:lineRule="auto"/>
        <w:jc w:val="both"/>
        <w:rPr>
          <w:rFonts w:ascii="Times New Roman" w:hAnsi="Times New Roman" w:cs="Times New Roman"/>
          <w:sz w:val="22"/>
          <w:szCs w:val="22"/>
          <w:highlight w:val="yellow"/>
          <w:lang w:val="en-IE"/>
        </w:rPr>
      </w:pPr>
    </w:p>
    <w:p w14:paraId="6E9261A8" w14:textId="77777777" w:rsidR="008534E2" w:rsidRPr="00E22B82" w:rsidRDefault="008534E2" w:rsidP="00B53C4D">
      <w:pPr>
        <w:autoSpaceDE w:val="0"/>
        <w:autoSpaceDN w:val="0"/>
        <w:adjustRightInd w:val="0"/>
        <w:spacing w:line="276" w:lineRule="auto"/>
        <w:jc w:val="both"/>
        <w:rPr>
          <w:rFonts w:ascii="Times New Roman" w:hAnsi="Times New Roman" w:cs="Times New Roman"/>
          <w:sz w:val="22"/>
          <w:szCs w:val="22"/>
          <w:lang w:val="en-IE"/>
        </w:rPr>
      </w:pPr>
      <w:r w:rsidRPr="00E22B82">
        <w:rPr>
          <w:rFonts w:ascii="Times New Roman" w:hAnsi="Times New Roman" w:cs="Times New Roman"/>
          <w:sz w:val="22"/>
          <w:szCs w:val="22"/>
          <w:lang w:val="en-IE"/>
        </w:rPr>
        <w:t>The innovative character of the described procedure is based on t</w:t>
      </w:r>
      <w:r w:rsidR="00AF2FA8" w:rsidRPr="00E22B82">
        <w:rPr>
          <w:rFonts w:ascii="Times New Roman" w:hAnsi="Times New Roman" w:cs="Times New Roman"/>
          <w:sz w:val="22"/>
          <w:szCs w:val="22"/>
          <w:lang w:val="en-IE"/>
        </w:rPr>
        <w:t>he central procedural feature</w:t>
      </w:r>
      <w:r w:rsidRPr="00E22B82">
        <w:rPr>
          <w:rFonts w:ascii="Times New Roman" w:hAnsi="Times New Roman" w:cs="Times New Roman"/>
          <w:sz w:val="22"/>
          <w:szCs w:val="22"/>
          <w:lang w:val="en-IE"/>
        </w:rPr>
        <w:t xml:space="preserve">: The broad and systematic participation of different </w:t>
      </w:r>
      <w:r w:rsidR="00AF2FA8" w:rsidRPr="00E22B82">
        <w:rPr>
          <w:rFonts w:ascii="Times New Roman" w:hAnsi="Times New Roman" w:cs="Times New Roman"/>
          <w:sz w:val="22"/>
          <w:szCs w:val="22"/>
          <w:lang w:val="en-IE"/>
        </w:rPr>
        <w:t xml:space="preserve">consultation </w:t>
      </w:r>
      <w:r w:rsidR="000D2DF4" w:rsidRPr="00E22B82">
        <w:rPr>
          <w:rFonts w:ascii="Times New Roman" w:hAnsi="Times New Roman" w:cs="Times New Roman"/>
          <w:sz w:val="22"/>
          <w:szCs w:val="22"/>
          <w:lang w:val="en-IE"/>
        </w:rPr>
        <w:t>groups during the process</w:t>
      </w:r>
      <w:r w:rsidRPr="00E22B82">
        <w:rPr>
          <w:rFonts w:ascii="Times New Roman" w:hAnsi="Times New Roman" w:cs="Times New Roman"/>
          <w:sz w:val="22"/>
          <w:szCs w:val="22"/>
          <w:lang w:val="en-IE"/>
        </w:rPr>
        <w:t xml:space="preserve"> helps to strengthen the local identity by providing the means for all citizens to better identify with their community and </w:t>
      </w:r>
      <w:r w:rsidR="009C5ADE">
        <w:rPr>
          <w:rFonts w:ascii="Times New Roman" w:hAnsi="Times New Roman" w:cs="Times New Roman"/>
          <w:sz w:val="22"/>
          <w:szCs w:val="22"/>
          <w:lang w:val="en-IE"/>
        </w:rPr>
        <w:t xml:space="preserve">its development. Each community </w:t>
      </w:r>
      <w:r w:rsidR="00307D57">
        <w:rPr>
          <w:rFonts w:ascii="Times New Roman" w:hAnsi="Times New Roman" w:cs="Times New Roman"/>
          <w:sz w:val="22"/>
          <w:szCs w:val="22"/>
          <w:lang w:val="en-IE"/>
        </w:rPr>
        <w:t xml:space="preserve">has </w:t>
      </w:r>
      <w:r w:rsidR="009C5ADE">
        <w:rPr>
          <w:rFonts w:ascii="Times New Roman" w:hAnsi="Times New Roman" w:cs="Times New Roman"/>
          <w:sz w:val="22"/>
          <w:szCs w:val="22"/>
          <w:lang w:val="en-IE"/>
        </w:rPr>
        <w:t>specific individual</w:t>
      </w:r>
      <w:r w:rsidR="000D2DF4" w:rsidRPr="00E22B82">
        <w:rPr>
          <w:rFonts w:ascii="Times New Roman" w:hAnsi="Times New Roman" w:cs="Times New Roman"/>
          <w:sz w:val="22"/>
          <w:szCs w:val="22"/>
          <w:lang w:val="en-IE"/>
        </w:rPr>
        <w:t xml:space="preserve"> </w:t>
      </w:r>
      <w:r w:rsidR="009C5ADE">
        <w:rPr>
          <w:rFonts w:ascii="Times New Roman" w:hAnsi="Times New Roman" w:cs="Times New Roman"/>
          <w:sz w:val="22"/>
          <w:szCs w:val="22"/>
          <w:lang w:val="en-IE"/>
        </w:rPr>
        <w:t>factors therefore</w:t>
      </w:r>
      <w:r w:rsidR="000D2DF4" w:rsidRPr="00E22B82">
        <w:rPr>
          <w:rFonts w:ascii="Times New Roman" w:hAnsi="Times New Roman" w:cs="Times New Roman"/>
          <w:sz w:val="22"/>
          <w:szCs w:val="22"/>
          <w:lang w:val="en-IE"/>
        </w:rPr>
        <w:t xml:space="preserve"> the weighting for a particular city requires local user knowledge but also</w:t>
      </w:r>
      <w:r w:rsidR="00AF2FA8" w:rsidRPr="00E22B82">
        <w:rPr>
          <w:rFonts w:ascii="Times New Roman" w:hAnsi="Times New Roman" w:cs="Times New Roman"/>
          <w:sz w:val="22"/>
          <w:szCs w:val="22"/>
          <w:lang w:val="en-IE"/>
        </w:rPr>
        <w:t xml:space="preserve"> requires oversight from industry experts who can use their experience to aid with local efforts</w:t>
      </w:r>
      <w:r w:rsidRPr="00E22B82">
        <w:rPr>
          <w:rFonts w:ascii="Times New Roman" w:hAnsi="Times New Roman" w:cs="Times New Roman"/>
          <w:sz w:val="22"/>
          <w:szCs w:val="22"/>
          <w:lang w:val="en-IE"/>
        </w:rPr>
        <w:t xml:space="preserve">. </w:t>
      </w:r>
      <w:r w:rsidR="000D2DF4" w:rsidRPr="00E22B82">
        <w:rPr>
          <w:rFonts w:ascii="Times New Roman" w:hAnsi="Times New Roman" w:cs="Times New Roman"/>
          <w:sz w:val="22"/>
          <w:szCs w:val="22"/>
          <w:lang w:val="en-IE"/>
        </w:rPr>
        <w:t>In order to achieve the development of</w:t>
      </w:r>
      <w:r w:rsidRPr="00E22B82">
        <w:rPr>
          <w:rFonts w:ascii="Times New Roman" w:hAnsi="Times New Roman" w:cs="Times New Roman"/>
          <w:sz w:val="22"/>
          <w:szCs w:val="22"/>
          <w:lang w:val="en-IE"/>
        </w:rPr>
        <w:t xml:space="preserve"> a </w:t>
      </w:r>
      <w:r w:rsidR="000D2DF4" w:rsidRPr="00E22B82">
        <w:rPr>
          <w:rFonts w:ascii="Times New Roman" w:hAnsi="Times New Roman" w:cs="Times New Roman"/>
          <w:sz w:val="22"/>
          <w:szCs w:val="22"/>
          <w:lang w:val="en-IE"/>
        </w:rPr>
        <w:t>functional set</w:t>
      </w:r>
      <w:r w:rsidRPr="00E22B82">
        <w:rPr>
          <w:rFonts w:ascii="Times New Roman" w:hAnsi="Times New Roman" w:cs="Times New Roman"/>
          <w:sz w:val="22"/>
          <w:szCs w:val="22"/>
          <w:lang w:val="en-IE"/>
        </w:rPr>
        <w:t xml:space="preserve"> of sustainability indicators that can be used to compare different communities it is important to connect an indicator system of common goals with a more detailed program that shows the specific subjects of </w:t>
      </w:r>
      <w:r w:rsidR="00AF2FA8" w:rsidRPr="00E22B82">
        <w:rPr>
          <w:rFonts w:ascii="Times New Roman" w:hAnsi="Times New Roman" w:cs="Times New Roman"/>
          <w:sz w:val="22"/>
          <w:szCs w:val="22"/>
          <w:lang w:val="en-IE"/>
        </w:rPr>
        <w:t>the local urban system</w:t>
      </w:r>
      <w:r w:rsidRPr="00E22B82">
        <w:rPr>
          <w:rFonts w:ascii="Times New Roman" w:hAnsi="Times New Roman" w:cs="Times New Roman"/>
          <w:sz w:val="22"/>
          <w:szCs w:val="22"/>
          <w:lang w:val="en-IE"/>
        </w:rPr>
        <w:t>.</w:t>
      </w:r>
    </w:p>
    <w:p w14:paraId="00B94B11" w14:textId="77777777" w:rsidR="003617F3" w:rsidRPr="00E22B82" w:rsidRDefault="003617F3" w:rsidP="003617F3">
      <w:pPr>
        <w:rPr>
          <w:lang w:val="en-GB"/>
        </w:rPr>
      </w:pPr>
      <w:bookmarkStart w:id="10" w:name="_Toc450945622"/>
    </w:p>
    <w:p w14:paraId="5F818757" w14:textId="77777777" w:rsidR="00737FC4" w:rsidRDefault="00737FC4" w:rsidP="00B53C4D">
      <w:pPr>
        <w:pStyle w:val="Heading2"/>
        <w:spacing w:line="276" w:lineRule="auto"/>
        <w:jc w:val="both"/>
        <w:rPr>
          <w:rFonts w:ascii="Times New Roman" w:hAnsi="Times New Roman" w:cs="Times New Roman"/>
          <w:b/>
          <w:color w:val="auto"/>
          <w:sz w:val="24"/>
          <w:szCs w:val="22"/>
          <w:lang w:val="en-IE"/>
        </w:rPr>
      </w:pPr>
      <w:r w:rsidRPr="00E22B82">
        <w:rPr>
          <w:rFonts w:ascii="Times New Roman" w:hAnsi="Times New Roman" w:cs="Times New Roman"/>
          <w:b/>
          <w:color w:val="auto"/>
          <w:sz w:val="24"/>
          <w:szCs w:val="22"/>
          <w:lang w:val="en-IE"/>
        </w:rPr>
        <w:lastRenderedPageBreak/>
        <w:t>References</w:t>
      </w:r>
      <w:bookmarkEnd w:id="10"/>
    </w:p>
    <w:p w14:paraId="07320F58" w14:textId="77777777" w:rsidR="00511857" w:rsidRPr="00511857" w:rsidRDefault="00511857" w:rsidP="00511857">
      <w:pPr>
        <w:rPr>
          <w:lang w:val="en-IE"/>
        </w:rPr>
      </w:pPr>
    </w:p>
    <w:p w14:paraId="26834FC7"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Arksey, H. and O'Malley, L.,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2005</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Scoping studies: towards a methodological framework. International journal of social research methodology, 8(1), pp.19-32.</w:t>
      </w:r>
    </w:p>
    <w:p w14:paraId="16985099"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Bell, S. and Morse, S.,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1999</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Measuring the immeasurable. The Theory and Use of Sustainability Indicators in Development, Earthscan, London.</w:t>
      </w:r>
    </w:p>
    <w:p w14:paraId="6C58C61C"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Brundtland, G.H. and Mansour, K., The World Commission on Environment and Development (WCED).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1987</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Our common future.</w:t>
      </w:r>
    </w:p>
    <w:p w14:paraId="24B519C8"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Crabtree, B. and Bayfield, N.,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1998</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Developing sustainability indicators for mountain ecosystems: a study of the Cairngorms, Scotland. Journal of Environmental Management, 52(1), pp.1-14.</w:t>
      </w:r>
    </w:p>
    <w:p w14:paraId="52AAE000"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DSCWG (Douglas Shire Community Working Group)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2001</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Douglas Shire Sustainable Futures Draft Strategy. Sherlock, K. (Ed). Douglas Shire Council: Mossman.</w:t>
      </w:r>
    </w:p>
    <w:p w14:paraId="006051BF"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Hardi, P. and Zdan, T.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1997</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Pronciples in Practice; Assessing Sustainable Development. Available from https://www.iisd.org/pdf/</w:t>
      </w:r>
      <w:r w:rsidR="00EF4DE3" w:rsidRPr="00511857">
        <w:rPr>
          <w:rFonts w:ascii="Times New Roman" w:hAnsi="Times New Roman" w:cs="Times New Roman"/>
          <w:sz w:val="22"/>
          <w:szCs w:val="22"/>
          <w:lang w:val="en-IE"/>
        </w:rPr>
        <w:t>bellagio.pdf last accessed 28/04</w:t>
      </w:r>
      <w:r w:rsidRPr="00511857">
        <w:rPr>
          <w:rFonts w:ascii="Times New Roman" w:hAnsi="Times New Roman" w:cs="Times New Roman"/>
          <w:sz w:val="22"/>
          <w:szCs w:val="22"/>
          <w:lang w:val="en-IE"/>
        </w:rPr>
        <w:t>/2016</w:t>
      </w:r>
    </w:p>
    <w:p w14:paraId="0A2CB587"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Haughton, G. and Hunter, C.,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1994</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Sustainable cities, regional policy and development series 7. Regional Studies Association. London and Bristol, Pennsylvania.</w:t>
      </w:r>
    </w:p>
    <w:p w14:paraId="703CA4CE"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Keirstead, J (2007) “Selecting sustainability indicators for urban energy systems” International Conference on Whole Life Urban Sustainability and its Assessment</w:t>
      </w:r>
    </w:p>
    <w:p w14:paraId="618B53DB"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Kelly, G. and Baker, B.L.,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2002</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An evaluative framework and performance measures for the sustainable regions programme. CSIRO Sustainable Ecosystems.</w:t>
      </w:r>
    </w:p>
    <w:p w14:paraId="391CF22B"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Meadows, D.H.,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1998</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Indicators and information systems for sustainable development.</w:t>
      </w:r>
    </w:p>
    <w:p w14:paraId="26832DE5"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Mitcham, C.,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1995</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The concept of sustainable development: its origins and ambivalence. Technology in Society, 17(3), pp.311-326.</w:t>
      </w:r>
    </w:p>
    <w:p w14:paraId="11846E9B"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Morse, S.,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2003</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For better or for worse, till the human development index do us part. Ecological Economics 45 (2), 281–296.</w:t>
      </w:r>
    </w:p>
    <w:p w14:paraId="2093DD91"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pt-PT"/>
        </w:rPr>
        <w:t xml:space="preserve">Nardo, M., </w:t>
      </w:r>
      <w:proofErr w:type="spellStart"/>
      <w:r w:rsidRPr="00511857">
        <w:rPr>
          <w:rFonts w:ascii="Times New Roman" w:hAnsi="Times New Roman" w:cs="Times New Roman"/>
          <w:sz w:val="22"/>
          <w:szCs w:val="22"/>
          <w:lang w:val="pt-PT"/>
        </w:rPr>
        <w:t>Saisana</w:t>
      </w:r>
      <w:proofErr w:type="spellEnd"/>
      <w:r w:rsidRPr="00511857">
        <w:rPr>
          <w:rFonts w:ascii="Times New Roman" w:hAnsi="Times New Roman" w:cs="Times New Roman"/>
          <w:sz w:val="22"/>
          <w:szCs w:val="22"/>
          <w:lang w:val="pt-PT"/>
        </w:rPr>
        <w:t xml:space="preserve">, M., </w:t>
      </w:r>
      <w:proofErr w:type="spellStart"/>
      <w:r w:rsidRPr="00511857">
        <w:rPr>
          <w:rFonts w:ascii="Times New Roman" w:hAnsi="Times New Roman" w:cs="Times New Roman"/>
          <w:sz w:val="22"/>
          <w:szCs w:val="22"/>
          <w:lang w:val="pt-PT"/>
        </w:rPr>
        <w:t>Saltelli</w:t>
      </w:r>
      <w:proofErr w:type="spellEnd"/>
      <w:r w:rsidRPr="00511857">
        <w:rPr>
          <w:rFonts w:ascii="Times New Roman" w:hAnsi="Times New Roman" w:cs="Times New Roman"/>
          <w:sz w:val="22"/>
          <w:szCs w:val="22"/>
          <w:lang w:val="pt-PT"/>
        </w:rPr>
        <w:t xml:space="preserve">, A., </w:t>
      </w:r>
      <w:proofErr w:type="spellStart"/>
      <w:r w:rsidRPr="00511857">
        <w:rPr>
          <w:rFonts w:ascii="Times New Roman" w:hAnsi="Times New Roman" w:cs="Times New Roman"/>
          <w:sz w:val="22"/>
          <w:szCs w:val="22"/>
          <w:lang w:val="pt-PT"/>
        </w:rPr>
        <w:t>Tarantola</w:t>
      </w:r>
      <w:proofErr w:type="spellEnd"/>
      <w:r w:rsidRPr="00511857">
        <w:rPr>
          <w:rFonts w:ascii="Times New Roman" w:hAnsi="Times New Roman" w:cs="Times New Roman"/>
          <w:sz w:val="22"/>
          <w:szCs w:val="22"/>
          <w:lang w:val="pt-PT"/>
        </w:rPr>
        <w:t xml:space="preserve">, S., </w:t>
      </w:r>
      <w:proofErr w:type="spellStart"/>
      <w:r w:rsidRPr="00511857">
        <w:rPr>
          <w:rFonts w:ascii="Times New Roman" w:hAnsi="Times New Roman" w:cs="Times New Roman"/>
          <w:sz w:val="22"/>
          <w:szCs w:val="22"/>
          <w:lang w:val="pt-PT"/>
        </w:rPr>
        <w:t>Hoffman</w:t>
      </w:r>
      <w:proofErr w:type="spellEnd"/>
      <w:r w:rsidRPr="00511857">
        <w:rPr>
          <w:rFonts w:ascii="Times New Roman" w:hAnsi="Times New Roman" w:cs="Times New Roman"/>
          <w:sz w:val="22"/>
          <w:szCs w:val="22"/>
          <w:lang w:val="pt-PT"/>
        </w:rPr>
        <w:t xml:space="preserve">, A. </w:t>
      </w:r>
      <w:proofErr w:type="spellStart"/>
      <w:r w:rsidRPr="00511857">
        <w:rPr>
          <w:rFonts w:ascii="Times New Roman" w:hAnsi="Times New Roman" w:cs="Times New Roman"/>
          <w:sz w:val="22"/>
          <w:szCs w:val="22"/>
          <w:lang w:val="pt-PT"/>
        </w:rPr>
        <w:t>and</w:t>
      </w:r>
      <w:proofErr w:type="spellEnd"/>
      <w:r w:rsidRPr="00511857">
        <w:rPr>
          <w:rFonts w:ascii="Times New Roman" w:hAnsi="Times New Roman" w:cs="Times New Roman"/>
          <w:sz w:val="22"/>
          <w:szCs w:val="22"/>
          <w:lang w:val="pt-PT"/>
        </w:rPr>
        <w:t xml:space="preserve"> </w:t>
      </w:r>
      <w:proofErr w:type="spellStart"/>
      <w:r w:rsidRPr="00511857">
        <w:rPr>
          <w:rFonts w:ascii="Times New Roman" w:hAnsi="Times New Roman" w:cs="Times New Roman"/>
          <w:sz w:val="22"/>
          <w:szCs w:val="22"/>
          <w:lang w:val="pt-PT"/>
        </w:rPr>
        <w:t>Giovannini</w:t>
      </w:r>
      <w:proofErr w:type="spellEnd"/>
      <w:r w:rsidRPr="00511857">
        <w:rPr>
          <w:rFonts w:ascii="Times New Roman" w:hAnsi="Times New Roman" w:cs="Times New Roman"/>
          <w:sz w:val="22"/>
          <w:szCs w:val="22"/>
          <w:lang w:val="pt-PT"/>
        </w:rPr>
        <w:t xml:space="preserve">, E., </w:t>
      </w:r>
      <w:r w:rsidR="007C2B0A" w:rsidRPr="00511857">
        <w:rPr>
          <w:rFonts w:ascii="Times New Roman" w:hAnsi="Times New Roman" w:cs="Times New Roman"/>
          <w:sz w:val="22"/>
          <w:szCs w:val="22"/>
          <w:lang w:val="pt-PT"/>
        </w:rPr>
        <w:t>(</w:t>
      </w:r>
      <w:r w:rsidRPr="00511857">
        <w:rPr>
          <w:rFonts w:ascii="Times New Roman" w:hAnsi="Times New Roman" w:cs="Times New Roman"/>
          <w:sz w:val="22"/>
          <w:szCs w:val="22"/>
          <w:lang w:val="pt-PT"/>
        </w:rPr>
        <w:t>2005</w:t>
      </w:r>
      <w:r w:rsidR="007C2B0A" w:rsidRPr="00511857">
        <w:rPr>
          <w:rFonts w:ascii="Times New Roman" w:hAnsi="Times New Roman" w:cs="Times New Roman"/>
          <w:sz w:val="22"/>
          <w:szCs w:val="22"/>
          <w:lang w:val="pt-PT"/>
        </w:rPr>
        <w:t>)</w:t>
      </w:r>
      <w:r w:rsidRPr="00511857">
        <w:rPr>
          <w:rFonts w:ascii="Times New Roman" w:hAnsi="Times New Roman" w:cs="Times New Roman"/>
          <w:sz w:val="22"/>
          <w:szCs w:val="22"/>
          <w:lang w:val="pt-PT"/>
        </w:rPr>
        <w:t xml:space="preserve">. </w:t>
      </w:r>
      <w:r w:rsidRPr="00511857">
        <w:rPr>
          <w:rFonts w:ascii="Times New Roman" w:hAnsi="Times New Roman" w:cs="Times New Roman"/>
          <w:sz w:val="22"/>
          <w:szCs w:val="22"/>
          <w:lang w:val="en-IE"/>
        </w:rPr>
        <w:t>Handbook on constructing composite indicator</w:t>
      </w:r>
    </w:p>
    <w:p w14:paraId="63A7D26C"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OECD,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2003</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xml:space="preserve">, Environmental Indicators Development, measurement and use. Available from http://www.oecd.org/env/indicators-modelling-outlooks/24993546.pdf Last accessed 28/01/2016 </w:t>
      </w:r>
    </w:p>
    <w:p w14:paraId="384075C4"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Pearce, D.W., Markandya, A. and Barbier, E.,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1989</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Blueprint for a green economy (Vol. 1). Earthscan.</w:t>
      </w:r>
    </w:p>
    <w:p w14:paraId="1BF2B5B3"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Roderick, M.L., Hobbins, M.T. and Farquhar, G.D.,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2009</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Pan evaporation trends and the terrestrial water balance. II. Energy balance and interpretation. Geography Compass, 3(2), pp.761-780.</w:t>
      </w:r>
    </w:p>
    <w:p w14:paraId="4931512B"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Smeets, E. and Weterings, R.,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1999</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Environmental indicators: Typology and overview (p. 19). Copenhagen: European Environment Agency.</w:t>
      </w:r>
    </w:p>
    <w:p w14:paraId="0403C0DB"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Stoeckl, N., Walker, D., Mayocchi, C. and Roberts, B.,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2004</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Douglas shire sustainable futures: Strategic planning for implementation project report.</w:t>
      </w:r>
    </w:p>
    <w:p w14:paraId="1F0A4A0F"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Tang, T. S. K., </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2011</w:t>
      </w:r>
      <w:r w:rsidR="007C2B0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xml:space="preserve">, Building Journal; Sustainable Systems Integrated Model; Modelling Techniques for Low-Carbon Cities. Available </w:t>
      </w:r>
      <w:r w:rsidR="00EF4DE3" w:rsidRPr="00511857">
        <w:rPr>
          <w:rFonts w:ascii="Times New Roman" w:hAnsi="Times New Roman" w:cs="Times New Roman"/>
          <w:sz w:val="22"/>
          <w:szCs w:val="22"/>
          <w:lang w:val="en-IE"/>
        </w:rPr>
        <w:t>from http://www.building.com.hk/forum/2011_0719modeling.pdf last accessed 28/04</w:t>
      </w:r>
      <w:r w:rsidRPr="00511857">
        <w:rPr>
          <w:rFonts w:ascii="Times New Roman" w:hAnsi="Times New Roman" w:cs="Times New Roman"/>
          <w:sz w:val="22"/>
          <w:szCs w:val="22"/>
          <w:lang w:val="en-IE"/>
        </w:rPr>
        <w:t>/2016</w:t>
      </w:r>
    </w:p>
    <w:p w14:paraId="68C7D346"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United Nations (2012) World Urbanization Prospects: The 2011 Revision United Nations, New York.</w:t>
      </w:r>
    </w:p>
    <w:p w14:paraId="55011C9D"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United Nations Framework Convention on Climate Change, available from </w:t>
      </w:r>
      <w:r w:rsidR="00EF4DE3" w:rsidRPr="00511857">
        <w:rPr>
          <w:rFonts w:ascii="Times New Roman" w:hAnsi="Times New Roman" w:cs="Times New Roman"/>
          <w:sz w:val="22"/>
          <w:szCs w:val="22"/>
          <w:lang w:val="en-IE"/>
        </w:rPr>
        <w:t>http://unfccc.int/meetings/paris_nov_2015/meeting/8926.php last accessed 25/04/2016</w:t>
      </w:r>
    </w:p>
    <w:p w14:paraId="26B39A5D" w14:textId="77777777" w:rsidR="00CA36BC" w:rsidRPr="00511857" w:rsidRDefault="00CA36BC"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United Nations; Framework Convention on Climate Change. </w:t>
      </w:r>
      <w:r w:rsidRPr="00511857">
        <w:rPr>
          <w:rFonts w:ascii="Times New Roman" w:hAnsi="Times New Roman" w:cs="Times New Roman"/>
          <w:i/>
          <w:sz w:val="22"/>
          <w:szCs w:val="22"/>
          <w:lang w:val="en-IE"/>
        </w:rPr>
        <w:t>Adoption of the Paris Agreement</w:t>
      </w:r>
      <w:r w:rsidRPr="00511857">
        <w:rPr>
          <w:rFonts w:ascii="Times New Roman" w:hAnsi="Times New Roman" w:cs="Times New Roman"/>
          <w:sz w:val="22"/>
          <w:szCs w:val="22"/>
          <w:lang w:val="en-IE"/>
        </w:rPr>
        <w:t xml:space="preserve"> (2015) Available from http://unfccc.int/resource/docs/2015/cop21/eng/l09.pdf</w:t>
      </w:r>
      <w:r w:rsidR="00EF4DE3" w:rsidRPr="00511857">
        <w:rPr>
          <w:rFonts w:ascii="Times New Roman" w:hAnsi="Times New Roman" w:cs="Times New Roman"/>
          <w:sz w:val="22"/>
          <w:szCs w:val="22"/>
          <w:lang w:val="en-IE"/>
        </w:rPr>
        <w:t xml:space="preserve"> last accessed 14/4</w:t>
      </w:r>
      <w:r w:rsidRPr="00511857">
        <w:rPr>
          <w:rFonts w:ascii="Times New Roman" w:hAnsi="Times New Roman" w:cs="Times New Roman"/>
          <w:sz w:val="22"/>
          <w:szCs w:val="22"/>
          <w:lang w:val="en-IE"/>
        </w:rPr>
        <w:t>/2015</w:t>
      </w:r>
    </w:p>
    <w:p w14:paraId="5335A7C4"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lastRenderedPageBreak/>
        <w:t xml:space="preserve">Waldron, D. and Williams, P.W., </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2002</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Steps towards sustainability monitoring: the case of the resort municipality of Whistler. Sustainable tourism: A global perspective, pp.180-194.</w:t>
      </w:r>
    </w:p>
    <w:p w14:paraId="4C71FD11"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WCED, U., </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1987</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Our common future. World Commission on Environment and Development Oxford University Press.</w:t>
      </w:r>
    </w:p>
    <w:p w14:paraId="4C066079"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Whate V., McCrum G., Blackstock K.L., and Scott A., </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2006</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xml:space="preserve">. The Macaulay Institute: Indicators and Sustainable Tourism: Literature Review, Available from </w:t>
      </w:r>
      <w:r w:rsidR="00EF4DE3" w:rsidRPr="00511857">
        <w:rPr>
          <w:rFonts w:ascii="Times New Roman" w:hAnsi="Times New Roman" w:cs="Times New Roman"/>
          <w:sz w:val="22"/>
          <w:szCs w:val="22"/>
          <w:lang w:val="en-IE"/>
        </w:rPr>
        <w:t>http://www.macaulay.ac.uk/ruralsustainability/LiteratureReview.pdf last accessed 28/04</w:t>
      </w:r>
      <w:r w:rsidRPr="00511857">
        <w:rPr>
          <w:rFonts w:ascii="Times New Roman" w:hAnsi="Times New Roman" w:cs="Times New Roman"/>
          <w:sz w:val="22"/>
          <w:szCs w:val="22"/>
          <w:lang w:val="en-IE"/>
        </w:rPr>
        <w:t>/2016</w:t>
      </w:r>
    </w:p>
    <w:p w14:paraId="2BAFDFFE" w14:textId="77777777" w:rsidR="00737FC4" w:rsidRPr="00511857" w:rsidRDefault="00737FC4" w:rsidP="00511857">
      <w:pPr>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Worden, K., Bullough, W.A. and Haywood, J. eds., </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2003</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Smart technologies. World Scientific.</w:t>
      </w:r>
    </w:p>
    <w:p w14:paraId="1530EB8B" w14:textId="77777777" w:rsidR="00152CD5" w:rsidRDefault="00737FC4" w:rsidP="00152CD5">
      <w:pPr>
        <w:autoSpaceDE w:val="0"/>
        <w:autoSpaceDN w:val="0"/>
        <w:adjustRightInd w:val="0"/>
        <w:spacing w:line="276" w:lineRule="auto"/>
        <w:ind w:left="720" w:hanging="720"/>
        <w:jc w:val="both"/>
        <w:rPr>
          <w:rFonts w:ascii="Times New Roman" w:hAnsi="Times New Roman" w:cs="Times New Roman"/>
          <w:sz w:val="22"/>
          <w:szCs w:val="22"/>
          <w:lang w:val="en-IE"/>
        </w:rPr>
      </w:pPr>
      <w:r w:rsidRPr="00511857">
        <w:rPr>
          <w:rFonts w:ascii="Times New Roman" w:hAnsi="Times New Roman" w:cs="Times New Roman"/>
          <w:sz w:val="22"/>
          <w:szCs w:val="22"/>
          <w:lang w:val="en-IE"/>
        </w:rPr>
        <w:t xml:space="preserve">World Commission on Environment and Development, </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1987</w:t>
      </w:r>
      <w:r w:rsidR="00A300AA" w:rsidRPr="00511857">
        <w:rPr>
          <w:rFonts w:ascii="Times New Roman" w:hAnsi="Times New Roman" w:cs="Times New Roman"/>
          <w:sz w:val="22"/>
          <w:szCs w:val="22"/>
          <w:lang w:val="en-IE"/>
        </w:rPr>
        <w:t>).</w:t>
      </w:r>
      <w:r w:rsidRPr="00511857">
        <w:rPr>
          <w:rFonts w:ascii="Times New Roman" w:hAnsi="Times New Roman" w:cs="Times New Roman"/>
          <w:sz w:val="22"/>
          <w:szCs w:val="22"/>
          <w:lang w:val="en-IE"/>
        </w:rPr>
        <w:t xml:space="preserve"> Our Common Future, available from http://www.un-documents.net/our-commo</w:t>
      </w:r>
      <w:r w:rsidR="00EF4DE3" w:rsidRPr="00511857">
        <w:rPr>
          <w:rFonts w:ascii="Times New Roman" w:hAnsi="Times New Roman" w:cs="Times New Roman"/>
          <w:sz w:val="22"/>
          <w:szCs w:val="22"/>
          <w:lang w:val="en-IE"/>
        </w:rPr>
        <w:t>n-future.pdf last accessed 28/04</w:t>
      </w:r>
      <w:r w:rsidRPr="00511857">
        <w:rPr>
          <w:rFonts w:ascii="Times New Roman" w:hAnsi="Times New Roman" w:cs="Times New Roman"/>
          <w:sz w:val="22"/>
          <w:szCs w:val="22"/>
          <w:lang w:val="en-IE"/>
        </w:rPr>
        <w:t>/2016</w:t>
      </w:r>
    </w:p>
    <w:p w14:paraId="10C8E5ED" w14:textId="77777777" w:rsidR="00152CD5" w:rsidRDefault="00152CD5" w:rsidP="00B53C4D">
      <w:pPr>
        <w:autoSpaceDE w:val="0"/>
        <w:autoSpaceDN w:val="0"/>
        <w:adjustRightInd w:val="0"/>
        <w:spacing w:line="276" w:lineRule="auto"/>
        <w:jc w:val="both"/>
        <w:rPr>
          <w:rFonts w:ascii="Times New Roman" w:hAnsi="Times New Roman" w:cs="Times New Roman"/>
          <w:sz w:val="22"/>
          <w:szCs w:val="22"/>
          <w:lang w:val="en-IE"/>
        </w:rPr>
      </w:pPr>
    </w:p>
    <w:p w14:paraId="062971F1" w14:textId="77777777" w:rsidR="00152CD5" w:rsidRPr="00E22B82" w:rsidRDefault="0048785B" w:rsidP="00B53C4D">
      <w:pPr>
        <w:autoSpaceDE w:val="0"/>
        <w:autoSpaceDN w:val="0"/>
        <w:adjustRightInd w:val="0"/>
        <w:spacing w:line="276" w:lineRule="auto"/>
        <w:jc w:val="both"/>
        <w:rPr>
          <w:rFonts w:ascii="Times New Roman" w:hAnsi="Times New Roman" w:cs="Times New Roman"/>
          <w:sz w:val="22"/>
          <w:szCs w:val="22"/>
          <w:lang w:val="en-IE"/>
        </w:rPr>
      </w:pPr>
      <w:r>
        <w:rPr>
          <w:noProof/>
          <w:lang w:val="en-GB" w:eastAsia="en-GB"/>
        </w:rPr>
        <w:drawing>
          <wp:inline distT="0" distB="0" distL="0" distR="0" wp14:anchorId="7F04F0E8" wp14:editId="7B9AE39F">
            <wp:extent cx="5727700" cy="2759330"/>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951" t="30861" r="55266" b="35750"/>
                    <a:stretch/>
                  </pic:blipFill>
                  <pic:spPr bwMode="auto">
                    <a:xfrm>
                      <a:off x="0" y="0"/>
                      <a:ext cx="5727700" cy="275933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r>
        <w:rPr>
          <w:noProof/>
          <w:lang w:val="en-GB" w:eastAsia="en-GB"/>
        </w:rPr>
        <w:drawing>
          <wp:inline distT="0" distB="0" distL="0" distR="0" wp14:anchorId="001B47F9" wp14:editId="31A4BCA7">
            <wp:extent cx="5727700" cy="322408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951" t="29848" r="55599" b="31703"/>
                    <a:stretch/>
                  </pic:blipFill>
                  <pic:spPr bwMode="auto">
                    <a:xfrm>
                      <a:off x="0" y="0"/>
                      <a:ext cx="5727700" cy="322408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r w:rsidR="00152CD5">
        <w:rPr>
          <w:noProof/>
          <w:lang w:val="en-GB" w:eastAsia="en-GB"/>
        </w:rPr>
        <w:lastRenderedPageBreak/>
        <w:drawing>
          <wp:inline distT="0" distB="0" distL="0" distR="0" wp14:anchorId="17E6180E" wp14:editId="71359A97">
            <wp:extent cx="6175224" cy="442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785" t="28331" r="54102" b="19056"/>
                    <a:stretch/>
                  </pic:blipFill>
                  <pic:spPr bwMode="auto">
                    <a:xfrm>
                      <a:off x="0" y="0"/>
                      <a:ext cx="6191778" cy="444099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r w:rsidR="00152CD5" w:rsidRPr="00152CD5">
        <w:rPr>
          <w:noProof/>
          <w:lang w:val="en-IE" w:eastAsia="en-IE"/>
        </w:rPr>
        <w:t xml:space="preserve"> </w:t>
      </w:r>
    </w:p>
    <w:sectPr w:rsidR="00152CD5" w:rsidRPr="00E22B82" w:rsidSect="00C6587D">
      <w:headerReference w:type="even" r:id="rId12"/>
      <w:headerReference w:type="default" r:id="rId13"/>
      <w:headerReference w:type="first" r:id="rId14"/>
      <w:pgSz w:w="11900" w:h="16840"/>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20377" w14:textId="77777777" w:rsidR="0089482F" w:rsidRDefault="0089482F" w:rsidP="00C06216">
      <w:r>
        <w:separator/>
      </w:r>
    </w:p>
  </w:endnote>
  <w:endnote w:type="continuationSeparator" w:id="0">
    <w:p w14:paraId="15381933" w14:textId="77777777" w:rsidR="0089482F" w:rsidRDefault="0089482F" w:rsidP="00C0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013B8" w14:textId="77777777" w:rsidR="0089482F" w:rsidRDefault="0089482F" w:rsidP="00C06216">
      <w:r>
        <w:separator/>
      </w:r>
    </w:p>
  </w:footnote>
  <w:footnote w:type="continuationSeparator" w:id="0">
    <w:p w14:paraId="5CEE1B8F" w14:textId="77777777" w:rsidR="0089482F" w:rsidRDefault="0089482F" w:rsidP="00C0621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05D8F2" w14:textId="77777777" w:rsidR="00C6587D" w:rsidRDefault="0089482F">
    <w:pPr>
      <w:pStyle w:val="Header"/>
    </w:pPr>
    <w:r>
      <w:rPr>
        <w:noProof/>
      </w:rPr>
      <w:pict w14:anchorId="07983679">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9704" o:spid="_x0000_s2050" type="#_x0000_t136" style="position:absolute;margin-left:0;margin-top:0;width:574.35pt;height:61.5pt;rotation:315;z-index:-251654144;mso-position-horizontal:center;mso-position-horizontal-relative:margin;mso-position-vertical:center;mso-position-vertical-relative:margin" o:allowincell="f" fillcolor="#dbdbdb [1302]" stroked="f">
          <v:fill opacity=".5"/>
          <v:textpath style="font-family:&quot;Calibri&quot;;font-size:1pt" string="IJEPR - manuscript for peer review"/>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B2FE0DB" w14:textId="77777777" w:rsidR="00C6587D" w:rsidRDefault="0089482F">
    <w:pPr>
      <w:pStyle w:val="Header"/>
      <w:jc w:val="right"/>
    </w:pPr>
    <w:r>
      <w:rPr>
        <w:noProof/>
      </w:rPr>
      <w:pict w14:anchorId="756E6E09">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9705" o:spid="_x0000_s2051" type="#_x0000_t136" style="position:absolute;left:0;text-align:left;margin-left:0;margin-top:0;width:574.35pt;height:61.5pt;rotation:315;z-index:-251652096;mso-position-horizontal:center;mso-position-horizontal-relative:margin;mso-position-vertical:center;mso-position-vertical-relative:margin" o:allowincell="f" fillcolor="#dbdbdb [1302]" stroked="f">
          <v:fill opacity=".5"/>
          <v:textpath style="font-family:&quot;Calibri&quot;;font-size:1pt" string="IJEPR - manuscript for peer review"/>
          <w10:wrap anchorx="margin" anchory="margin"/>
        </v:shape>
      </w:pict>
    </w:r>
    <w:sdt>
      <w:sdtPr>
        <w:id w:val="2208547"/>
        <w:docPartObj>
          <w:docPartGallery w:val="Page Numbers (Top of Page)"/>
          <w:docPartUnique/>
        </w:docPartObj>
      </w:sdtPr>
      <w:sdtEndPr/>
      <w:sdtContent>
        <w:r w:rsidR="00152CD5">
          <w:fldChar w:fldCharType="begin"/>
        </w:r>
        <w:r w:rsidR="00152CD5">
          <w:instrText xml:space="preserve"> PAGE   \* MERGEFORMAT </w:instrText>
        </w:r>
        <w:r w:rsidR="00152CD5">
          <w:fldChar w:fldCharType="separate"/>
        </w:r>
        <w:r w:rsidR="00675D3C">
          <w:rPr>
            <w:noProof/>
          </w:rPr>
          <w:t>1</w:t>
        </w:r>
        <w:r w:rsidR="00152CD5">
          <w:rPr>
            <w:noProof/>
          </w:rPr>
          <w:fldChar w:fldCharType="end"/>
        </w:r>
      </w:sdtContent>
    </w:sdt>
  </w:p>
  <w:p w14:paraId="66D20028" w14:textId="77777777" w:rsidR="0007729F" w:rsidRPr="00445B06" w:rsidRDefault="0007729F" w:rsidP="00445B0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501C25D" w14:textId="77777777" w:rsidR="00C6587D" w:rsidRDefault="0089482F">
    <w:pPr>
      <w:pStyle w:val="Header"/>
    </w:pPr>
    <w:r>
      <w:rPr>
        <w:noProof/>
      </w:rPr>
      <w:pict w14:anchorId="2880444F">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59703" o:spid="_x0000_s2049" type="#_x0000_t136" style="position:absolute;margin-left:0;margin-top:0;width:574.35pt;height:61.5pt;rotation:315;z-index:-251656192;mso-position-horizontal:center;mso-position-horizontal-relative:margin;mso-position-vertical:center;mso-position-vertical-relative:margin" o:allowincell="f" fillcolor="#dbdbdb [1302]" stroked="f">
          <v:fill opacity=".5"/>
          <v:textpath style="font-family:&quot;Calibri&quot;;font-size:1pt" string="IJEPR - manuscript for peer review"/>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44AE8"/>
    <w:multiLevelType w:val="hybridMultilevel"/>
    <w:tmpl w:val="EEEA3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4E5BB7"/>
    <w:multiLevelType w:val="hybridMultilevel"/>
    <w:tmpl w:val="A76C5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01E07"/>
    <w:multiLevelType w:val="hybridMultilevel"/>
    <w:tmpl w:val="79E2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04CC5"/>
    <w:multiLevelType w:val="hybridMultilevel"/>
    <w:tmpl w:val="E7624E04"/>
    <w:lvl w:ilvl="0" w:tplc="FAC85D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0C7DDD"/>
    <w:multiLevelType w:val="hybridMultilevel"/>
    <w:tmpl w:val="C2CE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00DBB"/>
    <w:multiLevelType w:val="hybridMultilevel"/>
    <w:tmpl w:val="F9340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68BE"/>
    <w:multiLevelType w:val="hybridMultilevel"/>
    <w:tmpl w:val="102483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684AC6"/>
    <w:multiLevelType w:val="hybridMultilevel"/>
    <w:tmpl w:val="A622D038"/>
    <w:lvl w:ilvl="0" w:tplc="04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nsid w:val="1A4A3969"/>
    <w:multiLevelType w:val="hybridMultilevel"/>
    <w:tmpl w:val="66786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ED09D9"/>
    <w:multiLevelType w:val="multilevel"/>
    <w:tmpl w:val="19E6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4C4005"/>
    <w:multiLevelType w:val="hybridMultilevel"/>
    <w:tmpl w:val="66202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306B8A"/>
    <w:multiLevelType w:val="hybridMultilevel"/>
    <w:tmpl w:val="9112C7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2DA3542"/>
    <w:multiLevelType w:val="hybridMultilevel"/>
    <w:tmpl w:val="EB54A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99688D"/>
    <w:multiLevelType w:val="hybridMultilevel"/>
    <w:tmpl w:val="6B10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0D1C62"/>
    <w:multiLevelType w:val="hybridMultilevel"/>
    <w:tmpl w:val="0EB21AB0"/>
    <w:lvl w:ilvl="0" w:tplc="18090013">
      <w:start w:val="1"/>
      <w:numFmt w:val="upperRoman"/>
      <w:lvlText w:val="%1."/>
      <w:lvlJc w:val="righ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273C6433"/>
    <w:multiLevelType w:val="hybridMultilevel"/>
    <w:tmpl w:val="766695C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2F0E7727"/>
    <w:multiLevelType w:val="multilevel"/>
    <w:tmpl w:val="EBB4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A83E29"/>
    <w:multiLevelType w:val="hybridMultilevel"/>
    <w:tmpl w:val="CFE4EB7C"/>
    <w:lvl w:ilvl="0" w:tplc="18090013">
      <w:start w:val="1"/>
      <w:numFmt w:val="upperRoman"/>
      <w:lvlText w:val="%1."/>
      <w:lvlJc w:val="righ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33A61B8E"/>
    <w:multiLevelType w:val="hybridMultilevel"/>
    <w:tmpl w:val="7690DC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305DF7"/>
    <w:multiLevelType w:val="hybridMultilevel"/>
    <w:tmpl w:val="16D2F6FA"/>
    <w:lvl w:ilvl="0" w:tplc="1809000F">
      <w:start w:val="1"/>
      <w:numFmt w:val="decimal"/>
      <w:lvlText w:val="%1."/>
      <w:lvlJc w:val="left"/>
      <w:pPr>
        <w:ind w:left="360" w:hanging="360"/>
      </w:pPr>
      <w:rPr>
        <w:rFont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nsid w:val="3C8F7136"/>
    <w:multiLevelType w:val="hybridMultilevel"/>
    <w:tmpl w:val="E8A0E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5104D8"/>
    <w:multiLevelType w:val="hybridMultilevel"/>
    <w:tmpl w:val="1750C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nsid w:val="3FCD60B1"/>
    <w:multiLevelType w:val="hybridMultilevel"/>
    <w:tmpl w:val="51F803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1F808FE"/>
    <w:multiLevelType w:val="hybridMultilevel"/>
    <w:tmpl w:val="3C46B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3E5D13"/>
    <w:multiLevelType w:val="hybridMultilevel"/>
    <w:tmpl w:val="F2B6BBB2"/>
    <w:lvl w:ilvl="0" w:tplc="04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5">
    <w:nsid w:val="447D318C"/>
    <w:multiLevelType w:val="multilevel"/>
    <w:tmpl w:val="1948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64410E"/>
    <w:multiLevelType w:val="hybridMultilevel"/>
    <w:tmpl w:val="D4D201AC"/>
    <w:lvl w:ilvl="0" w:tplc="04090001">
      <w:start w:val="1"/>
      <w:numFmt w:val="bullet"/>
      <w:lvlText w:val=""/>
      <w:lvlJc w:val="left"/>
      <w:pPr>
        <w:ind w:left="720" w:hanging="360"/>
      </w:pPr>
      <w:rPr>
        <w:rFonts w:ascii="Symbol" w:hAnsi="Symbol" w:hint="default"/>
      </w:rPr>
    </w:lvl>
    <w:lvl w:ilvl="1" w:tplc="7ACC8106">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4F5FA7"/>
    <w:multiLevelType w:val="hybridMultilevel"/>
    <w:tmpl w:val="FF0AB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930D5B"/>
    <w:multiLevelType w:val="multilevel"/>
    <w:tmpl w:val="0602B9C0"/>
    <w:lvl w:ilvl="0">
      <w:start w:val="1"/>
      <w:numFmt w:val="decimal"/>
      <w:lvlText w:val="%1.0"/>
      <w:lvlJc w:val="left"/>
      <w:pPr>
        <w:ind w:left="63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E531D7F"/>
    <w:multiLevelType w:val="hybridMultilevel"/>
    <w:tmpl w:val="7F28AE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2182775"/>
    <w:multiLevelType w:val="hybridMultilevel"/>
    <w:tmpl w:val="DA94151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nsid w:val="53C20257"/>
    <w:multiLevelType w:val="hybridMultilevel"/>
    <w:tmpl w:val="01A44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D5379F"/>
    <w:multiLevelType w:val="hybridMultilevel"/>
    <w:tmpl w:val="3CE0C900"/>
    <w:lvl w:ilvl="0" w:tplc="0409000F">
      <w:start w:val="1"/>
      <w:numFmt w:val="decimal"/>
      <w:lvlText w:val="%1."/>
      <w:lvlJc w:val="left"/>
      <w:pPr>
        <w:ind w:left="720" w:hanging="360"/>
      </w:pPr>
      <w:rPr>
        <w:rFonts w:hint="default"/>
      </w:rPr>
    </w:lvl>
    <w:lvl w:ilvl="1" w:tplc="7ACC8106">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633E79"/>
    <w:multiLevelType w:val="hybridMultilevel"/>
    <w:tmpl w:val="D59C6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7744E2"/>
    <w:multiLevelType w:val="hybridMultilevel"/>
    <w:tmpl w:val="C1D6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440DCF"/>
    <w:multiLevelType w:val="hybridMultilevel"/>
    <w:tmpl w:val="CBB0C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9A7C76"/>
    <w:multiLevelType w:val="hybridMultilevel"/>
    <w:tmpl w:val="22B00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0674AE"/>
    <w:multiLevelType w:val="hybridMultilevel"/>
    <w:tmpl w:val="2AB610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444FD8"/>
    <w:multiLevelType w:val="hybridMultilevel"/>
    <w:tmpl w:val="8A10EE2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9">
    <w:nsid w:val="5F4A652E"/>
    <w:multiLevelType w:val="hybridMultilevel"/>
    <w:tmpl w:val="DB12CDB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nsid w:val="63CD006C"/>
    <w:multiLevelType w:val="hybridMultilevel"/>
    <w:tmpl w:val="8154D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406760C"/>
    <w:multiLevelType w:val="hybridMultilevel"/>
    <w:tmpl w:val="E87C59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AF75EAE"/>
    <w:multiLevelType w:val="hybridMultilevel"/>
    <w:tmpl w:val="20D0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96779E"/>
    <w:multiLevelType w:val="multilevel"/>
    <w:tmpl w:val="0602B9C0"/>
    <w:lvl w:ilvl="0">
      <w:start w:val="1"/>
      <w:numFmt w:val="decimal"/>
      <w:lvlText w:val="%1.0"/>
      <w:lvlJc w:val="left"/>
      <w:pPr>
        <w:ind w:left="63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6CCC2B17"/>
    <w:multiLevelType w:val="hybridMultilevel"/>
    <w:tmpl w:val="AAC00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D745013"/>
    <w:multiLevelType w:val="hybridMultilevel"/>
    <w:tmpl w:val="6D4EEB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nsid w:val="75384738"/>
    <w:multiLevelType w:val="hybridMultilevel"/>
    <w:tmpl w:val="EB247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273D2C"/>
    <w:multiLevelType w:val="hybridMultilevel"/>
    <w:tmpl w:val="DFC4E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FA076D"/>
    <w:multiLevelType w:val="hybridMultilevel"/>
    <w:tmpl w:val="2AA6A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37"/>
  </w:num>
  <w:num w:numId="4">
    <w:abstractNumId w:val="34"/>
  </w:num>
  <w:num w:numId="5">
    <w:abstractNumId w:val="8"/>
  </w:num>
  <w:num w:numId="6">
    <w:abstractNumId w:val="15"/>
  </w:num>
  <w:num w:numId="7">
    <w:abstractNumId w:val="30"/>
  </w:num>
  <w:num w:numId="8">
    <w:abstractNumId w:val="47"/>
  </w:num>
  <w:num w:numId="9">
    <w:abstractNumId w:val="46"/>
  </w:num>
  <w:num w:numId="10">
    <w:abstractNumId w:val="39"/>
  </w:num>
  <w:num w:numId="11">
    <w:abstractNumId w:val="3"/>
  </w:num>
  <w:num w:numId="12">
    <w:abstractNumId w:val="26"/>
  </w:num>
  <w:num w:numId="13">
    <w:abstractNumId w:val="28"/>
  </w:num>
  <w:num w:numId="14">
    <w:abstractNumId w:val="0"/>
  </w:num>
  <w:num w:numId="15">
    <w:abstractNumId w:val="44"/>
  </w:num>
  <w:num w:numId="16">
    <w:abstractNumId w:val="42"/>
  </w:num>
  <w:num w:numId="17">
    <w:abstractNumId w:val="2"/>
  </w:num>
  <w:num w:numId="18">
    <w:abstractNumId w:val="48"/>
  </w:num>
  <w:num w:numId="19">
    <w:abstractNumId w:val="5"/>
  </w:num>
  <w:num w:numId="20">
    <w:abstractNumId w:val="4"/>
  </w:num>
  <w:num w:numId="21">
    <w:abstractNumId w:val="31"/>
  </w:num>
  <w:num w:numId="22">
    <w:abstractNumId w:val="6"/>
  </w:num>
  <w:num w:numId="23">
    <w:abstractNumId w:val="18"/>
  </w:num>
  <w:num w:numId="24">
    <w:abstractNumId w:val="35"/>
  </w:num>
  <w:num w:numId="25">
    <w:abstractNumId w:val="1"/>
  </w:num>
  <w:num w:numId="26">
    <w:abstractNumId w:val="10"/>
  </w:num>
  <w:num w:numId="27">
    <w:abstractNumId w:val="41"/>
  </w:num>
  <w:num w:numId="28">
    <w:abstractNumId w:val="33"/>
  </w:num>
  <w:num w:numId="29">
    <w:abstractNumId w:val="36"/>
  </w:num>
  <w:num w:numId="30">
    <w:abstractNumId w:val="11"/>
  </w:num>
  <w:num w:numId="31">
    <w:abstractNumId w:val="12"/>
  </w:num>
  <w:num w:numId="32">
    <w:abstractNumId w:val="32"/>
  </w:num>
  <w:num w:numId="33">
    <w:abstractNumId w:val="22"/>
  </w:num>
  <w:num w:numId="34">
    <w:abstractNumId w:val="19"/>
  </w:num>
  <w:num w:numId="35">
    <w:abstractNumId w:val="13"/>
  </w:num>
  <w:num w:numId="36">
    <w:abstractNumId w:val="20"/>
  </w:num>
  <w:num w:numId="37">
    <w:abstractNumId w:val="45"/>
  </w:num>
  <w:num w:numId="38">
    <w:abstractNumId w:val="17"/>
  </w:num>
  <w:num w:numId="39">
    <w:abstractNumId w:val="14"/>
  </w:num>
  <w:num w:numId="40">
    <w:abstractNumId w:val="43"/>
  </w:num>
  <w:num w:numId="41">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42">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3">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21"/>
  </w:num>
  <w:num w:numId="45">
    <w:abstractNumId w:val="40"/>
  </w:num>
  <w:num w:numId="46">
    <w:abstractNumId w:val="7"/>
  </w:num>
  <w:num w:numId="47">
    <w:abstractNumId w:val="24"/>
  </w:num>
  <w:num w:numId="48">
    <w:abstractNumId w:val="29"/>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5C"/>
    <w:rsid w:val="00014E13"/>
    <w:rsid w:val="00046954"/>
    <w:rsid w:val="00047BC9"/>
    <w:rsid w:val="0007729F"/>
    <w:rsid w:val="0009544E"/>
    <w:rsid w:val="000B6BE2"/>
    <w:rsid w:val="000D2DF4"/>
    <w:rsid w:val="000F0464"/>
    <w:rsid w:val="000F295D"/>
    <w:rsid w:val="0011598C"/>
    <w:rsid w:val="00152CD5"/>
    <w:rsid w:val="001730F8"/>
    <w:rsid w:val="0018511B"/>
    <w:rsid w:val="001948E9"/>
    <w:rsid w:val="001B23EE"/>
    <w:rsid w:val="001B58CA"/>
    <w:rsid w:val="001F338B"/>
    <w:rsid w:val="001F67BA"/>
    <w:rsid w:val="002111A6"/>
    <w:rsid w:val="002178E0"/>
    <w:rsid w:val="002212D5"/>
    <w:rsid w:val="00225EB8"/>
    <w:rsid w:val="0023076E"/>
    <w:rsid w:val="0024206E"/>
    <w:rsid w:val="00245D3A"/>
    <w:rsid w:val="00265A6A"/>
    <w:rsid w:val="00284E51"/>
    <w:rsid w:val="00294B3B"/>
    <w:rsid w:val="002C6DE5"/>
    <w:rsid w:val="002F14EE"/>
    <w:rsid w:val="003066D7"/>
    <w:rsid w:val="00307D57"/>
    <w:rsid w:val="00307FE6"/>
    <w:rsid w:val="00317C54"/>
    <w:rsid w:val="00332118"/>
    <w:rsid w:val="0035582F"/>
    <w:rsid w:val="003617F3"/>
    <w:rsid w:val="003625E8"/>
    <w:rsid w:val="003701C1"/>
    <w:rsid w:val="00371776"/>
    <w:rsid w:val="00377184"/>
    <w:rsid w:val="003C7878"/>
    <w:rsid w:val="003D2977"/>
    <w:rsid w:val="003D5E27"/>
    <w:rsid w:val="003E544A"/>
    <w:rsid w:val="003F68EF"/>
    <w:rsid w:val="00400253"/>
    <w:rsid w:val="0040745D"/>
    <w:rsid w:val="004215A3"/>
    <w:rsid w:val="00427D46"/>
    <w:rsid w:val="00445B06"/>
    <w:rsid w:val="00467958"/>
    <w:rsid w:val="0048785B"/>
    <w:rsid w:val="004E58A7"/>
    <w:rsid w:val="004F3985"/>
    <w:rsid w:val="00511857"/>
    <w:rsid w:val="00517FEE"/>
    <w:rsid w:val="005205DE"/>
    <w:rsid w:val="00522666"/>
    <w:rsid w:val="00535BDE"/>
    <w:rsid w:val="005417CB"/>
    <w:rsid w:val="00565F07"/>
    <w:rsid w:val="00571182"/>
    <w:rsid w:val="005B7709"/>
    <w:rsid w:val="005E7CC5"/>
    <w:rsid w:val="006311B2"/>
    <w:rsid w:val="00641091"/>
    <w:rsid w:val="00641097"/>
    <w:rsid w:val="00645FC0"/>
    <w:rsid w:val="00651480"/>
    <w:rsid w:val="0065264A"/>
    <w:rsid w:val="00671E74"/>
    <w:rsid w:val="0067575C"/>
    <w:rsid w:val="00675D3C"/>
    <w:rsid w:val="00690DFC"/>
    <w:rsid w:val="006A10B4"/>
    <w:rsid w:val="006A5C0E"/>
    <w:rsid w:val="006A6096"/>
    <w:rsid w:val="006D0978"/>
    <w:rsid w:val="006D3C38"/>
    <w:rsid w:val="006F06EB"/>
    <w:rsid w:val="00714F58"/>
    <w:rsid w:val="00722B6C"/>
    <w:rsid w:val="00737FC4"/>
    <w:rsid w:val="00743195"/>
    <w:rsid w:val="007434F0"/>
    <w:rsid w:val="007478EF"/>
    <w:rsid w:val="007923BE"/>
    <w:rsid w:val="007967C0"/>
    <w:rsid w:val="00797C9C"/>
    <w:rsid w:val="007A6FFA"/>
    <w:rsid w:val="007B3FFA"/>
    <w:rsid w:val="007B66AD"/>
    <w:rsid w:val="007C2B0A"/>
    <w:rsid w:val="007C546D"/>
    <w:rsid w:val="007C6230"/>
    <w:rsid w:val="007C6425"/>
    <w:rsid w:val="007D2D1E"/>
    <w:rsid w:val="007D5A77"/>
    <w:rsid w:val="007D7900"/>
    <w:rsid w:val="007E7C29"/>
    <w:rsid w:val="008414B7"/>
    <w:rsid w:val="008534E2"/>
    <w:rsid w:val="0088156F"/>
    <w:rsid w:val="00882EAF"/>
    <w:rsid w:val="00884A62"/>
    <w:rsid w:val="0089482F"/>
    <w:rsid w:val="008B16FB"/>
    <w:rsid w:val="008B17BF"/>
    <w:rsid w:val="008F7AE5"/>
    <w:rsid w:val="00901255"/>
    <w:rsid w:val="009044F8"/>
    <w:rsid w:val="00904502"/>
    <w:rsid w:val="00910DE5"/>
    <w:rsid w:val="0094405D"/>
    <w:rsid w:val="00951A67"/>
    <w:rsid w:val="009536DE"/>
    <w:rsid w:val="00973E65"/>
    <w:rsid w:val="009753B4"/>
    <w:rsid w:val="00997CCE"/>
    <w:rsid w:val="009A57BA"/>
    <w:rsid w:val="009C42CE"/>
    <w:rsid w:val="009C5ADE"/>
    <w:rsid w:val="009D1EDD"/>
    <w:rsid w:val="009D4166"/>
    <w:rsid w:val="009E3353"/>
    <w:rsid w:val="00A20EC8"/>
    <w:rsid w:val="00A21E99"/>
    <w:rsid w:val="00A23FE4"/>
    <w:rsid w:val="00A300AA"/>
    <w:rsid w:val="00A43D44"/>
    <w:rsid w:val="00A71586"/>
    <w:rsid w:val="00A71FD1"/>
    <w:rsid w:val="00A82B5C"/>
    <w:rsid w:val="00AA05B6"/>
    <w:rsid w:val="00AB6F7B"/>
    <w:rsid w:val="00AC4930"/>
    <w:rsid w:val="00AD27BB"/>
    <w:rsid w:val="00AD46D6"/>
    <w:rsid w:val="00AD59A7"/>
    <w:rsid w:val="00AE29E6"/>
    <w:rsid w:val="00AE2F48"/>
    <w:rsid w:val="00AF0DC3"/>
    <w:rsid w:val="00AF2FA8"/>
    <w:rsid w:val="00AF71A9"/>
    <w:rsid w:val="00B207DF"/>
    <w:rsid w:val="00B53C4D"/>
    <w:rsid w:val="00B71EA6"/>
    <w:rsid w:val="00B83D5C"/>
    <w:rsid w:val="00B96535"/>
    <w:rsid w:val="00BA430B"/>
    <w:rsid w:val="00BA5BAF"/>
    <w:rsid w:val="00BC690E"/>
    <w:rsid w:val="00BD1F8D"/>
    <w:rsid w:val="00BD4E0F"/>
    <w:rsid w:val="00BE6C99"/>
    <w:rsid w:val="00BF0923"/>
    <w:rsid w:val="00C03232"/>
    <w:rsid w:val="00C06216"/>
    <w:rsid w:val="00C07634"/>
    <w:rsid w:val="00C13BEE"/>
    <w:rsid w:val="00C14C8A"/>
    <w:rsid w:val="00C3186E"/>
    <w:rsid w:val="00C3454A"/>
    <w:rsid w:val="00C41E7E"/>
    <w:rsid w:val="00C50A09"/>
    <w:rsid w:val="00C6587D"/>
    <w:rsid w:val="00C77517"/>
    <w:rsid w:val="00C93704"/>
    <w:rsid w:val="00CA36BC"/>
    <w:rsid w:val="00CA4391"/>
    <w:rsid w:val="00CC10FE"/>
    <w:rsid w:val="00D178E2"/>
    <w:rsid w:val="00D96BCC"/>
    <w:rsid w:val="00DA66AC"/>
    <w:rsid w:val="00DA68B0"/>
    <w:rsid w:val="00DB1EA7"/>
    <w:rsid w:val="00DB4ABB"/>
    <w:rsid w:val="00DD3116"/>
    <w:rsid w:val="00DF1587"/>
    <w:rsid w:val="00DF2472"/>
    <w:rsid w:val="00DF3DD4"/>
    <w:rsid w:val="00E10E42"/>
    <w:rsid w:val="00E14409"/>
    <w:rsid w:val="00E22B82"/>
    <w:rsid w:val="00E30029"/>
    <w:rsid w:val="00E709EC"/>
    <w:rsid w:val="00E83867"/>
    <w:rsid w:val="00EA2374"/>
    <w:rsid w:val="00ED0EBF"/>
    <w:rsid w:val="00EE0D8F"/>
    <w:rsid w:val="00EE702D"/>
    <w:rsid w:val="00EF3CB5"/>
    <w:rsid w:val="00EF4DE3"/>
    <w:rsid w:val="00F35826"/>
    <w:rsid w:val="00F46DE3"/>
    <w:rsid w:val="00F706D1"/>
    <w:rsid w:val="00F71519"/>
    <w:rsid w:val="00F855B5"/>
    <w:rsid w:val="00F87B5A"/>
    <w:rsid w:val="00FB5732"/>
    <w:rsid w:val="00FB5EA1"/>
    <w:rsid w:val="00FC74E9"/>
    <w:rsid w:val="00FE6350"/>
    <w:rsid w:val="00FE74CC"/>
  </w:rsids>
  <m:mathPr>
    <m:mathFont m:val="Cambria Math"/>
    <m:brkBin m:val="before"/>
    <m:brkBinSub m:val="--"/>
    <m:smallFrac/>
    <m:dispDef/>
    <m:lMargin m:val="0"/>
    <m:rMargin m:val="0"/>
    <m:defJc m:val="centerGroup"/>
    <m:wrapIndent m:val="1440"/>
    <m:intLim m:val="subSup"/>
    <m:naryLim m:val="undOvr"/>
  </m:mathPr>
  <w:themeFontLang w:val="en-IE"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690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111A6"/>
  </w:style>
  <w:style w:type="paragraph" w:styleId="Heading1">
    <w:name w:val="heading 1"/>
    <w:basedOn w:val="Normal"/>
    <w:next w:val="Normal"/>
    <w:link w:val="Heading1Char"/>
    <w:uiPriority w:val="9"/>
    <w:qFormat/>
    <w:rsid w:val="0067575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237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A23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EA2374"/>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A2374"/>
    <w:pPr>
      <w:keepNext/>
      <w:keepLines/>
      <w:spacing w:before="200" w:line="276" w:lineRule="auto"/>
      <w:outlineLvl w:val="4"/>
    </w:pPr>
    <w:rPr>
      <w:rFonts w:asciiTheme="majorHAnsi" w:eastAsiaTheme="majorEastAsia" w:hAnsiTheme="majorHAnsi" w:cstheme="majorBidi"/>
      <w:color w:val="1F4D78" w:themeColor="accent1" w:themeShade="7F"/>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75C"/>
    <w:pPr>
      <w:ind w:left="720"/>
      <w:contextualSpacing/>
    </w:pPr>
  </w:style>
  <w:style w:type="character" w:customStyle="1" w:styleId="Heading1Char">
    <w:name w:val="Heading 1 Char"/>
    <w:basedOn w:val="DefaultParagraphFont"/>
    <w:link w:val="Heading1"/>
    <w:uiPriority w:val="9"/>
    <w:rsid w:val="0067575C"/>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67575C"/>
  </w:style>
  <w:style w:type="paragraph" w:styleId="Header">
    <w:name w:val="header"/>
    <w:basedOn w:val="Normal"/>
    <w:link w:val="HeaderChar"/>
    <w:uiPriority w:val="99"/>
    <w:unhideWhenUsed/>
    <w:rsid w:val="00C06216"/>
    <w:pPr>
      <w:tabs>
        <w:tab w:val="center" w:pos="4513"/>
        <w:tab w:val="right" w:pos="9026"/>
      </w:tabs>
    </w:pPr>
  </w:style>
  <w:style w:type="character" w:customStyle="1" w:styleId="HeaderChar">
    <w:name w:val="Header Char"/>
    <w:basedOn w:val="DefaultParagraphFont"/>
    <w:link w:val="Header"/>
    <w:uiPriority w:val="99"/>
    <w:rsid w:val="00C06216"/>
  </w:style>
  <w:style w:type="paragraph" w:styleId="Footer">
    <w:name w:val="footer"/>
    <w:basedOn w:val="Normal"/>
    <w:link w:val="FooterChar"/>
    <w:uiPriority w:val="99"/>
    <w:unhideWhenUsed/>
    <w:rsid w:val="00C06216"/>
    <w:pPr>
      <w:tabs>
        <w:tab w:val="center" w:pos="4513"/>
        <w:tab w:val="right" w:pos="9026"/>
      </w:tabs>
    </w:pPr>
  </w:style>
  <w:style w:type="character" w:customStyle="1" w:styleId="FooterChar">
    <w:name w:val="Footer Char"/>
    <w:basedOn w:val="DefaultParagraphFont"/>
    <w:link w:val="Footer"/>
    <w:uiPriority w:val="99"/>
    <w:rsid w:val="00C06216"/>
  </w:style>
  <w:style w:type="character" w:styleId="CommentReference">
    <w:name w:val="annotation reference"/>
    <w:basedOn w:val="DefaultParagraphFont"/>
    <w:uiPriority w:val="99"/>
    <w:semiHidden/>
    <w:unhideWhenUsed/>
    <w:rsid w:val="002178E0"/>
    <w:rPr>
      <w:sz w:val="16"/>
      <w:szCs w:val="16"/>
    </w:rPr>
  </w:style>
  <w:style w:type="paragraph" w:styleId="CommentText">
    <w:name w:val="annotation text"/>
    <w:basedOn w:val="Normal"/>
    <w:link w:val="CommentTextChar"/>
    <w:uiPriority w:val="99"/>
    <w:semiHidden/>
    <w:unhideWhenUsed/>
    <w:rsid w:val="002178E0"/>
    <w:rPr>
      <w:sz w:val="20"/>
      <w:szCs w:val="20"/>
    </w:rPr>
  </w:style>
  <w:style w:type="character" w:customStyle="1" w:styleId="CommentTextChar">
    <w:name w:val="Comment Text Char"/>
    <w:basedOn w:val="DefaultParagraphFont"/>
    <w:link w:val="CommentText"/>
    <w:uiPriority w:val="99"/>
    <w:semiHidden/>
    <w:rsid w:val="002178E0"/>
    <w:rPr>
      <w:sz w:val="20"/>
      <w:szCs w:val="20"/>
    </w:rPr>
  </w:style>
  <w:style w:type="paragraph" w:styleId="CommentSubject">
    <w:name w:val="annotation subject"/>
    <w:basedOn w:val="CommentText"/>
    <w:next w:val="CommentText"/>
    <w:link w:val="CommentSubjectChar"/>
    <w:uiPriority w:val="99"/>
    <w:semiHidden/>
    <w:unhideWhenUsed/>
    <w:rsid w:val="002178E0"/>
    <w:rPr>
      <w:b/>
      <w:bCs/>
    </w:rPr>
  </w:style>
  <w:style w:type="character" w:customStyle="1" w:styleId="CommentSubjectChar">
    <w:name w:val="Comment Subject Char"/>
    <w:basedOn w:val="CommentTextChar"/>
    <w:link w:val="CommentSubject"/>
    <w:uiPriority w:val="99"/>
    <w:semiHidden/>
    <w:rsid w:val="002178E0"/>
    <w:rPr>
      <w:b/>
      <w:bCs/>
      <w:sz w:val="20"/>
      <w:szCs w:val="20"/>
    </w:rPr>
  </w:style>
  <w:style w:type="paragraph" w:styleId="Revision">
    <w:name w:val="Revision"/>
    <w:hidden/>
    <w:uiPriority w:val="99"/>
    <w:semiHidden/>
    <w:rsid w:val="002178E0"/>
  </w:style>
  <w:style w:type="paragraph" w:styleId="BalloonText">
    <w:name w:val="Balloon Text"/>
    <w:basedOn w:val="Normal"/>
    <w:link w:val="BalloonTextChar"/>
    <w:uiPriority w:val="99"/>
    <w:semiHidden/>
    <w:unhideWhenUsed/>
    <w:rsid w:val="002178E0"/>
    <w:rPr>
      <w:rFonts w:ascii="Tahoma" w:hAnsi="Tahoma" w:cs="Tahoma"/>
      <w:sz w:val="16"/>
      <w:szCs w:val="16"/>
    </w:rPr>
  </w:style>
  <w:style w:type="character" w:customStyle="1" w:styleId="BalloonTextChar">
    <w:name w:val="Balloon Text Char"/>
    <w:basedOn w:val="DefaultParagraphFont"/>
    <w:link w:val="BalloonText"/>
    <w:uiPriority w:val="99"/>
    <w:semiHidden/>
    <w:rsid w:val="002178E0"/>
    <w:rPr>
      <w:rFonts w:ascii="Tahoma" w:hAnsi="Tahoma" w:cs="Tahoma"/>
      <w:sz w:val="16"/>
      <w:szCs w:val="16"/>
    </w:rPr>
  </w:style>
  <w:style w:type="character" w:styleId="Hyperlink">
    <w:name w:val="Hyperlink"/>
    <w:basedOn w:val="DefaultParagraphFont"/>
    <w:uiPriority w:val="99"/>
    <w:unhideWhenUsed/>
    <w:rsid w:val="00377184"/>
    <w:rPr>
      <w:color w:val="0563C1" w:themeColor="hyperlink"/>
      <w:u w:val="single"/>
    </w:rPr>
  </w:style>
  <w:style w:type="paragraph" w:styleId="FootnoteText">
    <w:name w:val="footnote text"/>
    <w:basedOn w:val="Normal"/>
    <w:link w:val="FootnoteTextChar"/>
    <w:uiPriority w:val="99"/>
    <w:unhideWhenUsed/>
    <w:rsid w:val="00FE6350"/>
    <w:rPr>
      <w:sz w:val="20"/>
      <w:szCs w:val="20"/>
    </w:rPr>
  </w:style>
  <w:style w:type="character" w:customStyle="1" w:styleId="FootnoteTextChar">
    <w:name w:val="Footnote Text Char"/>
    <w:basedOn w:val="DefaultParagraphFont"/>
    <w:link w:val="FootnoteText"/>
    <w:uiPriority w:val="99"/>
    <w:rsid w:val="00FE6350"/>
    <w:rPr>
      <w:sz w:val="20"/>
      <w:szCs w:val="20"/>
    </w:rPr>
  </w:style>
  <w:style w:type="character" w:styleId="FootnoteReference">
    <w:name w:val="footnote reference"/>
    <w:basedOn w:val="DefaultParagraphFont"/>
    <w:uiPriority w:val="99"/>
    <w:unhideWhenUsed/>
    <w:rsid w:val="00FE6350"/>
    <w:rPr>
      <w:vertAlign w:val="superscript"/>
    </w:rPr>
  </w:style>
  <w:style w:type="character" w:styleId="FollowedHyperlink">
    <w:name w:val="FollowedHyperlink"/>
    <w:basedOn w:val="DefaultParagraphFont"/>
    <w:uiPriority w:val="99"/>
    <w:semiHidden/>
    <w:unhideWhenUsed/>
    <w:rsid w:val="00722B6C"/>
    <w:rPr>
      <w:color w:val="954F72" w:themeColor="followedHyperlink"/>
      <w:u w:val="single"/>
    </w:rPr>
  </w:style>
  <w:style w:type="character" w:customStyle="1" w:styleId="selectable">
    <w:name w:val="selectable"/>
    <w:basedOn w:val="DefaultParagraphFont"/>
    <w:rsid w:val="001B23EE"/>
  </w:style>
  <w:style w:type="character" w:customStyle="1" w:styleId="Heading3Char">
    <w:name w:val="Heading 3 Char"/>
    <w:basedOn w:val="DefaultParagraphFont"/>
    <w:link w:val="Heading3"/>
    <w:uiPriority w:val="9"/>
    <w:rsid w:val="00EA2374"/>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EA2374"/>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rsid w:val="00EA2374"/>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rsid w:val="00EA2374"/>
    <w:rPr>
      <w:rFonts w:asciiTheme="majorHAnsi" w:eastAsiaTheme="majorEastAsia" w:hAnsiTheme="majorHAnsi" w:cstheme="majorBidi"/>
      <w:color w:val="1F4D78" w:themeColor="accent1" w:themeShade="7F"/>
      <w:sz w:val="22"/>
      <w:szCs w:val="22"/>
      <w:lang w:val="en-GB"/>
    </w:rPr>
  </w:style>
  <w:style w:type="table" w:styleId="TableGrid">
    <w:name w:val="Table Grid"/>
    <w:basedOn w:val="TableNormal"/>
    <w:uiPriority w:val="59"/>
    <w:rsid w:val="00EA2374"/>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qFormat/>
    <w:rsid w:val="00EA2374"/>
    <w:pPr>
      <w:spacing w:after="100" w:line="276" w:lineRule="auto"/>
    </w:pPr>
    <w:rPr>
      <w:sz w:val="22"/>
      <w:szCs w:val="22"/>
      <w:lang w:val="en-GB"/>
    </w:rPr>
  </w:style>
  <w:style w:type="paragraph" w:styleId="TOC2">
    <w:name w:val="toc 2"/>
    <w:basedOn w:val="Normal"/>
    <w:next w:val="Normal"/>
    <w:autoRedefine/>
    <w:uiPriority w:val="39"/>
    <w:unhideWhenUsed/>
    <w:qFormat/>
    <w:rsid w:val="00EA2374"/>
    <w:pPr>
      <w:spacing w:after="100" w:line="276" w:lineRule="auto"/>
      <w:ind w:left="220"/>
    </w:pPr>
    <w:rPr>
      <w:rFonts w:eastAsiaTheme="minorEastAsia"/>
      <w:sz w:val="22"/>
      <w:szCs w:val="22"/>
      <w:lang w:eastAsia="ja-JP"/>
    </w:rPr>
  </w:style>
  <w:style w:type="paragraph" w:styleId="TOC3">
    <w:name w:val="toc 3"/>
    <w:basedOn w:val="Normal"/>
    <w:next w:val="Normal"/>
    <w:autoRedefine/>
    <w:uiPriority w:val="39"/>
    <w:unhideWhenUsed/>
    <w:qFormat/>
    <w:rsid w:val="00EA2374"/>
    <w:pPr>
      <w:spacing w:after="100" w:line="276" w:lineRule="auto"/>
      <w:ind w:left="440"/>
    </w:pPr>
    <w:rPr>
      <w:rFonts w:eastAsiaTheme="minorEastAsia"/>
      <w:sz w:val="22"/>
      <w:szCs w:val="22"/>
      <w:lang w:eastAsia="ja-JP"/>
    </w:rPr>
  </w:style>
  <w:style w:type="paragraph" w:styleId="TOC4">
    <w:name w:val="toc 4"/>
    <w:basedOn w:val="Normal"/>
    <w:next w:val="Normal"/>
    <w:autoRedefine/>
    <w:uiPriority w:val="39"/>
    <w:unhideWhenUsed/>
    <w:rsid w:val="00EA2374"/>
    <w:pPr>
      <w:spacing w:after="100" w:line="276" w:lineRule="auto"/>
      <w:ind w:left="660"/>
    </w:pPr>
    <w:rPr>
      <w:sz w:val="22"/>
      <w:szCs w:val="22"/>
      <w:lang w:val="en-GB"/>
    </w:rPr>
  </w:style>
  <w:style w:type="paragraph" w:customStyle="1" w:styleId="Default">
    <w:name w:val="Default"/>
    <w:rsid w:val="00EA2374"/>
    <w:pPr>
      <w:autoSpaceDE w:val="0"/>
      <w:autoSpaceDN w:val="0"/>
      <w:adjustRightInd w:val="0"/>
    </w:pPr>
    <w:rPr>
      <w:rFonts w:ascii="Calibri" w:hAnsi="Calibri" w:cs="Calibri"/>
      <w:color w:val="000000"/>
      <w:lang w:val="en-IE"/>
    </w:rPr>
  </w:style>
  <w:style w:type="paragraph" w:styleId="Caption">
    <w:name w:val="caption"/>
    <w:basedOn w:val="Normal"/>
    <w:next w:val="Normal"/>
    <w:uiPriority w:val="35"/>
    <w:unhideWhenUsed/>
    <w:qFormat/>
    <w:rsid w:val="00EA2374"/>
    <w:pPr>
      <w:spacing w:after="200"/>
    </w:pPr>
    <w:rPr>
      <w:b/>
      <w:bCs/>
      <w:color w:val="5B9BD5" w:themeColor="accent1"/>
      <w:sz w:val="18"/>
      <w:szCs w:val="18"/>
      <w:lang w:val="en-GB"/>
    </w:rPr>
  </w:style>
  <w:style w:type="paragraph" w:styleId="NormalWeb">
    <w:name w:val="Normal (Web)"/>
    <w:basedOn w:val="Normal"/>
    <w:uiPriority w:val="99"/>
    <w:unhideWhenUsed/>
    <w:rsid w:val="00EA2374"/>
    <w:pPr>
      <w:spacing w:before="100" w:beforeAutospacing="1" w:after="100" w:afterAutospacing="1"/>
    </w:pPr>
    <w:rPr>
      <w:rFonts w:ascii="Times New Roman" w:eastAsia="Times New Roman" w:hAnsi="Times New Roman" w:cs="Times New Roman"/>
      <w:lang w:val="en-IE" w:eastAsia="en-IE"/>
    </w:rPr>
  </w:style>
  <w:style w:type="character" w:customStyle="1" w:styleId="sts-tbx-note-label">
    <w:name w:val="sts-tbx-note-label"/>
    <w:basedOn w:val="DefaultParagraphFont"/>
    <w:rsid w:val="00EA2374"/>
  </w:style>
  <w:style w:type="character" w:styleId="PlaceholderText">
    <w:name w:val="Placeholder Text"/>
    <w:basedOn w:val="DefaultParagraphFont"/>
    <w:uiPriority w:val="99"/>
    <w:semiHidden/>
    <w:rsid w:val="00EA2374"/>
    <w:rPr>
      <w:color w:val="808080"/>
    </w:rPr>
  </w:style>
  <w:style w:type="paragraph" w:customStyle="1" w:styleId="EndNoteBibliography">
    <w:name w:val="EndNote Bibliography"/>
    <w:basedOn w:val="Normal"/>
    <w:link w:val="EndNoteBibliographyChar"/>
    <w:rsid w:val="00EA2374"/>
    <w:pPr>
      <w:spacing w:before="120" w:after="320"/>
    </w:pPr>
    <w:rPr>
      <w:rFonts w:ascii="Calibri" w:hAnsi="Calibri"/>
      <w:noProof/>
      <w:sz w:val="22"/>
      <w:szCs w:val="22"/>
    </w:rPr>
  </w:style>
  <w:style w:type="character" w:customStyle="1" w:styleId="EndNoteBibliographyChar">
    <w:name w:val="EndNote Bibliography Char"/>
    <w:basedOn w:val="DefaultParagraphFont"/>
    <w:link w:val="EndNoteBibliography"/>
    <w:rsid w:val="00EA2374"/>
    <w:rPr>
      <w:rFonts w:ascii="Calibri" w:hAnsi="Calibri"/>
      <w:noProof/>
      <w:sz w:val="22"/>
      <w:szCs w:val="22"/>
    </w:rPr>
  </w:style>
  <w:style w:type="paragraph" w:styleId="TOCHeading">
    <w:name w:val="TOC Heading"/>
    <w:basedOn w:val="Heading1"/>
    <w:next w:val="Normal"/>
    <w:uiPriority w:val="39"/>
    <w:unhideWhenUsed/>
    <w:qFormat/>
    <w:rsid w:val="00EA2374"/>
    <w:pPr>
      <w:spacing w:before="480" w:line="276" w:lineRule="auto"/>
      <w:outlineLvl w:val="9"/>
    </w:pPr>
    <w:rPr>
      <w:b/>
      <w:bCs/>
      <w:sz w:val="28"/>
      <w:szCs w:val="28"/>
      <w:lang w:eastAsia="ja-JP"/>
    </w:rPr>
  </w:style>
  <w:style w:type="paragraph" w:styleId="DocumentMap">
    <w:name w:val="Document Map"/>
    <w:basedOn w:val="Normal"/>
    <w:link w:val="DocumentMapChar"/>
    <w:uiPriority w:val="99"/>
    <w:semiHidden/>
    <w:unhideWhenUsed/>
    <w:rsid w:val="00EA2374"/>
    <w:rPr>
      <w:rFonts w:ascii="Lucida Grande" w:hAnsi="Lucida Grande" w:cs="Lucida Grande"/>
      <w:lang w:val="en-GB"/>
    </w:rPr>
  </w:style>
  <w:style w:type="character" w:customStyle="1" w:styleId="DocumentMapChar">
    <w:name w:val="Document Map Char"/>
    <w:basedOn w:val="DefaultParagraphFont"/>
    <w:link w:val="DocumentMap"/>
    <w:uiPriority w:val="99"/>
    <w:semiHidden/>
    <w:rsid w:val="00EA2374"/>
    <w:rPr>
      <w:rFonts w:ascii="Lucida Grande" w:hAnsi="Lucida Grande" w:cs="Lucida Grande"/>
      <w:lang w:val="en-GB"/>
    </w:rPr>
  </w:style>
  <w:style w:type="paragraph" w:styleId="EndnoteText">
    <w:name w:val="endnote text"/>
    <w:basedOn w:val="Normal"/>
    <w:link w:val="EndnoteTextChar"/>
    <w:uiPriority w:val="99"/>
    <w:unhideWhenUsed/>
    <w:rsid w:val="00EA2374"/>
    <w:rPr>
      <w:lang w:val="en-GB"/>
    </w:rPr>
  </w:style>
  <w:style w:type="character" w:customStyle="1" w:styleId="EndnoteTextChar">
    <w:name w:val="Endnote Text Char"/>
    <w:basedOn w:val="DefaultParagraphFont"/>
    <w:link w:val="EndnoteText"/>
    <w:uiPriority w:val="99"/>
    <w:rsid w:val="00EA2374"/>
    <w:rPr>
      <w:lang w:val="en-GB"/>
    </w:rPr>
  </w:style>
  <w:style w:type="character" w:styleId="EndnoteReference">
    <w:name w:val="endnote reference"/>
    <w:basedOn w:val="DefaultParagraphFont"/>
    <w:uiPriority w:val="99"/>
    <w:unhideWhenUsed/>
    <w:rsid w:val="00EA2374"/>
    <w:rPr>
      <w:vertAlign w:val="superscript"/>
    </w:rPr>
  </w:style>
  <w:style w:type="paragraph" w:styleId="Index1">
    <w:name w:val="index 1"/>
    <w:basedOn w:val="Heading1"/>
    <w:next w:val="Normal"/>
    <w:autoRedefine/>
    <w:uiPriority w:val="99"/>
    <w:unhideWhenUsed/>
    <w:rsid w:val="00EA2374"/>
    <w:pPr>
      <w:spacing w:before="480" w:line="276" w:lineRule="auto"/>
    </w:pPr>
    <w:rPr>
      <w:b/>
      <w:bCs/>
      <w:color w:val="auto"/>
      <w:sz w:val="28"/>
      <w:szCs w:val="28"/>
      <w:lang w:val="en-GB"/>
    </w:rPr>
  </w:style>
  <w:style w:type="paragraph" w:styleId="Index2">
    <w:name w:val="index 2"/>
    <w:basedOn w:val="Normal"/>
    <w:next w:val="Normal"/>
    <w:autoRedefine/>
    <w:uiPriority w:val="99"/>
    <w:unhideWhenUsed/>
    <w:rsid w:val="00EA2374"/>
    <w:pPr>
      <w:spacing w:after="200" w:line="276" w:lineRule="auto"/>
      <w:ind w:left="440" w:hanging="220"/>
    </w:pPr>
    <w:rPr>
      <w:sz w:val="22"/>
      <w:szCs w:val="22"/>
      <w:lang w:val="en-GB"/>
    </w:rPr>
  </w:style>
  <w:style w:type="paragraph" w:styleId="Index3">
    <w:name w:val="index 3"/>
    <w:basedOn w:val="Normal"/>
    <w:next w:val="Normal"/>
    <w:autoRedefine/>
    <w:uiPriority w:val="99"/>
    <w:unhideWhenUsed/>
    <w:rsid w:val="00EA2374"/>
    <w:pPr>
      <w:spacing w:after="200" w:line="276" w:lineRule="auto"/>
      <w:ind w:left="660" w:hanging="220"/>
    </w:pPr>
    <w:rPr>
      <w:sz w:val="22"/>
      <w:szCs w:val="22"/>
      <w:lang w:val="en-GB"/>
    </w:rPr>
  </w:style>
  <w:style w:type="paragraph" w:styleId="Index4">
    <w:name w:val="index 4"/>
    <w:basedOn w:val="Normal"/>
    <w:next w:val="Normal"/>
    <w:autoRedefine/>
    <w:uiPriority w:val="99"/>
    <w:unhideWhenUsed/>
    <w:rsid w:val="00EA2374"/>
    <w:pPr>
      <w:spacing w:after="200" w:line="276" w:lineRule="auto"/>
      <w:ind w:left="880" w:hanging="220"/>
    </w:pPr>
    <w:rPr>
      <w:sz w:val="22"/>
      <w:szCs w:val="22"/>
      <w:lang w:val="en-GB"/>
    </w:rPr>
  </w:style>
  <w:style w:type="paragraph" w:styleId="Index5">
    <w:name w:val="index 5"/>
    <w:basedOn w:val="Normal"/>
    <w:next w:val="Normal"/>
    <w:autoRedefine/>
    <w:uiPriority w:val="99"/>
    <w:unhideWhenUsed/>
    <w:rsid w:val="00EA2374"/>
    <w:pPr>
      <w:spacing w:after="200" w:line="276" w:lineRule="auto"/>
      <w:ind w:left="1100" w:hanging="220"/>
    </w:pPr>
    <w:rPr>
      <w:sz w:val="22"/>
      <w:szCs w:val="22"/>
      <w:lang w:val="en-GB"/>
    </w:rPr>
  </w:style>
  <w:style w:type="paragraph" w:styleId="Index6">
    <w:name w:val="index 6"/>
    <w:basedOn w:val="Normal"/>
    <w:next w:val="Normal"/>
    <w:autoRedefine/>
    <w:uiPriority w:val="99"/>
    <w:unhideWhenUsed/>
    <w:rsid w:val="00EA2374"/>
    <w:pPr>
      <w:spacing w:after="200" w:line="276" w:lineRule="auto"/>
      <w:ind w:left="1320" w:hanging="220"/>
    </w:pPr>
    <w:rPr>
      <w:sz w:val="22"/>
      <w:szCs w:val="22"/>
      <w:lang w:val="en-GB"/>
    </w:rPr>
  </w:style>
  <w:style w:type="paragraph" w:styleId="Index7">
    <w:name w:val="index 7"/>
    <w:basedOn w:val="Normal"/>
    <w:next w:val="Normal"/>
    <w:autoRedefine/>
    <w:uiPriority w:val="99"/>
    <w:unhideWhenUsed/>
    <w:rsid w:val="00EA2374"/>
    <w:pPr>
      <w:spacing w:after="200" w:line="276" w:lineRule="auto"/>
      <w:ind w:left="1540" w:hanging="220"/>
    </w:pPr>
    <w:rPr>
      <w:sz w:val="22"/>
      <w:szCs w:val="22"/>
      <w:lang w:val="en-GB"/>
    </w:rPr>
  </w:style>
  <w:style w:type="paragraph" w:styleId="Index8">
    <w:name w:val="index 8"/>
    <w:basedOn w:val="Normal"/>
    <w:next w:val="Normal"/>
    <w:autoRedefine/>
    <w:uiPriority w:val="99"/>
    <w:unhideWhenUsed/>
    <w:rsid w:val="00EA2374"/>
    <w:pPr>
      <w:spacing w:after="200" w:line="276" w:lineRule="auto"/>
      <w:ind w:left="1760" w:hanging="220"/>
    </w:pPr>
    <w:rPr>
      <w:sz w:val="22"/>
      <w:szCs w:val="22"/>
      <w:lang w:val="en-GB"/>
    </w:rPr>
  </w:style>
  <w:style w:type="paragraph" w:styleId="Index9">
    <w:name w:val="index 9"/>
    <w:basedOn w:val="Normal"/>
    <w:next w:val="Normal"/>
    <w:autoRedefine/>
    <w:uiPriority w:val="99"/>
    <w:unhideWhenUsed/>
    <w:rsid w:val="00EA2374"/>
    <w:pPr>
      <w:spacing w:after="200" w:line="276" w:lineRule="auto"/>
      <w:ind w:left="1980" w:hanging="220"/>
    </w:pPr>
    <w:rPr>
      <w:sz w:val="22"/>
      <w:szCs w:val="22"/>
      <w:lang w:val="en-GB"/>
    </w:rPr>
  </w:style>
  <w:style w:type="paragraph" w:styleId="IndexHeading">
    <w:name w:val="index heading"/>
    <w:basedOn w:val="Normal"/>
    <w:next w:val="Index1"/>
    <w:uiPriority w:val="99"/>
    <w:unhideWhenUsed/>
    <w:rsid w:val="00EA2374"/>
    <w:pPr>
      <w:spacing w:after="200" w:line="276" w:lineRule="auto"/>
    </w:pPr>
    <w:rPr>
      <w:sz w:val="22"/>
      <w:szCs w:val="22"/>
      <w:lang w:val="en-GB"/>
    </w:rPr>
  </w:style>
  <w:style w:type="paragraph" w:styleId="TOC5">
    <w:name w:val="toc 5"/>
    <w:basedOn w:val="Normal"/>
    <w:next w:val="Normal"/>
    <w:autoRedefine/>
    <w:uiPriority w:val="39"/>
    <w:unhideWhenUsed/>
    <w:rsid w:val="00EA2374"/>
    <w:pPr>
      <w:spacing w:line="276" w:lineRule="auto"/>
      <w:ind w:left="880"/>
    </w:pPr>
    <w:rPr>
      <w:sz w:val="20"/>
      <w:szCs w:val="20"/>
      <w:lang w:val="en-GB"/>
    </w:rPr>
  </w:style>
  <w:style w:type="paragraph" w:styleId="TOC6">
    <w:name w:val="toc 6"/>
    <w:basedOn w:val="Normal"/>
    <w:next w:val="Normal"/>
    <w:autoRedefine/>
    <w:uiPriority w:val="39"/>
    <w:unhideWhenUsed/>
    <w:rsid w:val="00EA2374"/>
    <w:pPr>
      <w:spacing w:line="276" w:lineRule="auto"/>
      <w:ind w:left="1100"/>
    </w:pPr>
    <w:rPr>
      <w:sz w:val="20"/>
      <w:szCs w:val="20"/>
      <w:lang w:val="en-GB"/>
    </w:rPr>
  </w:style>
  <w:style w:type="paragraph" w:styleId="TOC7">
    <w:name w:val="toc 7"/>
    <w:basedOn w:val="Normal"/>
    <w:next w:val="Normal"/>
    <w:autoRedefine/>
    <w:uiPriority w:val="39"/>
    <w:unhideWhenUsed/>
    <w:rsid w:val="00EA2374"/>
    <w:pPr>
      <w:spacing w:line="276" w:lineRule="auto"/>
      <w:ind w:left="1320"/>
    </w:pPr>
    <w:rPr>
      <w:sz w:val="20"/>
      <w:szCs w:val="20"/>
      <w:lang w:val="en-GB"/>
    </w:rPr>
  </w:style>
  <w:style w:type="paragraph" w:styleId="TOC8">
    <w:name w:val="toc 8"/>
    <w:basedOn w:val="Normal"/>
    <w:next w:val="Normal"/>
    <w:autoRedefine/>
    <w:uiPriority w:val="39"/>
    <w:unhideWhenUsed/>
    <w:rsid w:val="00EA2374"/>
    <w:pPr>
      <w:spacing w:line="276" w:lineRule="auto"/>
      <w:ind w:left="1540"/>
    </w:pPr>
    <w:rPr>
      <w:sz w:val="20"/>
      <w:szCs w:val="20"/>
      <w:lang w:val="en-GB"/>
    </w:rPr>
  </w:style>
  <w:style w:type="paragraph" w:styleId="TOC9">
    <w:name w:val="toc 9"/>
    <w:basedOn w:val="Normal"/>
    <w:next w:val="Normal"/>
    <w:autoRedefine/>
    <w:uiPriority w:val="39"/>
    <w:unhideWhenUsed/>
    <w:rsid w:val="00EA2374"/>
    <w:pPr>
      <w:spacing w:line="276" w:lineRule="auto"/>
      <w:ind w:left="1760"/>
    </w:pPr>
    <w:rPr>
      <w:sz w:val="20"/>
      <w:szCs w:val="20"/>
      <w:lang w:val="en-GB"/>
    </w:rPr>
  </w:style>
  <w:style w:type="paragraph" w:customStyle="1" w:styleId="Stile1">
    <w:name w:val="Stile1"/>
    <w:basedOn w:val="Normal"/>
    <w:qFormat/>
    <w:rsid w:val="00EA2374"/>
    <w:pPr>
      <w:spacing w:after="200" w:line="276" w:lineRule="auto"/>
    </w:pPr>
    <w:rPr>
      <w:sz w:val="22"/>
      <w:szCs w:val="22"/>
      <w:lang w:val="en-GB"/>
    </w:rPr>
  </w:style>
  <w:style w:type="paragraph" w:styleId="Subtitle">
    <w:name w:val="Subtitle"/>
    <w:basedOn w:val="Normal"/>
    <w:next w:val="Normal"/>
    <w:link w:val="SubtitleChar"/>
    <w:uiPriority w:val="11"/>
    <w:qFormat/>
    <w:rsid w:val="00EA2374"/>
    <w:pPr>
      <w:spacing w:line="276" w:lineRule="auto"/>
    </w:pPr>
    <w:rPr>
      <w:rFonts w:asciiTheme="majorHAnsi" w:hAnsiTheme="majorHAnsi"/>
      <w:sz w:val="26"/>
      <w:szCs w:val="26"/>
      <w:lang w:val="en-GB"/>
    </w:rPr>
  </w:style>
  <w:style w:type="character" w:customStyle="1" w:styleId="SubtitleChar">
    <w:name w:val="Subtitle Char"/>
    <w:basedOn w:val="DefaultParagraphFont"/>
    <w:link w:val="Subtitle"/>
    <w:uiPriority w:val="11"/>
    <w:rsid w:val="00EA2374"/>
    <w:rPr>
      <w:rFonts w:asciiTheme="majorHAnsi" w:hAnsiTheme="majorHAnsi"/>
      <w:sz w:val="26"/>
      <w:szCs w:val="26"/>
      <w:lang w:val="en-GB"/>
    </w:rPr>
  </w:style>
  <w:style w:type="table" w:customStyle="1" w:styleId="LightShading-Accent11">
    <w:name w:val="Light Shading - Accent 11"/>
    <w:basedOn w:val="TableNormal"/>
    <w:uiPriority w:val="60"/>
    <w:rsid w:val="00EA2374"/>
    <w:rPr>
      <w:color w:val="2E74B5" w:themeColor="accent1" w:themeShade="BF"/>
      <w:sz w:val="22"/>
      <w:szCs w:val="22"/>
      <w:lang w:val="en-GB"/>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List-Accent11">
    <w:name w:val="Light List - Accent 11"/>
    <w:basedOn w:val="TableNormal"/>
    <w:uiPriority w:val="61"/>
    <w:rsid w:val="00EA2374"/>
    <w:rPr>
      <w:sz w:val="22"/>
      <w:szCs w:val="22"/>
      <w:lang w:val="en-GB"/>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ghtList1">
    <w:name w:val="Light List1"/>
    <w:basedOn w:val="TableNormal"/>
    <w:uiPriority w:val="61"/>
    <w:rsid w:val="00EA2374"/>
    <w:rPr>
      <w:sz w:val="22"/>
      <w:szCs w:val="22"/>
      <w:lang w:val="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rsid w:val="00EA2374"/>
    <w:rPr>
      <w:sz w:val="22"/>
      <w:szCs w:val="22"/>
      <w:lang w:val="en-GB"/>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Grid-Accent3">
    <w:name w:val="Light Grid Accent 3"/>
    <w:basedOn w:val="TableNormal"/>
    <w:uiPriority w:val="62"/>
    <w:rsid w:val="00EA2374"/>
    <w:rPr>
      <w:sz w:val="22"/>
      <w:szCs w:val="22"/>
      <w:lang w:val="en-GB"/>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Emphasis">
    <w:name w:val="Emphasis"/>
    <w:basedOn w:val="DefaultParagraphFont"/>
    <w:uiPriority w:val="20"/>
    <w:qFormat/>
    <w:rsid w:val="00EA2374"/>
    <w:rPr>
      <w:i/>
      <w:iCs/>
    </w:rPr>
  </w:style>
  <w:style w:type="table" w:styleId="LightShading-Accent3">
    <w:name w:val="Light Shading Accent 3"/>
    <w:basedOn w:val="TableNormal"/>
    <w:uiPriority w:val="60"/>
    <w:rsid w:val="00EA2374"/>
    <w:rPr>
      <w:color w:val="7B7B7B" w:themeColor="accent3" w:themeShade="BF"/>
      <w:sz w:val="22"/>
      <w:szCs w:val="22"/>
      <w:lang w:val="en-IE"/>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GridTable4-Accent31">
    <w:name w:val="Grid Table 4 - Accent 31"/>
    <w:basedOn w:val="TableNormal"/>
    <w:uiPriority w:val="49"/>
    <w:rsid w:val="00EA2374"/>
    <w:rPr>
      <w:sz w:val="22"/>
      <w:szCs w:val="22"/>
      <w:lang w:val="en-GB"/>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LineNumber">
    <w:name w:val="line number"/>
    <w:basedOn w:val="DefaultParagraphFont"/>
    <w:uiPriority w:val="99"/>
    <w:semiHidden/>
    <w:unhideWhenUsed/>
    <w:rsid w:val="00C65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04276">
      <w:bodyDiv w:val="1"/>
      <w:marLeft w:val="0"/>
      <w:marRight w:val="0"/>
      <w:marTop w:val="0"/>
      <w:marBottom w:val="0"/>
      <w:divBdr>
        <w:top w:val="none" w:sz="0" w:space="0" w:color="auto"/>
        <w:left w:val="none" w:sz="0" w:space="0" w:color="auto"/>
        <w:bottom w:val="none" w:sz="0" w:space="0" w:color="auto"/>
        <w:right w:val="none" w:sz="0" w:space="0" w:color="auto"/>
      </w:divBdr>
    </w:div>
    <w:div w:id="231821106">
      <w:bodyDiv w:val="1"/>
      <w:marLeft w:val="0"/>
      <w:marRight w:val="0"/>
      <w:marTop w:val="0"/>
      <w:marBottom w:val="0"/>
      <w:divBdr>
        <w:top w:val="none" w:sz="0" w:space="0" w:color="auto"/>
        <w:left w:val="none" w:sz="0" w:space="0" w:color="auto"/>
        <w:bottom w:val="none" w:sz="0" w:space="0" w:color="auto"/>
        <w:right w:val="none" w:sz="0" w:space="0" w:color="auto"/>
      </w:divBdr>
    </w:div>
    <w:div w:id="235020801">
      <w:bodyDiv w:val="1"/>
      <w:marLeft w:val="0"/>
      <w:marRight w:val="0"/>
      <w:marTop w:val="0"/>
      <w:marBottom w:val="0"/>
      <w:divBdr>
        <w:top w:val="none" w:sz="0" w:space="0" w:color="auto"/>
        <w:left w:val="none" w:sz="0" w:space="0" w:color="auto"/>
        <w:bottom w:val="none" w:sz="0" w:space="0" w:color="auto"/>
        <w:right w:val="none" w:sz="0" w:space="0" w:color="auto"/>
      </w:divBdr>
    </w:div>
    <w:div w:id="422141287">
      <w:bodyDiv w:val="1"/>
      <w:marLeft w:val="0"/>
      <w:marRight w:val="0"/>
      <w:marTop w:val="0"/>
      <w:marBottom w:val="0"/>
      <w:divBdr>
        <w:top w:val="none" w:sz="0" w:space="0" w:color="auto"/>
        <w:left w:val="none" w:sz="0" w:space="0" w:color="auto"/>
        <w:bottom w:val="none" w:sz="0" w:space="0" w:color="auto"/>
        <w:right w:val="none" w:sz="0" w:space="0" w:color="auto"/>
      </w:divBdr>
      <w:divsChild>
        <w:div w:id="112751388">
          <w:marLeft w:val="0"/>
          <w:marRight w:val="0"/>
          <w:marTop w:val="0"/>
          <w:marBottom w:val="3450"/>
          <w:divBdr>
            <w:top w:val="none" w:sz="0" w:space="0" w:color="auto"/>
            <w:left w:val="none" w:sz="0" w:space="0" w:color="auto"/>
            <w:bottom w:val="none" w:sz="0" w:space="0" w:color="auto"/>
            <w:right w:val="none" w:sz="0" w:space="0" w:color="auto"/>
          </w:divBdr>
          <w:divsChild>
            <w:div w:id="1770127497">
              <w:marLeft w:val="0"/>
              <w:marRight w:val="0"/>
              <w:marTop w:val="75"/>
              <w:marBottom w:val="750"/>
              <w:divBdr>
                <w:top w:val="single" w:sz="6" w:space="23" w:color="DADADA"/>
                <w:left w:val="single" w:sz="6" w:space="23" w:color="DADADA"/>
                <w:bottom w:val="single" w:sz="6" w:space="23" w:color="DADADA"/>
                <w:right w:val="single" w:sz="6" w:space="23" w:color="DADADA"/>
              </w:divBdr>
              <w:divsChild>
                <w:div w:id="1327780491">
                  <w:marLeft w:val="0"/>
                  <w:marRight w:val="0"/>
                  <w:marTop w:val="0"/>
                  <w:marBottom w:val="450"/>
                  <w:divBdr>
                    <w:top w:val="none" w:sz="0" w:space="0" w:color="auto"/>
                    <w:left w:val="none" w:sz="0" w:space="0" w:color="auto"/>
                    <w:bottom w:val="none" w:sz="0" w:space="0" w:color="auto"/>
                    <w:right w:val="none" w:sz="0" w:space="0" w:color="auto"/>
                  </w:divBdr>
                </w:div>
                <w:div w:id="880485312">
                  <w:marLeft w:val="0"/>
                  <w:marRight w:val="0"/>
                  <w:marTop w:val="0"/>
                  <w:marBottom w:val="450"/>
                  <w:divBdr>
                    <w:top w:val="none" w:sz="0" w:space="0" w:color="auto"/>
                    <w:left w:val="none" w:sz="0" w:space="0" w:color="auto"/>
                    <w:bottom w:val="none" w:sz="0" w:space="0" w:color="auto"/>
                    <w:right w:val="none" w:sz="0" w:space="0" w:color="auto"/>
                  </w:divBdr>
                  <w:divsChild>
                    <w:div w:id="667446674">
                      <w:marLeft w:val="0"/>
                      <w:marRight w:val="0"/>
                      <w:marTop w:val="0"/>
                      <w:marBottom w:val="225"/>
                      <w:divBdr>
                        <w:top w:val="none" w:sz="0" w:space="0" w:color="auto"/>
                        <w:left w:val="none" w:sz="0" w:space="0" w:color="auto"/>
                        <w:bottom w:val="none" w:sz="0" w:space="0" w:color="auto"/>
                        <w:right w:val="none" w:sz="0" w:space="0" w:color="auto"/>
                      </w:divBdr>
                      <w:divsChild>
                        <w:div w:id="744381748">
                          <w:marLeft w:val="0"/>
                          <w:marRight w:val="0"/>
                          <w:marTop w:val="0"/>
                          <w:marBottom w:val="0"/>
                          <w:divBdr>
                            <w:top w:val="none" w:sz="0" w:space="0" w:color="auto"/>
                            <w:left w:val="none" w:sz="0" w:space="0" w:color="auto"/>
                            <w:bottom w:val="none" w:sz="0" w:space="0" w:color="auto"/>
                            <w:right w:val="none" w:sz="0" w:space="0" w:color="auto"/>
                          </w:divBdr>
                        </w:div>
                        <w:div w:id="843055368">
                          <w:marLeft w:val="0"/>
                          <w:marRight w:val="0"/>
                          <w:marTop w:val="0"/>
                          <w:marBottom w:val="0"/>
                          <w:divBdr>
                            <w:top w:val="none" w:sz="0" w:space="0" w:color="auto"/>
                            <w:left w:val="none" w:sz="0" w:space="0" w:color="auto"/>
                            <w:bottom w:val="none" w:sz="0" w:space="0" w:color="auto"/>
                            <w:right w:val="none" w:sz="0" w:space="0" w:color="auto"/>
                          </w:divBdr>
                        </w:div>
                      </w:divsChild>
                    </w:div>
                    <w:div w:id="1866942795">
                      <w:marLeft w:val="0"/>
                      <w:marRight w:val="0"/>
                      <w:marTop w:val="0"/>
                      <w:marBottom w:val="225"/>
                      <w:divBdr>
                        <w:top w:val="none" w:sz="0" w:space="0" w:color="auto"/>
                        <w:left w:val="none" w:sz="0" w:space="0" w:color="auto"/>
                        <w:bottom w:val="none" w:sz="0" w:space="0" w:color="auto"/>
                        <w:right w:val="none" w:sz="0" w:space="0" w:color="auto"/>
                      </w:divBdr>
                      <w:divsChild>
                        <w:div w:id="587813437">
                          <w:marLeft w:val="0"/>
                          <w:marRight w:val="0"/>
                          <w:marTop w:val="0"/>
                          <w:marBottom w:val="0"/>
                          <w:divBdr>
                            <w:top w:val="none" w:sz="0" w:space="0" w:color="auto"/>
                            <w:left w:val="none" w:sz="0" w:space="0" w:color="auto"/>
                            <w:bottom w:val="none" w:sz="0" w:space="0" w:color="auto"/>
                            <w:right w:val="none" w:sz="0" w:space="0" w:color="auto"/>
                          </w:divBdr>
                        </w:div>
                        <w:div w:id="2138647341">
                          <w:marLeft w:val="0"/>
                          <w:marRight w:val="0"/>
                          <w:marTop w:val="0"/>
                          <w:marBottom w:val="0"/>
                          <w:divBdr>
                            <w:top w:val="none" w:sz="0" w:space="0" w:color="auto"/>
                            <w:left w:val="none" w:sz="0" w:space="0" w:color="auto"/>
                            <w:bottom w:val="none" w:sz="0" w:space="0" w:color="auto"/>
                            <w:right w:val="none" w:sz="0" w:space="0" w:color="auto"/>
                          </w:divBdr>
                        </w:div>
                      </w:divsChild>
                    </w:div>
                    <w:div w:id="164705892">
                      <w:marLeft w:val="0"/>
                      <w:marRight w:val="0"/>
                      <w:marTop w:val="0"/>
                      <w:marBottom w:val="225"/>
                      <w:divBdr>
                        <w:top w:val="none" w:sz="0" w:space="0" w:color="auto"/>
                        <w:left w:val="none" w:sz="0" w:space="0" w:color="auto"/>
                        <w:bottom w:val="none" w:sz="0" w:space="0" w:color="auto"/>
                        <w:right w:val="none" w:sz="0" w:space="0" w:color="auto"/>
                      </w:divBdr>
                      <w:divsChild>
                        <w:div w:id="1930263384">
                          <w:marLeft w:val="0"/>
                          <w:marRight w:val="0"/>
                          <w:marTop w:val="0"/>
                          <w:marBottom w:val="0"/>
                          <w:divBdr>
                            <w:top w:val="none" w:sz="0" w:space="0" w:color="auto"/>
                            <w:left w:val="none" w:sz="0" w:space="0" w:color="auto"/>
                            <w:bottom w:val="none" w:sz="0" w:space="0" w:color="auto"/>
                            <w:right w:val="none" w:sz="0" w:space="0" w:color="auto"/>
                          </w:divBdr>
                        </w:div>
                        <w:div w:id="420681446">
                          <w:marLeft w:val="0"/>
                          <w:marRight w:val="0"/>
                          <w:marTop w:val="0"/>
                          <w:marBottom w:val="0"/>
                          <w:divBdr>
                            <w:top w:val="none" w:sz="0" w:space="0" w:color="auto"/>
                            <w:left w:val="none" w:sz="0" w:space="0" w:color="auto"/>
                            <w:bottom w:val="none" w:sz="0" w:space="0" w:color="auto"/>
                            <w:right w:val="none" w:sz="0" w:space="0" w:color="auto"/>
                          </w:divBdr>
                        </w:div>
                      </w:divsChild>
                    </w:div>
                    <w:div w:id="769860044">
                      <w:marLeft w:val="0"/>
                      <w:marRight w:val="0"/>
                      <w:marTop w:val="0"/>
                      <w:marBottom w:val="225"/>
                      <w:divBdr>
                        <w:top w:val="none" w:sz="0" w:space="0" w:color="auto"/>
                        <w:left w:val="none" w:sz="0" w:space="0" w:color="auto"/>
                        <w:bottom w:val="none" w:sz="0" w:space="0" w:color="auto"/>
                        <w:right w:val="none" w:sz="0" w:space="0" w:color="auto"/>
                      </w:divBdr>
                      <w:divsChild>
                        <w:div w:id="779111327">
                          <w:marLeft w:val="0"/>
                          <w:marRight w:val="0"/>
                          <w:marTop w:val="0"/>
                          <w:marBottom w:val="0"/>
                          <w:divBdr>
                            <w:top w:val="none" w:sz="0" w:space="0" w:color="auto"/>
                            <w:left w:val="none" w:sz="0" w:space="0" w:color="auto"/>
                            <w:bottom w:val="none" w:sz="0" w:space="0" w:color="auto"/>
                            <w:right w:val="none" w:sz="0" w:space="0" w:color="auto"/>
                          </w:divBdr>
                        </w:div>
                        <w:div w:id="663893944">
                          <w:marLeft w:val="0"/>
                          <w:marRight w:val="0"/>
                          <w:marTop w:val="0"/>
                          <w:marBottom w:val="0"/>
                          <w:divBdr>
                            <w:top w:val="none" w:sz="0" w:space="0" w:color="auto"/>
                            <w:left w:val="none" w:sz="0" w:space="0" w:color="auto"/>
                            <w:bottom w:val="none" w:sz="0" w:space="0" w:color="auto"/>
                            <w:right w:val="none" w:sz="0" w:space="0" w:color="auto"/>
                          </w:divBdr>
                        </w:div>
                      </w:divsChild>
                    </w:div>
                    <w:div w:id="719132568">
                      <w:marLeft w:val="0"/>
                      <w:marRight w:val="0"/>
                      <w:marTop w:val="0"/>
                      <w:marBottom w:val="225"/>
                      <w:divBdr>
                        <w:top w:val="none" w:sz="0" w:space="0" w:color="auto"/>
                        <w:left w:val="none" w:sz="0" w:space="0" w:color="auto"/>
                        <w:bottom w:val="none" w:sz="0" w:space="0" w:color="auto"/>
                        <w:right w:val="none" w:sz="0" w:space="0" w:color="auto"/>
                      </w:divBdr>
                      <w:divsChild>
                        <w:div w:id="584146673">
                          <w:marLeft w:val="0"/>
                          <w:marRight w:val="0"/>
                          <w:marTop w:val="0"/>
                          <w:marBottom w:val="0"/>
                          <w:divBdr>
                            <w:top w:val="none" w:sz="0" w:space="0" w:color="auto"/>
                            <w:left w:val="none" w:sz="0" w:space="0" w:color="auto"/>
                            <w:bottom w:val="none" w:sz="0" w:space="0" w:color="auto"/>
                            <w:right w:val="none" w:sz="0" w:space="0" w:color="auto"/>
                          </w:divBdr>
                        </w:div>
                        <w:div w:id="16069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3175">
                  <w:marLeft w:val="0"/>
                  <w:marRight w:val="0"/>
                  <w:marTop w:val="0"/>
                  <w:marBottom w:val="0"/>
                  <w:divBdr>
                    <w:top w:val="none" w:sz="0" w:space="0" w:color="auto"/>
                    <w:left w:val="none" w:sz="0" w:space="0" w:color="auto"/>
                    <w:bottom w:val="none" w:sz="0" w:space="0" w:color="auto"/>
                    <w:right w:val="none" w:sz="0" w:space="0" w:color="auto"/>
                  </w:divBdr>
                </w:div>
                <w:div w:id="20628217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578757867">
      <w:bodyDiv w:val="1"/>
      <w:marLeft w:val="0"/>
      <w:marRight w:val="0"/>
      <w:marTop w:val="0"/>
      <w:marBottom w:val="0"/>
      <w:divBdr>
        <w:top w:val="none" w:sz="0" w:space="0" w:color="auto"/>
        <w:left w:val="none" w:sz="0" w:space="0" w:color="auto"/>
        <w:bottom w:val="none" w:sz="0" w:space="0" w:color="auto"/>
        <w:right w:val="none" w:sz="0" w:space="0" w:color="auto"/>
      </w:divBdr>
    </w:div>
    <w:div w:id="699160103">
      <w:bodyDiv w:val="1"/>
      <w:marLeft w:val="0"/>
      <w:marRight w:val="0"/>
      <w:marTop w:val="0"/>
      <w:marBottom w:val="0"/>
      <w:divBdr>
        <w:top w:val="none" w:sz="0" w:space="0" w:color="auto"/>
        <w:left w:val="none" w:sz="0" w:space="0" w:color="auto"/>
        <w:bottom w:val="none" w:sz="0" w:space="0" w:color="auto"/>
        <w:right w:val="none" w:sz="0" w:space="0" w:color="auto"/>
      </w:divBdr>
    </w:div>
    <w:div w:id="720175953">
      <w:bodyDiv w:val="1"/>
      <w:marLeft w:val="0"/>
      <w:marRight w:val="0"/>
      <w:marTop w:val="0"/>
      <w:marBottom w:val="0"/>
      <w:divBdr>
        <w:top w:val="none" w:sz="0" w:space="0" w:color="auto"/>
        <w:left w:val="none" w:sz="0" w:space="0" w:color="auto"/>
        <w:bottom w:val="none" w:sz="0" w:space="0" w:color="auto"/>
        <w:right w:val="none" w:sz="0" w:space="0" w:color="auto"/>
      </w:divBdr>
    </w:div>
    <w:div w:id="1114835170">
      <w:bodyDiv w:val="1"/>
      <w:marLeft w:val="0"/>
      <w:marRight w:val="0"/>
      <w:marTop w:val="0"/>
      <w:marBottom w:val="0"/>
      <w:divBdr>
        <w:top w:val="none" w:sz="0" w:space="0" w:color="auto"/>
        <w:left w:val="none" w:sz="0" w:space="0" w:color="auto"/>
        <w:bottom w:val="none" w:sz="0" w:space="0" w:color="auto"/>
        <w:right w:val="none" w:sz="0" w:space="0" w:color="auto"/>
      </w:divBdr>
    </w:div>
    <w:div w:id="1535539012">
      <w:bodyDiv w:val="1"/>
      <w:marLeft w:val="0"/>
      <w:marRight w:val="0"/>
      <w:marTop w:val="0"/>
      <w:marBottom w:val="0"/>
      <w:divBdr>
        <w:top w:val="none" w:sz="0" w:space="0" w:color="auto"/>
        <w:left w:val="none" w:sz="0" w:space="0" w:color="auto"/>
        <w:bottom w:val="none" w:sz="0" w:space="0" w:color="auto"/>
        <w:right w:val="none" w:sz="0" w:space="0" w:color="auto"/>
      </w:divBdr>
    </w:div>
    <w:div w:id="1538850991">
      <w:bodyDiv w:val="1"/>
      <w:marLeft w:val="0"/>
      <w:marRight w:val="0"/>
      <w:marTop w:val="0"/>
      <w:marBottom w:val="0"/>
      <w:divBdr>
        <w:top w:val="none" w:sz="0" w:space="0" w:color="auto"/>
        <w:left w:val="none" w:sz="0" w:space="0" w:color="auto"/>
        <w:bottom w:val="none" w:sz="0" w:space="0" w:color="auto"/>
        <w:right w:val="none" w:sz="0" w:space="0" w:color="auto"/>
      </w:divBdr>
    </w:div>
    <w:div w:id="18320171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tatus-tool.iclei.org/?p=417&amp;action=survey&amp;cs=5&amp;q=t5_4_1" TargetMode="Externa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F6B1B-59D3-2742-90C2-FDBDEB0E1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7127</Words>
  <Characters>40629</Characters>
  <Application>Microsoft Macintosh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2018-08-13T17:03:00Z</dcterms:created>
  <dcterms:modified xsi:type="dcterms:W3CDTF">2018-08-13T17:03:00Z</dcterms:modified>
</cp:coreProperties>
</file>