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198774" w14:textId="77777777" w:rsidR="006B0261" w:rsidRPr="006438E1" w:rsidRDefault="006B0261" w:rsidP="006B0261">
      <w:pPr>
        <w:pStyle w:val="Title"/>
        <w:spacing w:line="360" w:lineRule="auto"/>
      </w:pPr>
      <w:bookmarkStart w:id="0" w:name="_Hlk75875661"/>
      <w:r w:rsidRPr="006438E1">
        <w:t>A spheroid model of early and late-stage osteosarcoma mimicking the divergent relationship between tumour elimination and bone regeneration.</w:t>
      </w:r>
    </w:p>
    <w:bookmarkEnd w:id="0"/>
    <w:p w14:paraId="11811BF0" w14:textId="2760CBF6" w:rsidR="006B0261" w:rsidRDefault="006B0261" w:rsidP="006B0261">
      <w:pPr>
        <w:spacing w:line="360" w:lineRule="auto"/>
        <w:rPr>
          <w:i/>
          <w:iCs/>
        </w:rPr>
      </w:pPr>
      <w:r w:rsidRPr="006438E1">
        <w:rPr>
          <w:i/>
          <w:iCs/>
        </w:rPr>
        <w:t xml:space="preserve">Fiona E. Freeman, Ross </w:t>
      </w:r>
      <w:proofErr w:type="spellStart"/>
      <w:r w:rsidRPr="006438E1">
        <w:rPr>
          <w:i/>
          <w:iCs/>
        </w:rPr>
        <w:t>Burdis</w:t>
      </w:r>
      <w:proofErr w:type="spellEnd"/>
      <w:r w:rsidRPr="006438E1">
        <w:rPr>
          <w:i/>
          <w:iCs/>
        </w:rPr>
        <w:t xml:space="preserve">, Olwyn R. Mahon, Daniel J. Kelly, and Natalie </w:t>
      </w:r>
      <w:proofErr w:type="spellStart"/>
      <w:r w:rsidRPr="006438E1">
        <w:rPr>
          <w:i/>
          <w:iCs/>
        </w:rPr>
        <w:t>Artzi</w:t>
      </w:r>
      <w:proofErr w:type="spellEnd"/>
      <w:r>
        <w:rPr>
          <w:i/>
          <w:iCs/>
        </w:rPr>
        <w:t>*</w:t>
      </w:r>
    </w:p>
    <w:p w14:paraId="2F165000" w14:textId="77777777" w:rsidR="006B0261" w:rsidRDefault="006B0261" w:rsidP="006B0261">
      <w:pPr>
        <w:pStyle w:val="Heading1"/>
      </w:pPr>
      <w:r>
        <w:t>Supplementary Information</w:t>
      </w:r>
    </w:p>
    <w:p w14:paraId="477D5AEF" w14:textId="77777777" w:rsidR="006B0261" w:rsidRPr="006B0261" w:rsidRDefault="006B0261" w:rsidP="006B0261">
      <w:pPr>
        <w:spacing w:line="360" w:lineRule="auto"/>
        <w:rPr>
          <w:b/>
          <w:bCs/>
        </w:rPr>
      </w:pPr>
    </w:p>
    <w:p w14:paraId="66162FED" w14:textId="4D1B9244" w:rsidR="002D2010" w:rsidRDefault="004153DC" w:rsidP="002D2010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35C70C87" wp14:editId="4D213521">
            <wp:extent cx="5731510" cy="7465695"/>
            <wp:effectExtent l="0" t="0" r="2540" b="190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6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DFF2A" w14:textId="77777777" w:rsidR="004153DC" w:rsidRPr="00665152" w:rsidRDefault="002D2010" w:rsidP="004153DC">
      <w:pPr>
        <w:pStyle w:val="Caption"/>
        <w:rPr>
          <w:rFonts w:cs="Times New Roman"/>
          <w:i w:val="0"/>
          <w:iCs w:val="0"/>
          <w:color w:val="auto"/>
          <w:sz w:val="32"/>
          <w:szCs w:val="32"/>
        </w:rPr>
      </w:pPr>
      <w:r w:rsidRPr="00334D32">
        <w:rPr>
          <w:b/>
          <w:bCs/>
          <w:i w:val="0"/>
          <w:iCs w:val="0"/>
          <w:color w:val="auto"/>
          <w:sz w:val="20"/>
          <w:szCs w:val="20"/>
        </w:rPr>
        <w:t>Supplementary Figure 1:</w:t>
      </w:r>
      <w:r w:rsidRPr="00334D32">
        <w:rPr>
          <w:i w:val="0"/>
          <w:iCs w:val="0"/>
          <w:color w:val="auto"/>
          <w:sz w:val="20"/>
          <w:szCs w:val="20"/>
        </w:rPr>
        <w:t xml:space="preserve"> </w:t>
      </w:r>
      <w:r w:rsidR="004153DC" w:rsidRPr="00665152">
        <w:rPr>
          <w:rFonts w:cs="Times New Roman"/>
          <w:b/>
          <w:bCs/>
          <w:i w:val="0"/>
          <w:iCs w:val="0"/>
          <w:color w:val="auto"/>
          <w:sz w:val="22"/>
          <w:szCs w:val="22"/>
        </w:rPr>
        <w:t>Development of a 3D model of early and late-stage osteosarcoma. (A, B)</w:t>
      </w:r>
      <w:r w:rsidR="004153DC" w:rsidRPr="00665152">
        <w:rPr>
          <w:rFonts w:cs="Times New Roman"/>
          <w:i w:val="0"/>
          <w:iCs w:val="0"/>
          <w:color w:val="auto"/>
          <w:sz w:val="22"/>
          <w:szCs w:val="22"/>
        </w:rPr>
        <w:t xml:space="preserve"> Images </w:t>
      </w:r>
      <w:r w:rsidR="004153DC">
        <w:rPr>
          <w:rFonts w:cs="Times New Roman"/>
          <w:i w:val="0"/>
          <w:iCs w:val="0"/>
          <w:color w:val="auto"/>
          <w:sz w:val="22"/>
          <w:szCs w:val="22"/>
        </w:rPr>
        <w:t xml:space="preserve">and H&amp;E staining </w:t>
      </w:r>
      <w:r w:rsidR="004153DC" w:rsidRPr="00665152">
        <w:rPr>
          <w:rFonts w:cs="Times New Roman"/>
          <w:i w:val="0"/>
          <w:iCs w:val="0"/>
          <w:color w:val="auto"/>
          <w:sz w:val="22"/>
          <w:szCs w:val="22"/>
        </w:rPr>
        <w:t xml:space="preserve">of </w:t>
      </w:r>
      <w:r w:rsidR="004153DC">
        <w:rPr>
          <w:rFonts w:cs="Times New Roman"/>
          <w:i w:val="0"/>
          <w:iCs w:val="0"/>
          <w:color w:val="auto"/>
          <w:sz w:val="22"/>
          <w:szCs w:val="22"/>
        </w:rPr>
        <w:t>MSCs and SaOS2</w:t>
      </w:r>
      <w:r w:rsidR="004153DC" w:rsidRPr="00665152">
        <w:rPr>
          <w:rFonts w:cs="Times New Roman"/>
          <w:i w:val="0"/>
          <w:iCs w:val="0"/>
          <w:color w:val="auto"/>
          <w:sz w:val="22"/>
          <w:szCs w:val="22"/>
        </w:rPr>
        <w:t xml:space="preserve"> spheroids 72 hours following seeding. </w:t>
      </w:r>
      <w:r w:rsidR="004153DC" w:rsidRPr="00665152">
        <w:rPr>
          <w:rFonts w:cs="Times New Roman"/>
          <w:b/>
          <w:bCs/>
          <w:i w:val="0"/>
          <w:iCs w:val="0"/>
          <w:color w:val="auto"/>
          <w:sz w:val="22"/>
          <w:szCs w:val="22"/>
        </w:rPr>
        <w:t>(C)</w:t>
      </w:r>
      <w:r w:rsidR="004153DC" w:rsidRPr="00665152">
        <w:rPr>
          <w:rFonts w:cs="Times New Roman"/>
          <w:i w:val="0"/>
          <w:iCs w:val="0"/>
          <w:color w:val="auto"/>
          <w:sz w:val="22"/>
          <w:szCs w:val="22"/>
        </w:rPr>
        <w:t xml:space="preserve"> DNA content, </w:t>
      </w:r>
      <w:r w:rsidR="004153DC" w:rsidRPr="00665152">
        <w:rPr>
          <w:rFonts w:cs="Times New Roman"/>
          <w:b/>
          <w:bCs/>
          <w:i w:val="0"/>
          <w:iCs w:val="0"/>
          <w:color w:val="auto"/>
          <w:sz w:val="22"/>
          <w:szCs w:val="22"/>
        </w:rPr>
        <w:t>(D)</w:t>
      </w:r>
      <w:r w:rsidR="004153DC" w:rsidRPr="00665152">
        <w:rPr>
          <w:rFonts w:cs="Times New Roman"/>
          <w:i w:val="0"/>
          <w:iCs w:val="0"/>
          <w:color w:val="auto"/>
          <w:sz w:val="22"/>
          <w:szCs w:val="22"/>
        </w:rPr>
        <w:t xml:space="preserve"> Average spheroid diameter, </w:t>
      </w:r>
      <w:r w:rsidR="004153DC" w:rsidRPr="00665152">
        <w:rPr>
          <w:rFonts w:cs="Times New Roman"/>
          <w:b/>
          <w:bCs/>
          <w:i w:val="0"/>
          <w:iCs w:val="0"/>
          <w:color w:val="auto"/>
          <w:sz w:val="22"/>
          <w:szCs w:val="22"/>
        </w:rPr>
        <w:t xml:space="preserve">(E) </w:t>
      </w:r>
      <w:r w:rsidR="004153DC" w:rsidRPr="00665152">
        <w:rPr>
          <w:rFonts w:cs="Times New Roman"/>
          <w:i w:val="0"/>
          <w:iCs w:val="0"/>
          <w:color w:val="auto"/>
          <w:sz w:val="22"/>
          <w:szCs w:val="22"/>
        </w:rPr>
        <w:t xml:space="preserve">ALP activity and </w:t>
      </w:r>
      <w:r w:rsidR="004153DC" w:rsidRPr="00665152">
        <w:rPr>
          <w:rFonts w:cs="Times New Roman"/>
          <w:b/>
          <w:bCs/>
          <w:i w:val="0"/>
          <w:iCs w:val="0"/>
          <w:color w:val="auto"/>
          <w:sz w:val="22"/>
          <w:szCs w:val="22"/>
        </w:rPr>
        <w:t>(F)</w:t>
      </w:r>
      <w:r w:rsidR="004153DC" w:rsidRPr="00665152">
        <w:rPr>
          <w:rFonts w:cs="Times New Roman"/>
          <w:i w:val="0"/>
          <w:iCs w:val="0"/>
          <w:color w:val="auto"/>
          <w:sz w:val="22"/>
          <w:szCs w:val="22"/>
        </w:rPr>
        <w:t xml:space="preserve"> VEGF release. </w:t>
      </w:r>
      <w:r w:rsidR="004153DC" w:rsidRPr="00665152">
        <w:rPr>
          <w:rFonts w:cs="Times New Roman"/>
          <w:b/>
          <w:bCs/>
          <w:i w:val="0"/>
          <w:iCs w:val="0"/>
          <w:color w:val="auto"/>
          <w:sz w:val="22"/>
          <w:szCs w:val="22"/>
        </w:rPr>
        <w:t>(G-L)</w:t>
      </w:r>
      <w:r w:rsidR="004153DC" w:rsidRPr="00665152">
        <w:rPr>
          <w:rFonts w:cs="Times New Roman"/>
          <w:i w:val="0"/>
          <w:iCs w:val="0"/>
          <w:color w:val="auto"/>
          <w:sz w:val="22"/>
          <w:szCs w:val="22"/>
        </w:rPr>
        <w:t xml:space="preserve"> </w:t>
      </w:r>
      <w:bookmarkStart w:id="1" w:name="OLE_LINK1"/>
      <w:r w:rsidR="004153DC" w:rsidRPr="00665152">
        <w:rPr>
          <w:rFonts w:cs="Times New Roman"/>
          <w:i w:val="0"/>
          <w:iCs w:val="0"/>
          <w:color w:val="auto"/>
          <w:sz w:val="22"/>
          <w:szCs w:val="22"/>
        </w:rPr>
        <w:t xml:space="preserve">mRNA levels of β-Catenin, MMP9, MMP2, SOX9, RUNX2, and ALP were analysed by qRT-PCR 72 hours post-seeding. All data is represented as means ± SD n=6 (25 spheroids per experimental replicate) for biochemical assays, n=3 (25 spheroids per experimental replicate) for PCR analysis. Statistical differences were </w:t>
      </w:r>
      <w:r w:rsidR="004153DC" w:rsidRPr="00665152">
        <w:rPr>
          <w:rFonts w:cs="Times New Roman"/>
          <w:i w:val="0"/>
          <w:iCs w:val="0"/>
          <w:color w:val="auto"/>
          <w:sz w:val="22"/>
          <w:szCs w:val="22"/>
        </w:rPr>
        <w:lastRenderedPageBreak/>
        <w:t>assessed using one-way ANOVA with the addition of Tukey’s correction for multiple comparisons testing. *p &lt; 0.05, **p &lt; 0.01, ***p &lt; 0.001, ****p &lt; 0.0001.</w:t>
      </w:r>
      <w:bookmarkEnd w:id="1"/>
    </w:p>
    <w:p w14:paraId="4696CBDB" w14:textId="1E52CE18" w:rsidR="002D2010" w:rsidRDefault="002D2010" w:rsidP="004153DC">
      <w:pPr>
        <w:pStyle w:val="Caption"/>
        <w:spacing w:after="0" w:line="360" w:lineRule="auto"/>
      </w:pPr>
      <w:r>
        <w:rPr>
          <w:noProof/>
          <w:lang w:eastAsia="en-GB"/>
        </w:rPr>
        <w:drawing>
          <wp:inline distT="0" distB="0" distL="0" distR="0" wp14:anchorId="6A025E73" wp14:editId="77EE4A60">
            <wp:extent cx="4278651" cy="297362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5010" cy="2978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75B6A" w14:textId="38CE239A" w:rsidR="002D2010" w:rsidRDefault="002D2010" w:rsidP="002D2010">
      <w:pPr>
        <w:pStyle w:val="Caption"/>
        <w:spacing w:line="360" w:lineRule="auto"/>
        <w:rPr>
          <w:i w:val="0"/>
          <w:iCs w:val="0"/>
          <w:color w:val="auto"/>
          <w:sz w:val="20"/>
          <w:szCs w:val="20"/>
        </w:rPr>
      </w:pPr>
      <w:r w:rsidRPr="00334D32">
        <w:rPr>
          <w:b/>
          <w:bCs/>
          <w:i w:val="0"/>
          <w:iCs w:val="0"/>
          <w:color w:val="auto"/>
          <w:sz w:val="20"/>
          <w:szCs w:val="20"/>
        </w:rPr>
        <w:t>Supplementary Figure 2:</w:t>
      </w:r>
      <w:r w:rsidRPr="00334D32">
        <w:rPr>
          <w:i w:val="0"/>
          <w:iCs w:val="0"/>
          <w:color w:val="auto"/>
          <w:sz w:val="20"/>
          <w:szCs w:val="20"/>
        </w:rPr>
        <w:t xml:space="preserve"> The cytotoxic effect of Doxorubicin on MSCs and SaOS2 cells was evaluated and the IC</w:t>
      </w:r>
      <w:r w:rsidRPr="00334D32">
        <w:rPr>
          <w:i w:val="0"/>
          <w:iCs w:val="0"/>
          <w:color w:val="auto"/>
          <w:sz w:val="20"/>
          <w:szCs w:val="20"/>
          <w:vertAlign w:val="subscript"/>
        </w:rPr>
        <w:t>50</w:t>
      </w:r>
      <w:r w:rsidRPr="00334D32">
        <w:rPr>
          <w:i w:val="0"/>
          <w:iCs w:val="0"/>
          <w:color w:val="auto"/>
          <w:sz w:val="20"/>
          <w:szCs w:val="20"/>
        </w:rPr>
        <w:t xml:space="preserve"> was determined. </w:t>
      </w:r>
    </w:p>
    <w:p w14:paraId="5738ADA0" w14:textId="57F6DC1D" w:rsidR="004153DC" w:rsidRDefault="004153DC" w:rsidP="004153DC">
      <w:r>
        <w:rPr>
          <w:noProof/>
        </w:rPr>
        <w:drawing>
          <wp:inline distT="0" distB="0" distL="0" distR="0" wp14:anchorId="26A68B68" wp14:editId="1D7CFB2B">
            <wp:extent cx="5731510" cy="2936240"/>
            <wp:effectExtent l="0" t="0" r="0" b="0"/>
            <wp:docPr id="4" name="Picture 4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char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3C5BD" w14:textId="1265C0B9" w:rsidR="004153DC" w:rsidRPr="004153DC" w:rsidRDefault="004153DC" w:rsidP="004153DC">
      <w:pPr>
        <w:pStyle w:val="Caption"/>
        <w:spacing w:line="360" w:lineRule="auto"/>
        <w:rPr>
          <w:i w:val="0"/>
          <w:iCs w:val="0"/>
          <w:color w:val="auto"/>
          <w:sz w:val="20"/>
          <w:szCs w:val="20"/>
        </w:rPr>
      </w:pPr>
      <w:r w:rsidRPr="00334D32">
        <w:rPr>
          <w:b/>
          <w:bCs/>
          <w:i w:val="0"/>
          <w:iCs w:val="0"/>
          <w:color w:val="auto"/>
          <w:sz w:val="20"/>
          <w:szCs w:val="20"/>
        </w:rPr>
        <w:t xml:space="preserve">Supplementary Figure </w:t>
      </w:r>
      <w:r>
        <w:rPr>
          <w:b/>
          <w:bCs/>
          <w:i w:val="0"/>
          <w:iCs w:val="0"/>
          <w:color w:val="auto"/>
          <w:sz w:val="20"/>
          <w:szCs w:val="20"/>
        </w:rPr>
        <w:t>3</w:t>
      </w:r>
      <w:r w:rsidRPr="00334D32">
        <w:rPr>
          <w:b/>
          <w:bCs/>
          <w:i w:val="0"/>
          <w:iCs w:val="0"/>
          <w:color w:val="auto"/>
          <w:sz w:val="20"/>
          <w:szCs w:val="20"/>
        </w:rPr>
        <w:t>:</w:t>
      </w:r>
      <w:r w:rsidRPr="00334D32">
        <w:rPr>
          <w:i w:val="0"/>
          <w:iCs w:val="0"/>
          <w:color w:val="auto"/>
          <w:sz w:val="20"/>
          <w:szCs w:val="20"/>
        </w:rPr>
        <w:t xml:space="preserve"> </w:t>
      </w:r>
      <w:r w:rsidRPr="004153DC">
        <w:rPr>
          <w:i w:val="0"/>
          <w:iCs w:val="0"/>
          <w:color w:val="auto"/>
          <w:sz w:val="20"/>
          <w:szCs w:val="20"/>
        </w:rPr>
        <w:t xml:space="preserve">Percentage Cell Survival normalised to Day 0 for </w:t>
      </w:r>
      <w:r w:rsidRPr="004153DC">
        <w:rPr>
          <w:b/>
          <w:bCs/>
          <w:i w:val="0"/>
          <w:iCs w:val="0"/>
          <w:color w:val="auto"/>
          <w:sz w:val="20"/>
          <w:szCs w:val="20"/>
        </w:rPr>
        <w:t xml:space="preserve">(A) </w:t>
      </w:r>
      <w:r w:rsidRPr="004153DC">
        <w:rPr>
          <w:i w:val="0"/>
          <w:iCs w:val="0"/>
          <w:color w:val="auto"/>
          <w:sz w:val="20"/>
          <w:szCs w:val="20"/>
        </w:rPr>
        <w:t xml:space="preserve">early-stage osteosarcoma and </w:t>
      </w:r>
      <w:r w:rsidRPr="004153DC">
        <w:rPr>
          <w:b/>
          <w:bCs/>
          <w:i w:val="0"/>
          <w:iCs w:val="0"/>
          <w:color w:val="auto"/>
          <w:sz w:val="20"/>
          <w:szCs w:val="20"/>
        </w:rPr>
        <w:t>(B)</w:t>
      </w:r>
      <w:r w:rsidRPr="004153DC">
        <w:rPr>
          <w:i w:val="0"/>
          <w:iCs w:val="0"/>
          <w:color w:val="auto"/>
          <w:sz w:val="20"/>
          <w:szCs w:val="20"/>
        </w:rPr>
        <w:t xml:space="preserve"> late-stage Osteosarcoma.</w:t>
      </w:r>
    </w:p>
    <w:p w14:paraId="751AB697" w14:textId="396F1ED4" w:rsidR="002D2010" w:rsidRPr="00D7770F" w:rsidRDefault="002D2010" w:rsidP="002D2010">
      <w:pPr>
        <w:pStyle w:val="Caption"/>
        <w:keepNext/>
        <w:rPr>
          <w:i w:val="0"/>
          <w:iCs w:val="0"/>
          <w:color w:val="auto"/>
          <w:sz w:val="20"/>
          <w:szCs w:val="20"/>
        </w:rPr>
      </w:pPr>
      <w:r w:rsidRPr="00D7770F">
        <w:rPr>
          <w:b/>
          <w:bCs/>
          <w:i w:val="0"/>
          <w:iCs w:val="0"/>
          <w:color w:val="auto"/>
          <w:sz w:val="20"/>
          <w:szCs w:val="20"/>
        </w:rPr>
        <w:t xml:space="preserve">Supplementary Table </w:t>
      </w:r>
      <w:r w:rsidRPr="00D7770F">
        <w:rPr>
          <w:b/>
          <w:bCs/>
          <w:i w:val="0"/>
          <w:iCs w:val="0"/>
          <w:color w:val="auto"/>
          <w:sz w:val="20"/>
          <w:szCs w:val="20"/>
        </w:rPr>
        <w:fldChar w:fldCharType="begin"/>
      </w:r>
      <w:r w:rsidRPr="00D7770F">
        <w:rPr>
          <w:b/>
          <w:bCs/>
          <w:i w:val="0"/>
          <w:iCs w:val="0"/>
          <w:color w:val="auto"/>
          <w:sz w:val="20"/>
          <w:szCs w:val="20"/>
        </w:rPr>
        <w:instrText xml:space="preserve"> SEQ Table \* ARABIC </w:instrText>
      </w:r>
      <w:r w:rsidRPr="00D7770F">
        <w:rPr>
          <w:b/>
          <w:bCs/>
          <w:i w:val="0"/>
          <w:iCs w:val="0"/>
          <w:color w:val="auto"/>
          <w:sz w:val="20"/>
          <w:szCs w:val="20"/>
        </w:rPr>
        <w:fldChar w:fldCharType="separate"/>
      </w:r>
      <w:r w:rsidR="00B31B9F">
        <w:rPr>
          <w:b/>
          <w:bCs/>
          <w:i w:val="0"/>
          <w:iCs w:val="0"/>
          <w:noProof/>
          <w:color w:val="auto"/>
          <w:sz w:val="20"/>
          <w:szCs w:val="20"/>
        </w:rPr>
        <w:t>1</w:t>
      </w:r>
      <w:r w:rsidRPr="00D7770F">
        <w:rPr>
          <w:b/>
          <w:bCs/>
          <w:i w:val="0"/>
          <w:iCs w:val="0"/>
          <w:color w:val="auto"/>
          <w:sz w:val="20"/>
          <w:szCs w:val="20"/>
        </w:rPr>
        <w:fldChar w:fldCharType="end"/>
      </w:r>
      <w:r w:rsidRPr="00D7770F">
        <w:rPr>
          <w:b/>
          <w:bCs/>
          <w:i w:val="0"/>
          <w:iCs w:val="0"/>
          <w:color w:val="auto"/>
          <w:sz w:val="20"/>
          <w:szCs w:val="20"/>
        </w:rPr>
        <w:t>:</w:t>
      </w:r>
      <w:r w:rsidRPr="00D7770F">
        <w:rPr>
          <w:i w:val="0"/>
          <w:iCs w:val="0"/>
          <w:color w:val="auto"/>
          <w:sz w:val="20"/>
          <w:szCs w:val="20"/>
        </w:rPr>
        <w:t xml:space="preserve"> Primer sequences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2"/>
        <w:gridCol w:w="3609"/>
        <w:gridCol w:w="4266"/>
      </w:tblGrid>
      <w:tr w:rsidR="002D2010" w:rsidRPr="00640BD9" w14:paraId="34E2820A" w14:textId="77777777" w:rsidTr="009901DA">
        <w:tc>
          <w:tcPr>
            <w:tcW w:w="1192" w:type="dxa"/>
            <w:shd w:val="clear" w:color="auto" w:fill="auto"/>
          </w:tcPr>
          <w:p w14:paraId="1CDBAAD4" w14:textId="77777777" w:rsidR="002D2010" w:rsidRPr="003408AC" w:rsidRDefault="002D2010" w:rsidP="009901D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 w:rsidRPr="003408AC">
              <w:rPr>
                <w:rFonts w:ascii="Calibri" w:hAnsi="Calibri" w:cs="Calibri"/>
                <w:b/>
                <w:bCs/>
              </w:rPr>
              <w:t>Gene</w:t>
            </w:r>
          </w:p>
        </w:tc>
        <w:tc>
          <w:tcPr>
            <w:tcW w:w="3609" w:type="dxa"/>
            <w:shd w:val="clear" w:color="auto" w:fill="auto"/>
          </w:tcPr>
          <w:p w14:paraId="3235571D" w14:textId="77777777" w:rsidR="002D2010" w:rsidRPr="003408AC" w:rsidRDefault="002D2010" w:rsidP="009901D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 w:rsidRPr="003408AC">
              <w:rPr>
                <w:rFonts w:ascii="Calibri" w:hAnsi="Calibri" w:cs="Calibri"/>
                <w:b/>
                <w:bCs/>
              </w:rPr>
              <w:t>Forward</w:t>
            </w:r>
          </w:p>
        </w:tc>
        <w:tc>
          <w:tcPr>
            <w:tcW w:w="4266" w:type="dxa"/>
            <w:shd w:val="clear" w:color="auto" w:fill="auto"/>
          </w:tcPr>
          <w:p w14:paraId="435BD40B" w14:textId="77777777" w:rsidR="002D2010" w:rsidRPr="003408AC" w:rsidRDefault="002D2010" w:rsidP="009901D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 w:rsidRPr="003408AC">
              <w:rPr>
                <w:rFonts w:ascii="Calibri" w:hAnsi="Calibri" w:cs="Calibri"/>
                <w:b/>
                <w:bCs/>
              </w:rPr>
              <w:t>Reverse</w:t>
            </w:r>
          </w:p>
        </w:tc>
      </w:tr>
      <w:tr w:rsidR="002D2010" w:rsidRPr="00640BD9" w14:paraId="46FBB96C" w14:textId="77777777" w:rsidTr="009901DA">
        <w:tc>
          <w:tcPr>
            <w:tcW w:w="1192" w:type="dxa"/>
            <w:shd w:val="clear" w:color="auto" w:fill="auto"/>
          </w:tcPr>
          <w:p w14:paraId="70A37D84" w14:textId="77777777" w:rsidR="002D2010" w:rsidRPr="003408AC" w:rsidRDefault="002D2010" w:rsidP="009901DA">
            <w:pPr>
              <w:spacing w:line="240" w:lineRule="auto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TGFb3</w:t>
            </w:r>
          </w:p>
        </w:tc>
        <w:tc>
          <w:tcPr>
            <w:tcW w:w="3609" w:type="dxa"/>
            <w:shd w:val="clear" w:color="auto" w:fill="auto"/>
          </w:tcPr>
          <w:p w14:paraId="4B132085" w14:textId="77777777" w:rsidR="002D2010" w:rsidRPr="00640BD9" w:rsidRDefault="002D2010" w:rsidP="009901DA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TGTTGAGAAGAGAGTCCAAC</w:t>
            </w:r>
          </w:p>
        </w:tc>
        <w:tc>
          <w:tcPr>
            <w:tcW w:w="4266" w:type="dxa"/>
            <w:shd w:val="clear" w:color="auto" w:fill="auto"/>
          </w:tcPr>
          <w:p w14:paraId="37D379FD" w14:textId="77777777" w:rsidR="002D2010" w:rsidRPr="00640BD9" w:rsidRDefault="002D2010" w:rsidP="009901DA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ATCACCTCGTGAATGTTTTC</w:t>
            </w:r>
          </w:p>
        </w:tc>
      </w:tr>
      <w:tr w:rsidR="002D2010" w:rsidRPr="00640BD9" w14:paraId="0ED2F5C6" w14:textId="77777777" w:rsidTr="009901DA">
        <w:tc>
          <w:tcPr>
            <w:tcW w:w="1192" w:type="dxa"/>
            <w:shd w:val="clear" w:color="auto" w:fill="auto"/>
          </w:tcPr>
          <w:p w14:paraId="42054E42" w14:textId="77777777" w:rsidR="002D2010" w:rsidRPr="003408AC" w:rsidRDefault="002D2010" w:rsidP="009901DA">
            <w:pPr>
              <w:spacing w:line="240" w:lineRule="auto"/>
              <w:rPr>
                <w:rFonts w:ascii="Calibri" w:hAnsi="Calibri" w:cs="Calibri"/>
                <w:i/>
                <w:iCs/>
              </w:rPr>
            </w:pPr>
            <w:r w:rsidRPr="003408AC">
              <w:rPr>
                <w:rFonts w:ascii="Calibri" w:hAnsi="Calibri" w:cs="Calibri"/>
                <w:i/>
                <w:iCs/>
              </w:rPr>
              <w:lastRenderedPageBreak/>
              <w:t>VEGF</w:t>
            </w:r>
          </w:p>
        </w:tc>
        <w:tc>
          <w:tcPr>
            <w:tcW w:w="3609" w:type="dxa"/>
            <w:shd w:val="clear" w:color="auto" w:fill="auto"/>
          </w:tcPr>
          <w:p w14:paraId="609814A3" w14:textId="77777777" w:rsidR="002D2010" w:rsidRPr="00640BD9" w:rsidRDefault="002D2010" w:rsidP="009901DA">
            <w:pPr>
              <w:spacing w:line="240" w:lineRule="auto"/>
              <w:rPr>
                <w:rFonts w:ascii="Calibri" w:hAnsi="Calibri" w:cs="Calibri"/>
              </w:rPr>
            </w:pPr>
            <w:r w:rsidRPr="00640BD9">
              <w:rPr>
                <w:rFonts w:ascii="Calibri" w:hAnsi="Calibri" w:cs="Calibri"/>
              </w:rPr>
              <w:t>GCAGAATCATCACGAAGTGGTG</w:t>
            </w:r>
          </w:p>
        </w:tc>
        <w:tc>
          <w:tcPr>
            <w:tcW w:w="4266" w:type="dxa"/>
            <w:shd w:val="clear" w:color="auto" w:fill="auto"/>
          </w:tcPr>
          <w:p w14:paraId="455CA92D" w14:textId="77777777" w:rsidR="002D2010" w:rsidRPr="00640BD9" w:rsidRDefault="002D2010" w:rsidP="009901DA">
            <w:pPr>
              <w:spacing w:line="240" w:lineRule="auto"/>
              <w:rPr>
                <w:rFonts w:ascii="Calibri" w:hAnsi="Calibri" w:cs="Calibri"/>
              </w:rPr>
            </w:pPr>
            <w:r w:rsidRPr="00640BD9">
              <w:rPr>
                <w:rFonts w:ascii="Calibri" w:hAnsi="Calibri" w:cs="Calibri"/>
              </w:rPr>
              <w:t>TCTCGATTGGATGGCAGTAGCT</w:t>
            </w:r>
          </w:p>
        </w:tc>
      </w:tr>
      <w:tr w:rsidR="002D2010" w:rsidRPr="00640BD9" w14:paraId="4C40096E" w14:textId="77777777" w:rsidTr="009901DA">
        <w:tc>
          <w:tcPr>
            <w:tcW w:w="1192" w:type="dxa"/>
            <w:shd w:val="clear" w:color="auto" w:fill="auto"/>
          </w:tcPr>
          <w:p w14:paraId="4E2B58E9" w14:textId="77777777" w:rsidR="002D2010" w:rsidRPr="003408AC" w:rsidRDefault="002D2010" w:rsidP="009901DA">
            <w:pPr>
              <w:spacing w:line="240" w:lineRule="auto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RunX2</w:t>
            </w:r>
          </w:p>
        </w:tc>
        <w:tc>
          <w:tcPr>
            <w:tcW w:w="3609" w:type="dxa"/>
            <w:shd w:val="clear" w:color="auto" w:fill="auto"/>
          </w:tcPr>
          <w:p w14:paraId="6FFED462" w14:textId="77777777" w:rsidR="002D2010" w:rsidRPr="00640BD9" w:rsidRDefault="002D2010" w:rsidP="009901DA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GCAGTATTTACAACAGAGGG</w:t>
            </w:r>
          </w:p>
        </w:tc>
        <w:tc>
          <w:tcPr>
            <w:tcW w:w="4266" w:type="dxa"/>
            <w:shd w:val="clear" w:color="auto" w:fill="auto"/>
          </w:tcPr>
          <w:p w14:paraId="1E26A977" w14:textId="77777777" w:rsidR="002D2010" w:rsidRPr="00640BD9" w:rsidRDefault="002D2010" w:rsidP="009901DA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TCCCAAAAGAAGTTTTGCTG</w:t>
            </w:r>
          </w:p>
        </w:tc>
      </w:tr>
      <w:tr w:rsidR="002D2010" w:rsidRPr="00640BD9" w14:paraId="36C078FF" w14:textId="77777777" w:rsidTr="009901DA">
        <w:tc>
          <w:tcPr>
            <w:tcW w:w="1192" w:type="dxa"/>
            <w:shd w:val="clear" w:color="auto" w:fill="auto"/>
          </w:tcPr>
          <w:p w14:paraId="4FB69A93" w14:textId="77777777" w:rsidR="002D2010" w:rsidRPr="003408AC" w:rsidRDefault="002D2010" w:rsidP="009901DA">
            <w:pPr>
              <w:spacing w:line="240" w:lineRule="auto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Sox9</w:t>
            </w:r>
          </w:p>
        </w:tc>
        <w:tc>
          <w:tcPr>
            <w:tcW w:w="3609" w:type="dxa"/>
            <w:shd w:val="clear" w:color="auto" w:fill="auto"/>
          </w:tcPr>
          <w:p w14:paraId="2B54DC89" w14:textId="77777777" w:rsidR="002D2010" w:rsidRPr="00640BD9" w:rsidRDefault="002D2010" w:rsidP="009901DA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CTCTGGAGACTTCTGAACG</w:t>
            </w:r>
          </w:p>
        </w:tc>
        <w:tc>
          <w:tcPr>
            <w:tcW w:w="4266" w:type="dxa"/>
            <w:shd w:val="clear" w:color="auto" w:fill="auto"/>
          </w:tcPr>
          <w:p w14:paraId="719D3328" w14:textId="77777777" w:rsidR="002D2010" w:rsidRPr="00640BD9" w:rsidRDefault="002D2010" w:rsidP="009901DA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AGATGTGCGTCTGCTC</w:t>
            </w:r>
          </w:p>
        </w:tc>
      </w:tr>
      <w:tr w:rsidR="002D2010" w:rsidRPr="00640BD9" w14:paraId="1B4D6CA9" w14:textId="77777777" w:rsidTr="009901DA">
        <w:tc>
          <w:tcPr>
            <w:tcW w:w="1192" w:type="dxa"/>
            <w:shd w:val="clear" w:color="auto" w:fill="auto"/>
          </w:tcPr>
          <w:p w14:paraId="10EEA508" w14:textId="77777777" w:rsidR="002D2010" w:rsidRDefault="002D2010" w:rsidP="009901DA">
            <w:pPr>
              <w:spacing w:line="240" w:lineRule="auto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Col1A</w:t>
            </w:r>
          </w:p>
        </w:tc>
        <w:tc>
          <w:tcPr>
            <w:tcW w:w="3609" w:type="dxa"/>
            <w:shd w:val="clear" w:color="auto" w:fill="auto"/>
          </w:tcPr>
          <w:p w14:paraId="2E3DE7F1" w14:textId="77777777" w:rsidR="002D2010" w:rsidRPr="00640BD9" w:rsidRDefault="002D2010" w:rsidP="009901DA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GCTATGAATGAGAAATCAACCG</w:t>
            </w:r>
          </w:p>
        </w:tc>
        <w:tc>
          <w:tcPr>
            <w:tcW w:w="4266" w:type="dxa"/>
            <w:shd w:val="clear" w:color="auto" w:fill="auto"/>
          </w:tcPr>
          <w:p w14:paraId="17F7DFB2" w14:textId="77777777" w:rsidR="002D2010" w:rsidRPr="00640BD9" w:rsidRDefault="002D2010" w:rsidP="009901DA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TCATCTCCATTCTTTCCAGG</w:t>
            </w:r>
          </w:p>
        </w:tc>
      </w:tr>
    </w:tbl>
    <w:p w14:paraId="044E3D54" w14:textId="3B2E96F2" w:rsidR="002D2010" w:rsidRDefault="007B1FA7" w:rsidP="002D2010">
      <w:r>
        <w:rPr>
          <w:noProof/>
        </w:rPr>
        <w:drawing>
          <wp:inline distT="0" distB="0" distL="0" distR="0" wp14:anchorId="056189A0" wp14:editId="5E8F7441">
            <wp:extent cx="5731510" cy="4400550"/>
            <wp:effectExtent l="0" t="0" r="2540" b="0"/>
            <wp:docPr id="3" name="Picture 3" descr="Graphical user interface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diagra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38041" w14:textId="6C8767D1" w:rsidR="002D2010" w:rsidRDefault="002D2010" w:rsidP="002D2010">
      <w:pPr>
        <w:pStyle w:val="Caption"/>
        <w:spacing w:line="360" w:lineRule="auto"/>
        <w:rPr>
          <w:i w:val="0"/>
          <w:iCs w:val="0"/>
          <w:color w:val="auto"/>
          <w:sz w:val="20"/>
          <w:szCs w:val="20"/>
        </w:rPr>
      </w:pPr>
      <w:r w:rsidRPr="00F66574">
        <w:rPr>
          <w:b/>
          <w:bCs/>
          <w:i w:val="0"/>
          <w:iCs w:val="0"/>
          <w:color w:val="auto"/>
          <w:sz w:val="20"/>
          <w:szCs w:val="20"/>
        </w:rPr>
        <w:t xml:space="preserve">Supplementary Figure </w:t>
      </w:r>
      <w:r w:rsidR="004153DC">
        <w:rPr>
          <w:b/>
          <w:bCs/>
          <w:i w:val="0"/>
          <w:iCs w:val="0"/>
          <w:color w:val="auto"/>
          <w:sz w:val="20"/>
          <w:szCs w:val="20"/>
        </w:rPr>
        <w:t>4</w:t>
      </w:r>
      <w:r w:rsidRPr="00F66574">
        <w:rPr>
          <w:b/>
          <w:bCs/>
          <w:i w:val="0"/>
          <w:iCs w:val="0"/>
          <w:color w:val="auto"/>
          <w:sz w:val="20"/>
          <w:szCs w:val="20"/>
        </w:rPr>
        <w:t>:</w:t>
      </w:r>
      <w:r w:rsidRPr="00F66574">
        <w:rPr>
          <w:i w:val="0"/>
          <w:iCs w:val="0"/>
          <w:color w:val="auto"/>
          <w:sz w:val="20"/>
          <w:szCs w:val="20"/>
        </w:rPr>
        <w:t xml:space="preserve"> Representative image of the gating strategy used for flow cytometry analysis. </w:t>
      </w:r>
    </w:p>
    <w:p w14:paraId="21A6B111" w14:textId="7291CF55" w:rsidR="004153DC" w:rsidRDefault="004153DC" w:rsidP="004153DC">
      <w:r>
        <w:rPr>
          <w:noProof/>
        </w:rPr>
        <w:lastRenderedPageBreak/>
        <w:drawing>
          <wp:inline distT="0" distB="0" distL="0" distR="0" wp14:anchorId="79F21861" wp14:editId="4AA76293">
            <wp:extent cx="2919730" cy="8863330"/>
            <wp:effectExtent l="0" t="0" r="0" b="0"/>
            <wp:docPr id="6" name="Picture 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7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2692A" w14:textId="61FCEC25" w:rsidR="004153DC" w:rsidRDefault="004153DC" w:rsidP="004153DC">
      <w:pPr>
        <w:pStyle w:val="Caption"/>
        <w:rPr>
          <w:rFonts w:cs="Times New Roman"/>
          <w:i w:val="0"/>
          <w:iCs w:val="0"/>
          <w:color w:val="auto"/>
          <w:sz w:val="22"/>
          <w:szCs w:val="22"/>
        </w:rPr>
      </w:pPr>
      <w:r w:rsidRPr="00F66574">
        <w:rPr>
          <w:b/>
          <w:bCs/>
          <w:i w:val="0"/>
          <w:iCs w:val="0"/>
          <w:color w:val="auto"/>
          <w:sz w:val="20"/>
          <w:szCs w:val="20"/>
        </w:rPr>
        <w:lastRenderedPageBreak/>
        <w:t xml:space="preserve">Supplementary Figure </w:t>
      </w:r>
      <w:r>
        <w:rPr>
          <w:b/>
          <w:bCs/>
          <w:i w:val="0"/>
          <w:iCs w:val="0"/>
          <w:color w:val="auto"/>
          <w:sz w:val="20"/>
          <w:szCs w:val="20"/>
        </w:rPr>
        <w:t>5</w:t>
      </w:r>
      <w:r w:rsidRPr="00F66574">
        <w:rPr>
          <w:b/>
          <w:bCs/>
          <w:i w:val="0"/>
          <w:iCs w:val="0"/>
          <w:color w:val="auto"/>
          <w:sz w:val="20"/>
          <w:szCs w:val="20"/>
        </w:rPr>
        <w:t>:</w:t>
      </w:r>
      <w:r w:rsidRPr="00F66574">
        <w:rPr>
          <w:i w:val="0"/>
          <w:iCs w:val="0"/>
          <w:color w:val="auto"/>
          <w:sz w:val="20"/>
          <w:szCs w:val="20"/>
        </w:rPr>
        <w:t xml:space="preserve"> </w:t>
      </w:r>
      <w:r w:rsidRPr="008016A1">
        <w:rPr>
          <w:rFonts w:cs="Times New Roman"/>
          <w:i w:val="0"/>
          <w:iCs w:val="0"/>
          <w:color w:val="auto"/>
          <w:sz w:val="22"/>
          <w:szCs w:val="22"/>
        </w:rPr>
        <w:t>Magnification images of microwell mould</w:t>
      </w:r>
      <w:r>
        <w:rPr>
          <w:rFonts w:cs="Times New Roman"/>
          <w:i w:val="0"/>
          <w:iCs w:val="0"/>
          <w:color w:val="auto"/>
          <w:sz w:val="22"/>
          <w:szCs w:val="22"/>
        </w:rPr>
        <w:t>s</w:t>
      </w:r>
      <w:r w:rsidRPr="008016A1">
        <w:rPr>
          <w:rFonts w:cs="Times New Roman"/>
          <w:i w:val="0"/>
          <w:iCs w:val="0"/>
          <w:color w:val="auto"/>
          <w:sz w:val="22"/>
          <w:szCs w:val="22"/>
        </w:rPr>
        <w:t xml:space="preserve"> and microwells formed.</w:t>
      </w:r>
    </w:p>
    <w:p w14:paraId="3EFC210E" w14:textId="35E82B34" w:rsidR="004F1562" w:rsidRDefault="004F1562" w:rsidP="004F1562">
      <w:r>
        <w:rPr>
          <w:rFonts w:cs="Times New Roman"/>
          <w:noProof/>
          <w:szCs w:val="24"/>
        </w:rPr>
        <w:drawing>
          <wp:inline distT="0" distB="0" distL="0" distR="0" wp14:anchorId="66A687E3" wp14:editId="1DB7F96A">
            <wp:extent cx="5724525" cy="4205605"/>
            <wp:effectExtent l="0" t="0" r="952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0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3CC9EA" w14:textId="2781F643" w:rsidR="00576B90" w:rsidRDefault="004F1562" w:rsidP="004F1562">
      <w:pPr>
        <w:pStyle w:val="Caption"/>
      </w:pPr>
      <w:r w:rsidRPr="00F66574">
        <w:rPr>
          <w:b/>
          <w:bCs/>
          <w:i w:val="0"/>
          <w:iCs w:val="0"/>
          <w:color w:val="auto"/>
          <w:sz w:val="20"/>
          <w:szCs w:val="20"/>
        </w:rPr>
        <w:t xml:space="preserve">Supplementary Figure </w:t>
      </w:r>
      <w:r>
        <w:rPr>
          <w:b/>
          <w:bCs/>
          <w:i w:val="0"/>
          <w:iCs w:val="0"/>
          <w:color w:val="auto"/>
          <w:sz w:val="20"/>
          <w:szCs w:val="20"/>
        </w:rPr>
        <w:t>6</w:t>
      </w:r>
      <w:r w:rsidRPr="00F66574">
        <w:rPr>
          <w:b/>
          <w:bCs/>
          <w:i w:val="0"/>
          <w:iCs w:val="0"/>
          <w:color w:val="auto"/>
          <w:sz w:val="20"/>
          <w:szCs w:val="20"/>
        </w:rPr>
        <w:t>:</w:t>
      </w:r>
      <w:r w:rsidRPr="00F66574">
        <w:rPr>
          <w:i w:val="0"/>
          <w:iCs w:val="0"/>
          <w:color w:val="auto"/>
          <w:sz w:val="20"/>
          <w:szCs w:val="20"/>
        </w:rPr>
        <w:t xml:space="preserve"> </w:t>
      </w:r>
      <w:r w:rsidRPr="00D74131">
        <w:rPr>
          <w:rFonts w:cs="Times New Roman"/>
          <w:b/>
          <w:bCs/>
          <w:i w:val="0"/>
          <w:iCs w:val="0"/>
          <w:color w:val="auto"/>
          <w:sz w:val="22"/>
          <w:szCs w:val="22"/>
        </w:rPr>
        <w:t>(A)</w:t>
      </w:r>
      <w:r w:rsidRPr="00D74131">
        <w:rPr>
          <w:rFonts w:cs="Times New Roman"/>
          <w:i w:val="0"/>
          <w:iCs w:val="0"/>
          <w:color w:val="auto"/>
          <w:sz w:val="22"/>
          <w:szCs w:val="22"/>
        </w:rPr>
        <w:t xml:space="preserve"> Schematic of </w:t>
      </w:r>
      <w:r>
        <w:rPr>
          <w:rFonts w:cs="Times New Roman"/>
          <w:i w:val="0"/>
          <w:iCs w:val="0"/>
          <w:color w:val="auto"/>
          <w:sz w:val="22"/>
          <w:szCs w:val="22"/>
        </w:rPr>
        <w:t xml:space="preserve">the </w:t>
      </w:r>
      <w:r w:rsidRPr="00D74131">
        <w:rPr>
          <w:rFonts w:cs="Times New Roman"/>
          <w:i w:val="0"/>
          <w:iCs w:val="0"/>
          <w:color w:val="auto"/>
          <w:sz w:val="22"/>
          <w:szCs w:val="22"/>
        </w:rPr>
        <w:t>cell</w:t>
      </w:r>
      <w:r>
        <w:rPr>
          <w:rFonts w:cs="Times New Roman"/>
          <w:i w:val="0"/>
          <w:iCs w:val="0"/>
          <w:color w:val="auto"/>
          <w:sz w:val="22"/>
          <w:szCs w:val="22"/>
        </w:rPr>
        <w:t xml:space="preserve"> </w:t>
      </w:r>
      <w:r w:rsidRPr="00D74131">
        <w:rPr>
          <w:rFonts w:cs="Times New Roman"/>
          <w:i w:val="0"/>
          <w:iCs w:val="0"/>
          <w:color w:val="auto"/>
          <w:sz w:val="22"/>
          <w:szCs w:val="22"/>
        </w:rPr>
        <w:t xml:space="preserve">ratios investigated. </w:t>
      </w:r>
      <w:r w:rsidRPr="00D74131">
        <w:rPr>
          <w:rFonts w:cs="Times New Roman"/>
          <w:b/>
          <w:bCs/>
          <w:i w:val="0"/>
          <w:iCs w:val="0"/>
          <w:color w:val="auto"/>
          <w:sz w:val="22"/>
          <w:szCs w:val="22"/>
        </w:rPr>
        <w:t>(B)</w:t>
      </w:r>
      <w:r w:rsidRPr="00D74131">
        <w:rPr>
          <w:rFonts w:cs="Times New Roman"/>
          <w:i w:val="0"/>
          <w:iCs w:val="0"/>
          <w:color w:val="auto"/>
          <w:sz w:val="22"/>
          <w:szCs w:val="22"/>
        </w:rPr>
        <w:t xml:space="preserve"> Average spheroids area determined using </w:t>
      </w:r>
      <w:proofErr w:type="spellStart"/>
      <w:r w:rsidRPr="00D74131">
        <w:rPr>
          <w:rFonts w:cs="Times New Roman"/>
          <w:i w:val="0"/>
          <w:iCs w:val="0"/>
          <w:color w:val="auto"/>
          <w:sz w:val="22"/>
          <w:szCs w:val="22"/>
        </w:rPr>
        <w:t>imageJ</w:t>
      </w:r>
      <w:proofErr w:type="spellEnd"/>
      <w:r w:rsidRPr="00D74131">
        <w:rPr>
          <w:rFonts w:cs="Times New Roman"/>
          <w:i w:val="0"/>
          <w:iCs w:val="0"/>
          <w:color w:val="auto"/>
          <w:sz w:val="22"/>
          <w:szCs w:val="22"/>
        </w:rPr>
        <w:t xml:space="preserve"> (</w:t>
      </w:r>
      <w:r w:rsidRPr="00D74131">
        <w:rPr>
          <w:rFonts w:cs="Times New Roman"/>
          <w:color w:val="auto"/>
          <w:sz w:val="22"/>
          <w:szCs w:val="22"/>
        </w:rPr>
        <w:t>n</w:t>
      </w:r>
      <w:r w:rsidRPr="00D74131">
        <w:rPr>
          <w:rFonts w:cs="Times New Roman"/>
          <w:i w:val="0"/>
          <w:iCs w:val="0"/>
          <w:color w:val="auto"/>
          <w:sz w:val="22"/>
          <w:szCs w:val="22"/>
        </w:rPr>
        <w:t>=8). Two-way ANOVA was performed with the addition of Tukey’s correction for multiple comparisons testing. ALP activity following 5 days of culture (</w:t>
      </w:r>
      <w:r w:rsidRPr="00D74131">
        <w:rPr>
          <w:rFonts w:cs="Times New Roman"/>
          <w:color w:val="auto"/>
          <w:sz w:val="22"/>
          <w:szCs w:val="22"/>
        </w:rPr>
        <w:t>n</w:t>
      </w:r>
      <w:r w:rsidRPr="00D74131">
        <w:rPr>
          <w:rFonts w:cs="Times New Roman"/>
          <w:i w:val="0"/>
          <w:iCs w:val="0"/>
          <w:color w:val="auto"/>
          <w:sz w:val="22"/>
          <w:szCs w:val="22"/>
        </w:rPr>
        <w:t xml:space="preserve">=3). </w:t>
      </w:r>
      <w:r w:rsidRPr="00D74131">
        <w:rPr>
          <w:rFonts w:cs="Times New Roman"/>
          <w:b/>
          <w:bCs/>
          <w:i w:val="0"/>
          <w:iCs w:val="0"/>
          <w:color w:val="auto"/>
          <w:sz w:val="22"/>
          <w:szCs w:val="22"/>
        </w:rPr>
        <w:t>(C)</w:t>
      </w:r>
      <w:r w:rsidRPr="00D74131">
        <w:rPr>
          <w:rFonts w:cs="Times New Roman"/>
          <w:i w:val="0"/>
          <w:iCs w:val="0"/>
          <w:color w:val="auto"/>
          <w:sz w:val="22"/>
          <w:szCs w:val="22"/>
        </w:rPr>
        <w:t xml:space="preserve"> One-way ANOVA was performed with the addition of Tukey’s correction for multiple comparisons testing. Error bars denote standard deviation.</w:t>
      </w:r>
    </w:p>
    <w:sectPr w:rsidR="00576B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010"/>
    <w:rsid w:val="002D2010"/>
    <w:rsid w:val="004153DC"/>
    <w:rsid w:val="004F1562"/>
    <w:rsid w:val="00576B90"/>
    <w:rsid w:val="006B0261"/>
    <w:rsid w:val="007B1FA7"/>
    <w:rsid w:val="00B31B9F"/>
    <w:rsid w:val="00D0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7DCA9"/>
  <w15:chartTrackingRefBased/>
  <w15:docId w15:val="{BC286979-1CB0-4C8A-BA15-B505EEB3E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2010"/>
    <w:pPr>
      <w:spacing w:line="48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2010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2010"/>
    <w:rPr>
      <w:rFonts w:ascii="Times New Roman" w:eastAsiaTheme="majorEastAsia" w:hAnsi="Times New Roman" w:cstheme="majorBidi"/>
      <w:b/>
      <w:sz w:val="24"/>
      <w:szCs w:val="32"/>
    </w:rPr>
  </w:style>
  <w:style w:type="paragraph" w:styleId="Caption">
    <w:name w:val="caption"/>
    <w:basedOn w:val="Normal"/>
    <w:next w:val="Normal"/>
    <w:uiPriority w:val="35"/>
    <w:unhideWhenUsed/>
    <w:qFormat/>
    <w:rsid w:val="002D201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6B0261"/>
    <w:pPr>
      <w:spacing w:after="0"/>
      <w:contextualSpacing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0261"/>
    <w:rPr>
      <w:rFonts w:ascii="Times New Roman" w:eastAsiaTheme="majorEastAsia" w:hAnsi="Times New Roman" w:cstheme="majorBidi"/>
      <w:b/>
      <w:spacing w:val="-10"/>
      <w:kern w:val="28"/>
      <w:sz w:val="24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theme" Target="theme/theme1.xml"/><Relationship Id="rId5" Type="http://schemas.openxmlformats.org/officeDocument/2006/relationships/image" Target="media/image2.tiff"/><Relationship Id="rId10" Type="http://schemas.openxmlformats.org/officeDocument/2006/relationships/fontTable" Target="fontTable.xml"/><Relationship Id="rId4" Type="http://schemas.openxmlformats.org/officeDocument/2006/relationships/image" Target="media/image1.tiff"/><Relationship Id="rId9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Freeman</dc:creator>
  <cp:keywords/>
  <dc:description/>
  <cp:lastModifiedBy>Fiona Freeman</cp:lastModifiedBy>
  <cp:revision>5</cp:revision>
  <cp:lastPrinted>2021-10-07T13:12:00Z</cp:lastPrinted>
  <dcterms:created xsi:type="dcterms:W3CDTF">2021-06-30T21:46:00Z</dcterms:created>
  <dcterms:modified xsi:type="dcterms:W3CDTF">2021-10-07T13:13:00Z</dcterms:modified>
</cp:coreProperties>
</file>