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B56CEB" w14:textId="77777777" w:rsidR="00AC02ED" w:rsidRPr="005454CE" w:rsidRDefault="00AC02ED" w:rsidP="00590C9D">
      <w:pPr>
        <w:spacing w:after="160" w:line="259" w:lineRule="auto"/>
        <w:jc w:val="center"/>
        <w:rPr>
          <w:rFonts w:asciiTheme="minorHAnsi" w:eastAsia="Calibri" w:hAnsiTheme="minorHAnsi" w:cstheme="minorHAnsi"/>
          <w:b/>
          <w:sz w:val="28"/>
          <w:szCs w:val="28"/>
          <w:lang w:val="en-GB" w:eastAsia="en-US"/>
        </w:rPr>
      </w:pPr>
      <w:r w:rsidRPr="005454CE">
        <w:rPr>
          <w:rFonts w:asciiTheme="minorHAnsi" w:eastAsia="Calibri" w:hAnsiTheme="minorHAnsi" w:cstheme="minorHAnsi"/>
          <w:b/>
          <w:sz w:val="28"/>
          <w:szCs w:val="28"/>
          <w:lang w:val="en-GB" w:eastAsia="en-US"/>
        </w:rPr>
        <w:t>Oxygen Evolution Catalysts under Proton Exchange Membrane Conditions in a Conventional Three Electrode Cell vs. Electrolyser Device: A Comparison Study and a 3D-Printed Electrolyser for Academic Labs</w:t>
      </w:r>
    </w:p>
    <w:p w14:paraId="5D205766" w14:textId="6605B51D" w:rsidR="00AC02ED" w:rsidRPr="005454CE" w:rsidRDefault="00AC02ED" w:rsidP="00590C9D">
      <w:pPr>
        <w:spacing w:after="160" w:line="259" w:lineRule="auto"/>
        <w:jc w:val="center"/>
        <w:rPr>
          <w:rFonts w:asciiTheme="minorHAnsi" w:eastAsia="Calibri" w:hAnsiTheme="minorHAnsi" w:cstheme="minorHAnsi"/>
          <w:bCs/>
          <w:sz w:val="22"/>
          <w:szCs w:val="22"/>
          <w:lang w:val="en-GB" w:eastAsia="en-US"/>
        </w:rPr>
      </w:pPr>
      <w:r w:rsidRPr="005454CE">
        <w:rPr>
          <w:rFonts w:asciiTheme="minorHAnsi" w:eastAsia="Calibri" w:hAnsiTheme="minorHAnsi" w:cstheme="minorHAnsi"/>
          <w:bCs/>
          <w:sz w:val="22"/>
          <w:szCs w:val="22"/>
          <w:lang w:val="en-GB" w:eastAsia="en-US"/>
        </w:rPr>
        <w:t>Michelle P. Browne</w:t>
      </w:r>
      <w:r w:rsidRPr="005454CE">
        <w:rPr>
          <w:rFonts w:asciiTheme="minorHAnsi" w:eastAsia="Calibri" w:hAnsiTheme="minorHAnsi" w:cstheme="minorHAnsi"/>
          <w:bCs/>
          <w:sz w:val="22"/>
          <w:szCs w:val="22"/>
          <w:vertAlign w:val="superscript"/>
          <w:lang w:val="en-GB" w:eastAsia="en-US"/>
        </w:rPr>
        <w:t>ab#</w:t>
      </w:r>
      <w:r w:rsidRPr="005454CE">
        <w:rPr>
          <w:rFonts w:asciiTheme="minorHAnsi" w:eastAsia="Calibri" w:hAnsiTheme="minorHAnsi" w:cstheme="minorHAnsi"/>
          <w:bCs/>
          <w:sz w:val="22"/>
          <w:szCs w:val="22"/>
          <w:lang w:val="en-GB" w:eastAsia="en-US"/>
        </w:rPr>
        <w:t>, James Dodwell</w:t>
      </w:r>
      <w:r w:rsidRPr="005454CE">
        <w:rPr>
          <w:rFonts w:asciiTheme="minorHAnsi" w:eastAsia="Calibri" w:hAnsiTheme="minorHAnsi" w:cstheme="minorHAnsi"/>
          <w:bCs/>
          <w:sz w:val="22"/>
          <w:szCs w:val="22"/>
          <w:vertAlign w:val="superscript"/>
          <w:lang w:val="en-GB" w:eastAsia="en-US"/>
        </w:rPr>
        <w:t>c#</w:t>
      </w:r>
      <w:r w:rsidRPr="005454CE">
        <w:rPr>
          <w:rFonts w:asciiTheme="minorHAnsi" w:eastAsia="Calibri" w:hAnsiTheme="minorHAnsi" w:cstheme="minorHAnsi"/>
          <w:bCs/>
          <w:sz w:val="22"/>
          <w:szCs w:val="22"/>
          <w:lang w:val="en-GB" w:eastAsia="en-US"/>
        </w:rPr>
        <w:t>, Filip Novotny</w:t>
      </w:r>
      <w:r w:rsidR="001B3B04">
        <w:rPr>
          <w:rFonts w:asciiTheme="minorHAnsi" w:eastAsia="Calibri" w:hAnsiTheme="minorHAnsi" w:cstheme="minorHAnsi"/>
          <w:bCs/>
          <w:sz w:val="22"/>
          <w:szCs w:val="22"/>
          <w:vertAlign w:val="superscript"/>
          <w:lang w:val="en-GB" w:eastAsia="en-US"/>
        </w:rPr>
        <w:t>a</w:t>
      </w:r>
      <w:r w:rsidRPr="005454CE">
        <w:rPr>
          <w:rFonts w:asciiTheme="minorHAnsi" w:eastAsia="Calibri" w:hAnsiTheme="minorHAnsi" w:cstheme="minorHAnsi"/>
          <w:bCs/>
          <w:sz w:val="22"/>
          <w:szCs w:val="22"/>
          <w:lang w:val="en-GB" w:eastAsia="en-US"/>
        </w:rPr>
        <w:t>, Sonia Jaśkaniec</w:t>
      </w:r>
      <w:r w:rsidR="001B3B04">
        <w:rPr>
          <w:rFonts w:asciiTheme="minorHAnsi" w:eastAsia="Calibri" w:hAnsiTheme="minorHAnsi" w:cstheme="minorHAnsi"/>
          <w:bCs/>
          <w:sz w:val="22"/>
          <w:szCs w:val="22"/>
          <w:vertAlign w:val="superscript"/>
          <w:lang w:val="en-GB" w:eastAsia="en-US"/>
        </w:rPr>
        <w:t>b</w:t>
      </w:r>
      <w:r w:rsidRPr="005454CE">
        <w:rPr>
          <w:rFonts w:asciiTheme="minorHAnsi" w:eastAsia="Calibri" w:hAnsiTheme="minorHAnsi" w:cstheme="minorHAnsi"/>
          <w:bCs/>
          <w:sz w:val="22"/>
          <w:szCs w:val="22"/>
          <w:lang w:val="en-GB" w:eastAsia="en-US"/>
        </w:rPr>
        <w:t>, Paul R. Shearing</w:t>
      </w:r>
      <w:r w:rsidRPr="005454CE">
        <w:rPr>
          <w:rFonts w:asciiTheme="minorHAnsi" w:eastAsia="Calibri" w:hAnsiTheme="minorHAnsi" w:cstheme="minorHAnsi"/>
          <w:bCs/>
          <w:sz w:val="22"/>
          <w:szCs w:val="22"/>
          <w:vertAlign w:val="superscript"/>
          <w:lang w:val="en-GB" w:eastAsia="en-US"/>
        </w:rPr>
        <w:t>c</w:t>
      </w:r>
      <w:r w:rsidRPr="005454CE">
        <w:rPr>
          <w:rFonts w:asciiTheme="minorHAnsi" w:eastAsia="Calibri" w:hAnsiTheme="minorHAnsi" w:cstheme="minorHAnsi"/>
          <w:bCs/>
          <w:sz w:val="22"/>
          <w:szCs w:val="22"/>
          <w:lang w:val="en-GB" w:eastAsia="en-US"/>
        </w:rPr>
        <w:t>, Valeria Nicolosi</w:t>
      </w:r>
      <w:r w:rsidR="001B3B04">
        <w:rPr>
          <w:rFonts w:asciiTheme="minorHAnsi" w:eastAsia="Calibri" w:hAnsiTheme="minorHAnsi" w:cstheme="minorHAnsi"/>
          <w:bCs/>
          <w:sz w:val="22"/>
          <w:szCs w:val="22"/>
          <w:vertAlign w:val="superscript"/>
          <w:lang w:val="en-GB" w:eastAsia="en-US"/>
        </w:rPr>
        <w:t>bd</w:t>
      </w:r>
      <w:r w:rsidRPr="005454CE">
        <w:rPr>
          <w:rFonts w:asciiTheme="minorHAnsi" w:eastAsia="Calibri" w:hAnsiTheme="minorHAnsi" w:cstheme="minorHAnsi"/>
          <w:bCs/>
          <w:sz w:val="22"/>
          <w:szCs w:val="22"/>
          <w:lang w:val="en-GB" w:eastAsia="en-US"/>
        </w:rPr>
        <w:t>, Dan J.L. Brett</w:t>
      </w:r>
      <w:r w:rsidRPr="005454CE">
        <w:rPr>
          <w:rFonts w:asciiTheme="minorHAnsi" w:eastAsia="Calibri" w:hAnsiTheme="minorHAnsi" w:cstheme="minorHAnsi"/>
          <w:bCs/>
          <w:sz w:val="22"/>
          <w:szCs w:val="22"/>
          <w:vertAlign w:val="superscript"/>
          <w:lang w:val="en-GB" w:eastAsia="en-US"/>
        </w:rPr>
        <w:t>c</w:t>
      </w:r>
      <w:r w:rsidRPr="005454CE">
        <w:rPr>
          <w:rFonts w:asciiTheme="minorHAnsi" w:eastAsia="Calibri" w:hAnsiTheme="minorHAnsi" w:cstheme="minorHAnsi"/>
          <w:bCs/>
          <w:sz w:val="22"/>
          <w:szCs w:val="22"/>
          <w:lang w:val="en-GB" w:eastAsia="en-US"/>
        </w:rPr>
        <w:t xml:space="preserve"> and Martin Pumera</w:t>
      </w:r>
      <w:r w:rsidR="001B3B04">
        <w:rPr>
          <w:rFonts w:asciiTheme="minorHAnsi" w:eastAsia="Calibri" w:hAnsiTheme="minorHAnsi" w:cstheme="minorHAnsi"/>
          <w:bCs/>
          <w:sz w:val="22"/>
          <w:szCs w:val="22"/>
          <w:vertAlign w:val="superscript"/>
          <w:lang w:val="en-GB" w:eastAsia="en-US"/>
        </w:rPr>
        <w:t>aefg</w:t>
      </w:r>
    </w:p>
    <w:p w14:paraId="3CC5D0B4" w14:textId="77777777" w:rsidR="00AC02ED" w:rsidRPr="005454CE" w:rsidRDefault="00AC02ED" w:rsidP="00590C9D">
      <w:pPr>
        <w:spacing w:after="160" w:line="259" w:lineRule="auto"/>
        <w:jc w:val="both"/>
        <w:rPr>
          <w:rFonts w:asciiTheme="minorHAnsi" w:eastAsia="Calibri" w:hAnsiTheme="minorHAnsi" w:cstheme="minorHAnsi"/>
          <w:sz w:val="22"/>
          <w:szCs w:val="22"/>
          <w:lang w:val="en-GB" w:eastAsia="en-US"/>
        </w:rPr>
      </w:pPr>
      <w:r w:rsidRPr="005454CE">
        <w:rPr>
          <w:rFonts w:asciiTheme="minorHAnsi" w:eastAsia="Calibri" w:hAnsiTheme="minorHAnsi" w:cstheme="minorHAnsi"/>
          <w:sz w:val="22"/>
          <w:szCs w:val="22"/>
          <w:vertAlign w:val="superscript"/>
          <w:lang w:val="en-GB" w:eastAsia="en-US"/>
        </w:rPr>
        <w:t xml:space="preserve"># </w:t>
      </w:r>
      <w:r w:rsidRPr="005454CE">
        <w:rPr>
          <w:rFonts w:asciiTheme="minorHAnsi" w:eastAsia="Calibri" w:hAnsiTheme="minorHAnsi" w:cstheme="minorHAnsi"/>
          <w:sz w:val="22"/>
          <w:szCs w:val="22"/>
          <w:lang w:val="en-GB" w:eastAsia="en-US"/>
        </w:rPr>
        <w:t>joint first authorship</w:t>
      </w:r>
    </w:p>
    <w:p w14:paraId="7462E398" w14:textId="032D0402" w:rsidR="001B3B04" w:rsidRDefault="001B3B04" w:rsidP="001B3B04">
      <w:pPr>
        <w:jc w:val="both"/>
        <w:rPr>
          <w:rFonts w:asciiTheme="minorHAnsi" w:hAnsiTheme="minorHAnsi" w:cstheme="minorHAnsi"/>
          <w:sz w:val="22"/>
          <w:szCs w:val="22"/>
          <w:lang w:val="en-GB"/>
        </w:rPr>
      </w:pPr>
      <w:r>
        <w:rPr>
          <w:rFonts w:asciiTheme="minorHAnsi" w:hAnsiTheme="minorHAnsi" w:cstheme="minorHAnsi"/>
          <w:sz w:val="22"/>
          <w:szCs w:val="22"/>
          <w:vertAlign w:val="superscript"/>
          <w:lang w:val="en-GB"/>
        </w:rPr>
        <w:t>a</w:t>
      </w:r>
      <w:r w:rsidR="00AC02ED" w:rsidRPr="005454CE">
        <w:rPr>
          <w:rFonts w:asciiTheme="minorHAnsi" w:hAnsiTheme="minorHAnsi" w:cstheme="minorHAnsi"/>
          <w:sz w:val="22"/>
          <w:szCs w:val="22"/>
          <w:vertAlign w:val="superscript"/>
          <w:lang w:val="en-GB"/>
        </w:rPr>
        <w:t xml:space="preserve"> </w:t>
      </w:r>
      <w:r w:rsidR="00AC02ED" w:rsidRPr="005454CE">
        <w:rPr>
          <w:rFonts w:asciiTheme="minorHAnsi" w:hAnsiTheme="minorHAnsi" w:cstheme="minorHAnsi"/>
          <w:sz w:val="22"/>
          <w:szCs w:val="22"/>
          <w:lang w:val="en-GB"/>
        </w:rPr>
        <w:t>Center for Advanced Functional Nanorobots, Department of Inorganic Chemistry, University of Chemistry and Technology Prague, Technicka 5, 166 28 Prague 6, Czech Republic</w:t>
      </w:r>
    </w:p>
    <w:p w14:paraId="502D893B" w14:textId="276D7305" w:rsidR="00AC02ED" w:rsidRPr="001B3B04" w:rsidRDefault="001B3B04" w:rsidP="00FD030B">
      <w:pPr>
        <w:jc w:val="both"/>
        <w:rPr>
          <w:rFonts w:asciiTheme="minorHAnsi" w:hAnsiTheme="minorHAnsi" w:cstheme="minorHAnsi"/>
          <w:sz w:val="22"/>
          <w:szCs w:val="22"/>
          <w:vertAlign w:val="superscript"/>
          <w:lang w:val="en-GB"/>
        </w:rPr>
      </w:pPr>
      <w:r w:rsidRPr="001B3B04">
        <w:rPr>
          <w:rFonts w:asciiTheme="minorHAnsi" w:hAnsiTheme="minorHAnsi" w:cstheme="minorHAnsi"/>
          <w:sz w:val="22"/>
          <w:szCs w:val="22"/>
          <w:vertAlign w:val="superscript"/>
          <w:lang w:val="en-GB"/>
        </w:rPr>
        <w:t xml:space="preserve"> </w:t>
      </w:r>
      <w:r>
        <w:rPr>
          <w:rFonts w:asciiTheme="minorHAnsi" w:hAnsiTheme="minorHAnsi" w:cstheme="minorHAnsi"/>
          <w:sz w:val="22"/>
          <w:szCs w:val="22"/>
          <w:vertAlign w:val="superscript"/>
          <w:lang w:val="en-GB"/>
        </w:rPr>
        <w:t>b</w:t>
      </w:r>
      <w:r w:rsidRPr="005454CE">
        <w:rPr>
          <w:rFonts w:asciiTheme="minorHAnsi" w:hAnsiTheme="minorHAnsi" w:cstheme="minorHAnsi"/>
          <w:sz w:val="22"/>
          <w:szCs w:val="22"/>
          <w:vertAlign w:val="superscript"/>
          <w:lang w:val="en-GB"/>
        </w:rPr>
        <w:t xml:space="preserve"> </w:t>
      </w:r>
      <w:r w:rsidRPr="005454CE">
        <w:rPr>
          <w:rFonts w:asciiTheme="minorHAnsi" w:hAnsiTheme="minorHAnsi" w:cstheme="minorHAnsi"/>
          <w:sz w:val="22"/>
          <w:szCs w:val="22"/>
          <w:lang w:val="en-GB"/>
        </w:rPr>
        <w:t xml:space="preserve">Centre for Research on Adaptive Nanostructures and Nanodevices (CRANN), Advanced Materials and    BioEngineering Research (AMBER) Centre and School of Chemistry, Trinity College Dublin, Ireland. </w:t>
      </w:r>
    </w:p>
    <w:p w14:paraId="7DF67BF7" w14:textId="77777777" w:rsidR="00AC02ED" w:rsidRPr="005454CE" w:rsidRDefault="00AC02ED" w:rsidP="00FD030B">
      <w:pPr>
        <w:jc w:val="both"/>
        <w:rPr>
          <w:rFonts w:asciiTheme="minorHAnsi" w:hAnsiTheme="minorHAnsi" w:cstheme="minorHAnsi"/>
          <w:sz w:val="22"/>
          <w:szCs w:val="22"/>
          <w:lang w:val="en-US"/>
        </w:rPr>
      </w:pPr>
      <w:r w:rsidRPr="005454CE">
        <w:rPr>
          <w:rFonts w:asciiTheme="minorHAnsi" w:hAnsiTheme="minorHAnsi" w:cstheme="minorHAnsi"/>
          <w:iCs/>
          <w:sz w:val="22"/>
          <w:szCs w:val="22"/>
          <w:vertAlign w:val="superscript"/>
          <w:lang w:val="en-GB"/>
        </w:rPr>
        <w:t>c</w:t>
      </w:r>
      <w:r w:rsidRPr="005454CE">
        <w:rPr>
          <w:rFonts w:asciiTheme="minorHAnsi" w:hAnsiTheme="minorHAnsi" w:cstheme="minorHAnsi"/>
          <w:sz w:val="22"/>
          <w:szCs w:val="22"/>
          <w:lang w:val="en-US"/>
        </w:rPr>
        <w:t xml:space="preserve"> Electrochemical Innovation Lab, Department of Chemical Engineering, University College London, London, WC1E 7JE, United Kingdom</w:t>
      </w:r>
    </w:p>
    <w:p w14:paraId="0ACA87AE" w14:textId="7315B462" w:rsidR="00AC02ED" w:rsidRPr="005454CE" w:rsidRDefault="001B3B04" w:rsidP="00FD030B">
      <w:pPr>
        <w:jc w:val="both"/>
        <w:rPr>
          <w:rFonts w:asciiTheme="minorHAnsi" w:hAnsiTheme="minorHAnsi" w:cstheme="minorHAnsi"/>
          <w:sz w:val="22"/>
          <w:szCs w:val="22"/>
          <w:lang w:val="cs-CZ"/>
        </w:rPr>
      </w:pPr>
      <w:r>
        <w:rPr>
          <w:rFonts w:asciiTheme="minorHAnsi" w:hAnsiTheme="minorHAnsi" w:cstheme="minorHAnsi"/>
          <w:sz w:val="22"/>
          <w:szCs w:val="22"/>
          <w:vertAlign w:val="superscript"/>
          <w:lang w:val="cs-CZ"/>
        </w:rPr>
        <w:t>d</w:t>
      </w:r>
      <w:r w:rsidR="00AC02ED" w:rsidRPr="005454CE">
        <w:rPr>
          <w:rFonts w:asciiTheme="minorHAnsi" w:hAnsiTheme="minorHAnsi" w:cstheme="minorHAnsi"/>
          <w:sz w:val="22"/>
          <w:szCs w:val="22"/>
          <w:lang w:val="cs-CZ"/>
        </w:rPr>
        <w:t xml:space="preserve"> </w:t>
      </w:r>
      <w:r w:rsidR="00AC02ED" w:rsidRPr="005454CE">
        <w:rPr>
          <w:rFonts w:asciiTheme="minorHAnsi" w:hAnsiTheme="minorHAnsi" w:cstheme="minorHAnsi"/>
          <w:sz w:val="22"/>
          <w:szCs w:val="22"/>
        </w:rPr>
        <w:t>I-Form Research Center, Trinity College Dublin, Dublin, Ireland</w:t>
      </w:r>
    </w:p>
    <w:p w14:paraId="16C3CA32" w14:textId="5E891C20" w:rsidR="00AC02ED" w:rsidRPr="005454CE" w:rsidRDefault="001B3B04" w:rsidP="00FD030B">
      <w:pPr>
        <w:jc w:val="both"/>
        <w:rPr>
          <w:rFonts w:asciiTheme="minorHAnsi" w:hAnsiTheme="minorHAnsi" w:cstheme="minorHAnsi"/>
          <w:sz w:val="22"/>
          <w:szCs w:val="22"/>
          <w:lang w:val="en-GB"/>
        </w:rPr>
      </w:pPr>
      <w:r>
        <w:rPr>
          <w:rFonts w:asciiTheme="minorHAnsi" w:hAnsiTheme="minorHAnsi" w:cstheme="minorHAnsi"/>
          <w:sz w:val="22"/>
          <w:szCs w:val="22"/>
          <w:vertAlign w:val="superscript"/>
          <w:lang w:val="cs-CZ"/>
        </w:rPr>
        <w:t>e</w:t>
      </w:r>
      <w:r w:rsidR="00AC02ED" w:rsidRPr="005454CE">
        <w:rPr>
          <w:rFonts w:asciiTheme="minorHAnsi" w:hAnsiTheme="minorHAnsi" w:cstheme="minorHAnsi"/>
          <w:sz w:val="22"/>
          <w:szCs w:val="22"/>
          <w:lang w:val="cs-CZ"/>
        </w:rPr>
        <w:t xml:space="preserve"> Department of </w:t>
      </w:r>
      <w:r w:rsidR="00AC02ED" w:rsidRPr="005454CE">
        <w:rPr>
          <w:rFonts w:asciiTheme="minorHAnsi" w:hAnsiTheme="minorHAnsi" w:cstheme="minorHAnsi"/>
          <w:sz w:val="22"/>
          <w:szCs w:val="22"/>
          <w:lang w:val="en-GB"/>
        </w:rPr>
        <w:t>Medical</w:t>
      </w:r>
      <w:r w:rsidR="00AC02ED" w:rsidRPr="005454CE">
        <w:rPr>
          <w:rFonts w:asciiTheme="minorHAnsi" w:hAnsiTheme="minorHAnsi" w:cstheme="minorHAnsi"/>
          <w:sz w:val="22"/>
          <w:szCs w:val="22"/>
          <w:lang w:val="cs-CZ"/>
        </w:rPr>
        <w:t xml:space="preserve"> Research, China Medical University Hospital, China Medical University, </w:t>
      </w:r>
      <w:r w:rsidR="00AC02ED" w:rsidRPr="005454CE">
        <w:rPr>
          <w:rFonts w:asciiTheme="minorHAnsi" w:hAnsiTheme="minorHAnsi" w:cstheme="minorHAnsi"/>
          <w:sz w:val="22"/>
          <w:szCs w:val="22"/>
          <w:lang w:val="en-US"/>
        </w:rPr>
        <w:t xml:space="preserve">No. </w:t>
      </w:r>
      <w:r w:rsidR="00AC02ED" w:rsidRPr="005454CE">
        <w:rPr>
          <w:rFonts w:asciiTheme="minorHAnsi" w:hAnsiTheme="minorHAnsi" w:cstheme="minorHAnsi"/>
          <w:sz w:val="22"/>
          <w:szCs w:val="22"/>
          <w:lang w:val="cs-CZ"/>
        </w:rPr>
        <w:t xml:space="preserve">91 </w:t>
      </w:r>
      <w:r w:rsidR="00AC02ED" w:rsidRPr="005454CE">
        <w:rPr>
          <w:rFonts w:asciiTheme="minorHAnsi" w:hAnsiTheme="minorHAnsi" w:cstheme="minorHAnsi"/>
          <w:sz w:val="22"/>
          <w:szCs w:val="22"/>
          <w:lang w:val="en-GB"/>
        </w:rPr>
        <w:t>Hsueh-Shih Road, Taichung, Taiwan</w:t>
      </w:r>
    </w:p>
    <w:p w14:paraId="7030AB8A" w14:textId="692FDEA5" w:rsidR="00AC02ED" w:rsidRPr="005454CE" w:rsidRDefault="001B3B04" w:rsidP="00FD030B">
      <w:pPr>
        <w:jc w:val="both"/>
        <w:rPr>
          <w:rFonts w:asciiTheme="minorHAnsi" w:hAnsiTheme="minorHAnsi" w:cstheme="minorHAnsi"/>
          <w:sz w:val="22"/>
          <w:szCs w:val="22"/>
          <w:lang w:val="en-GB"/>
        </w:rPr>
      </w:pPr>
      <w:r>
        <w:rPr>
          <w:rFonts w:asciiTheme="minorHAnsi" w:hAnsiTheme="minorHAnsi" w:cstheme="minorHAnsi"/>
          <w:sz w:val="22"/>
          <w:szCs w:val="22"/>
          <w:vertAlign w:val="superscript"/>
          <w:lang w:val="en-GB"/>
        </w:rPr>
        <w:t>f</w:t>
      </w:r>
      <w:r w:rsidR="00AC02ED" w:rsidRPr="005454CE">
        <w:rPr>
          <w:rFonts w:asciiTheme="minorHAnsi" w:hAnsiTheme="minorHAnsi" w:cstheme="minorHAnsi"/>
          <w:sz w:val="22"/>
          <w:szCs w:val="22"/>
          <w:lang w:val="en-GB"/>
        </w:rPr>
        <w:t xml:space="preserve"> Department of Chemical and Biomolecular Engineering, Yonsei University, 50 Yonsei-ro, Seodaemun-gu, Seoul 03722, Korea</w:t>
      </w:r>
    </w:p>
    <w:p w14:paraId="1631C2FF" w14:textId="1E93D780" w:rsidR="00AC02ED" w:rsidRPr="005454CE" w:rsidRDefault="001B3B04" w:rsidP="00FD030B">
      <w:pPr>
        <w:jc w:val="both"/>
        <w:rPr>
          <w:rFonts w:asciiTheme="minorHAnsi" w:hAnsiTheme="minorHAnsi" w:cstheme="minorHAnsi"/>
          <w:sz w:val="22"/>
          <w:szCs w:val="22"/>
          <w:lang w:val="en-GB"/>
        </w:rPr>
      </w:pPr>
      <w:r>
        <w:rPr>
          <w:rFonts w:asciiTheme="minorHAnsi" w:hAnsiTheme="minorHAnsi" w:cstheme="minorHAnsi"/>
          <w:sz w:val="22"/>
          <w:szCs w:val="22"/>
          <w:vertAlign w:val="superscript"/>
          <w:lang w:val="en-GB"/>
        </w:rPr>
        <w:t>g</w:t>
      </w:r>
      <w:r w:rsidR="00AC02ED" w:rsidRPr="005454CE">
        <w:rPr>
          <w:rFonts w:asciiTheme="minorHAnsi" w:hAnsiTheme="minorHAnsi" w:cstheme="minorHAnsi"/>
          <w:sz w:val="22"/>
          <w:szCs w:val="22"/>
          <w:lang w:val="en-GB"/>
        </w:rPr>
        <w:t xml:space="preserve"> Future Energy and Innovation Laboratory, Central European Institute of Technology, Brno University of Technology, Purkyňova 656/123, Brno, CZ-616 00, Czech Republic</w:t>
      </w:r>
    </w:p>
    <w:p w14:paraId="0E127FD7" w14:textId="77777777" w:rsidR="00AC02ED" w:rsidRPr="005454CE" w:rsidRDefault="00AC02ED" w:rsidP="00590C9D">
      <w:pPr>
        <w:rPr>
          <w:rFonts w:asciiTheme="minorHAnsi" w:hAnsiTheme="minorHAnsi" w:cstheme="minorHAnsi"/>
          <w:sz w:val="22"/>
          <w:szCs w:val="22"/>
          <w:lang w:val="en-GB"/>
        </w:rPr>
      </w:pPr>
    </w:p>
    <w:p w14:paraId="76BF0E5A" w14:textId="77777777" w:rsidR="00AC02ED" w:rsidRPr="005454CE" w:rsidRDefault="00AC02ED" w:rsidP="00590C9D">
      <w:pPr>
        <w:rPr>
          <w:rFonts w:asciiTheme="minorHAnsi" w:hAnsiTheme="minorHAnsi" w:cstheme="minorHAnsi"/>
          <w:bCs/>
          <w:iCs/>
          <w:sz w:val="22"/>
          <w:szCs w:val="22"/>
          <w:lang w:val="en-GB"/>
        </w:rPr>
      </w:pPr>
      <w:r w:rsidRPr="005454CE">
        <w:rPr>
          <w:rFonts w:asciiTheme="minorHAnsi" w:hAnsiTheme="minorHAnsi" w:cstheme="minorHAnsi"/>
          <w:bCs/>
          <w:iCs/>
          <w:sz w:val="22"/>
          <w:szCs w:val="22"/>
          <w:lang w:val="en-GB"/>
        </w:rPr>
        <w:t>Author for correspondence: M.Pumera, pumera.group@gmail.com</w:t>
      </w:r>
    </w:p>
    <w:p w14:paraId="1A969C31" w14:textId="77777777" w:rsidR="00AC02ED" w:rsidRPr="005454CE" w:rsidRDefault="00AC02ED" w:rsidP="00590C9D">
      <w:pPr>
        <w:rPr>
          <w:rFonts w:asciiTheme="minorHAnsi" w:hAnsiTheme="minorHAnsi" w:cstheme="minorHAnsi"/>
          <w:bCs/>
          <w:iCs/>
          <w:sz w:val="22"/>
          <w:szCs w:val="22"/>
          <w:lang w:val="en-GB"/>
        </w:rPr>
      </w:pPr>
    </w:p>
    <w:p w14:paraId="1EF2C344" w14:textId="77777777" w:rsidR="00AC02ED" w:rsidRPr="005454CE" w:rsidRDefault="00AC02ED" w:rsidP="00590C9D">
      <w:pPr>
        <w:rPr>
          <w:rFonts w:asciiTheme="minorHAnsi" w:hAnsiTheme="minorHAnsi" w:cstheme="minorHAnsi"/>
          <w:iCs/>
          <w:sz w:val="22"/>
          <w:szCs w:val="22"/>
          <w:lang w:val="en-GB"/>
        </w:rPr>
      </w:pPr>
      <w:r w:rsidRPr="005454CE">
        <w:rPr>
          <w:rFonts w:asciiTheme="minorHAnsi" w:hAnsiTheme="minorHAnsi" w:cstheme="minorHAnsi"/>
          <w:b/>
          <w:iCs/>
          <w:sz w:val="22"/>
          <w:szCs w:val="22"/>
          <w:lang w:val="en-GB"/>
        </w:rPr>
        <w:t>Keywords:</w:t>
      </w:r>
      <w:r w:rsidRPr="005454CE">
        <w:rPr>
          <w:rFonts w:asciiTheme="minorHAnsi" w:hAnsiTheme="minorHAnsi" w:cstheme="minorHAnsi"/>
          <w:iCs/>
          <w:sz w:val="22"/>
          <w:szCs w:val="22"/>
          <w:lang w:val="en-GB"/>
        </w:rPr>
        <w:t xml:space="preserve"> OER; Electrolysers; Conventional three-electrode cell; Transition metal oxides; 3D-printing. </w:t>
      </w:r>
    </w:p>
    <w:p w14:paraId="6239DBC5" w14:textId="77777777" w:rsidR="00AC02ED" w:rsidRPr="005454CE" w:rsidRDefault="00AC02ED" w:rsidP="00590C9D">
      <w:pPr>
        <w:rPr>
          <w:rFonts w:asciiTheme="minorHAnsi" w:hAnsiTheme="minorHAnsi" w:cstheme="minorHAnsi"/>
          <w:iCs/>
          <w:sz w:val="22"/>
          <w:szCs w:val="22"/>
          <w:lang w:val="en-GB"/>
        </w:rPr>
      </w:pPr>
    </w:p>
    <w:p w14:paraId="60B10D20" w14:textId="77777777" w:rsidR="00AC02ED" w:rsidRPr="005454CE" w:rsidRDefault="00AC02ED" w:rsidP="00590C9D">
      <w:pPr>
        <w:rPr>
          <w:rFonts w:asciiTheme="minorHAnsi" w:hAnsiTheme="minorHAnsi" w:cstheme="minorHAnsi"/>
          <w:iCs/>
          <w:sz w:val="22"/>
          <w:szCs w:val="22"/>
          <w:lang w:val="en-GB"/>
        </w:rPr>
      </w:pPr>
    </w:p>
    <w:p w14:paraId="0351686F" w14:textId="77777777" w:rsidR="00AC02ED" w:rsidRPr="005454CE" w:rsidRDefault="00AC02ED" w:rsidP="00590C9D">
      <w:pPr>
        <w:spacing w:after="160" w:line="259" w:lineRule="auto"/>
        <w:jc w:val="both"/>
        <w:rPr>
          <w:rFonts w:asciiTheme="minorHAnsi" w:eastAsia="Calibri" w:hAnsiTheme="minorHAnsi" w:cstheme="minorHAnsi"/>
          <w:b/>
          <w:lang w:val="en-GB" w:eastAsia="en-US"/>
        </w:rPr>
      </w:pPr>
    </w:p>
    <w:p w14:paraId="65201BB3" w14:textId="77777777" w:rsidR="00AC02ED" w:rsidRPr="005454CE" w:rsidRDefault="00AC02ED" w:rsidP="00590C9D">
      <w:pPr>
        <w:spacing w:after="160" w:line="259" w:lineRule="auto"/>
        <w:jc w:val="both"/>
        <w:rPr>
          <w:rFonts w:asciiTheme="minorHAnsi" w:eastAsia="Calibri" w:hAnsiTheme="minorHAnsi" w:cstheme="minorHAnsi"/>
          <w:b/>
          <w:lang w:val="en-GB" w:eastAsia="en-US"/>
        </w:rPr>
      </w:pPr>
    </w:p>
    <w:p w14:paraId="1BD396C5" w14:textId="77777777" w:rsidR="00AC02ED" w:rsidRPr="005454CE" w:rsidRDefault="00AC02ED" w:rsidP="00590C9D">
      <w:pPr>
        <w:spacing w:after="160" w:line="259" w:lineRule="auto"/>
        <w:jc w:val="both"/>
        <w:rPr>
          <w:rFonts w:asciiTheme="minorHAnsi" w:eastAsia="Calibri" w:hAnsiTheme="minorHAnsi" w:cstheme="minorHAnsi"/>
          <w:b/>
          <w:lang w:val="en-GB" w:eastAsia="en-US"/>
        </w:rPr>
      </w:pPr>
    </w:p>
    <w:p w14:paraId="1F4BCDE6" w14:textId="77777777" w:rsidR="00AC02ED" w:rsidRPr="005454CE" w:rsidRDefault="00AC02ED" w:rsidP="00590C9D">
      <w:pPr>
        <w:spacing w:after="160" w:line="259" w:lineRule="auto"/>
        <w:jc w:val="both"/>
        <w:rPr>
          <w:rFonts w:asciiTheme="minorHAnsi" w:eastAsia="Calibri" w:hAnsiTheme="minorHAnsi" w:cstheme="minorHAnsi"/>
          <w:b/>
          <w:lang w:val="en-GB" w:eastAsia="en-US"/>
        </w:rPr>
      </w:pPr>
    </w:p>
    <w:p w14:paraId="3A26AB39" w14:textId="77777777" w:rsidR="00AC02ED" w:rsidRPr="005454CE" w:rsidRDefault="00AC02ED" w:rsidP="00590C9D">
      <w:pPr>
        <w:spacing w:after="160" w:line="259" w:lineRule="auto"/>
        <w:jc w:val="both"/>
        <w:rPr>
          <w:rFonts w:asciiTheme="minorHAnsi" w:eastAsia="Calibri" w:hAnsiTheme="minorHAnsi" w:cstheme="minorHAnsi"/>
          <w:b/>
          <w:lang w:val="en-GB" w:eastAsia="en-US"/>
        </w:rPr>
      </w:pPr>
    </w:p>
    <w:p w14:paraId="78838C29" w14:textId="77777777" w:rsidR="00AC02ED" w:rsidRPr="005454CE" w:rsidRDefault="00AC02ED" w:rsidP="00590C9D">
      <w:pPr>
        <w:spacing w:after="160" w:line="259" w:lineRule="auto"/>
        <w:jc w:val="both"/>
        <w:rPr>
          <w:rFonts w:asciiTheme="minorHAnsi" w:eastAsia="Calibri" w:hAnsiTheme="minorHAnsi" w:cstheme="minorHAnsi"/>
          <w:b/>
          <w:lang w:val="en-GB" w:eastAsia="en-US"/>
        </w:rPr>
      </w:pPr>
    </w:p>
    <w:p w14:paraId="69A4F4A8" w14:textId="0E575EE6" w:rsidR="00AC02ED" w:rsidRDefault="00AC02ED" w:rsidP="00590C9D">
      <w:pPr>
        <w:spacing w:after="160" w:line="259" w:lineRule="auto"/>
        <w:jc w:val="both"/>
        <w:rPr>
          <w:rFonts w:asciiTheme="minorHAnsi" w:eastAsia="Calibri" w:hAnsiTheme="minorHAnsi" w:cstheme="minorHAnsi"/>
          <w:b/>
          <w:lang w:val="en-GB" w:eastAsia="en-US"/>
        </w:rPr>
      </w:pPr>
    </w:p>
    <w:p w14:paraId="48E0675C" w14:textId="77777777" w:rsidR="00B96AFF" w:rsidRPr="005454CE" w:rsidRDefault="00B96AFF" w:rsidP="00590C9D">
      <w:pPr>
        <w:spacing w:after="160" w:line="259" w:lineRule="auto"/>
        <w:jc w:val="both"/>
        <w:rPr>
          <w:rFonts w:asciiTheme="minorHAnsi" w:eastAsia="Calibri" w:hAnsiTheme="minorHAnsi" w:cstheme="minorHAnsi"/>
          <w:b/>
          <w:lang w:val="en-GB" w:eastAsia="en-US"/>
        </w:rPr>
      </w:pPr>
    </w:p>
    <w:p w14:paraId="784AC34B" w14:textId="77777777" w:rsidR="00AC02ED" w:rsidRPr="005454CE" w:rsidRDefault="00AC02ED" w:rsidP="00590C9D">
      <w:pPr>
        <w:spacing w:after="160" w:line="259" w:lineRule="auto"/>
        <w:jc w:val="both"/>
        <w:rPr>
          <w:rFonts w:asciiTheme="minorHAnsi" w:eastAsia="Calibri" w:hAnsiTheme="minorHAnsi" w:cstheme="minorHAnsi"/>
          <w:b/>
          <w:lang w:val="en-GB" w:eastAsia="en-US"/>
        </w:rPr>
      </w:pPr>
    </w:p>
    <w:p w14:paraId="67331485" w14:textId="77777777" w:rsidR="00AC02ED" w:rsidRPr="005454CE" w:rsidRDefault="00AC02ED" w:rsidP="00590C9D">
      <w:pPr>
        <w:spacing w:after="160" w:line="259" w:lineRule="auto"/>
        <w:jc w:val="both"/>
        <w:rPr>
          <w:rFonts w:asciiTheme="minorHAnsi" w:eastAsia="Calibri" w:hAnsiTheme="minorHAnsi" w:cstheme="minorHAnsi"/>
          <w:b/>
          <w:lang w:val="en-GB" w:eastAsia="en-US"/>
        </w:rPr>
      </w:pPr>
    </w:p>
    <w:p w14:paraId="2DA73152" w14:textId="77777777" w:rsidR="00AC02ED" w:rsidRPr="005454CE" w:rsidRDefault="00AC02ED" w:rsidP="00590C9D">
      <w:pPr>
        <w:spacing w:after="160" w:line="259" w:lineRule="auto"/>
        <w:jc w:val="both"/>
        <w:rPr>
          <w:rFonts w:asciiTheme="minorHAnsi" w:eastAsia="Calibri" w:hAnsiTheme="minorHAnsi" w:cstheme="minorHAnsi"/>
          <w:b/>
          <w:lang w:val="en-GB" w:eastAsia="en-US"/>
        </w:rPr>
      </w:pPr>
    </w:p>
    <w:p w14:paraId="021BEC10" w14:textId="77777777" w:rsidR="00AC02ED" w:rsidRPr="005454CE" w:rsidRDefault="00AC02ED" w:rsidP="00590C9D">
      <w:pPr>
        <w:spacing w:after="160" w:line="259" w:lineRule="auto"/>
        <w:jc w:val="both"/>
        <w:rPr>
          <w:rFonts w:asciiTheme="minorHAnsi" w:eastAsia="Calibri" w:hAnsiTheme="minorHAnsi" w:cstheme="minorHAnsi"/>
          <w:b/>
          <w:lang w:val="en-GB" w:eastAsia="en-US"/>
        </w:rPr>
      </w:pPr>
    </w:p>
    <w:p w14:paraId="043BCA0E" w14:textId="77777777" w:rsidR="00AC02ED" w:rsidRPr="005454CE" w:rsidRDefault="00AC02ED" w:rsidP="00590C9D">
      <w:pPr>
        <w:spacing w:after="160" w:line="259" w:lineRule="auto"/>
        <w:jc w:val="both"/>
        <w:rPr>
          <w:rFonts w:asciiTheme="minorHAnsi" w:eastAsia="Calibri" w:hAnsiTheme="minorHAnsi" w:cstheme="minorHAnsi"/>
          <w:b/>
          <w:lang w:val="en-GB" w:eastAsia="en-US"/>
        </w:rPr>
      </w:pPr>
    </w:p>
    <w:p w14:paraId="04C31CF6" w14:textId="77777777" w:rsidR="00AC02ED" w:rsidRPr="005454CE" w:rsidRDefault="00AC02ED" w:rsidP="00590C9D">
      <w:pPr>
        <w:spacing w:after="160" w:line="259" w:lineRule="auto"/>
        <w:jc w:val="both"/>
        <w:rPr>
          <w:rFonts w:asciiTheme="minorHAnsi" w:eastAsia="Calibri" w:hAnsiTheme="minorHAnsi" w:cstheme="minorHAnsi"/>
          <w:b/>
          <w:lang w:val="en-GB" w:eastAsia="en-US"/>
        </w:rPr>
      </w:pPr>
      <w:r w:rsidRPr="005454CE">
        <w:rPr>
          <w:rFonts w:asciiTheme="minorHAnsi" w:eastAsia="Calibri" w:hAnsiTheme="minorHAnsi" w:cstheme="minorHAnsi"/>
          <w:b/>
          <w:lang w:val="en-GB" w:eastAsia="en-US"/>
        </w:rPr>
        <w:lastRenderedPageBreak/>
        <w:t xml:space="preserve">Abstract </w:t>
      </w:r>
    </w:p>
    <w:p w14:paraId="4C3AB15E" w14:textId="77777777" w:rsidR="00AC02ED" w:rsidRPr="005454CE" w:rsidRDefault="00AC02ED" w:rsidP="00590C9D">
      <w:pPr>
        <w:pStyle w:val="Abstract"/>
        <w:rPr>
          <w:rFonts w:asciiTheme="minorHAnsi" w:hAnsiTheme="minorHAnsi" w:cstheme="minorHAnsi"/>
          <w:sz w:val="22"/>
          <w:szCs w:val="22"/>
        </w:rPr>
      </w:pPr>
      <w:r w:rsidRPr="005454CE">
        <w:rPr>
          <w:rFonts w:asciiTheme="minorHAnsi" w:hAnsiTheme="minorHAnsi" w:cstheme="minorHAnsi"/>
          <w:sz w:val="22"/>
          <w:szCs w:val="22"/>
        </w:rPr>
        <w:t>Developing active and stable Oxygen Evolution Reaction (OER) catalysts that can operate in electrolyser environments is of utmost important in order to produce H</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 xml:space="preserve"> gas for electricity generation. Currently, many of these studies are carried out in conventional three-electrode cell set-ups; however, this configuration may not accurately represent conditions experienced under practical electrolyser conditions. Herein, a range of transition metal oxide (TMO) catalysts are evaluated and compared in a three-electrode cell and in an electrolyser. We show that the same catalyst significantly underperforms in a three-electrode cell. Hence, many OER catalysts in academic labs may have been erroneously omitted from further optimisation processes due to showing ‘poor’ performance in conventional three-electrode cells. Herein, we wish to show this discrepancy experimentally and suggest a solution to scientists wanting to find active OER catalysts by using 3D-printing to inexpensively manufacture electrolyser devices for OER catalyst evaluation. </w:t>
      </w:r>
    </w:p>
    <w:p w14:paraId="02B353F3" w14:textId="77777777" w:rsidR="00AC02ED" w:rsidRPr="005454CE" w:rsidRDefault="00AC02ED" w:rsidP="00590C9D">
      <w:pPr>
        <w:pStyle w:val="Abstract"/>
        <w:rPr>
          <w:rFonts w:asciiTheme="minorHAnsi" w:hAnsiTheme="minorHAnsi" w:cstheme="minorHAnsi"/>
          <w:sz w:val="22"/>
          <w:szCs w:val="22"/>
        </w:rPr>
      </w:pPr>
    </w:p>
    <w:p w14:paraId="34A833F8" w14:textId="77777777" w:rsidR="00AC02ED" w:rsidRPr="005454CE" w:rsidRDefault="00AC02ED" w:rsidP="00590C9D">
      <w:pPr>
        <w:pStyle w:val="Abstract"/>
        <w:rPr>
          <w:rFonts w:asciiTheme="minorHAnsi" w:hAnsiTheme="minorHAnsi" w:cstheme="minorHAnsi"/>
          <w:sz w:val="22"/>
          <w:szCs w:val="22"/>
        </w:rPr>
      </w:pPr>
    </w:p>
    <w:p w14:paraId="33DE8EC2" w14:textId="77777777" w:rsidR="00AC02ED" w:rsidRPr="005454CE" w:rsidRDefault="00AC02ED" w:rsidP="00590C9D">
      <w:pPr>
        <w:pStyle w:val="Abstract"/>
        <w:rPr>
          <w:rFonts w:asciiTheme="minorHAnsi" w:hAnsiTheme="minorHAnsi" w:cstheme="minorHAnsi"/>
          <w:sz w:val="22"/>
          <w:szCs w:val="22"/>
        </w:rPr>
      </w:pPr>
    </w:p>
    <w:p w14:paraId="7C1774E6" w14:textId="77777777" w:rsidR="00AC02ED" w:rsidRPr="005454CE" w:rsidRDefault="00AC02ED" w:rsidP="00590C9D">
      <w:pPr>
        <w:pStyle w:val="Abstract"/>
        <w:rPr>
          <w:rFonts w:asciiTheme="minorHAnsi" w:hAnsiTheme="minorHAnsi" w:cstheme="minorHAnsi"/>
          <w:sz w:val="22"/>
          <w:szCs w:val="22"/>
        </w:rPr>
      </w:pPr>
    </w:p>
    <w:p w14:paraId="2AECA640" w14:textId="77777777" w:rsidR="00AC02ED" w:rsidRPr="005454CE" w:rsidRDefault="00AC02ED" w:rsidP="00590C9D">
      <w:pPr>
        <w:pStyle w:val="Abstract"/>
        <w:rPr>
          <w:rFonts w:asciiTheme="minorHAnsi" w:hAnsiTheme="minorHAnsi" w:cstheme="minorHAnsi"/>
          <w:sz w:val="22"/>
          <w:szCs w:val="22"/>
        </w:rPr>
      </w:pPr>
    </w:p>
    <w:p w14:paraId="53B2A11E" w14:textId="77777777" w:rsidR="00AC02ED" w:rsidRPr="005454CE" w:rsidRDefault="00AC02ED" w:rsidP="00590C9D">
      <w:pPr>
        <w:pStyle w:val="Abstract"/>
        <w:rPr>
          <w:rFonts w:asciiTheme="minorHAnsi" w:hAnsiTheme="minorHAnsi" w:cstheme="minorHAnsi"/>
          <w:sz w:val="22"/>
          <w:szCs w:val="22"/>
        </w:rPr>
      </w:pPr>
    </w:p>
    <w:p w14:paraId="06DBDAC3" w14:textId="77777777" w:rsidR="00AC02ED" w:rsidRPr="005454CE" w:rsidRDefault="00AC02ED" w:rsidP="00590C9D">
      <w:pPr>
        <w:pStyle w:val="Abstract"/>
        <w:rPr>
          <w:rFonts w:asciiTheme="minorHAnsi" w:hAnsiTheme="minorHAnsi" w:cstheme="minorHAnsi"/>
          <w:sz w:val="22"/>
          <w:szCs w:val="22"/>
        </w:rPr>
      </w:pPr>
    </w:p>
    <w:p w14:paraId="3B641CAB" w14:textId="77777777" w:rsidR="00AC02ED" w:rsidRPr="005454CE" w:rsidRDefault="00AC02ED" w:rsidP="00590C9D">
      <w:pPr>
        <w:pStyle w:val="Abstract"/>
        <w:rPr>
          <w:rFonts w:asciiTheme="minorHAnsi" w:hAnsiTheme="minorHAnsi" w:cstheme="minorHAnsi"/>
          <w:sz w:val="22"/>
          <w:szCs w:val="22"/>
        </w:rPr>
      </w:pPr>
    </w:p>
    <w:p w14:paraId="0AAC9DF2" w14:textId="77777777" w:rsidR="00AC02ED" w:rsidRPr="005454CE" w:rsidRDefault="00AC02ED" w:rsidP="00590C9D">
      <w:pPr>
        <w:pStyle w:val="Abstract"/>
        <w:rPr>
          <w:rFonts w:asciiTheme="minorHAnsi" w:hAnsiTheme="minorHAnsi" w:cstheme="minorHAnsi"/>
          <w:sz w:val="22"/>
          <w:szCs w:val="22"/>
        </w:rPr>
      </w:pPr>
    </w:p>
    <w:p w14:paraId="1B340DE1" w14:textId="77777777" w:rsidR="00AC02ED" w:rsidRPr="005454CE" w:rsidRDefault="00AC02ED" w:rsidP="00590C9D">
      <w:pPr>
        <w:pStyle w:val="Abstract"/>
        <w:rPr>
          <w:rFonts w:asciiTheme="minorHAnsi" w:hAnsiTheme="minorHAnsi" w:cstheme="minorHAnsi"/>
          <w:sz w:val="22"/>
          <w:szCs w:val="22"/>
        </w:rPr>
      </w:pPr>
    </w:p>
    <w:p w14:paraId="370536B9" w14:textId="77777777" w:rsidR="00AC02ED" w:rsidRPr="005454CE" w:rsidRDefault="00AC02ED" w:rsidP="00590C9D">
      <w:pPr>
        <w:pStyle w:val="Abstract"/>
        <w:rPr>
          <w:rFonts w:asciiTheme="minorHAnsi" w:hAnsiTheme="minorHAnsi" w:cstheme="minorHAnsi"/>
          <w:sz w:val="22"/>
          <w:szCs w:val="22"/>
        </w:rPr>
      </w:pPr>
    </w:p>
    <w:p w14:paraId="5E1123B5" w14:textId="77777777" w:rsidR="00AC02ED" w:rsidRPr="005454CE" w:rsidRDefault="00AC02ED" w:rsidP="00590C9D">
      <w:pPr>
        <w:pStyle w:val="Abstract"/>
        <w:rPr>
          <w:rFonts w:asciiTheme="minorHAnsi" w:hAnsiTheme="minorHAnsi" w:cstheme="minorHAnsi"/>
          <w:sz w:val="22"/>
          <w:szCs w:val="22"/>
        </w:rPr>
      </w:pPr>
    </w:p>
    <w:p w14:paraId="5293C20D" w14:textId="77777777" w:rsidR="00AC02ED" w:rsidRPr="005454CE" w:rsidRDefault="00AC02ED" w:rsidP="00590C9D">
      <w:pPr>
        <w:pStyle w:val="Abstract"/>
        <w:rPr>
          <w:rFonts w:asciiTheme="minorHAnsi" w:hAnsiTheme="minorHAnsi" w:cstheme="minorHAnsi"/>
          <w:sz w:val="22"/>
          <w:szCs w:val="22"/>
        </w:rPr>
      </w:pPr>
    </w:p>
    <w:p w14:paraId="09884AC3" w14:textId="77777777" w:rsidR="00AC02ED" w:rsidRPr="005454CE" w:rsidRDefault="00AC02ED" w:rsidP="00590C9D">
      <w:pPr>
        <w:pStyle w:val="Abstract"/>
        <w:rPr>
          <w:rFonts w:asciiTheme="minorHAnsi" w:hAnsiTheme="minorHAnsi" w:cstheme="minorHAnsi"/>
          <w:sz w:val="22"/>
          <w:szCs w:val="22"/>
        </w:rPr>
      </w:pPr>
    </w:p>
    <w:p w14:paraId="4CA8CCBE" w14:textId="77777777" w:rsidR="00AC02ED" w:rsidRPr="005454CE" w:rsidRDefault="00AC02ED" w:rsidP="00590C9D">
      <w:pPr>
        <w:rPr>
          <w:rFonts w:asciiTheme="minorHAnsi" w:hAnsiTheme="minorHAnsi" w:cstheme="minorHAnsi"/>
          <w:color w:val="FF0000"/>
          <w:sz w:val="22"/>
          <w:szCs w:val="22"/>
          <w:lang w:val="en-US"/>
        </w:rPr>
      </w:pPr>
    </w:p>
    <w:p w14:paraId="02C36DD1" w14:textId="77777777" w:rsidR="00AC02ED" w:rsidRPr="005454CE" w:rsidRDefault="00AC02ED" w:rsidP="00841DD7">
      <w:pPr>
        <w:pStyle w:val="Head1"/>
      </w:pPr>
      <w:r w:rsidRPr="005454CE">
        <w:t>1. Introduction</w:t>
      </w:r>
    </w:p>
    <w:p w14:paraId="1E58A7C5"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Electrolyser devices (including Proton Exchange Membrane (PEM) and Alkaline Exchange Membrane (AEM) electrolysers), powered by a renewable source of electricity, e.g. solar or wind, are attractive non-fossil fuel-based avenues for producing clean hydrogen which could be used in a fuel cell to make electricity for various industries and applications, including automotive.</w:t>
      </w:r>
      <w:r w:rsidRPr="005454CE">
        <w:rPr>
          <w:rFonts w:asciiTheme="minorHAnsi" w:hAnsiTheme="minorHAnsi" w:cstheme="minorHAnsi"/>
          <w:noProof/>
          <w:sz w:val="22"/>
          <w:szCs w:val="22"/>
          <w:vertAlign w:val="superscript"/>
        </w:rPr>
        <w:t>1</w:t>
      </w:r>
      <w:r w:rsidRPr="005454CE">
        <w:rPr>
          <w:rFonts w:asciiTheme="minorHAnsi" w:hAnsiTheme="minorHAnsi" w:cstheme="minorHAnsi"/>
          <w:sz w:val="22"/>
          <w:szCs w:val="22"/>
        </w:rPr>
        <w:t xml:space="preserve"> It has been estimated that only  4% of the world’s hydrogen is produced by water electrolysis,</w:t>
      </w:r>
      <w:r w:rsidRPr="005454CE">
        <w:rPr>
          <w:rFonts w:asciiTheme="minorHAnsi" w:hAnsiTheme="minorHAnsi" w:cstheme="minorHAnsi"/>
          <w:noProof/>
          <w:sz w:val="22"/>
          <w:szCs w:val="22"/>
          <w:vertAlign w:val="superscript"/>
        </w:rPr>
        <w:t>2</w:t>
      </w:r>
      <w:r w:rsidRPr="005454CE">
        <w:rPr>
          <w:rFonts w:asciiTheme="minorHAnsi" w:hAnsiTheme="minorHAnsi" w:cstheme="minorHAnsi"/>
          <w:sz w:val="22"/>
          <w:szCs w:val="22"/>
        </w:rPr>
        <w:t xml:space="preserve"> as such, improving the performance of these technologies will see the utilisation of these devices increase dramatically.</w:t>
      </w:r>
      <w:r w:rsidRPr="005454CE">
        <w:rPr>
          <w:rFonts w:asciiTheme="minorHAnsi" w:hAnsiTheme="minorHAnsi" w:cstheme="minorHAnsi"/>
          <w:noProof/>
          <w:sz w:val="22"/>
          <w:szCs w:val="22"/>
          <w:vertAlign w:val="superscript"/>
        </w:rPr>
        <w:t>2</w:t>
      </w:r>
      <w:r w:rsidRPr="005454CE">
        <w:rPr>
          <w:rFonts w:asciiTheme="minorHAnsi" w:hAnsiTheme="minorHAnsi" w:cstheme="minorHAnsi"/>
          <w:sz w:val="22"/>
          <w:szCs w:val="22"/>
        </w:rPr>
        <w:t xml:space="preserve"> In a water electrolyser, the aim is to produce H</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 xml:space="preserve"> gas on the cathode through the Hydrogen Evolution Reaction (HER).</w:t>
      </w:r>
      <w:r w:rsidRPr="005454CE">
        <w:rPr>
          <w:rFonts w:asciiTheme="minorHAnsi" w:hAnsiTheme="minorHAnsi" w:cstheme="minorHAnsi"/>
          <w:noProof/>
          <w:sz w:val="22"/>
          <w:szCs w:val="22"/>
          <w:vertAlign w:val="superscript"/>
        </w:rPr>
        <w:t>3, 4</w:t>
      </w:r>
      <w:r w:rsidRPr="005454CE">
        <w:rPr>
          <w:rFonts w:asciiTheme="minorHAnsi" w:hAnsiTheme="minorHAnsi" w:cstheme="minorHAnsi"/>
          <w:sz w:val="22"/>
          <w:szCs w:val="22"/>
        </w:rPr>
        <w:t xml:space="preserve"> However, a major challenge in improving electrolyser performance is related to the large overpotentials associated to the Oxygen Evolution Reaction (OER) at the anode.</w:t>
      </w:r>
      <w:r w:rsidRPr="005454CE">
        <w:rPr>
          <w:rFonts w:asciiTheme="minorHAnsi" w:hAnsiTheme="minorHAnsi" w:cstheme="minorHAnsi"/>
          <w:noProof/>
          <w:sz w:val="22"/>
          <w:szCs w:val="22"/>
          <w:vertAlign w:val="superscript"/>
        </w:rPr>
        <w:t>3, 5, 6</w:t>
      </w:r>
      <w:r w:rsidRPr="005454CE">
        <w:rPr>
          <w:rFonts w:asciiTheme="minorHAnsi" w:hAnsiTheme="minorHAnsi" w:cstheme="minorHAnsi"/>
          <w:sz w:val="22"/>
          <w:szCs w:val="22"/>
        </w:rPr>
        <w:t xml:space="preserve"> </w:t>
      </w:r>
    </w:p>
    <w:p w14:paraId="4A28F6ED"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Schmidt and co-workers predicted that PEM electrolysers will be the dominant technology for hydrogen production by the year 2030.</w:t>
      </w:r>
      <w:r w:rsidRPr="005454CE">
        <w:rPr>
          <w:rFonts w:asciiTheme="minorHAnsi" w:hAnsiTheme="minorHAnsi" w:cstheme="minorHAnsi"/>
          <w:noProof/>
          <w:sz w:val="22"/>
          <w:szCs w:val="22"/>
          <w:vertAlign w:val="superscript"/>
        </w:rPr>
        <w:t>7</w:t>
      </w:r>
      <w:r w:rsidRPr="005454CE">
        <w:rPr>
          <w:rFonts w:asciiTheme="minorHAnsi" w:hAnsiTheme="minorHAnsi" w:cstheme="minorHAnsi"/>
          <w:sz w:val="22"/>
          <w:szCs w:val="22"/>
        </w:rPr>
        <w:t xml:space="preserve"> PEM electrolysers are advantageous over AEM electrolysers as the Raney Ni ‘state-of-the-art’ AEM catalysts underperforms compared to the IrO</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/Pt catalysts in a PEM device, especially at current densities over 200 mA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w:t>
      </w:r>
      <w:r w:rsidRPr="005454CE">
        <w:rPr>
          <w:rFonts w:asciiTheme="minorHAnsi" w:hAnsiTheme="minorHAnsi" w:cstheme="minorHAnsi"/>
          <w:noProof/>
          <w:sz w:val="22"/>
          <w:szCs w:val="22"/>
          <w:vertAlign w:val="superscript"/>
        </w:rPr>
        <w:t>8</w:t>
      </w:r>
      <w:r w:rsidRPr="005454CE">
        <w:rPr>
          <w:rFonts w:asciiTheme="minorHAnsi" w:hAnsiTheme="minorHAnsi" w:cstheme="minorHAnsi"/>
          <w:sz w:val="22"/>
          <w:szCs w:val="22"/>
        </w:rPr>
        <w:t xml:space="preserve"> However, the majority of current academic research in the area of new catalysts for water splitting, in particularly for OER catalysts,  is undertaken in alkaline conditions which is largely due to the fact that most inexpensive materials will corrode under OER conditions in acidic media.</w:t>
      </w:r>
      <w:r w:rsidRPr="005454CE">
        <w:rPr>
          <w:rFonts w:asciiTheme="minorHAnsi" w:hAnsiTheme="minorHAnsi" w:cstheme="minorHAnsi"/>
          <w:noProof/>
          <w:sz w:val="22"/>
          <w:szCs w:val="22"/>
          <w:vertAlign w:val="superscript"/>
        </w:rPr>
        <w:t>9, 10</w:t>
      </w:r>
      <w:r w:rsidRPr="005454CE">
        <w:rPr>
          <w:rFonts w:asciiTheme="minorHAnsi" w:hAnsiTheme="minorHAnsi" w:cstheme="minorHAnsi"/>
          <w:sz w:val="22"/>
          <w:szCs w:val="22"/>
        </w:rPr>
        <w:t xml:space="preserve"> This contradiction between the future of electrolysis, based on PEMs, and alkaline electrolysis dominating the current water-splitting research landscape, could be partly due to new catalysts exhibiting inefficient activity and instability under the current evaluation conditions in a research lab setting. </w:t>
      </w:r>
    </w:p>
    <w:p w14:paraId="2095C215"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 xml:space="preserve">Currently, most studies based on developing new materials for PEM electrolysis are conducted in conventional three-electrode cells, illustrated in </w:t>
      </w:r>
      <w:r w:rsidRPr="005454CE">
        <w:rPr>
          <w:rFonts w:asciiTheme="minorHAnsi" w:hAnsiTheme="minorHAnsi" w:cstheme="minorHAnsi"/>
          <w:b/>
          <w:sz w:val="22"/>
          <w:szCs w:val="22"/>
        </w:rPr>
        <w:t>Figure 1A and Table 1</w:t>
      </w:r>
      <w:r w:rsidRPr="005454CE">
        <w:rPr>
          <w:rFonts w:asciiTheme="minorHAnsi" w:hAnsiTheme="minorHAnsi" w:cstheme="minorHAnsi"/>
          <w:sz w:val="22"/>
          <w:szCs w:val="22"/>
        </w:rPr>
        <w:t xml:space="preserve">, with relatively small geometric areas and lower catalyst loadings compared to that used in practical electrolyser devices, illustrated in </w:t>
      </w:r>
      <w:r w:rsidRPr="005454CE">
        <w:rPr>
          <w:rFonts w:asciiTheme="minorHAnsi" w:hAnsiTheme="minorHAnsi" w:cstheme="minorHAnsi"/>
          <w:b/>
          <w:sz w:val="22"/>
          <w:szCs w:val="22"/>
        </w:rPr>
        <w:t>Figure 1B and Table 1</w:t>
      </w:r>
      <w:r w:rsidRPr="005454CE">
        <w:rPr>
          <w:rFonts w:asciiTheme="minorHAnsi" w:hAnsiTheme="minorHAnsi" w:cstheme="minorHAnsi"/>
          <w:sz w:val="22"/>
          <w:szCs w:val="22"/>
        </w:rPr>
        <w:t>.</w:t>
      </w:r>
      <w:r w:rsidRPr="005454CE">
        <w:rPr>
          <w:rFonts w:asciiTheme="minorHAnsi" w:hAnsiTheme="minorHAnsi" w:cstheme="minorHAnsi"/>
          <w:noProof/>
          <w:sz w:val="22"/>
          <w:szCs w:val="22"/>
          <w:vertAlign w:val="superscript"/>
        </w:rPr>
        <w:t>11-15</w:t>
      </w:r>
      <w:r w:rsidRPr="005454CE">
        <w:rPr>
          <w:rFonts w:asciiTheme="minorHAnsi" w:hAnsiTheme="minorHAnsi" w:cstheme="minorHAnsi"/>
          <w:sz w:val="22"/>
          <w:szCs w:val="22"/>
        </w:rPr>
        <w:t xml:space="preserve"> In relation to the catalyst loading, as the loadings used for  electrolyser devices are much higher than in a conventional three-electrode cell, the thicker catalyst coating results in only a portion of the material being accessible to the liquid electrolyte and participating in the reaction at the catalyst surface. Furthermore, the higher catalyst loading in practical electrolysers allows for longer lifetimes due to a ‘reserve’ in catalyst compared to three-electrode cell testing. Additionally, the electrolyte, the electrode microstructure, and the temperature of the reaction differ significantly in literature when comparing catalysts for the OER in conventional three-electrode cell set-ups and in electrolyser devices, Table 1. Hence, there is a major discrepancy between the operational parameters of these two testing platforms, which leads to the question; Is the three-electrode cell set-up representative of practical electrolyser operation and an appropriate means of evaluating OER catalysts?  </w:t>
      </w:r>
    </w:p>
    <w:p w14:paraId="2C436D42"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For other important electrochemical energy conversion reactions, such as the OER in alkaline media and the Oxygen Reduction Reaction (ORR) in acidic media, researchers have shown that conventional evaluation techniques are not necessarily suitable for catalyst screening for the desired application.</w:t>
      </w:r>
      <w:r w:rsidRPr="005454CE">
        <w:rPr>
          <w:rFonts w:asciiTheme="minorHAnsi" w:hAnsiTheme="minorHAnsi" w:cstheme="minorHAnsi"/>
          <w:noProof/>
          <w:sz w:val="22"/>
          <w:szCs w:val="22"/>
          <w:vertAlign w:val="superscript"/>
        </w:rPr>
        <w:t>16-18</w:t>
      </w:r>
      <w:r w:rsidRPr="005454CE">
        <w:rPr>
          <w:rFonts w:asciiTheme="minorHAnsi" w:hAnsiTheme="minorHAnsi" w:cstheme="minorHAnsi"/>
          <w:sz w:val="22"/>
          <w:szCs w:val="22"/>
        </w:rPr>
        <w:t xml:space="preserve"> Boettcher and co-workers showed that for alkaline anion exchange-membrane (AAEM) water electrolysis, there is a significant difference in the OER performance of metal oxides/hydroxides in a three-electrode cell configuration and an AAEM water electrolyser.</w:t>
      </w:r>
      <w:r w:rsidRPr="005454CE">
        <w:rPr>
          <w:rFonts w:asciiTheme="minorHAnsi" w:hAnsiTheme="minorHAnsi" w:cstheme="minorHAnsi"/>
          <w:noProof/>
          <w:sz w:val="22"/>
          <w:szCs w:val="22"/>
          <w:vertAlign w:val="superscript"/>
        </w:rPr>
        <w:t>17</w:t>
      </w:r>
      <w:r w:rsidRPr="005454CE">
        <w:rPr>
          <w:rFonts w:asciiTheme="minorHAnsi" w:hAnsiTheme="minorHAnsi" w:cstheme="minorHAnsi"/>
          <w:sz w:val="22"/>
          <w:szCs w:val="22"/>
        </w:rPr>
        <w:t xml:space="preserve"> Furthermore, to evaluate catalysts for the ORR in a fuel cell, Arenz and co-workers developed a gas diffusion electrode set-up which provides more realistic ORR performance results compared to the commonly used rotating disc electrode in a three-electrode cell set-up.</w:t>
      </w:r>
      <w:r w:rsidRPr="005454CE">
        <w:rPr>
          <w:rFonts w:asciiTheme="minorHAnsi" w:hAnsiTheme="minorHAnsi" w:cstheme="minorHAnsi"/>
          <w:noProof/>
          <w:sz w:val="22"/>
          <w:szCs w:val="22"/>
          <w:vertAlign w:val="superscript"/>
        </w:rPr>
        <w:t>16</w:t>
      </w:r>
      <w:r w:rsidRPr="005454CE">
        <w:rPr>
          <w:rFonts w:asciiTheme="minorHAnsi" w:hAnsiTheme="minorHAnsi" w:cstheme="minorHAnsi"/>
          <w:sz w:val="22"/>
          <w:szCs w:val="22"/>
        </w:rPr>
        <w:t xml:space="preserve"> Therefore, the current evaluation process for the OER in acidic media must also be assessed to ensure robust and representative measurement in order to develop next generation catalytic materials for PEM electrolysers.</w:t>
      </w:r>
    </w:p>
    <w:p w14:paraId="31C33759" w14:textId="77777777" w:rsidR="00AC02ED" w:rsidRPr="005454CE" w:rsidRDefault="00AC02ED" w:rsidP="00913EFD">
      <w:pPr>
        <w:pStyle w:val="Head1"/>
        <w:jc w:val="center"/>
        <w:rPr>
          <w:noProof/>
          <w:lang w:val="cs-CZ" w:eastAsia="cs-CZ"/>
        </w:rPr>
      </w:pPr>
      <w:r w:rsidRPr="005454CE">
        <w:rPr>
          <w:noProof/>
          <w:lang w:val="cs-CZ" w:eastAsia="cs-CZ"/>
        </w:rPr>
        <w:drawing>
          <wp:inline distT="0" distB="0" distL="0" distR="0" wp14:anchorId="796C4702" wp14:editId="49ED0F16">
            <wp:extent cx="3916680" cy="1630019"/>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r="6328" b="5576"/>
                    <a:stretch>
                      <a:fillRect/>
                    </a:stretch>
                  </pic:blipFill>
                  <pic:spPr bwMode="auto">
                    <a:xfrm>
                      <a:off x="0" y="0"/>
                      <a:ext cx="3969545" cy="1652020"/>
                    </a:xfrm>
                    <a:prstGeom prst="rect">
                      <a:avLst/>
                    </a:prstGeom>
                    <a:noFill/>
                    <a:ln>
                      <a:noFill/>
                    </a:ln>
                  </pic:spPr>
                </pic:pic>
              </a:graphicData>
            </a:graphic>
          </wp:inline>
        </w:drawing>
      </w:r>
    </w:p>
    <w:p w14:paraId="292F17EB" w14:textId="77777777" w:rsidR="00AC02ED" w:rsidRPr="005454CE" w:rsidRDefault="00AC02ED" w:rsidP="00003048">
      <w:pPr>
        <w:spacing w:line="360" w:lineRule="auto"/>
        <w:jc w:val="center"/>
        <w:rPr>
          <w:rFonts w:asciiTheme="minorHAnsi" w:hAnsiTheme="minorHAnsi" w:cstheme="minorHAnsi"/>
          <w:b/>
          <w:noProof/>
          <w:sz w:val="22"/>
          <w:szCs w:val="22"/>
        </w:rPr>
      </w:pPr>
    </w:p>
    <w:p w14:paraId="0EB549E5" w14:textId="77777777" w:rsidR="00AC02ED" w:rsidRPr="005454CE" w:rsidRDefault="00AC02ED" w:rsidP="00003048">
      <w:pPr>
        <w:spacing w:line="360" w:lineRule="auto"/>
        <w:jc w:val="center"/>
        <w:rPr>
          <w:rFonts w:asciiTheme="minorHAnsi" w:hAnsiTheme="minorHAnsi" w:cstheme="minorHAnsi"/>
          <w:noProof/>
          <w:sz w:val="22"/>
          <w:szCs w:val="22"/>
        </w:rPr>
      </w:pPr>
      <w:r w:rsidRPr="005454CE">
        <w:rPr>
          <w:rFonts w:asciiTheme="minorHAnsi" w:hAnsiTheme="minorHAnsi" w:cstheme="minorHAnsi"/>
          <w:b/>
          <w:noProof/>
          <w:sz w:val="22"/>
          <w:szCs w:val="22"/>
        </w:rPr>
        <w:t>Figure 1.</w:t>
      </w:r>
      <w:r w:rsidRPr="005454CE">
        <w:rPr>
          <w:rFonts w:asciiTheme="minorHAnsi" w:hAnsiTheme="minorHAnsi" w:cstheme="minorHAnsi"/>
          <w:noProof/>
          <w:sz w:val="22"/>
          <w:szCs w:val="22"/>
        </w:rPr>
        <w:t xml:space="preserve"> Conventional three-electrode cell set-up and electrolyser device set-up</w:t>
      </w:r>
    </w:p>
    <w:p w14:paraId="5BE0A085" w14:textId="77777777" w:rsidR="00AC02ED" w:rsidRPr="005454CE" w:rsidRDefault="00AC02ED" w:rsidP="00003048">
      <w:pPr>
        <w:spacing w:line="360" w:lineRule="auto"/>
        <w:jc w:val="center"/>
        <w:rPr>
          <w:rFonts w:asciiTheme="minorHAnsi" w:hAnsiTheme="minorHAnsi" w:cstheme="minorHAnsi"/>
          <w:noProof/>
          <w:sz w:val="22"/>
          <w:szCs w:val="22"/>
        </w:rPr>
      </w:pPr>
    </w:p>
    <w:p w14:paraId="537AEF59"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Herein, a range of metal oxides were analysed as catalysts for the OER under acidic/PEM conditions in a conventional three-electrode cell (half-cell) and in an 3-electrode electrolyser device, in order to validate whether the three-electrode cell performance is a translatable method for the evaluation of OER catalysts for electrolyser devices. Transition metal oxides (TMO) were chosen in this study as it is well known that this class of materials are good candidates for the OER in acidic media and hence, are one of the most frequently studied materials for this reaction.</w:t>
      </w:r>
      <w:r w:rsidRPr="005454CE">
        <w:rPr>
          <w:rFonts w:asciiTheme="minorHAnsi" w:hAnsiTheme="minorHAnsi" w:cstheme="minorHAnsi"/>
          <w:noProof/>
          <w:sz w:val="22"/>
          <w:szCs w:val="22"/>
          <w:vertAlign w:val="superscript"/>
        </w:rPr>
        <w:t>19-21</w:t>
      </w:r>
      <w:r w:rsidRPr="005454CE">
        <w:rPr>
          <w:rFonts w:asciiTheme="minorHAnsi" w:hAnsiTheme="minorHAnsi" w:cstheme="minorHAnsi"/>
          <w:sz w:val="22"/>
          <w:szCs w:val="22"/>
        </w:rPr>
        <w:t xml:space="preserve"> The results of this work indicate that the performance of the metal oxides in conventional three-electrode cells does not universally correlate with those measured in an electrolyser device. In order to provide a solution to this issue, low-cost electrolyser devices were produced using various additive manufacturing technologies (Fused Deposition Modelling (FDM) and Stereolithography (SLA)) in order to evaluate OER catalysts under more realistic PEM conditions.</w:t>
      </w:r>
      <w:r w:rsidRPr="005454CE">
        <w:rPr>
          <w:rFonts w:asciiTheme="minorHAnsi" w:hAnsiTheme="minorHAnsi" w:cstheme="minorHAnsi"/>
          <w:noProof/>
          <w:sz w:val="22"/>
          <w:szCs w:val="22"/>
          <w:vertAlign w:val="superscript"/>
        </w:rPr>
        <w:t>22-24</w:t>
      </w:r>
      <w:r w:rsidRPr="005454CE">
        <w:rPr>
          <w:rFonts w:asciiTheme="minorHAnsi" w:hAnsiTheme="minorHAnsi" w:cstheme="minorHAnsi"/>
          <w:sz w:val="22"/>
          <w:szCs w:val="22"/>
        </w:rPr>
        <w:t xml:space="preserve"> Some of the 3D-printed electrolysers exhibit near-identical performance to a practical electrolyser and can be 3D-printed using low-cost and commercially available 3D-printers and precursor materials. These 3D-printed electrolysers provide a more realistic evaluation of OER catalysts than the conventional three-electrode cell configuration and so provides a more robust means of catalyst activity evaluation for the development of next-generation PEM electrolysers. </w:t>
      </w:r>
    </w:p>
    <w:p w14:paraId="2E3D0BCA" w14:textId="77777777" w:rsidR="00AC02ED" w:rsidRPr="005454CE" w:rsidRDefault="00AC02ED" w:rsidP="00590C9D">
      <w:pPr>
        <w:jc w:val="both"/>
        <w:rPr>
          <w:rFonts w:asciiTheme="minorHAnsi" w:hAnsiTheme="minorHAnsi" w:cstheme="minorHAnsi"/>
          <w:bCs/>
          <w:sz w:val="22"/>
          <w:szCs w:val="22"/>
        </w:rPr>
      </w:pPr>
      <w:r w:rsidRPr="005454CE">
        <w:rPr>
          <w:rFonts w:asciiTheme="minorHAnsi" w:hAnsiTheme="minorHAnsi" w:cstheme="minorHAnsi"/>
          <w:b/>
          <w:sz w:val="22"/>
          <w:szCs w:val="22"/>
        </w:rPr>
        <w:t xml:space="preserve">Table 1. </w:t>
      </w:r>
      <w:r w:rsidRPr="005454CE">
        <w:rPr>
          <w:rFonts w:asciiTheme="minorHAnsi" w:hAnsiTheme="minorHAnsi" w:cstheme="minorHAnsi"/>
          <w:bCs/>
          <w:sz w:val="22"/>
          <w:szCs w:val="22"/>
        </w:rPr>
        <w:t>Common measurement parameters for conventional three-electrode cell set-ups and electrolyser devices in relation to water splitting in acidic/PEM environments</w:t>
      </w:r>
    </w:p>
    <w:p w14:paraId="76FA11C8" w14:textId="77777777" w:rsidR="00AC02ED" w:rsidRPr="005454CE" w:rsidRDefault="00AC02ED" w:rsidP="00590C9D">
      <w:pPr>
        <w:jc w:val="both"/>
        <w:rPr>
          <w:rFonts w:asciiTheme="minorHAnsi" w:hAnsiTheme="minorHAnsi" w:cstheme="minorHAnsi"/>
          <w:b/>
          <w:sz w:val="22"/>
          <w:szCs w:val="22"/>
        </w:rPr>
      </w:pPr>
    </w:p>
    <w:tbl>
      <w:tblPr>
        <w:tblW w:w="9430" w:type="dxa"/>
        <w:tblBorders>
          <w:top w:val="single" w:sz="4" w:space="0" w:color="000000"/>
          <w:bottom w:val="single" w:sz="4" w:space="0" w:color="000000"/>
        </w:tblBorders>
        <w:shd w:val="clear" w:color="auto" w:fill="FFFFFF"/>
        <w:tblLook w:val="04A0" w:firstRow="1" w:lastRow="0" w:firstColumn="1" w:lastColumn="0" w:noHBand="0" w:noVBand="1"/>
      </w:tblPr>
      <w:tblGrid>
        <w:gridCol w:w="1557"/>
        <w:gridCol w:w="3208"/>
        <w:gridCol w:w="630"/>
        <w:gridCol w:w="3415"/>
        <w:gridCol w:w="620"/>
      </w:tblGrid>
      <w:tr w:rsidR="00AC02ED" w:rsidRPr="005454CE" w14:paraId="56431960" w14:textId="77777777" w:rsidTr="0065425F">
        <w:trPr>
          <w:trHeight w:val="232"/>
        </w:trPr>
        <w:tc>
          <w:tcPr>
            <w:tcW w:w="1557" w:type="dxa"/>
            <w:tcBorders>
              <w:bottom w:val="single" w:sz="4" w:space="0" w:color="000000"/>
            </w:tcBorders>
            <w:shd w:val="clear" w:color="auto" w:fill="FFFFFF"/>
          </w:tcPr>
          <w:p w14:paraId="728917D8" w14:textId="77777777" w:rsidR="00AC02ED" w:rsidRPr="005454CE" w:rsidRDefault="00AC02ED" w:rsidP="0065425F">
            <w:pPr>
              <w:jc w:val="both"/>
              <w:rPr>
                <w:rFonts w:asciiTheme="minorHAnsi" w:hAnsiTheme="minorHAnsi" w:cstheme="minorHAnsi"/>
                <w:b/>
                <w:bCs/>
                <w:color w:val="000000"/>
                <w:sz w:val="22"/>
                <w:szCs w:val="22"/>
              </w:rPr>
            </w:pPr>
          </w:p>
        </w:tc>
        <w:tc>
          <w:tcPr>
            <w:tcW w:w="3208" w:type="dxa"/>
            <w:tcBorders>
              <w:bottom w:val="single" w:sz="4" w:space="0" w:color="000000"/>
            </w:tcBorders>
            <w:shd w:val="clear" w:color="auto" w:fill="FFFFFF"/>
          </w:tcPr>
          <w:p w14:paraId="1064B2C8" w14:textId="77777777" w:rsidR="00AC02ED" w:rsidRPr="005454CE" w:rsidRDefault="00AC02ED" w:rsidP="0065425F">
            <w:pPr>
              <w:jc w:val="both"/>
              <w:rPr>
                <w:rFonts w:asciiTheme="minorHAnsi" w:hAnsiTheme="minorHAnsi" w:cstheme="minorHAnsi"/>
                <w:b/>
                <w:bCs/>
                <w:color w:val="000000"/>
                <w:sz w:val="22"/>
                <w:szCs w:val="22"/>
              </w:rPr>
            </w:pPr>
            <w:r w:rsidRPr="005454CE">
              <w:rPr>
                <w:rFonts w:asciiTheme="minorHAnsi" w:hAnsiTheme="minorHAnsi" w:cstheme="minorHAnsi"/>
                <w:b/>
                <w:bCs/>
                <w:color w:val="000000"/>
                <w:sz w:val="22"/>
                <w:szCs w:val="22"/>
              </w:rPr>
              <w:t>Three electrode cell</w:t>
            </w:r>
          </w:p>
        </w:tc>
        <w:tc>
          <w:tcPr>
            <w:tcW w:w="630" w:type="dxa"/>
            <w:tcBorders>
              <w:bottom w:val="single" w:sz="4" w:space="0" w:color="000000"/>
            </w:tcBorders>
            <w:shd w:val="clear" w:color="auto" w:fill="FFFFFF"/>
          </w:tcPr>
          <w:p w14:paraId="022B5922" w14:textId="77777777" w:rsidR="00AC02ED" w:rsidRPr="005454CE" w:rsidRDefault="00AC02ED" w:rsidP="0065425F">
            <w:pPr>
              <w:jc w:val="both"/>
              <w:rPr>
                <w:rFonts w:asciiTheme="minorHAnsi" w:hAnsiTheme="minorHAnsi" w:cstheme="minorHAnsi"/>
                <w:b/>
                <w:bCs/>
                <w:color w:val="000000"/>
                <w:sz w:val="22"/>
                <w:szCs w:val="22"/>
              </w:rPr>
            </w:pPr>
            <w:r w:rsidRPr="005454CE">
              <w:rPr>
                <w:rFonts w:asciiTheme="minorHAnsi" w:hAnsiTheme="minorHAnsi" w:cstheme="minorHAnsi"/>
                <w:b/>
                <w:bCs/>
                <w:color w:val="000000"/>
                <w:sz w:val="22"/>
                <w:szCs w:val="22"/>
              </w:rPr>
              <w:t>Ref</w:t>
            </w:r>
          </w:p>
        </w:tc>
        <w:tc>
          <w:tcPr>
            <w:tcW w:w="3415" w:type="dxa"/>
            <w:tcBorders>
              <w:bottom w:val="single" w:sz="4" w:space="0" w:color="000000"/>
            </w:tcBorders>
            <w:shd w:val="clear" w:color="auto" w:fill="FFFFFF"/>
          </w:tcPr>
          <w:p w14:paraId="540722D9" w14:textId="77777777" w:rsidR="00AC02ED" w:rsidRPr="005454CE" w:rsidRDefault="00AC02ED" w:rsidP="0065425F">
            <w:pPr>
              <w:jc w:val="both"/>
              <w:rPr>
                <w:rFonts w:asciiTheme="minorHAnsi" w:hAnsiTheme="minorHAnsi" w:cstheme="minorHAnsi"/>
                <w:b/>
                <w:bCs/>
                <w:color w:val="000000"/>
                <w:sz w:val="22"/>
                <w:szCs w:val="22"/>
              </w:rPr>
            </w:pPr>
            <w:r w:rsidRPr="005454CE">
              <w:rPr>
                <w:rFonts w:asciiTheme="minorHAnsi" w:hAnsiTheme="minorHAnsi" w:cstheme="minorHAnsi"/>
                <w:b/>
                <w:bCs/>
                <w:color w:val="000000"/>
                <w:sz w:val="22"/>
                <w:szCs w:val="22"/>
              </w:rPr>
              <w:t>Electrolyser device</w:t>
            </w:r>
          </w:p>
        </w:tc>
        <w:tc>
          <w:tcPr>
            <w:tcW w:w="620" w:type="dxa"/>
            <w:tcBorders>
              <w:bottom w:val="single" w:sz="4" w:space="0" w:color="000000"/>
            </w:tcBorders>
            <w:shd w:val="clear" w:color="auto" w:fill="FFFFFF"/>
          </w:tcPr>
          <w:p w14:paraId="30D0D333" w14:textId="77777777" w:rsidR="00AC02ED" w:rsidRPr="005454CE" w:rsidRDefault="00AC02ED" w:rsidP="0065425F">
            <w:pPr>
              <w:jc w:val="both"/>
              <w:rPr>
                <w:rFonts w:asciiTheme="minorHAnsi" w:hAnsiTheme="minorHAnsi" w:cstheme="minorHAnsi"/>
                <w:b/>
                <w:bCs/>
                <w:color w:val="000000"/>
                <w:sz w:val="22"/>
                <w:szCs w:val="22"/>
              </w:rPr>
            </w:pPr>
            <w:r w:rsidRPr="005454CE">
              <w:rPr>
                <w:rFonts w:asciiTheme="minorHAnsi" w:hAnsiTheme="minorHAnsi" w:cstheme="minorHAnsi"/>
                <w:b/>
                <w:bCs/>
                <w:color w:val="000000"/>
                <w:sz w:val="22"/>
                <w:szCs w:val="22"/>
              </w:rPr>
              <w:t>Ref</w:t>
            </w:r>
          </w:p>
        </w:tc>
      </w:tr>
      <w:tr w:rsidR="00AC02ED" w:rsidRPr="005454CE" w14:paraId="0B9BF5B7" w14:textId="77777777" w:rsidTr="0065425F">
        <w:trPr>
          <w:trHeight w:val="220"/>
        </w:trPr>
        <w:tc>
          <w:tcPr>
            <w:tcW w:w="1557" w:type="dxa"/>
            <w:shd w:val="clear" w:color="auto" w:fill="FFFFFF"/>
          </w:tcPr>
          <w:p w14:paraId="67316D83" w14:textId="77777777" w:rsidR="00AC02ED" w:rsidRPr="005454CE" w:rsidRDefault="00AC02ED" w:rsidP="0065425F">
            <w:pPr>
              <w:jc w:val="both"/>
              <w:rPr>
                <w:rFonts w:asciiTheme="minorHAnsi" w:hAnsiTheme="minorHAnsi" w:cstheme="minorHAnsi"/>
                <w:b/>
                <w:bCs/>
                <w:color w:val="000000"/>
                <w:sz w:val="22"/>
                <w:szCs w:val="22"/>
              </w:rPr>
            </w:pPr>
            <w:r w:rsidRPr="005454CE">
              <w:rPr>
                <w:rFonts w:asciiTheme="minorHAnsi" w:hAnsiTheme="minorHAnsi" w:cstheme="minorHAnsi"/>
                <w:b/>
                <w:bCs/>
                <w:color w:val="000000"/>
                <w:sz w:val="22"/>
                <w:szCs w:val="22"/>
              </w:rPr>
              <w:t>Electrolyte</w:t>
            </w:r>
          </w:p>
        </w:tc>
        <w:tc>
          <w:tcPr>
            <w:tcW w:w="3208" w:type="dxa"/>
            <w:shd w:val="clear" w:color="auto" w:fill="FFFFFF"/>
          </w:tcPr>
          <w:p w14:paraId="6E431B2B"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color w:val="000000"/>
                <w:sz w:val="22"/>
                <w:szCs w:val="22"/>
              </w:rPr>
              <w:t>0.5 M - 1 M aqueous H</w:t>
            </w:r>
            <w:r w:rsidRPr="005454CE">
              <w:rPr>
                <w:rFonts w:asciiTheme="minorHAnsi" w:hAnsiTheme="minorHAnsi" w:cstheme="minorHAnsi"/>
                <w:color w:val="000000"/>
                <w:sz w:val="22"/>
                <w:szCs w:val="22"/>
                <w:vertAlign w:val="subscript"/>
              </w:rPr>
              <w:t>2</w:t>
            </w:r>
            <w:r w:rsidRPr="005454CE">
              <w:rPr>
                <w:rFonts w:asciiTheme="minorHAnsi" w:hAnsiTheme="minorHAnsi" w:cstheme="minorHAnsi"/>
                <w:color w:val="000000"/>
                <w:sz w:val="22"/>
                <w:szCs w:val="22"/>
              </w:rPr>
              <w:t>SO</w:t>
            </w:r>
            <w:r w:rsidRPr="005454CE">
              <w:rPr>
                <w:rFonts w:asciiTheme="minorHAnsi" w:hAnsiTheme="minorHAnsi" w:cstheme="minorHAnsi"/>
                <w:color w:val="000000"/>
                <w:sz w:val="22"/>
                <w:szCs w:val="22"/>
                <w:vertAlign w:val="subscript"/>
              </w:rPr>
              <w:t>4</w:t>
            </w:r>
          </w:p>
        </w:tc>
        <w:tc>
          <w:tcPr>
            <w:tcW w:w="630" w:type="dxa"/>
            <w:shd w:val="clear" w:color="auto" w:fill="FFFFFF"/>
          </w:tcPr>
          <w:p w14:paraId="1F7645FF"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noProof/>
                <w:color w:val="000000"/>
                <w:sz w:val="22"/>
                <w:szCs w:val="22"/>
                <w:vertAlign w:val="superscript"/>
              </w:rPr>
              <w:t>21, 25, 26</w:t>
            </w:r>
          </w:p>
        </w:tc>
        <w:tc>
          <w:tcPr>
            <w:tcW w:w="3415" w:type="dxa"/>
            <w:shd w:val="clear" w:color="auto" w:fill="FFFFFF"/>
          </w:tcPr>
          <w:p w14:paraId="17680767"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color w:val="000000"/>
                <w:sz w:val="22"/>
                <w:szCs w:val="22"/>
              </w:rPr>
              <w:t>Nafion membrane</w:t>
            </w:r>
          </w:p>
        </w:tc>
        <w:tc>
          <w:tcPr>
            <w:tcW w:w="620" w:type="dxa"/>
            <w:shd w:val="clear" w:color="auto" w:fill="FFFFFF"/>
          </w:tcPr>
          <w:p w14:paraId="0CF0C400"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noProof/>
                <w:color w:val="000000"/>
                <w:sz w:val="22"/>
                <w:szCs w:val="22"/>
                <w:vertAlign w:val="superscript"/>
              </w:rPr>
              <w:t>27, 28</w:t>
            </w:r>
          </w:p>
        </w:tc>
      </w:tr>
      <w:tr w:rsidR="00AC02ED" w:rsidRPr="005454CE" w14:paraId="70B84F5F" w14:textId="77777777" w:rsidTr="0065425F">
        <w:trPr>
          <w:trHeight w:val="816"/>
        </w:trPr>
        <w:tc>
          <w:tcPr>
            <w:tcW w:w="1557" w:type="dxa"/>
            <w:shd w:val="clear" w:color="auto" w:fill="FFFFFF"/>
          </w:tcPr>
          <w:p w14:paraId="792E2C6B" w14:textId="77777777" w:rsidR="00AC02ED" w:rsidRPr="005454CE" w:rsidRDefault="00AC02ED" w:rsidP="0065425F">
            <w:pPr>
              <w:jc w:val="both"/>
              <w:rPr>
                <w:rFonts w:asciiTheme="minorHAnsi" w:hAnsiTheme="minorHAnsi" w:cstheme="minorHAnsi"/>
                <w:b/>
                <w:bCs/>
                <w:color w:val="000000"/>
                <w:sz w:val="22"/>
                <w:szCs w:val="22"/>
              </w:rPr>
            </w:pPr>
            <w:r w:rsidRPr="005454CE">
              <w:rPr>
                <w:rFonts w:asciiTheme="minorHAnsi" w:hAnsiTheme="minorHAnsi" w:cstheme="minorHAnsi"/>
                <w:b/>
                <w:bCs/>
                <w:color w:val="000000"/>
                <w:sz w:val="22"/>
                <w:szCs w:val="22"/>
              </w:rPr>
              <w:t>Ink</w:t>
            </w:r>
          </w:p>
        </w:tc>
        <w:tc>
          <w:tcPr>
            <w:tcW w:w="3208" w:type="dxa"/>
            <w:shd w:val="clear" w:color="auto" w:fill="FFFFFF"/>
          </w:tcPr>
          <w:p w14:paraId="7B6AF4E3"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color w:val="000000"/>
                <w:sz w:val="22"/>
                <w:szCs w:val="22"/>
                <w:lang w:val="en-US"/>
              </w:rPr>
              <w:t>Mixture of Nafion, ethanol and water. (Nafion very low wt% ).</w:t>
            </w:r>
          </w:p>
        </w:tc>
        <w:tc>
          <w:tcPr>
            <w:tcW w:w="630" w:type="dxa"/>
            <w:shd w:val="clear" w:color="auto" w:fill="FFFFFF"/>
          </w:tcPr>
          <w:p w14:paraId="51419795" w14:textId="77777777" w:rsidR="00AC02ED" w:rsidRPr="005454CE" w:rsidRDefault="00AC02ED" w:rsidP="0065425F">
            <w:pPr>
              <w:jc w:val="both"/>
              <w:rPr>
                <w:rFonts w:asciiTheme="minorHAnsi" w:hAnsiTheme="minorHAnsi" w:cstheme="minorHAnsi"/>
                <w:color w:val="000000"/>
                <w:sz w:val="22"/>
                <w:szCs w:val="22"/>
                <w:lang w:val="en-US"/>
              </w:rPr>
            </w:pPr>
            <w:r w:rsidRPr="005454CE">
              <w:rPr>
                <w:rFonts w:asciiTheme="minorHAnsi" w:hAnsiTheme="minorHAnsi" w:cstheme="minorHAnsi"/>
                <w:noProof/>
                <w:color w:val="000000"/>
                <w:sz w:val="22"/>
                <w:szCs w:val="22"/>
                <w:vertAlign w:val="superscript"/>
                <w:lang w:val="en-US"/>
              </w:rPr>
              <w:t>19, 29</w:t>
            </w:r>
          </w:p>
        </w:tc>
        <w:tc>
          <w:tcPr>
            <w:tcW w:w="3415" w:type="dxa"/>
            <w:shd w:val="clear" w:color="auto" w:fill="FFFFFF"/>
          </w:tcPr>
          <w:p w14:paraId="5C61175A" w14:textId="77777777" w:rsidR="00AC02ED" w:rsidRPr="005454CE" w:rsidRDefault="00AC02ED" w:rsidP="0065425F">
            <w:pPr>
              <w:jc w:val="both"/>
              <w:rPr>
                <w:rFonts w:asciiTheme="minorHAnsi" w:hAnsiTheme="minorHAnsi" w:cstheme="minorHAnsi"/>
                <w:color w:val="000000"/>
                <w:sz w:val="22"/>
                <w:szCs w:val="22"/>
                <w:lang w:val="en-US"/>
              </w:rPr>
            </w:pPr>
            <w:r w:rsidRPr="005454CE">
              <w:rPr>
                <w:rFonts w:asciiTheme="minorHAnsi" w:hAnsiTheme="minorHAnsi" w:cstheme="minorHAnsi"/>
                <w:color w:val="000000"/>
                <w:sz w:val="22"/>
                <w:szCs w:val="22"/>
                <w:lang w:val="en-US"/>
              </w:rPr>
              <w:t xml:space="preserve">Mixture of Nafion, ethanol and water. (Nafion very high wt%). </w:t>
            </w:r>
          </w:p>
          <w:p w14:paraId="13C9CAF0" w14:textId="77777777" w:rsidR="00AC02ED" w:rsidRPr="005454CE" w:rsidRDefault="00AC02ED" w:rsidP="0065425F">
            <w:pPr>
              <w:jc w:val="both"/>
              <w:rPr>
                <w:rFonts w:asciiTheme="minorHAnsi" w:hAnsiTheme="minorHAnsi" w:cstheme="minorHAnsi"/>
                <w:color w:val="000000"/>
                <w:sz w:val="22"/>
                <w:szCs w:val="22"/>
              </w:rPr>
            </w:pPr>
          </w:p>
        </w:tc>
        <w:tc>
          <w:tcPr>
            <w:tcW w:w="620" w:type="dxa"/>
            <w:shd w:val="clear" w:color="auto" w:fill="FFFFFF"/>
          </w:tcPr>
          <w:p w14:paraId="3F7B1A9A"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noProof/>
                <w:color w:val="000000"/>
                <w:sz w:val="22"/>
                <w:szCs w:val="22"/>
                <w:vertAlign w:val="superscript"/>
              </w:rPr>
              <w:t>30</w:t>
            </w:r>
          </w:p>
        </w:tc>
      </w:tr>
      <w:tr w:rsidR="00AC02ED" w:rsidRPr="005454CE" w14:paraId="3BCF0F47" w14:textId="77777777" w:rsidTr="0065425F">
        <w:trPr>
          <w:trHeight w:val="1543"/>
        </w:trPr>
        <w:tc>
          <w:tcPr>
            <w:tcW w:w="1557" w:type="dxa"/>
            <w:shd w:val="clear" w:color="auto" w:fill="FFFFFF"/>
          </w:tcPr>
          <w:p w14:paraId="69C9F003" w14:textId="77777777" w:rsidR="00AC02ED" w:rsidRPr="005454CE" w:rsidRDefault="00AC02ED" w:rsidP="0065425F">
            <w:pPr>
              <w:jc w:val="both"/>
              <w:rPr>
                <w:rFonts w:asciiTheme="minorHAnsi" w:hAnsiTheme="minorHAnsi" w:cstheme="minorHAnsi"/>
                <w:b/>
                <w:bCs/>
                <w:color w:val="000000"/>
                <w:sz w:val="22"/>
                <w:szCs w:val="22"/>
              </w:rPr>
            </w:pPr>
            <w:r w:rsidRPr="005454CE">
              <w:rPr>
                <w:rFonts w:asciiTheme="minorHAnsi" w:hAnsiTheme="minorHAnsi" w:cstheme="minorHAnsi"/>
                <w:b/>
                <w:bCs/>
                <w:color w:val="000000"/>
                <w:sz w:val="22"/>
                <w:szCs w:val="22"/>
              </w:rPr>
              <w:t xml:space="preserve">Working Electrode  </w:t>
            </w:r>
          </w:p>
        </w:tc>
        <w:tc>
          <w:tcPr>
            <w:tcW w:w="3208" w:type="dxa"/>
            <w:shd w:val="clear" w:color="auto" w:fill="FFFFFF"/>
          </w:tcPr>
          <w:p w14:paraId="030990B7" w14:textId="77777777" w:rsidR="00AC02ED" w:rsidRPr="005454CE" w:rsidRDefault="00AC02ED" w:rsidP="0065425F">
            <w:pPr>
              <w:jc w:val="both"/>
              <w:rPr>
                <w:rFonts w:asciiTheme="minorHAnsi" w:hAnsiTheme="minorHAnsi" w:cstheme="minorHAnsi"/>
                <w:color w:val="000000"/>
                <w:sz w:val="22"/>
                <w:szCs w:val="22"/>
                <w:lang w:val="en-US"/>
              </w:rPr>
            </w:pPr>
            <w:r w:rsidRPr="005454CE">
              <w:rPr>
                <w:rFonts w:asciiTheme="minorHAnsi" w:hAnsiTheme="minorHAnsi" w:cstheme="minorHAnsi"/>
                <w:color w:val="000000"/>
                <w:sz w:val="22"/>
                <w:szCs w:val="22"/>
                <w:lang w:val="en-US"/>
              </w:rPr>
              <w:t xml:space="preserve">Low catalyst loadings in academic labs. Typical loading between </w:t>
            </w:r>
            <w:bookmarkStart w:id="0" w:name="_Hlk61619564"/>
            <w:r w:rsidRPr="005454CE">
              <w:rPr>
                <w:rFonts w:asciiTheme="minorHAnsi" w:hAnsiTheme="minorHAnsi" w:cstheme="minorHAnsi"/>
                <w:color w:val="000000"/>
                <w:sz w:val="22"/>
                <w:szCs w:val="22"/>
                <w:lang w:val="en-US"/>
              </w:rPr>
              <w:t>0.1 to 1 mg cm</w:t>
            </w:r>
            <w:r w:rsidRPr="005454CE">
              <w:rPr>
                <w:rFonts w:asciiTheme="minorHAnsi" w:hAnsiTheme="minorHAnsi" w:cstheme="minorHAnsi"/>
                <w:color w:val="000000"/>
                <w:sz w:val="22"/>
                <w:szCs w:val="22"/>
                <w:vertAlign w:val="superscript"/>
                <w:lang w:val="en-US"/>
              </w:rPr>
              <w:t>-2</w:t>
            </w:r>
          </w:p>
          <w:bookmarkEnd w:id="0"/>
          <w:p w14:paraId="210165FE" w14:textId="77777777" w:rsidR="00AC02ED" w:rsidRPr="005454CE" w:rsidRDefault="00AC02ED" w:rsidP="0065425F">
            <w:pPr>
              <w:jc w:val="both"/>
              <w:rPr>
                <w:rFonts w:asciiTheme="minorHAnsi" w:hAnsiTheme="minorHAnsi" w:cstheme="minorHAnsi"/>
                <w:color w:val="000000"/>
                <w:sz w:val="22"/>
                <w:szCs w:val="22"/>
              </w:rPr>
            </w:pPr>
          </w:p>
          <w:p w14:paraId="4DB28CE1" w14:textId="77777777" w:rsidR="00AC02ED" w:rsidRPr="005454CE" w:rsidRDefault="00AC02ED" w:rsidP="0065425F">
            <w:pPr>
              <w:rPr>
                <w:rFonts w:asciiTheme="minorHAnsi" w:hAnsiTheme="minorHAnsi" w:cstheme="minorHAnsi"/>
                <w:color w:val="000000"/>
                <w:sz w:val="22"/>
                <w:szCs w:val="22"/>
              </w:rPr>
            </w:pPr>
            <w:r w:rsidRPr="005454CE">
              <w:rPr>
                <w:rFonts w:asciiTheme="minorHAnsi" w:hAnsiTheme="minorHAnsi" w:cstheme="minorHAnsi"/>
                <w:color w:val="000000"/>
                <w:sz w:val="22"/>
                <w:szCs w:val="22"/>
              </w:rPr>
              <w:t xml:space="preserve">Common support: </w:t>
            </w:r>
          </w:p>
          <w:p w14:paraId="55D368C8" w14:textId="77777777" w:rsidR="00AC02ED" w:rsidRPr="005454CE" w:rsidRDefault="00AC02ED" w:rsidP="0065425F">
            <w:pPr>
              <w:rPr>
                <w:rFonts w:asciiTheme="minorHAnsi" w:hAnsiTheme="minorHAnsi" w:cstheme="minorHAnsi"/>
                <w:color w:val="000000"/>
                <w:sz w:val="22"/>
                <w:szCs w:val="22"/>
              </w:rPr>
            </w:pPr>
            <w:r w:rsidRPr="005454CE">
              <w:rPr>
                <w:rFonts w:asciiTheme="minorHAnsi" w:hAnsiTheme="minorHAnsi" w:cstheme="minorHAnsi"/>
                <w:color w:val="000000"/>
                <w:sz w:val="22"/>
                <w:szCs w:val="22"/>
              </w:rPr>
              <w:t xml:space="preserve">Glassy Carbon </w:t>
            </w:r>
          </w:p>
          <w:p w14:paraId="2A67A0B7" w14:textId="77777777" w:rsidR="00AC02ED" w:rsidRPr="005454CE" w:rsidRDefault="00AC02ED" w:rsidP="0065425F">
            <w:pPr>
              <w:rPr>
                <w:rFonts w:asciiTheme="minorHAnsi" w:eastAsia="+mn-ea" w:hAnsiTheme="minorHAnsi" w:cstheme="minorHAnsi"/>
                <w:color w:val="000000"/>
                <w:sz w:val="22"/>
                <w:szCs w:val="22"/>
                <w:lang w:val="en-US"/>
              </w:rPr>
            </w:pPr>
          </w:p>
          <w:p w14:paraId="648D6113" w14:textId="77777777" w:rsidR="00AC02ED" w:rsidRPr="005454CE" w:rsidRDefault="00AC02ED" w:rsidP="0065425F">
            <w:pPr>
              <w:rPr>
                <w:rFonts w:asciiTheme="minorHAnsi" w:eastAsia="+mn-ea" w:hAnsiTheme="minorHAnsi" w:cstheme="minorHAnsi"/>
                <w:color w:val="000000"/>
                <w:sz w:val="22"/>
                <w:szCs w:val="22"/>
                <w:lang w:val="en-US"/>
              </w:rPr>
            </w:pPr>
          </w:p>
          <w:p w14:paraId="1ED1F284" w14:textId="77777777" w:rsidR="00AC02ED" w:rsidRPr="005454CE" w:rsidRDefault="00AC02ED" w:rsidP="0065425F">
            <w:pPr>
              <w:rPr>
                <w:rFonts w:asciiTheme="minorHAnsi" w:eastAsia="+mn-ea" w:hAnsiTheme="minorHAnsi" w:cstheme="minorHAnsi"/>
                <w:color w:val="000000"/>
                <w:sz w:val="22"/>
                <w:szCs w:val="22"/>
                <w:lang w:val="en-US"/>
              </w:rPr>
            </w:pPr>
          </w:p>
          <w:p w14:paraId="775178E8" w14:textId="77777777" w:rsidR="00AC02ED" w:rsidRPr="005454CE" w:rsidRDefault="00AC02ED" w:rsidP="0065425F">
            <w:pPr>
              <w:rPr>
                <w:rFonts w:asciiTheme="minorHAnsi" w:eastAsia="+mn-ea" w:hAnsiTheme="minorHAnsi" w:cstheme="minorHAnsi"/>
                <w:color w:val="000000"/>
                <w:sz w:val="22"/>
                <w:szCs w:val="22"/>
                <w:lang w:val="en-US"/>
              </w:rPr>
            </w:pPr>
          </w:p>
          <w:p w14:paraId="0B985D03" w14:textId="77777777" w:rsidR="00AC02ED" w:rsidRPr="005454CE" w:rsidRDefault="00AC02ED" w:rsidP="0065425F">
            <w:pPr>
              <w:rPr>
                <w:rFonts w:asciiTheme="minorHAnsi" w:hAnsiTheme="minorHAnsi" w:cstheme="minorHAnsi"/>
                <w:color w:val="000000"/>
                <w:sz w:val="22"/>
                <w:szCs w:val="22"/>
              </w:rPr>
            </w:pPr>
            <w:r w:rsidRPr="005454CE">
              <w:rPr>
                <w:rFonts w:asciiTheme="minorHAnsi" w:eastAsia="+mn-ea" w:hAnsiTheme="minorHAnsi" w:cstheme="minorHAnsi"/>
                <w:color w:val="000000"/>
                <w:sz w:val="22"/>
                <w:szCs w:val="22"/>
                <w:lang w:val="en-US"/>
              </w:rPr>
              <w:t>Small geometric area of ~ 0.1 cm</w:t>
            </w:r>
            <w:r w:rsidRPr="005454CE">
              <w:rPr>
                <w:rFonts w:asciiTheme="minorHAnsi" w:eastAsia="+mn-ea" w:hAnsiTheme="minorHAnsi" w:cstheme="minorHAnsi"/>
                <w:color w:val="000000"/>
                <w:position w:val="10"/>
                <w:sz w:val="22"/>
                <w:szCs w:val="22"/>
                <w:vertAlign w:val="superscript"/>
                <w:lang w:val="en-US"/>
              </w:rPr>
              <w:t>2</w:t>
            </w:r>
            <w:r w:rsidRPr="005454CE">
              <w:rPr>
                <w:rFonts w:asciiTheme="minorHAnsi" w:eastAsia="+mn-ea" w:hAnsiTheme="minorHAnsi" w:cstheme="minorHAnsi"/>
                <w:color w:val="000000"/>
                <w:sz w:val="22"/>
                <w:szCs w:val="22"/>
                <w:lang w:val="en-US"/>
              </w:rPr>
              <w:t xml:space="preserve"> </w:t>
            </w:r>
          </w:p>
          <w:p w14:paraId="6F34F1F6" w14:textId="77777777" w:rsidR="00AC02ED" w:rsidRPr="005454CE" w:rsidRDefault="00AC02ED" w:rsidP="0065425F">
            <w:pPr>
              <w:jc w:val="both"/>
              <w:rPr>
                <w:rFonts w:asciiTheme="minorHAnsi" w:hAnsiTheme="minorHAnsi" w:cstheme="minorHAnsi"/>
                <w:color w:val="000000"/>
                <w:sz w:val="22"/>
                <w:szCs w:val="22"/>
              </w:rPr>
            </w:pPr>
          </w:p>
        </w:tc>
        <w:tc>
          <w:tcPr>
            <w:tcW w:w="630" w:type="dxa"/>
            <w:shd w:val="clear" w:color="auto" w:fill="FFFFFF"/>
          </w:tcPr>
          <w:p w14:paraId="5D335B35"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noProof/>
                <w:color w:val="000000"/>
                <w:sz w:val="22"/>
                <w:szCs w:val="22"/>
                <w:vertAlign w:val="superscript"/>
              </w:rPr>
              <w:t>12, 21, 25, 31</w:t>
            </w:r>
          </w:p>
        </w:tc>
        <w:tc>
          <w:tcPr>
            <w:tcW w:w="3415" w:type="dxa"/>
            <w:shd w:val="clear" w:color="auto" w:fill="FFFFFF"/>
          </w:tcPr>
          <w:p w14:paraId="163EEF60" w14:textId="77777777" w:rsidR="00AC02ED" w:rsidRPr="005454CE" w:rsidRDefault="00AC02ED" w:rsidP="0065425F">
            <w:pPr>
              <w:contextualSpacing/>
              <w:rPr>
                <w:rFonts w:asciiTheme="minorHAnsi" w:hAnsiTheme="minorHAnsi" w:cstheme="minorHAnsi"/>
                <w:color w:val="000000"/>
                <w:sz w:val="22"/>
                <w:szCs w:val="22"/>
                <w:lang w:val="en-US"/>
              </w:rPr>
            </w:pPr>
            <w:r w:rsidRPr="005454CE">
              <w:rPr>
                <w:rFonts w:asciiTheme="minorHAnsi" w:hAnsiTheme="minorHAnsi" w:cstheme="minorHAnsi"/>
                <w:color w:val="000000"/>
                <w:sz w:val="22"/>
                <w:szCs w:val="22"/>
                <w:lang w:val="en-US"/>
              </w:rPr>
              <w:t>High catalyst loadings in academic labs 3 mg cm</w:t>
            </w:r>
            <w:r w:rsidRPr="005454CE">
              <w:rPr>
                <w:rFonts w:asciiTheme="minorHAnsi" w:hAnsiTheme="minorHAnsi" w:cstheme="minorHAnsi"/>
                <w:color w:val="000000"/>
                <w:sz w:val="22"/>
                <w:szCs w:val="22"/>
                <w:vertAlign w:val="superscript"/>
                <w:lang w:val="en-US"/>
              </w:rPr>
              <w:t>-2</w:t>
            </w:r>
          </w:p>
          <w:p w14:paraId="0771F7AA" w14:textId="77777777" w:rsidR="00AC02ED" w:rsidRPr="005454CE" w:rsidRDefault="00AC02ED" w:rsidP="0065425F">
            <w:pPr>
              <w:contextualSpacing/>
              <w:rPr>
                <w:rFonts w:asciiTheme="minorHAnsi" w:hAnsiTheme="minorHAnsi" w:cstheme="minorHAnsi"/>
                <w:color w:val="000000"/>
                <w:sz w:val="22"/>
                <w:szCs w:val="22"/>
                <w:lang w:val="en-US"/>
              </w:rPr>
            </w:pPr>
          </w:p>
          <w:p w14:paraId="3A36FAAB" w14:textId="77777777" w:rsidR="00AC02ED" w:rsidRPr="005454CE" w:rsidRDefault="00AC02ED" w:rsidP="0065425F">
            <w:pPr>
              <w:contextualSpacing/>
              <w:rPr>
                <w:rFonts w:asciiTheme="minorHAnsi" w:eastAsia="+mn-ea" w:hAnsiTheme="minorHAnsi" w:cstheme="minorHAnsi"/>
                <w:color w:val="000000"/>
                <w:sz w:val="22"/>
                <w:szCs w:val="22"/>
                <w:lang w:val="en-US" w:eastAsia="en-GB"/>
              </w:rPr>
            </w:pPr>
            <w:r w:rsidRPr="005454CE">
              <w:rPr>
                <w:rFonts w:asciiTheme="minorHAnsi" w:eastAsia="+mn-ea" w:hAnsiTheme="minorHAnsi" w:cstheme="minorHAnsi"/>
                <w:color w:val="000000"/>
                <w:sz w:val="22"/>
                <w:szCs w:val="22"/>
                <w:lang w:val="en-US" w:eastAsia="en-GB"/>
              </w:rPr>
              <w:t xml:space="preserve">Common support: </w:t>
            </w:r>
          </w:p>
          <w:p w14:paraId="6A3B37A7" w14:textId="77777777" w:rsidR="00AC02ED" w:rsidRPr="005454CE" w:rsidRDefault="00AC02ED" w:rsidP="0065425F">
            <w:pPr>
              <w:contextualSpacing/>
              <w:rPr>
                <w:rFonts w:asciiTheme="minorHAnsi" w:eastAsia="Times New Roman" w:hAnsiTheme="minorHAnsi" w:cstheme="minorHAnsi"/>
                <w:color w:val="000000"/>
                <w:sz w:val="22"/>
                <w:szCs w:val="22"/>
                <w:lang w:eastAsia="en-GB"/>
              </w:rPr>
            </w:pPr>
            <w:r w:rsidRPr="005454CE">
              <w:rPr>
                <w:rFonts w:asciiTheme="minorHAnsi" w:eastAsia="+mn-ea" w:hAnsiTheme="minorHAnsi" w:cstheme="minorHAnsi"/>
                <w:color w:val="000000"/>
                <w:sz w:val="22"/>
                <w:szCs w:val="22"/>
                <w:lang w:val="en-US" w:eastAsia="en-GB"/>
              </w:rPr>
              <w:t>Catalyst Coated Membranes (CCMs): no support. Ink deposited straight onto the Nafion membrane.</w:t>
            </w:r>
          </w:p>
          <w:p w14:paraId="7CD2F115" w14:textId="77777777" w:rsidR="00AC02ED" w:rsidRPr="005454CE" w:rsidRDefault="00AC02ED" w:rsidP="0065425F">
            <w:pPr>
              <w:contextualSpacing/>
              <w:rPr>
                <w:rFonts w:asciiTheme="minorHAnsi" w:hAnsiTheme="minorHAnsi" w:cstheme="minorHAnsi"/>
                <w:color w:val="000000"/>
                <w:sz w:val="22"/>
                <w:szCs w:val="22"/>
              </w:rPr>
            </w:pPr>
            <w:r w:rsidRPr="005454CE">
              <w:rPr>
                <w:rFonts w:asciiTheme="minorHAnsi" w:eastAsia="+mn-ea" w:hAnsiTheme="minorHAnsi" w:cstheme="minorHAnsi"/>
                <w:color w:val="000000"/>
                <w:sz w:val="22"/>
                <w:szCs w:val="22"/>
                <w:lang w:val="en-US" w:eastAsia="en-GB"/>
              </w:rPr>
              <w:t>Large geometric areas of 5 cm</w:t>
            </w:r>
            <w:r w:rsidRPr="005454CE">
              <w:rPr>
                <w:rFonts w:asciiTheme="minorHAnsi" w:eastAsia="+mn-ea" w:hAnsiTheme="minorHAnsi" w:cstheme="minorHAnsi"/>
                <w:color w:val="000000"/>
                <w:position w:val="10"/>
                <w:sz w:val="22"/>
                <w:szCs w:val="22"/>
                <w:vertAlign w:val="superscript"/>
                <w:lang w:val="en-US" w:eastAsia="en-GB"/>
              </w:rPr>
              <w:t>2</w:t>
            </w:r>
            <w:r w:rsidRPr="005454CE">
              <w:rPr>
                <w:rFonts w:asciiTheme="minorHAnsi" w:eastAsia="+mn-ea" w:hAnsiTheme="minorHAnsi" w:cstheme="minorHAnsi"/>
                <w:color w:val="000000"/>
                <w:sz w:val="22"/>
                <w:szCs w:val="22"/>
                <w:lang w:val="en-US" w:eastAsia="en-GB"/>
              </w:rPr>
              <w:t xml:space="preserve"> or more.</w:t>
            </w:r>
          </w:p>
        </w:tc>
        <w:tc>
          <w:tcPr>
            <w:tcW w:w="620" w:type="dxa"/>
            <w:shd w:val="clear" w:color="auto" w:fill="FFFFFF"/>
          </w:tcPr>
          <w:p w14:paraId="4377B6A7"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noProof/>
                <w:color w:val="000000"/>
                <w:sz w:val="22"/>
                <w:szCs w:val="22"/>
                <w:vertAlign w:val="superscript"/>
              </w:rPr>
              <w:t>1, 27</w:t>
            </w:r>
          </w:p>
          <w:p w14:paraId="62A7009A"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noProof/>
                <w:color w:val="000000"/>
                <w:sz w:val="22"/>
                <w:szCs w:val="22"/>
                <w:vertAlign w:val="superscript"/>
              </w:rPr>
              <w:t>28</w:t>
            </w:r>
          </w:p>
        </w:tc>
      </w:tr>
      <w:tr w:rsidR="00AC02ED" w:rsidRPr="005454CE" w14:paraId="312A7FCF" w14:textId="77777777" w:rsidTr="0065425F">
        <w:trPr>
          <w:trHeight w:val="686"/>
        </w:trPr>
        <w:tc>
          <w:tcPr>
            <w:tcW w:w="1557" w:type="dxa"/>
            <w:shd w:val="clear" w:color="auto" w:fill="FFFFFF"/>
          </w:tcPr>
          <w:p w14:paraId="1189EFE3" w14:textId="77777777" w:rsidR="00AC02ED" w:rsidRPr="005454CE" w:rsidRDefault="00AC02ED" w:rsidP="0065425F">
            <w:pPr>
              <w:jc w:val="both"/>
              <w:rPr>
                <w:rFonts w:asciiTheme="minorHAnsi" w:hAnsiTheme="minorHAnsi" w:cstheme="minorHAnsi"/>
                <w:b/>
                <w:bCs/>
                <w:color w:val="000000"/>
                <w:sz w:val="22"/>
                <w:szCs w:val="22"/>
              </w:rPr>
            </w:pPr>
            <w:r w:rsidRPr="005454CE">
              <w:rPr>
                <w:rFonts w:asciiTheme="minorHAnsi" w:hAnsiTheme="minorHAnsi" w:cstheme="minorHAnsi"/>
                <w:b/>
                <w:bCs/>
                <w:color w:val="000000"/>
                <w:sz w:val="22"/>
                <w:szCs w:val="22"/>
              </w:rPr>
              <w:t>Operational  mode</w:t>
            </w:r>
          </w:p>
        </w:tc>
        <w:tc>
          <w:tcPr>
            <w:tcW w:w="3208" w:type="dxa"/>
            <w:shd w:val="clear" w:color="auto" w:fill="FFFFFF"/>
          </w:tcPr>
          <w:p w14:paraId="73C489D0"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color w:val="000000"/>
                <w:sz w:val="22"/>
                <w:szCs w:val="22"/>
                <w:lang w:val="en-US"/>
              </w:rPr>
              <w:t xml:space="preserve">Potentiostatic </w:t>
            </w:r>
          </w:p>
        </w:tc>
        <w:tc>
          <w:tcPr>
            <w:tcW w:w="630" w:type="dxa"/>
            <w:shd w:val="clear" w:color="auto" w:fill="FFFFFF"/>
          </w:tcPr>
          <w:p w14:paraId="55E7F329"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noProof/>
                <w:color w:val="000000"/>
                <w:sz w:val="22"/>
                <w:szCs w:val="22"/>
                <w:vertAlign w:val="superscript"/>
              </w:rPr>
              <w:t>21, 26</w:t>
            </w:r>
          </w:p>
        </w:tc>
        <w:tc>
          <w:tcPr>
            <w:tcW w:w="3415" w:type="dxa"/>
            <w:shd w:val="clear" w:color="auto" w:fill="FFFFFF"/>
          </w:tcPr>
          <w:p w14:paraId="3E685CD0" w14:textId="77777777" w:rsidR="00AC02ED" w:rsidRPr="005454CE" w:rsidRDefault="00AC02ED" w:rsidP="0065425F">
            <w:pPr>
              <w:contextualSpacing/>
              <w:rPr>
                <w:rFonts w:asciiTheme="minorHAnsi" w:eastAsia="Times New Roman" w:hAnsiTheme="minorHAnsi" w:cstheme="minorHAnsi"/>
                <w:color w:val="000000"/>
                <w:sz w:val="22"/>
                <w:szCs w:val="22"/>
                <w:lang w:eastAsia="en-GB"/>
              </w:rPr>
            </w:pPr>
            <w:r w:rsidRPr="005454CE">
              <w:rPr>
                <w:rFonts w:asciiTheme="minorHAnsi" w:eastAsia="+mn-ea" w:hAnsiTheme="minorHAnsi" w:cstheme="minorHAnsi"/>
                <w:color w:val="000000"/>
                <w:sz w:val="22"/>
                <w:szCs w:val="22"/>
                <w:lang w:val="en-US" w:eastAsia="en-GB"/>
              </w:rPr>
              <w:t>Galvanostatic</w:t>
            </w:r>
          </w:p>
        </w:tc>
        <w:tc>
          <w:tcPr>
            <w:tcW w:w="620" w:type="dxa"/>
            <w:shd w:val="clear" w:color="auto" w:fill="FFFFFF"/>
          </w:tcPr>
          <w:p w14:paraId="44BD6723"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noProof/>
                <w:color w:val="000000"/>
                <w:sz w:val="22"/>
                <w:szCs w:val="22"/>
                <w:vertAlign w:val="superscript"/>
              </w:rPr>
              <w:t>32, 33</w:t>
            </w:r>
          </w:p>
        </w:tc>
      </w:tr>
      <w:tr w:rsidR="00AC02ED" w:rsidRPr="005454CE" w14:paraId="7A989942" w14:textId="77777777" w:rsidTr="0065425F">
        <w:trPr>
          <w:trHeight w:val="314"/>
        </w:trPr>
        <w:tc>
          <w:tcPr>
            <w:tcW w:w="1557" w:type="dxa"/>
            <w:shd w:val="clear" w:color="auto" w:fill="FFFFFF"/>
          </w:tcPr>
          <w:p w14:paraId="4675F6B9" w14:textId="77777777" w:rsidR="00AC02ED" w:rsidRPr="005454CE" w:rsidRDefault="00AC02ED" w:rsidP="0065425F">
            <w:pPr>
              <w:jc w:val="both"/>
              <w:rPr>
                <w:rFonts w:asciiTheme="minorHAnsi" w:hAnsiTheme="minorHAnsi" w:cstheme="minorHAnsi"/>
                <w:b/>
                <w:bCs/>
                <w:color w:val="000000"/>
                <w:sz w:val="22"/>
                <w:szCs w:val="22"/>
              </w:rPr>
            </w:pPr>
            <w:r w:rsidRPr="005454CE">
              <w:rPr>
                <w:rFonts w:asciiTheme="minorHAnsi" w:hAnsiTheme="minorHAnsi" w:cstheme="minorHAnsi"/>
                <w:b/>
                <w:bCs/>
                <w:color w:val="000000"/>
                <w:sz w:val="22"/>
                <w:szCs w:val="22"/>
              </w:rPr>
              <w:t>Temperature</w:t>
            </w:r>
          </w:p>
        </w:tc>
        <w:tc>
          <w:tcPr>
            <w:tcW w:w="3208" w:type="dxa"/>
            <w:shd w:val="clear" w:color="auto" w:fill="FFFFFF"/>
          </w:tcPr>
          <w:p w14:paraId="3686FED5"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color w:val="000000"/>
                <w:sz w:val="22"/>
                <w:szCs w:val="22"/>
              </w:rPr>
              <w:t>Usually room temperature</w:t>
            </w:r>
          </w:p>
        </w:tc>
        <w:tc>
          <w:tcPr>
            <w:tcW w:w="630" w:type="dxa"/>
            <w:shd w:val="clear" w:color="auto" w:fill="FFFFFF"/>
          </w:tcPr>
          <w:p w14:paraId="73EB133B" w14:textId="77777777" w:rsidR="00AC02ED" w:rsidRPr="005454CE" w:rsidRDefault="00AC02ED" w:rsidP="0065425F">
            <w:pPr>
              <w:jc w:val="both"/>
              <w:rPr>
                <w:rFonts w:asciiTheme="minorHAnsi" w:hAnsiTheme="minorHAnsi" w:cstheme="minorHAnsi"/>
                <w:color w:val="000000"/>
                <w:sz w:val="22"/>
                <w:szCs w:val="22"/>
              </w:rPr>
            </w:pPr>
          </w:p>
        </w:tc>
        <w:tc>
          <w:tcPr>
            <w:tcW w:w="3415" w:type="dxa"/>
            <w:shd w:val="clear" w:color="auto" w:fill="FFFFFF"/>
          </w:tcPr>
          <w:p w14:paraId="1C4DC72E"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color w:val="000000"/>
                <w:sz w:val="22"/>
                <w:szCs w:val="22"/>
              </w:rPr>
              <w:t>50 °C – 80 °C</w:t>
            </w:r>
          </w:p>
        </w:tc>
        <w:tc>
          <w:tcPr>
            <w:tcW w:w="620" w:type="dxa"/>
            <w:shd w:val="clear" w:color="auto" w:fill="FFFFFF"/>
          </w:tcPr>
          <w:p w14:paraId="6EDEF637" w14:textId="77777777" w:rsidR="00AC02ED" w:rsidRPr="005454CE" w:rsidRDefault="00AC02ED" w:rsidP="0065425F">
            <w:pPr>
              <w:jc w:val="both"/>
              <w:rPr>
                <w:rFonts w:asciiTheme="minorHAnsi" w:hAnsiTheme="minorHAnsi" w:cstheme="minorHAnsi"/>
                <w:color w:val="000000"/>
                <w:sz w:val="22"/>
                <w:szCs w:val="22"/>
              </w:rPr>
            </w:pPr>
            <w:r w:rsidRPr="005454CE">
              <w:rPr>
                <w:rFonts w:asciiTheme="minorHAnsi" w:hAnsiTheme="minorHAnsi" w:cstheme="minorHAnsi"/>
                <w:noProof/>
                <w:color w:val="000000"/>
                <w:sz w:val="22"/>
                <w:szCs w:val="22"/>
                <w:vertAlign w:val="superscript"/>
              </w:rPr>
              <w:t>27, 28, 33</w:t>
            </w:r>
          </w:p>
        </w:tc>
      </w:tr>
    </w:tbl>
    <w:p w14:paraId="4B3C6DCA" w14:textId="77777777" w:rsidR="00AC02ED" w:rsidRPr="005454CE" w:rsidRDefault="00AC02ED" w:rsidP="00841DD7">
      <w:pPr>
        <w:pStyle w:val="Head1"/>
      </w:pPr>
    </w:p>
    <w:p w14:paraId="684CBF1D" w14:textId="77777777" w:rsidR="00AC02ED" w:rsidRPr="005454CE" w:rsidRDefault="00AC02ED" w:rsidP="00841DD7">
      <w:pPr>
        <w:pStyle w:val="Head1"/>
      </w:pPr>
      <w:r w:rsidRPr="005454CE">
        <w:t xml:space="preserve">2. Experimental Section </w:t>
      </w:r>
    </w:p>
    <w:p w14:paraId="634CA87B" w14:textId="77777777" w:rsidR="00AC02ED" w:rsidRPr="005454CE" w:rsidRDefault="00AC02ED" w:rsidP="00841DD7">
      <w:pPr>
        <w:pStyle w:val="Head1"/>
      </w:pPr>
    </w:p>
    <w:p w14:paraId="0EE85492" w14:textId="77777777" w:rsidR="00AC02ED" w:rsidRPr="005454CE" w:rsidRDefault="00AC02ED" w:rsidP="00590C9D">
      <w:pPr>
        <w:spacing w:line="480" w:lineRule="auto"/>
        <w:jc w:val="both"/>
        <w:rPr>
          <w:rFonts w:asciiTheme="minorHAnsi" w:hAnsiTheme="minorHAnsi" w:cstheme="minorHAnsi"/>
          <w:b/>
          <w:bCs/>
          <w:sz w:val="22"/>
          <w:szCs w:val="22"/>
        </w:rPr>
      </w:pPr>
      <w:r w:rsidRPr="005454CE">
        <w:rPr>
          <w:rFonts w:asciiTheme="minorHAnsi" w:hAnsiTheme="minorHAnsi" w:cstheme="minorHAnsi"/>
          <w:b/>
          <w:bCs/>
          <w:sz w:val="22"/>
          <w:szCs w:val="22"/>
        </w:rPr>
        <w:t>2.1 Synthesis of Adams’ catalysts</w:t>
      </w:r>
    </w:p>
    <w:p w14:paraId="02012F5F" w14:textId="77777777" w:rsidR="00AC02ED" w:rsidRPr="005454CE" w:rsidRDefault="00AC02ED" w:rsidP="00590C9D">
      <w:pPr>
        <w:spacing w:line="480" w:lineRule="auto"/>
        <w:jc w:val="both"/>
        <w:rPr>
          <w:rFonts w:asciiTheme="minorHAnsi" w:hAnsiTheme="minorHAnsi" w:cstheme="minorHAnsi"/>
          <w:sz w:val="22"/>
          <w:szCs w:val="22"/>
          <w:vertAlign w:val="superscript"/>
        </w:rPr>
      </w:pPr>
      <w:r w:rsidRPr="005454CE">
        <w:rPr>
          <w:rFonts w:asciiTheme="minorHAnsi" w:hAnsiTheme="minorHAnsi" w:cstheme="minorHAnsi"/>
          <w:sz w:val="22"/>
          <w:szCs w:val="22"/>
        </w:rPr>
        <w:t>The metal oxide catalysts were fabricated by a previously reported modified Adams’ method.</w:t>
      </w:r>
      <w:r w:rsidRPr="005454CE">
        <w:rPr>
          <w:rFonts w:asciiTheme="minorHAnsi" w:hAnsiTheme="minorHAnsi" w:cstheme="minorHAnsi"/>
          <w:noProof/>
          <w:sz w:val="22"/>
          <w:szCs w:val="22"/>
          <w:vertAlign w:val="superscript"/>
        </w:rPr>
        <w:t>34</w:t>
      </w:r>
      <w:r w:rsidRPr="005454CE">
        <w:rPr>
          <w:rFonts w:asciiTheme="minorHAnsi" w:hAnsiTheme="minorHAnsi" w:cstheme="minorHAnsi"/>
          <w:sz w:val="22"/>
          <w:szCs w:val="22"/>
        </w:rPr>
        <w:t xml:space="preserve"> In this study, 10 g of sodium nitrate and 0.5 g of the relevant metal salt were added to a porcelain crucible and dissolved in de-ionised water. Afterwards, the crucible was placed in a muffle furnace and the temperature of was ramped up to 500 °C (10 °C per minute) in air. The crucible was heated at 500 °C for 30 mins then allowed to cool down to room temperature. After the crucible had cooled, the product was cleaned with de-ionised water and centrifugation to remove the excess salt. The product was then dried in an oven at 100 °C. Finally, the structure of the metal oxide was determined by XRD with a D2 Phaser (Bruker) equipped with a Cu Kα source (</w:t>
      </w:r>
      <w:r w:rsidRPr="005454CE">
        <w:rPr>
          <w:rFonts w:asciiTheme="minorHAnsi" w:hAnsiTheme="minorHAnsi" w:cstheme="minorHAnsi"/>
          <w:i/>
          <w:sz w:val="22"/>
          <w:szCs w:val="22"/>
        </w:rPr>
        <w:t>λ</w:t>
      </w:r>
      <w:r w:rsidRPr="005454CE">
        <w:rPr>
          <w:rFonts w:asciiTheme="minorHAnsi" w:hAnsiTheme="minorHAnsi" w:cstheme="minorHAnsi"/>
          <w:sz w:val="22"/>
          <w:szCs w:val="22"/>
        </w:rPr>
        <w:t xml:space="preserve"> = 1.5418 Å).</w:t>
      </w:r>
    </w:p>
    <w:p w14:paraId="02830A2F" w14:textId="77777777" w:rsidR="00AC02ED" w:rsidRPr="005454CE" w:rsidRDefault="00AC02ED" w:rsidP="00590C9D">
      <w:pPr>
        <w:spacing w:line="480" w:lineRule="auto"/>
        <w:jc w:val="both"/>
        <w:rPr>
          <w:rFonts w:asciiTheme="minorHAnsi" w:hAnsiTheme="minorHAnsi" w:cstheme="minorHAnsi"/>
          <w:sz w:val="22"/>
          <w:szCs w:val="22"/>
          <w:vertAlign w:val="superscript"/>
        </w:rPr>
      </w:pPr>
    </w:p>
    <w:p w14:paraId="782A692A" w14:textId="77777777" w:rsidR="00AC02ED" w:rsidRPr="005454CE" w:rsidRDefault="00AC02ED" w:rsidP="00590C9D">
      <w:pPr>
        <w:spacing w:line="480" w:lineRule="auto"/>
        <w:jc w:val="both"/>
        <w:rPr>
          <w:rFonts w:asciiTheme="minorHAnsi" w:hAnsiTheme="minorHAnsi" w:cstheme="minorHAnsi"/>
          <w:b/>
          <w:bCs/>
          <w:sz w:val="22"/>
          <w:szCs w:val="22"/>
        </w:rPr>
      </w:pPr>
      <w:r w:rsidRPr="005454CE">
        <w:rPr>
          <w:rFonts w:asciiTheme="minorHAnsi" w:hAnsiTheme="minorHAnsi" w:cstheme="minorHAnsi"/>
          <w:b/>
          <w:bCs/>
          <w:sz w:val="22"/>
          <w:szCs w:val="22"/>
        </w:rPr>
        <w:t>2.2 Conventional three-electrode cell working electrode preparation and measurements</w:t>
      </w:r>
    </w:p>
    <w:p w14:paraId="0E117B06"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The three-electrode cell measurements were conducted using an Autolab potentiostat with a commercial glassy carbon (GC) electrode as the working electrode, an Ag/AgCl reference electrode (1M KCl), and a carbon rod as the counter electrode. The electrolyte used was 0.5 M H</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SO</w:t>
      </w:r>
      <w:r w:rsidRPr="005454CE">
        <w:rPr>
          <w:rFonts w:asciiTheme="minorHAnsi" w:hAnsiTheme="minorHAnsi" w:cstheme="minorHAnsi"/>
          <w:sz w:val="22"/>
          <w:szCs w:val="22"/>
          <w:vertAlign w:val="subscript"/>
        </w:rPr>
        <w:t>4</w:t>
      </w:r>
      <w:r w:rsidRPr="005454CE">
        <w:rPr>
          <w:rFonts w:asciiTheme="minorHAnsi" w:hAnsiTheme="minorHAnsi" w:cstheme="minorHAnsi"/>
          <w:sz w:val="22"/>
          <w:szCs w:val="22"/>
        </w:rPr>
        <w:t>. The metal oxides were drop-cast onto the rotating disc glassy carbon (GC) electrodes from a suspension containing the relevant metal oxide (10 mg ml</w:t>
      </w:r>
      <w:r w:rsidRPr="005454CE">
        <w:rPr>
          <w:rFonts w:asciiTheme="minorHAnsi" w:hAnsiTheme="minorHAnsi" w:cstheme="minorHAnsi"/>
          <w:sz w:val="22"/>
          <w:szCs w:val="22"/>
          <w:vertAlign w:val="superscript"/>
        </w:rPr>
        <w:t>-1</w:t>
      </w:r>
      <w:r w:rsidRPr="005454CE">
        <w:rPr>
          <w:rFonts w:asciiTheme="minorHAnsi" w:hAnsiTheme="minorHAnsi" w:cstheme="minorHAnsi"/>
          <w:sz w:val="22"/>
          <w:szCs w:val="22"/>
        </w:rPr>
        <w:t>), 0.5 ml de-ionised water, 0.5 ml ethanol and 8μl Nafion</w:t>
      </w:r>
      <w:r w:rsidRPr="005454CE">
        <w:rPr>
          <w:rFonts w:asciiTheme="minorHAnsi" w:hAnsiTheme="minorHAnsi" w:cstheme="minorHAnsi"/>
          <w:sz w:val="22"/>
          <w:szCs w:val="22"/>
          <w:lang w:val="en-IE"/>
        </w:rPr>
        <w:t>; ink suspension components similar to those found</w:t>
      </w:r>
      <w:r w:rsidRPr="005454CE">
        <w:rPr>
          <w:rFonts w:asciiTheme="minorHAnsi" w:hAnsiTheme="minorHAnsi" w:cstheme="minorHAnsi"/>
          <w:sz w:val="22"/>
          <w:szCs w:val="22"/>
        </w:rPr>
        <w:t xml:space="preserve"> for OER reports from in literature.</w:t>
      </w:r>
      <w:r w:rsidRPr="005454CE">
        <w:rPr>
          <w:rFonts w:asciiTheme="minorHAnsi" w:hAnsiTheme="minorHAnsi" w:cstheme="minorHAnsi"/>
          <w:noProof/>
          <w:sz w:val="22"/>
          <w:szCs w:val="22"/>
          <w:vertAlign w:val="superscript"/>
        </w:rPr>
        <w:t>35, 36</w:t>
      </w:r>
      <w:r w:rsidRPr="005454CE">
        <w:rPr>
          <w:rFonts w:asciiTheme="minorHAnsi" w:hAnsiTheme="minorHAnsi" w:cstheme="minorHAnsi"/>
          <w:sz w:val="22"/>
          <w:szCs w:val="22"/>
        </w:rPr>
        <w:t xml:space="preserve"> The catalyst loading of the metal oxides onto the GC electrode was ~0.7 mg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unless otherwise stated. A catalyst loading 0.7 mg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xml:space="preserve"> of is a typical averaged value used across literature for the evaluation of OER catalysts in a conventional three electrode cell set-up.</w:t>
      </w:r>
      <w:r w:rsidRPr="005454CE">
        <w:rPr>
          <w:rFonts w:asciiTheme="minorHAnsi" w:hAnsiTheme="minorHAnsi" w:cstheme="minorHAnsi"/>
          <w:noProof/>
          <w:sz w:val="22"/>
          <w:szCs w:val="22"/>
          <w:vertAlign w:val="superscript"/>
        </w:rPr>
        <w:t>31</w:t>
      </w:r>
      <w:r w:rsidRPr="005454CE">
        <w:rPr>
          <w:rFonts w:asciiTheme="minorHAnsi" w:hAnsiTheme="minorHAnsi" w:cstheme="minorHAnsi"/>
          <w:sz w:val="22"/>
          <w:szCs w:val="22"/>
        </w:rPr>
        <w:t xml:space="preserve"> The metal oxide modified rotating disc GC electrode was attached to a rotating disc electrode (RDE) set-up. The RDE measurements were all carried out using a rpm of 1600. The linear sweep voltammetry (LSV) measurements were carried out at a scan rate of 1 mV s</w:t>
      </w:r>
      <w:r w:rsidRPr="005454CE">
        <w:rPr>
          <w:rFonts w:asciiTheme="minorHAnsi" w:hAnsiTheme="minorHAnsi" w:cstheme="minorHAnsi"/>
          <w:sz w:val="22"/>
          <w:szCs w:val="22"/>
          <w:vertAlign w:val="superscript"/>
        </w:rPr>
        <w:t xml:space="preserve">-1 </w:t>
      </w:r>
      <w:r w:rsidRPr="005454CE">
        <w:rPr>
          <w:rFonts w:asciiTheme="minorHAnsi" w:hAnsiTheme="minorHAnsi" w:cstheme="minorHAnsi"/>
          <w:sz w:val="22"/>
          <w:szCs w:val="22"/>
        </w:rPr>
        <w:t>and were iR corrected. Electrochemical Impedance Spectroscopy (EIS) was carried out in the frequency range of 100000 to 0.1 Hz in a non-Faradic region. The chronopotentiometry measurements were carried out a current density of 10 mA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xml:space="preserve">. </w:t>
      </w:r>
    </w:p>
    <w:p w14:paraId="4FA95073" w14:textId="77777777" w:rsidR="00AC02ED" w:rsidRPr="005454CE" w:rsidRDefault="00AC02ED" w:rsidP="00590C9D">
      <w:pPr>
        <w:spacing w:line="480" w:lineRule="auto"/>
        <w:jc w:val="both"/>
        <w:rPr>
          <w:rFonts w:asciiTheme="minorHAnsi" w:hAnsiTheme="minorHAnsi" w:cstheme="minorHAnsi"/>
          <w:sz w:val="22"/>
          <w:szCs w:val="22"/>
        </w:rPr>
      </w:pPr>
    </w:p>
    <w:p w14:paraId="2D801941" w14:textId="77777777" w:rsidR="00AC02ED" w:rsidRPr="005454CE" w:rsidRDefault="00AC02ED" w:rsidP="00590C9D">
      <w:pPr>
        <w:spacing w:line="480" w:lineRule="auto"/>
        <w:jc w:val="both"/>
        <w:rPr>
          <w:rFonts w:asciiTheme="minorHAnsi" w:hAnsiTheme="minorHAnsi" w:cstheme="minorHAnsi"/>
          <w:b/>
          <w:bCs/>
          <w:sz w:val="22"/>
          <w:szCs w:val="22"/>
        </w:rPr>
      </w:pPr>
      <w:r w:rsidRPr="005454CE">
        <w:rPr>
          <w:rFonts w:asciiTheme="minorHAnsi" w:hAnsiTheme="minorHAnsi" w:cstheme="minorHAnsi"/>
          <w:b/>
          <w:bCs/>
          <w:sz w:val="22"/>
          <w:szCs w:val="22"/>
        </w:rPr>
        <w:t>2.3 Catalyst Coated Membrane (CCM) preparation</w:t>
      </w:r>
    </w:p>
    <w:p w14:paraId="2655A569"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To prepare a CCM for the electrolyser device measurements, 3 mg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xml:space="preserve"> of the relevant metal oxide and 0.5 mg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xml:space="preserve"> of Pt/C were spray-coated onto separate glass reinforced Teflon sheets (Sigma Aldrich) using a 5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xml:space="preserve"> geometric area mask, Figure S6. The two catalyst coated Teflon sheets were sandwiched with a Nafion 117 membrane in the centre and hot-pressed at 140 </w:t>
      </w:r>
      <w:r w:rsidRPr="005454CE">
        <w:rPr>
          <w:rFonts w:asciiTheme="minorHAnsi" w:hAnsiTheme="minorHAnsi" w:cstheme="minorHAnsi"/>
          <w:sz w:val="22"/>
          <w:szCs w:val="22"/>
          <w:vertAlign w:val="superscript"/>
        </w:rPr>
        <w:t>o</w:t>
      </w:r>
      <w:r w:rsidRPr="005454CE">
        <w:rPr>
          <w:rFonts w:asciiTheme="minorHAnsi" w:hAnsiTheme="minorHAnsi" w:cstheme="minorHAnsi"/>
          <w:sz w:val="22"/>
          <w:szCs w:val="22"/>
        </w:rPr>
        <w:t>C at 2 MPa for 5 minutes. Before testing, the CCMs were immersed in 0.5 M H</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SO</w:t>
      </w:r>
      <w:r w:rsidRPr="005454CE">
        <w:rPr>
          <w:rFonts w:asciiTheme="minorHAnsi" w:hAnsiTheme="minorHAnsi" w:cstheme="minorHAnsi"/>
          <w:sz w:val="22"/>
          <w:szCs w:val="22"/>
          <w:vertAlign w:val="subscript"/>
        </w:rPr>
        <w:t>4</w:t>
      </w:r>
      <w:r w:rsidRPr="005454CE">
        <w:rPr>
          <w:rFonts w:asciiTheme="minorHAnsi" w:hAnsiTheme="minorHAnsi" w:cstheme="minorHAnsi"/>
          <w:sz w:val="22"/>
          <w:szCs w:val="22"/>
        </w:rPr>
        <w:t xml:space="preserve"> for 12 hours. </w:t>
      </w:r>
    </w:p>
    <w:p w14:paraId="3EB77BF8" w14:textId="77777777" w:rsidR="00AC02ED" w:rsidRPr="005454CE" w:rsidRDefault="00AC02ED" w:rsidP="00590C9D">
      <w:pPr>
        <w:spacing w:line="480" w:lineRule="auto"/>
        <w:jc w:val="both"/>
        <w:rPr>
          <w:rFonts w:asciiTheme="minorHAnsi" w:hAnsiTheme="minorHAnsi" w:cstheme="minorHAnsi"/>
          <w:sz w:val="22"/>
          <w:szCs w:val="22"/>
        </w:rPr>
      </w:pPr>
    </w:p>
    <w:p w14:paraId="201BB63B" w14:textId="77777777" w:rsidR="00AC02ED" w:rsidRPr="005454CE" w:rsidRDefault="00AC02ED" w:rsidP="00590C9D">
      <w:pPr>
        <w:spacing w:line="480" w:lineRule="auto"/>
        <w:jc w:val="both"/>
        <w:rPr>
          <w:rFonts w:asciiTheme="minorHAnsi" w:hAnsiTheme="minorHAnsi" w:cstheme="minorHAnsi"/>
          <w:b/>
          <w:bCs/>
          <w:sz w:val="22"/>
          <w:szCs w:val="22"/>
        </w:rPr>
      </w:pPr>
      <w:r w:rsidRPr="005454CE">
        <w:rPr>
          <w:rFonts w:asciiTheme="minorHAnsi" w:hAnsiTheme="minorHAnsi" w:cstheme="minorHAnsi"/>
          <w:b/>
          <w:bCs/>
          <w:sz w:val="22"/>
          <w:szCs w:val="22"/>
        </w:rPr>
        <w:t>2.4 Electrolyser device measurements – three electrode in the PEEK cell (Figure 4 and 5)</w:t>
      </w:r>
    </w:p>
    <w:p w14:paraId="622AC6CE"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The PEM electrolyser device, with a geometric active area of 5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used in the evaluation of the metal oxides was fabricated in house by machining polyetheretherketone (PEEK) (Sigma Aldrich) to create a bespoke electrolyser, as illustrated in Figure 2A.</w:t>
      </w:r>
      <w:r w:rsidRPr="005454CE">
        <w:rPr>
          <w:rFonts w:asciiTheme="minorHAnsi" w:hAnsiTheme="minorHAnsi" w:cstheme="minorHAnsi"/>
          <w:noProof/>
          <w:sz w:val="22"/>
          <w:szCs w:val="22"/>
          <w:vertAlign w:val="superscript"/>
        </w:rPr>
        <w:t>37</w:t>
      </w:r>
      <w:r w:rsidRPr="005454CE">
        <w:rPr>
          <w:rFonts w:asciiTheme="minorHAnsi" w:hAnsiTheme="minorHAnsi" w:cstheme="minorHAnsi"/>
          <w:sz w:val="22"/>
          <w:szCs w:val="22"/>
        </w:rPr>
        <w:t xml:space="preserve"> To assemble the electrolyser, Pt-coated components consisting of a Ti piston, expanded Ti mesh (Deze titanium – 2 mm LWD 1 mm SWD) and Ti sinter (Merelex Corporation, </w:t>
      </w:r>
      <w:r w:rsidRPr="005454CE">
        <w:rPr>
          <w:rStyle w:val="oradatatext"/>
          <w:rFonts w:asciiTheme="minorHAnsi" w:hAnsiTheme="minorHAnsi" w:cstheme="minorHAnsi"/>
          <w:sz w:val="22"/>
          <w:szCs w:val="22"/>
        </w:rPr>
        <w:t>TI-M-01-FM.2MMT - 100 µm average pore size</w:t>
      </w:r>
      <w:r w:rsidRPr="005454CE">
        <w:rPr>
          <w:rFonts w:asciiTheme="minorHAnsi" w:hAnsiTheme="minorHAnsi" w:cstheme="minorHAnsi"/>
          <w:sz w:val="22"/>
          <w:szCs w:val="22"/>
        </w:rPr>
        <w:t>) were inserted to the anode and cathode compartments. The pistons were needed to apply pressure to the cell and to connect the electrolyser to the potentiostat (Gamry Instruments). The mesh and sinters were used as electrical contacts and gas/water diffusion layers to the CCM. The CCM was then sandwiched between the two compartments and the two sections bolted together. In operation, 1.4 MPa pneumatic pressure is applied to the Ti pistons to create good electrical contact between the mesh, sinter and CCM. (</w:t>
      </w:r>
      <w:r w:rsidRPr="005454CE">
        <w:rPr>
          <w:rFonts w:asciiTheme="minorHAnsi" w:hAnsiTheme="minorHAnsi" w:cstheme="minorHAnsi"/>
          <w:sz w:val="22"/>
          <w:szCs w:val="22"/>
          <w:lang w:eastAsia="en-GB"/>
        </w:rPr>
        <w:t>See SI Table S1 for estimated cost of a piston, mesh and sinter).</w:t>
      </w:r>
    </w:p>
    <w:p w14:paraId="1E19B0B8"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 xml:space="preserve">Peristaltic pumps supplied de-ionised water into both sides of the cell from separate water tanks; the water was heated to 60 °C, </w:t>
      </w:r>
      <w:r w:rsidRPr="005454CE">
        <w:rPr>
          <w:rFonts w:asciiTheme="minorHAnsi" w:hAnsiTheme="minorHAnsi" w:cstheme="minorHAnsi"/>
          <w:sz w:val="22"/>
          <w:szCs w:val="22"/>
          <w:shd w:val="clear" w:color="auto" w:fill="FFFFFF"/>
        </w:rPr>
        <w:t>with a flow rate of 25 ml min</w:t>
      </w:r>
      <w:r w:rsidRPr="005454CE">
        <w:rPr>
          <w:rFonts w:asciiTheme="minorHAnsi" w:hAnsiTheme="minorHAnsi" w:cstheme="minorHAnsi"/>
          <w:sz w:val="22"/>
          <w:szCs w:val="22"/>
          <w:shd w:val="clear" w:color="auto" w:fill="FFFFFF"/>
          <w:vertAlign w:val="superscript"/>
        </w:rPr>
        <w:t>-1</w:t>
      </w:r>
      <w:r w:rsidRPr="005454CE">
        <w:rPr>
          <w:rFonts w:asciiTheme="minorHAnsi" w:hAnsiTheme="minorHAnsi" w:cstheme="minorHAnsi"/>
          <w:sz w:val="22"/>
          <w:szCs w:val="22"/>
          <w:shd w:val="clear" w:color="auto" w:fill="FFFFFF"/>
        </w:rPr>
        <w:t>,</w:t>
      </w:r>
      <w:r w:rsidRPr="005454CE">
        <w:rPr>
          <w:rFonts w:asciiTheme="minorHAnsi" w:hAnsiTheme="minorHAnsi" w:cstheme="minorHAnsi"/>
          <w:sz w:val="22"/>
          <w:szCs w:val="22"/>
        </w:rPr>
        <w:t xml:space="preserve"> and kept at a constant temperature by a thermostat bath. A reference electrode was connected to the CCM by a 2 mm hole drilled through the sealing edge of the PEEK on the anode side, positioned 1 mm away from the CCM active area but contacting the CCM sealing edge. With the hole filled with 0.5 M sulfuric acid and connected to an electrolyte reservoir with a Hg/HgSO</w:t>
      </w:r>
      <w:r w:rsidRPr="005454CE">
        <w:rPr>
          <w:rFonts w:asciiTheme="minorHAnsi" w:hAnsiTheme="minorHAnsi" w:cstheme="minorHAnsi"/>
          <w:sz w:val="22"/>
          <w:szCs w:val="22"/>
          <w:vertAlign w:val="subscript"/>
        </w:rPr>
        <w:t>4</w:t>
      </w:r>
      <w:r w:rsidRPr="005454CE">
        <w:rPr>
          <w:rFonts w:asciiTheme="minorHAnsi" w:hAnsiTheme="minorHAnsi" w:cstheme="minorHAnsi"/>
          <w:sz w:val="22"/>
          <w:szCs w:val="22"/>
        </w:rPr>
        <w:t xml:space="preserve"> reference electrode (0.5 M H</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SO</w:t>
      </w:r>
      <w:r w:rsidRPr="005454CE">
        <w:rPr>
          <w:rFonts w:asciiTheme="minorHAnsi" w:hAnsiTheme="minorHAnsi" w:cstheme="minorHAnsi"/>
          <w:sz w:val="22"/>
          <w:szCs w:val="22"/>
          <w:vertAlign w:val="subscript"/>
        </w:rPr>
        <w:t>4</w:t>
      </w:r>
      <w:r w:rsidRPr="005454CE">
        <w:rPr>
          <w:rFonts w:asciiTheme="minorHAnsi" w:hAnsiTheme="minorHAnsi" w:cstheme="minorHAnsi"/>
          <w:sz w:val="22"/>
          <w:szCs w:val="22"/>
        </w:rPr>
        <w:t>), the CCM sealing edge acts as the remaining extension of the Luggin capillary to the electrodes. This setup, therefore, allows for the direct measurement of the OER potentials rather than the overall cell voltage.</w:t>
      </w:r>
      <w:r w:rsidRPr="005454CE">
        <w:rPr>
          <w:rFonts w:asciiTheme="minorHAnsi" w:hAnsiTheme="minorHAnsi" w:cstheme="minorHAnsi"/>
          <w:noProof/>
          <w:sz w:val="22"/>
          <w:szCs w:val="22"/>
          <w:vertAlign w:val="superscript"/>
        </w:rPr>
        <w:t>37</w:t>
      </w:r>
      <w:r w:rsidRPr="005454CE">
        <w:rPr>
          <w:rFonts w:asciiTheme="minorHAnsi" w:hAnsiTheme="minorHAnsi" w:cstheme="minorHAnsi"/>
          <w:sz w:val="22"/>
          <w:szCs w:val="22"/>
        </w:rPr>
        <w:t xml:space="preserve"> The I-V curves were obtained by applying a stepwise sequence of current densities between 0.01 mA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xml:space="preserve"> and 1 A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xml:space="preserve"> and holding for 60 seconds each. The chronopotentiometry measurements were run at a constant current density of 10 mA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xml:space="preserve">. </w:t>
      </w:r>
    </w:p>
    <w:p w14:paraId="5A9D3B30" w14:textId="77777777" w:rsidR="00AC02ED" w:rsidRPr="005454CE" w:rsidRDefault="00AC02ED" w:rsidP="00590C9D">
      <w:pPr>
        <w:spacing w:line="360" w:lineRule="auto"/>
        <w:jc w:val="center"/>
        <w:rPr>
          <w:rFonts w:asciiTheme="minorHAnsi" w:hAnsiTheme="minorHAnsi" w:cstheme="minorHAnsi"/>
          <w:sz w:val="22"/>
          <w:szCs w:val="22"/>
        </w:rPr>
      </w:pPr>
      <w:r w:rsidRPr="005454CE">
        <w:rPr>
          <w:rFonts w:asciiTheme="minorHAnsi" w:hAnsiTheme="minorHAnsi" w:cstheme="minorHAnsi"/>
          <w:noProof/>
          <w:sz w:val="22"/>
          <w:szCs w:val="22"/>
          <w:lang w:val="cs-CZ" w:eastAsia="cs-CZ"/>
        </w:rPr>
        <w:drawing>
          <wp:inline distT="0" distB="0" distL="0" distR="0" wp14:anchorId="2668A678" wp14:editId="17C71D84">
            <wp:extent cx="5462778" cy="408432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4432" cy="4093033"/>
                    </a:xfrm>
                    <a:prstGeom prst="rect">
                      <a:avLst/>
                    </a:prstGeom>
                    <a:noFill/>
                    <a:ln>
                      <a:noFill/>
                    </a:ln>
                  </pic:spPr>
                </pic:pic>
              </a:graphicData>
            </a:graphic>
          </wp:inline>
        </w:drawing>
      </w:r>
    </w:p>
    <w:p w14:paraId="5CF4910E" w14:textId="77777777" w:rsidR="00AC02ED" w:rsidRPr="005454CE" w:rsidRDefault="00AC02ED" w:rsidP="00590C9D">
      <w:pPr>
        <w:jc w:val="both"/>
        <w:rPr>
          <w:rFonts w:asciiTheme="minorHAnsi" w:hAnsiTheme="minorHAnsi" w:cstheme="minorHAnsi"/>
          <w:sz w:val="22"/>
          <w:szCs w:val="22"/>
        </w:rPr>
      </w:pPr>
      <w:r w:rsidRPr="005454CE">
        <w:rPr>
          <w:rFonts w:asciiTheme="minorHAnsi" w:hAnsiTheme="minorHAnsi" w:cstheme="minorHAnsi"/>
          <w:b/>
          <w:bCs/>
          <w:sz w:val="22"/>
          <w:szCs w:val="22"/>
        </w:rPr>
        <w:t>Figure 2A.</w:t>
      </w:r>
      <w:r w:rsidRPr="005454CE">
        <w:rPr>
          <w:rFonts w:asciiTheme="minorHAnsi" w:hAnsiTheme="minorHAnsi" w:cstheme="minorHAnsi"/>
          <w:sz w:val="22"/>
          <w:szCs w:val="22"/>
        </w:rPr>
        <w:t xml:space="preserve"> Schematic of the PEEK electrolyser device (three-electrode cell) set-up used for the evaluation of the metal oxide materials in Figure 4 and 5 and </w:t>
      </w:r>
      <w:r w:rsidRPr="005454CE">
        <w:rPr>
          <w:rFonts w:asciiTheme="minorHAnsi" w:hAnsiTheme="minorHAnsi" w:cstheme="minorHAnsi"/>
          <w:b/>
          <w:bCs/>
          <w:sz w:val="22"/>
          <w:szCs w:val="22"/>
        </w:rPr>
        <w:t xml:space="preserve">B. </w:t>
      </w:r>
      <w:r w:rsidRPr="005454CE">
        <w:rPr>
          <w:rFonts w:asciiTheme="minorHAnsi" w:hAnsiTheme="minorHAnsi" w:cstheme="minorHAnsi"/>
          <w:sz w:val="22"/>
          <w:szCs w:val="22"/>
        </w:rPr>
        <w:t>Schematic of the 3D-printed electrolyser device (two-electrode cell) set-up used for the evaluation of the IrO</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/Pt CCM in Figure 6 and 7.</w:t>
      </w:r>
    </w:p>
    <w:p w14:paraId="2D6DA027" w14:textId="77777777" w:rsidR="00AC02ED" w:rsidRPr="005454CE" w:rsidRDefault="00AC02ED" w:rsidP="00590C9D">
      <w:pPr>
        <w:jc w:val="both"/>
        <w:rPr>
          <w:rFonts w:asciiTheme="minorHAnsi" w:hAnsiTheme="minorHAnsi" w:cstheme="minorHAnsi"/>
          <w:sz w:val="22"/>
          <w:szCs w:val="22"/>
        </w:rPr>
      </w:pPr>
    </w:p>
    <w:p w14:paraId="61A5B861" w14:textId="77777777" w:rsidR="00AC02ED" w:rsidRPr="005454CE" w:rsidRDefault="00AC02ED" w:rsidP="00590C9D">
      <w:pPr>
        <w:jc w:val="both"/>
        <w:rPr>
          <w:rFonts w:asciiTheme="minorHAnsi" w:hAnsiTheme="minorHAnsi" w:cstheme="minorHAnsi"/>
          <w:sz w:val="22"/>
          <w:szCs w:val="22"/>
        </w:rPr>
      </w:pPr>
    </w:p>
    <w:p w14:paraId="2D9F54A1" w14:textId="77777777" w:rsidR="00AC02ED" w:rsidRPr="005454CE" w:rsidRDefault="00AC02ED" w:rsidP="00590C9D">
      <w:pPr>
        <w:spacing w:line="480" w:lineRule="auto"/>
        <w:jc w:val="both"/>
        <w:rPr>
          <w:rFonts w:asciiTheme="minorHAnsi" w:hAnsiTheme="minorHAnsi" w:cstheme="minorHAnsi"/>
          <w:b/>
          <w:bCs/>
          <w:sz w:val="22"/>
          <w:szCs w:val="22"/>
        </w:rPr>
      </w:pPr>
      <w:r w:rsidRPr="005454CE">
        <w:rPr>
          <w:rFonts w:asciiTheme="minorHAnsi" w:hAnsiTheme="minorHAnsi" w:cstheme="minorHAnsi"/>
          <w:b/>
          <w:bCs/>
          <w:sz w:val="22"/>
          <w:szCs w:val="22"/>
        </w:rPr>
        <w:t xml:space="preserve">2.5 3D-Printing of the electrolyser devices </w:t>
      </w:r>
    </w:p>
    <w:p w14:paraId="547E73D6"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For the purpose of 3D printing, the cell model used for the manufacturing of the PEEK cell was modified to avoid overhangs in the structure which would need supports to print successfully. Fusion 360 (Autodesk) was used to perform this optimisation, the parametric 3D model was then exported into the .stl format for slicing in respective printer software. For the FDM 3D-printing, the .stl file was sliced using Slic3r (Prusa) open-source software with a common layer height of 0.2 mm, wall thickness of 3 perimeters (~1.2 mm) and 5% infill using a grid pattern. FDM 3D-printing was carried out using an i3 MK3s Prusa printer with a 0.4 mm nozzle. The printing temperature of the nozzle was 230 °C for PETG filament and 260 °C for the Co-polyester filament. The sliced model was exported to .gcode format for the actual printing. For the SLA 3D-printing, the .stl file was sliced using PreForm software (FormLab). The Layer height was set to 0.1 mm for all the SLA materials. The SLA 3D-printing was conducted with a Form 2 SLA printer (Formlabs).</w:t>
      </w:r>
    </w:p>
    <w:p w14:paraId="122EC04C" w14:textId="77777777" w:rsidR="00AC02ED" w:rsidRPr="005454CE" w:rsidRDefault="00AC02ED" w:rsidP="00590C9D">
      <w:pPr>
        <w:spacing w:line="480" w:lineRule="auto"/>
        <w:jc w:val="both"/>
        <w:rPr>
          <w:rFonts w:asciiTheme="minorHAnsi" w:hAnsiTheme="minorHAnsi" w:cstheme="minorHAnsi"/>
          <w:sz w:val="22"/>
          <w:szCs w:val="22"/>
        </w:rPr>
      </w:pPr>
    </w:p>
    <w:p w14:paraId="2693D823" w14:textId="77777777" w:rsidR="00AC02ED" w:rsidRPr="005454CE" w:rsidRDefault="00AC02ED" w:rsidP="00590C9D">
      <w:pPr>
        <w:spacing w:line="480" w:lineRule="auto"/>
        <w:jc w:val="both"/>
        <w:rPr>
          <w:rFonts w:asciiTheme="minorHAnsi" w:hAnsiTheme="minorHAnsi" w:cstheme="minorHAnsi"/>
          <w:b/>
          <w:bCs/>
          <w:sz w:val="22"/>
          <w:szCs w:val="22"/>
        </w:rPr>
      </w:pPr>
      <w:r w:rsidRPr="005454CE">
        <w:rPr>
          <w:rFonts w:asciiTheme="minorHAnsi" w:hAnsiTheme="minorHAnsi" w:cstheme="minorHAnsi"/>
          <w:b/>
          <w:bCs/>
          <w:sz w:val="22"/>
          <w:szCs w:val="22"/>
        </w:rPr>
        <w:t>2.6 Electrolyser device measurements – two-electrode in 3D-printed electrolysers (Figure 6 and 7)</w:t>
      </w:r>
    </w:p>
    <w:p w14:paraId="10D776DB" w14:textId="77777777" w:rsidR="00AC02ED" w:rsidRPr="005454CE" w:rsidRDefault="00AC02ED" w:rsidP="00FB4175">
      <w:pPr>
        <w:spacing w:line="480" w:lineRule="auto"/>
        <w:jc w:val="both"/>
        <w:rPr>
          <w:rFonts w:asciiTheme="minorHAnsi" w:hAnsiTheme="minorHAnsi" w:cstheme="minorHAnsi"/>
          <w:sz w:val="22"/>
          <w:szCs w:val="22"/>
          <w:shd w:val="clear" w:color="auto" w:fill="FFFFFF"/>
        </w:rPr>
      </w:pPr>
      <w:r w:rsidRPr="005454CE">
        <w:rPr>
          <w:rFonts w:asciiTheme="minorHAnsi" w:hAnsiTheme="minorHAnsi" w:cstheme="minorHAnsi"/>
          <w:sz w:val="22"/>
          <w:szCs w:val="22"/>
        </w:rPr>
        <w:t xml:space="preserve">For the two-electrode electrolyser measurements, the 3D-printed compartments with the CCM were assembled similar to the three electrode electrolyser shown in Figure 2A but without an integrated reference electrode as illustrated in Figure 2B. </w:t>
      </w:r>
      <w:r w:rsidRPr="005454CE">
        <w:rPr>
          <w:rFonts w:asciiTheme="minorHAnsi" w:hAnsiTheme="minorHAnsi" w:cstheme="minorHAnsi"/>
          <w:sz w:val="22"/>
          <w:szCs w:val="22"/>
          <w:shd w:val="clear" w:color="auto" w:fill="FFFFFF"/>
        </w:rPr>
        <w:t>The electrolyser was operated with inlet water heated to 60 °C, with the flow rate set at 25 ml min</w:t>
      </w:r>
      <w:r w:rsidRPr="005454CE">
        <w:rPr>
          <w:rFonts w:asciiTheme="minorHAnsi" w:hAnsiTheme="minorHAnsi" w:cstheme="minorHAnsi"/>
          <w:sz w:val="22"/>
          <w:szCs w:val="22"/>
          <w:shd w:val="clear" w:color="auto" w:fill="FFFFFF"/>
          <w:vertAlign w:val="superscript"/>
        </w:rPr>
        <w:t>-1</w:t>
      </w:r>
      <w:r w:rsidRPr="005454CE">
        <w:rPr>
          <w:rFonts w:asciiTheme="minorHAnsi" w:hAnsiTheme="minorHAnsi" w:cstheme="minorHAnsi"/>
          <w:sz w:val="22"/>
          <w:szCs w:val="22"/>
          <w:shd w:val="clear" w:color="auto" w:fill="FFFFFF"/>
        </w:rPr>
        <w:t xml:space="preserve">. The anode water flow came from an anode water tower, heated using a thermostat bath, and delivered to the cell using a peristaltic pump. The outlet was connected back to the anode tower. The cathode was run dry. The I-V curves and the chronoamperometry measurements were carried under the same current parameters as the three-electrode device measurements. The electrochemical impedance measurements were carried out in a frequency region of 50000 – 0.1 Hz at a potential of 0.3 V, to ensure no OER processes were occuring to determine the inherent cell ohmic losses. </w:t>
      </w:r>
    </w:p>
    <w:p w14:paraId="34F7759E" w14:textId="77777777" w:rsidR="00AC02ED" w:rsidRPr="005454CE" w:rsidRDefault="00AC02ED" w:rsidP="00590C9D">
      <w:pPr>
        <w:rPr>
          <w:rFonts w:asciiTheme="minorHAnsi" w:hAnsiTheme="minorHAnsi" w:cstheme="minorHAnsi"/>
          <w:sz w:val="22"/>
          <w:szCs w:val="22"/>
        </w:rPr>
      </w:pPr>
    </w:p>
    <w:p w14:paraId="146801DF" w14:textId="77777777" w:rsidR="00AC02ED" w:rsidRPr="005454CE" w:rsidRDefault="00AC02ED" w:rsidP="00590C9D">
      <w:pPr>
        <w:rPr>
          <w:rFonts w:asciiTheme="minorHAnsi" w:hAnsiTheme="minorHAnsi" w:cstheme="minorHAnsi"/>
          <w:b/>
          <w:sz w:val="22"/>
          <w:szCs w:val="22"/>
          <w:lang w:val="en-US"/>
        </w:rPr>
      </w:pPr>
    </w:p>
    <w:p w14:paraId="751C88D2" w14:textId="77777777" w:rsidR="00AC02ED" w:rsidRPr="005454CE" w:rsidRDefault="00AC02ED" w:rsidP="00841DD7">
      <w:pPr>
        <w:pStyle w:val="Head1"/>
      </w:pPr>
      <w:r w:rsidRPr="005454CE">
        <w:t xml:space="preserve">3. Results and Discussion </w:t>
      </w:r>
    </w:p>
    <w:p w14:paraId="62B9E50F" w14:textId="77777777" w:rsidR="00AC02ED" w:rsidRPr="005454CE" w:rsidRDefault="00AC02ED" w:rsidP="00841DD7">
      <w:pPr>
        <w:pStyle w:val="Head1"/>
      </w:pPr>
    </w:p>
    <w:p w14:paraId="10956B8F" w14:textId="77777777" w:rsidR="00AC02ED" w:rsidRPr="005454CE" w:rsidRDefault="00AC02ED" w:rsidP="00590C9D">
      <w:pPr>
        <w:jc w:val="both"/>
        <w:rPr>
          <w:rFonts w:asciiTheme="minorHAnsi" w:hAnsiTheme="minorHAnsi" w:cstheme="minorHAnsi"/>
          <w:b/>
          <w:sz w:val="22"/>
          <w:szCs w:val="22"/>
        </w:rPr>
      </w:pPr>
      <w:bookmarkStart w:id="1" w:name="_Hlk46330587"/>
      <w:r w:rsidRPr="005454CE">
        <w:rPr>
          <w:rFonts w:asciiTheme="minorHAnsi" w:hAnsiTheme="minorHAnsi" w:cstheme="minorHAnsi"/>
          <w:b/>
          <w:bCs/>
          <w:sz w:val="22"/>
          <w:szCs w:val="22"/>
        </w:rPr>
        <w:t>3.1.</w:t>
      </w:r>
      <w:r w:rsidRPr="005454CE">
        <w:rPr>
          <w:rFonts w:asciiTheme="minorHAnsi" w:hAnsiTheme="minorHAnsi" w:cstheme="minorHAnsi"/>
          <w:sz w:val="22"/>
          <w:szCs w:val="22"/>
        </w:rPr>
        <w:t xml:space="preserve"> </w:t>
      </w:r>
      <w:r w:rsidRPr="005454CE">
        <w:rPr>
          <w:rFonts w:asciiTheme="minorHAnsi" w:hAnsiTheme="minorHAnsi" w:cstheme="minorHAnsi"/>
          <w:b/>
          <w:sz w:val="22"/>
          <w:szCs w:val="22"/>
        </w:rPr>
        <w:t>Synthesis of transition metal oxide (TMO) catalysts</w:t>
      </w:r>
    </w:p>
    <w:bookmarkEnd w:id="1"/>
    <w:p w14:paraId="4F4C1122" w14:textId="77777777" w:rsidR="00AC02ED" w:rsidRPr="005454CE" w:rsidRDefault="00AC02ED" w:rsidP="00841DD7">
      <w:pPr>
        <w:pStyle w:val="Head1"/>
      </w:pPr>
    </w:p>
    <w:p w14:paraId="343A2A6E"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Five metal oxide catalysts were fabricated by the Adams methods from metal salts to test as OER catalysts in a conventional three-electrode cell and 3-electrode electrolyser device. The fabrication of the Adams’ powder catalysts was carried out via the thermal decomposition of a metal salt, containing Ru, Co, Mn, Ni or Fe, with sodium nitrate in water, as described previously.</w:t>
      </w:r>
      <w:r w:rsidRPr="005454CE">
        <w:rPr>
          <w:rFonts w:asciiTheme="minorHAnsi" w:hAnsiTheme="minorHAnsi" w:cstheme="minorHAnsi"/>
          <w:noProof/>
          <w:sz w:val="22"/>
          <w:szCs w:val="22"/>
          <w:vertAlign w:val="superscript"/>
        </w:rPr>
        <w:t>38</w:t>
      </w:r>
      <w:r w:rsidRPr="005454CE">
        <w:rPr>
          <w:rFonts w:asciiTheme="minorHAnsi" w:hAnsiTheme="minorHAnsi" w:cstheme="minorHAnsi"/>
          <w:sz w:val="22"/>
          <w:szCs w:val="22"/>
        </w:rPr>
        <w:t xml:space="preserve"> The five powder materials produced were characterised by X-Ray Diffraction (XRD) to determine the phase composition, shown in </w:t>
      </w:r>
      <w:r w:rsidRPr="005454CE">
        <w:rPr>
          <w:rFonts w:asciiTheme="minorHAnsi" w:hAnsiTheme="minorHAnsi" w:cstheme="minorHAnsi"/>
          <w:b/>
          <w:sz w:val="22"/>
          <w:szCs w:val="22"/>
        </w:rPr>
        <w:t>Figure 3</w:t>
      </w:r>
      <w:r w:rsidRPr="005454CE">
        <w:rPr>
          <w:rFonts w:asciiTheme="minorHAnsi" w:hAnsiTheme="minorHAnsi" w:cstheme="minorHAnsi"/>
          <w:sz w:val="22"/>
          <w:szCs w:val="22"/>
        </w:rPr>
        <w:t>. The powder synthesised from the metal salts containing Ru, Co, Mn, Ni and Fe were all successfully converted to metal oxides during the thermal annealing procedure.</w:t>
      </w:r>
    </w:p>
    <w:p w14:paraId="367A9913" w14:textId="77777777" w:rsidR="00AC02ED" w:rsidRPr="005454CE" w:rsidRDefault="00AC02ED" w:rsidP="00590C9D">
      <w:pPr>
        <w:spacing w:line="480" w:lineRule="auto"/>
        <w:jc w:val="center"/>
        <w:rPr>
          <w:rFonts w:asciiTheme="minorHAnsi" w:hAnsiTheme="minorHAnsi" w:cstheme="minorHAnsi"/>
          <w:sz w:val="22"/>
          <w:szCs w:val="22"/>
        </w:rPr>
      </w:pPr>
      <w:r w:rsidRPr="005454CE">
        <w:rPr>
          <w:rFonts w:asciiTheme="minorHAnsi" w:hAnsiTheme="minorHAnsi" w:cstheme="minorHAnsi"/>
          <w:noProof/>
          <w:sz w:val="22"/>
          <w:szCs w:val="22"/>
        </w:rPr>
        <w:drawing>
          <wp:inline distT="0" distB="0" distL="0" distR="0" wp14:anchorId="4CC41536" wp14:editId="196EA4AB">
            <wp:extent cx="4587240" cy="3938594"/>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98" t="4643" r="498" b="-4643"/>
                    <a:stretch/>
                  </pic:blipFill>
                  <pic:spPr bwMode="auto">
                    <a:xfrm>
                      <a:off x="0" y="0"/>
                      <a:ext cx="4614270" cy="3961802"/>
                    </a:xfrm>
                    <a:prstGeom prst="rect">
                      <a:avLst/>
                    </a:prstGeom>
                    <a:noFill/>
                    <a:ln>
                      <a:noFill/>
                    </a:ln>
                    <a:extLst>
                      <a:ext uri="{53640926-AAD7-44D8-BBD7-CCE9431645EC}">
                        <a14:shadowObscured xmlns:a14="http://schemas.microsoft.com/office/drawing/2010/main"/>
                      </a:ext>
                    </a:extLst>
                  </pic:spPr>
                </pic:pic>
              </a:graphicData>
            </a:graphic>
          </wp:inline>
        </w:drawing>
      </w:r>
    </w:p>
    <w:p w14:paraId="184F42F3" w14:textId="77777777" w:rsidR="00AC02ED" w:rsidRPr="005454CE" w:rsidRDefault="00AC02ED" w:rsidP="00590C9D">
      <w:pPr>
        <w:jc w:val="both"/>
        <w:rPr>
          <w:rFonts w:asciiTheme="minorHAnsi" w:hAnsiTheme="minorHAnsi" w:cstheme="minorHAnsi"/>
          <w:sz w:val="22"/>
          <w:szCs w:val="22"/>
        </w:rPr>
      </w:pPr>
      <w:r w:rsidRPr="005454CE">
        <w:rPr>
          <w:rFonts w:asciiTheme="minorHAnsi" w:hAnsiTheme="minorHAnsi" w:cstheme="minorHAnsi"/>
          <w:b/>
          <w:sz w:val="22"/>
          <w:szCs w:val="22"/>
        </w:rPr>
        <w:t>Figure 3.</w:t>
      </w:r>
      <w:r w:rsidRPr="005454CE">
        <w:rPr>
          <w:rFonts w:asciiTheme="minorHAnsi" w:hAnsiTheme="minorHAnsi" w:cstheme="minorHAnsi"/>
          <w:sz w:val="22"/>
          <w:szCs w:val="22"/>
        </w:rPr>
        <w:t xml:space="preserve"> XRD patterns for the powder materials used for the three-electrode cell and device measurements fabricated from the Adams’ Fusion Method: </w:t>
      </w:r>
      <w:r w:rsidRPr="005454CE">
        <w:rPr>
          <w:rFonts w:asciiTheme="minorHAnsi" w:hAnsiTheme="minorHAnsi" w:cstheme="minorHAnsi"/>
          <w:b/>
          <w:sz w:val="22"/>
          <w:szCs w:val="22"/>
        </w:rPr>
        <w:t xml:space="preserve">A) </w:t>
      </w:r>
      <w:r w:rsidRPr="005454CE">
        <w:rPr>
          <w:rFonts w:asciiTheme="minorHAnsi" w:hAnsiTheme="minorHAnsi" w:cstheme="minorHAnsi"/>
          <w:sz w:val="22"/>
          <w:szCs w:val="22"/>
        </w:rPr>
        <w:t xml:space="preserve">Ru Adams, </w:t>
      </w:r>
      <w:r w:rsidRPr="005454CE">
        <w:rPr>
          <w:rFonts w:asciiTheme="minorHAnsi" w:hAnsiTheme="minorHAnsi" w:cstheme="minorHAnsi"/>
          <w:b/>
          <w:sz w:val="22"/>
          <w:szCs w:val="22"/>
        </w:rPr>
        <w:t>B)</w:t>
      </w:r>
      <w:r w:rsidRPr="005454CE">
        <w:rPr>
          <w:rFonts w:asciiTheme="minorHAnsi" w:hAnsiTheme="minorHAnsi" w:cstheme="minorHAnsi"/>
          <w:sz w:val="22"/>
          <w:szCs w:val="22"/>
        </w:rPr>
        <w:t xml:space="preserve"> Co Adams, </w:t>
      </w:r>
      <w:r w:rsidRPr="005454CE">
        <w:rPr>
          <w:rFonts w:asciiTheme="minorHAnsi" w:hAnsiTheme="minorHAnsi" w:cstheme="minorHAnsi"/>
          <w:b/>
          <w:sz w:val="22"/>
          <w:szCs w:val="22"/>
        </w:rPr>
        <w:t>C)</w:t>
      </w:r>
      <w:r w:rsidRPr="005454CE">
        <w:rPr>
          <w:rFonts w:asciiTheme="minorHAnsi" w:hAnsiTheme="minorHAnsi" w:cstheme="minorHAnsi"/>
          <w:sz w:val="22"/>
          <w:szCs w:val="22"/>
        </w:rPr>
        <w:t xml:space="preserve"> Mn Adams, </w:t>
      </w:r>
      <w:r w:rsidRPr="005454CE">
        <w:rPr>
          <w:rFonts w:asciiTheme="minorHAnsi" w:hAnsiTheme="minorHAnsi" w:cstheme="minorHAnsi"/>
          <w:b/>
          <w:sz w:val="22"/>
          <w:szCs w:val="22"/>
        </w:rPr>
        <w:t>D)</w:t>
      </w:r>
      <w:r w:rsidRPr="005454CE">
        <w:rPr>
          <w:rFonts w:asciiTheme="minorHAnsi" w:hAnsiTheme="minorHAnsi" w:cstheme="minorHAnsi"/>
          <w:sz w:val="22"/>
          <w:szCs w:val="22"/>
        </w:rPr>
        <w:t xml:space="preserve"> Ni Adams and </w:t>
      </w:r>
      <w:r w:rsidRPr="005454CE">
        <w:rPr>
          <w:rFonts w:asciiTheme="minorHAnsi" w:hAnsiTheme="minorHAnsi" w:cstheme="minorHAnsi"/>
          <w:b/>
          <w:sz w:val="22"/>
          <w:szCs w:val="22"/>
        </w:rPr>
        <w:t>E)</w:t>
      </w:r>
      <w:r w:rsidRPr="005454CE">
        <w:rPr>
          <w:rFonts w:asciiTheme="minorHAnsi" w:hAnsiTheme="minorHAnsi" w:cstheme="minorHAnsi"/>
          <w:sz w:val="22"/>
          <w:szCs w:val="22"/>
        </w:rPr>
        <w:t xml:space="preserve"> Fe Adams.  </w:t>
      </w:r>
    </w:p>
    <w:p w14:paraId="33C81DF9" w14:textId="77777777" w:rsidR="00AC02ED" w:rsidRPr="005454CE" w:rsidRDefault="00AC02ED" w:rsidP="00590C9D">
      <w:pPr>
        <w:jc w:val="both"/>
        <w:rPr>
          <w:rFonts w:asciiTheme="minorHAnsi" w:hAnsiTheme="minorHAnsi" w:cstheme="minorHAnsi"/>
          <w:sz w:val="22"/>
          <w:szCs w:val="22"/>
        </w:rPr>
      </w:pPr>
    </w:p>
    <w:p w14:paraId="1F32AE0E"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The XRD pattern of the powder resulting from the Adams’ method synthetic route using Ru metal salts can be indexed to RuO</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 xml:space="preserve">, </w:t>
      </w:r>
      <w:r w:rsidRPr="005454CE">
        <w:rPr>
          <w:rFonts w:asciiTheme="minorHAnsi" w:hAnsiTheme="minorHAnsi" w:cstheme="minorHAnsi"/>
          <w:b/>
          <w:sz w:val="22"/>
          <w:szCs w:val="22"/>
        </w:rPr>
        <w:t>Figure 3A</w:t>
      </w:r>
      <w:r w:rsidRPr="005454CE">
        <w:rPr>
          <w:rFonts w:asciiTheme="minorHAnsi" w:hAnsiTheme="minorHAnsi" w:cstheme="minorHAnsi"/>
          <w:sz w:val="22"/>
          <w:szCs w:val="22"/>
        </w:rPr>
        <w:t>.</w:t>
      </w:r>
      <w:r w:rsidRPr="005454CE">
        <w:rPr>
          <w:rFonts w:asciiTheme="minorHAnsi" w:hAnsiTheme="minorHAnsi" w:cstheme="minorHAnsi"/>
          <w:noProof/>
          <w:sz w:val="22"/>
          <w:szCs w:val="22"/>
          <w:vertAlign w:val="superscript"/>
        </w:rPr>
        <w:t>39</w:t>
      </w:r>
      <w:r w:rsidRPr="005454CE">
        <w:rPr>
          <w:rFonts w:asciiTheme="minorHAnsi" w:hAnsiTheme="minorHAnsi" w:cstheme="minorHAnsi"/>
          <w:sz w:val="22"/>
          <w:szCs w:val="22"/>
        </w:rPr>
        <w:t xml:space="preserve"> This is confirmed by the presence of the reflective peaks at the 2θ values of 27.7°, 34.8°, 39.6°, 54.0°, 57.3°, 59.3°, 65.4°, 66.4° and 68.9° corresponding to the RuO</w:t>
      </w:r>
      <w:r w:rsidRPr="005454CE">
        <w:rPr>
          <w:rFonts w:asciiTheme="minorHAnsi" w:hAnsiTheme="minorHAnsi" w:cstheme="minorHAnsi"/>
          <w:sz w:val="22"/>
          <w:szCs w:val="22"/>
          <w:vertAlign w:val="subscript"/>
        </w:rPr>
        <w:t xml:space="preserve">2 </w:t>
      </w:r>
      <w:r w:rsidRPr="005454CE">
        <w:rPr>
          <w:rFonts w:asciiTheme="minorHAnsi" w:hAnsiTheme="minorHAnsi" w:cstheme="minorHAnsi"/>
          <w:sz w:val="22"/>
          <w:szCs w:val="22"/>
        </w:rPr>
        <w:t>lattice planes of (110), (101), (200), (211), (220), (002), (310), (112) and (301), respectively. The Miller indices of (220), (311), (222), (400), (422), (511) and (440) for Co</w:t>
      </w:r>
      <w:r w:rsidRPr="005454CE">
        <w:rPr>
          <w:rFonts w:asciiTheme="minorHAnsi" w:hAnsiTheme="minorHAnsi" w:cstheme="minorHAnsi"/>
          <w:sz w:val="22"/>
          <w:szCs w:val="22"/>
          <w:vertAlign w:val="subscript"/>
        </w:rPr>
        <w:t>3</w:t>
      </w:r>
      <w:r w:rsidRPr="005454CE">
        <w:rPr>
          <w:rFonts w:asciiTheme="minorHAnsi" w:hAnsiTheme="minorHAnsi" w:cstheme="minorHAnsi"/>
          <w:sz w:val="22"/>
          <w:szCs w:val="22"/>
        </w:rPr>
        <w:t>O</w:t>
      </w:r>
      <w:r w:rsidRPr="005454CE">
        <w:rPr>
          <w:rFonts w:asciiTheme="minorHAnsi" w:hAnsiTheme="minorHAnsi" w:cstheme="minorHAnsi"/>
          <w:sz w:val="22"/>
          <w:szCs w:val="22"/>
          <w:vertAlign w:val="subscript"/>
        </w:rPr>
        <w:t>4</w:t>
      </w:r>
      <w:r w:rsidRPr="005454CE">
        <w:rPr>
          <w:rFonts w:asciiTheme="minorHAnsi" w:hAnsiTheme="minorHAnsi" w:cstheme="minorHAnsi"/>
          <w:sz w:val="22"/>
          <w:szCs w:val="22"/>
        </w:rPr>
        <w:t xml:space="preserve"> at the 2θ values of 30.7°, 36.3°, 37.9°, 44.1°, 55.1°, 58.8° and 64.6°, respectively, are present for the thermally annealed Co metal salt based powder, </w:t>
      </w:r>
      <w:r w:rsidRPr="005454CE">
        <w:rPr>
          <w:rFonts w:asciiTheme="minorHAnsi" w:hAnsiTheme="minorHAnsi" w:cstheme="minorHAnsi"/>
          <w:b/>
          <w:sz w:val="22"/>
          <w:szCs w:val="22"/>
        </w:rPr>
        <w:t>Figure 3B</w:t>
      </w:r>
      <w:r w:rsidRPr="005454CE">
        <w:rPr>
          <w:rFonts w:asciiTheme="minorHAnsi" w:hAnsiTheme="minorHAnsi" w:cstheme="minorHAnsi"/>
          <w:sz w:val="22"/>
          <w:szCs w:val="22"/>
        </w:rPr>
        <w:t>.</w:t>
      </w:r>
      <w:r w:rsidRPr="005454CE">
        <w:rPr>
          <w:rFonts w:asciiTheme="minorHAnsi" w:hAnsiTheme="minorHAnsi" w:cstheme="minorHAnsi"/>
          <w:noProof/>
          <w:sz w:val="22"/>
          <w:szCs w:val="22"/>
          <w:vertAlign w:val="superscript"/>
        </w:rPr>
        <w:t>40</w:t>
      </w:r>
      <w:r w:rsidRPr="005454CE">
        <w:rPr>
          <w:rFonts w:asciiTheme="minorHAnsi" w:hAnsiTheme="minorHAnsi" w:cstheme="minorHAnsi"/>
          <w:sz w:val="22"/>
          <w:szCs w:val="22"/>
        </w:rPr>
        <w:t xml:space="preserve"> The Mn oxide synthesised contained XRD peaks corresponding to a variety of manganese oxides including Mn</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O</w:t>
      </w:r>
      <w:r w:rsidRPr="005454CE">
        <w:rPr>
          <w:rFonts w:asciiTheme="minorHAnsi" w:hAnsiTheme="minorHAnsi" w:cstheme="minorHAnsi"/>
          <w:sz w:val="22"/>
          <w:szCs w:val="22"/>
          <w:vertAlign w:val="subscript"/>
        </w:rPr>
        <w:t>3</w:t>
      </w:r>
      <w:r w:rsidRPr="005454CE">
        <w:rPr>
          <w:rFonts w:asciiTheme="minorHAnsi" w:hAnsiTheme="minorHAnsi" w:cstheme="minorHAnsi"/>
          <w:sz w:val="22"/>
          <w:szCs w:val="22"/>
        </w:rPr>
        <w:t xml:space="preserve"> and Mn</w:t>
      </w:r>
      <w:r w:rsidRPr="005454CE">
        <w:rPr>
          <w:rFonts w:asciiTheme="minorHAnsi" w:hAnsiTheme="minorHAnsi" w:cstheme="minorHAnsi"/>
          <w:sz w:val="22"/>
          <w:szCs w:val="22"/>
          <w:vertAlign w:val="subscript"/>
        </w:rPr>
        <w:t>3</w:t>
      </w:r>
      <w:r w:rsidRPr="005454CE">
        <w:rPr>
          <w:rFonts w:asciiTheme="minorHAnsi" w:hAnsiTheme="minorHAnsi" w:cstheme="minorHAnsi"/>
          <w:sz w:val="22"/>
          <w:szCs w:val="22"/>
        </w:rPr>
        <w:t>O</w:t>
      </w:r>
      <w:r w:rsidRPr="005454CE">
        <w:rPr>
          <w:rFonts w:asciiTheme="minorHAnsi" w:hAnsiTheme="minorHAnsi" w:cstheme="minorHAnsi"/>
          <w:sz w:val="22"/>
          <w:szCs w:val="22"/>
          <w:vertAlign w:val="subscript"/>
        </w:rPr>
        <w:t>4</w:t>
      </w:r>
      <w:r w:rsidRPr="005454CE">
        <w:rPr>
          <w:rFonts w:asciiTheme="minorHAnsi" w:hAnsiTheme="minorHAnsi" w:cstheme="minorHAnsi"/>
          <w:sz w:val="22"/>
          <w:szCs w:val="22"/>
        </w:rPr>
        <w:t xml:space="preserve">, </w:t>
      </w:r>
      <w:r w:rsidRPr="005454CE">
        <w:rPr>
          <w:rFonts w:asciiTheme="minorHAnsi" w:hAnsiTheme="minorHAnsi" w:cstheme="minorHAnsi"/>
          <w:b/>
          <w:sz w:val="22"/>
          <w:szCs w:val="22"/>
        </w:rPr>
        <w:t>Figure 3C</w:t>
      </w:r>
      <w:r w:rsidRPr="005454CE">
        <w:rPr>
          <w:rFonts w:asciiTheme="minorHAnsi" w:hAnsiTheme="minorHAnsi" w:cstheme="minorHAnsi"/>
          <w:sz w:val="22"/>
          <w:szCs w:val="22"/>
        </w:rPr>
        <w:t>.</w:t>
      </w:r>
      <w:r w:rsidRPr="005454CE">
        <w:rPr>
          <w:rFonts w:asciiTheme="minorHAnsi" w:hAnsiTheme="minorHAnsi" w:cstheme="minorHAnsi"/>
          <w:noProof/>
          <w:sz w:val="22"/>
          <w:szCs w:val="22"/>
          <w:vertAlign w:val="superscript"/>
        </w:rPr>
        <w:t>41</w:t>
      </w:r>
      <w:r w:rsidRPr="005454CE">
        <w:rPr>
          <w:rFonts w:asciiTheme="minorHAnsi" w:hAnsiTheme="minorHAnsi" w:cstheme="minorHAnsi"/>
          <w:sz w:val="22"/>
          <w:szCs w:val="22"/>
        </w:rPr>
        <w:t xml:space="preserve"> Due to the complexity of the Mn oxide powder, this material will be designated as MnO</w:t>
      </w:r>
      <w:r w:rsidRPr="005454CE">
        <w:rPr>
          <w:rFonts w:asciiTheme="minorHAnsi" w:hAnsiTheme="minorHAnsi" w:cstheme="minorHAnsi"/>
          <w:sz w:val="22"/>
          <w:szCs w:val="22"/>
          <w:vertAlign w:val="subscript"/>
        </w:rPr>
        <w:t>x</w:t>
      </w:r>
      <w:r w:rsidRPr="005454CE">
        <w:rPr>
          <w:rFonts w:asciiTheme="minorHAnsi" w:hAnsiTheme="minorHAnsi" w:cstheme="minorHAnsi"/>
          <w:sz w:val="22"/>
          <w:szCs w:val="22"/>
        </w:rPr>
        <w:t xml:space="preserve"> for this study. The powder resulting from the Ni metal salt can be indexed to NiO due to the presence of the reflective peaks at 36.6°, 42.8° and 62.4°, corresponding to the crystal planes of (111), (200) and (220), respectively, </w:t>
      </w:r>
      <w:r w:rsidRPr="005454CE">
        <w:rPr>
          <w:rFonts w:asciiTheme="minorHAnsi" w:hAnsiTheme="minorHAnsi" w:cstheme="minorHAnsi"/>
          <w:b/>
          <w:sz w:val="22"/>
          <w:szCs w:val="22"/>
        </w:rPr>
        <w:t>Figure 3D</w:t>
      </w:r>
      <w:r w:rsidRPr="005454CE">
        <w:rPr>
          <w:rFonts w:asciiTheme="minorHAnsi" w:hAnsiTheme="minorHAnsi" w:cstheme="minorHAnsi"/>
          <w:sz w:val="22"/>
          <w:szCs w:val="22"/>
        </w:rPr>
        <w:t>.</w:t>
      </w:r>
      <w:r w:rsidRPr="005454CE">
        <w:rPr>
          <w:rFonts w:asciiTheme="minorHAnsi" w:hAnsiTheme="minorHAnsi" w:cstheme="minorHAnsi"/>
          <w:noProof/>
          <w:sz w:val="22"/>
          <w:szCs w:val="22"/>
          <w:vertAlign w:val="superscript"/>
        </w:rPr>
        <w:t>42</w:t>
      </w:r>
      <w:r w:rsidRPr="005454CE">
        <w:rPr>
          <w:rFonts w:asciiTheme="minorHAnsi" w:hAnsiTheme="minorHAnsi" w:cstheme="minorHAnsi"/>
          <w:sz w:val="22"/>
          <w:szCs w:val="22"/>
        </w:rPr>
        <w:t xml:space="preserve"> Finally, the Fe salt based reactants converted into α-Fe</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O</w:t>
      </w:r>
      <w:r w:rsidRPr="005454CE">
        <w:rPr>
          <w:rFonts w:asciiTheme="minorHAnsi" w:hAnsiTheme="minorHAnsi" w:cstheme="minorHAnsi"/>
          <w:sz w:val="22"/>
          <w:szCs w:val="22"/>
          <w:vertAlign w:val="subscript"/>
        </w:rPr>
        <w:t>3</w:t>
      </w:r>
      <w:r w:rsidRPr="005454CE">
        <w:rPr>
          <w:rFonts w:asciiTheme="minorHAnsi" w:hAnsiTheme="minorHAnsi" w:cstheme="minorHAnsi"/>
          <w:noProof/>
          <w:sz w:val="22"/>
          <w:szCs w:val="22"/>
          <w:lang w:eastAsia="en-GB"/>
        </w:rPr>
        <w:t>. This was evident due to the detection of the peaks at 32.4</w:t>
      </w:r>
      <w:r w:rsidRPr="005454CE">
        <w:rPr>
          <w:rFonts w:asciiTheme="minorHAnsi" w:hAnsiTheme="minorHAnsi" w:cstheme="minorHAnsi"/>
          <w:sz w:val="22"/>
          <w:szCs w:val="22"/>
        </w:rPr>
        <w:t>°</w:t>
      </w:r>
      <w:r w:rsidRPr="005454CE">
        <w:rPr>
          <w:rFonts w:asciiTheme="minorHAnsi" w:hAnsiTheme="minorHAnsi" w:cstheme="minorHAnsi"/>
          <w:noProof/>
          <w:sz w:val="22"/>
          <w:szCs w:val="22"/>
          <w:lang w:eastAsia="en-GB"/>
        </w:rPr>
        <w:t>, 35.0</w:t>
      </w:r>
      <w:r w:rsidRPr="005454CE">
        <w:rPr>
          <w:rFonts w:asciiTheme="minorHAnsi" w:hAnsiTheme="minorHAnsi" w:cstheme="minorHAnsi"/>
          <w:sz w:val="22"/>
          <w:szCs w:val="22"/>
        </w:rPr>
        <w:t>°</w:t>
      </w:r>
      <w:r w:rsidRPr="005454CE">
        <w:rPr>
          <w:rFonts w:asciiTheme="minorHAnsi" w:hAnsiTheme="minorHAnsi" w:cstheme="minorHAnsi"/>
          <w:noProof/>
          <w:sz w:val="22"/>
          <w:szCs w:val="22"/>
          <w:lang w:eastAsia="en-GB"/>
        </w:rPr>
        <w:t>, 40.2</w:t>
      </w:r>
      <w:r w:rsidRPr="005454CE">
        <w:rPr>
          <w:rFonts w:asciiTheme="minorHAnsi" w:hAnsiTheme="minorHAnsi" w:cstheme="minorHAnsi"/>
          <w:sz w:val="22"/>
          <w:szCs w:val="22"/>
        </w:rPr>
        <w:t>°</w:t>
      </w:r>
      <w:r w:rsidRPr="005454CE">
        <w:rPr>
          <w:rFonts w:asciiTheme="minorHAnsi" w:hAnsiTheme="minorHAnsi" w:cstheme="minorHAnsi"/>
          <w:noProof/>
          <w:sz w:val="22"/>
          <w:szCs w:val="22"/>
          <w:lang w:eastAsia="en-GB"/>
        </w:rPr>
        <w:t>, 48.9</w:t>
      </w:r>
      <w:r w:rsidRPr="005454CE">
        <w:rPr>
          <w:rFonts w:asciiTheme="minorHAnsi" w:hAnsiTheme="minorHAnsi" w:cstheme="minorHAnsi"/>
          <w:sz w:val="22"/>
          <w:szCs w:val="22"/>
        </w:rPr>
        <w:t>°</w:t>
      </w:r>
      <w:r w:rsidRPr="005454CE">
        <w:rPr>
          <w:rFonts w:asciiTheme="minorHAnsi" w:hAnsiTheme="minorHAnsi" w:cstheme="minorHAnsi"/>
          <w:noProof/>
          <w:sz w:val="22"/>
          <w:szCs w:val="22"/>
          <w:lang w:eastAsia="en-GB"/>
        </w:rPr>
        <w:t>, 53.5</w:t>
      </w:r>
      <w:r w:rsidRPr="005454CE">
        <w:rPr>
          <w:rFonts w:asciiTheme="minorHAnsi" w:hAnsiTheme="minorHAnsi" w:cstheme="minorHAnsi"/>
          <w:sz w:val="22"/>
          <w:szCs w:val="22"/>
        </w:rPr>
        <w:t>°</w:t>
      </w:r>
      <w:r w:rsidRPr="005454CE">
        <w:rPr>
          <w:rFonts w:asciiTheme="minorHAnsi" w:hAnsiTheme="minorHAnsi" w:cstheme="minorHAnsi"/>
          <w:noProof/>
          <w:sz w:val="22"/>
          <w:szCs w:val="22"/>
          <w:lang w:eastAsia="en-GB"/>
        </w:rPr>
        <w:t xml:space="preserve"> and 57.0° that correspond to the </w:t>
      </w:r>
      <w:r w:rsidRPr="005454CE">
        <w:rPr>
          <w:rFonts w:asciiTheme="minorHAnsi" w:hAnsiTheme="minorHAnsi" w:cstheme="minorHAnsi"/>
          <w:sz w:val="22"/>
          <w:szCs w:val="22"/>
        </w:rPr>
        <w:t>α-Fe</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O</w:t>
      </w:r>
      <w:r w:rsidRPr="005454CE">
        <w:rPr>
          <w:rFonts w:asciiTheme="minorHAnsi" w:hAnsiTheme="minorHAnsi" w:cstheme="minorHAnsi"/>
          <w:sz w:val="22"/>
          <w:szCs w:val="22"/>
          <w:vertAlign w:val="subscript"/>
        </w:rPr>
        <w:t xml:space="preserve">3 </w:t>
      </w:r>
      <w:r w:rsidRPr="005454CE">
        <w:rPr>
          <w:rFonts w:asciiTheme="minorHAnsi" w:hAnsiTheme="minorHAnsi" w:cstheme="minorHAnsi"/>
          <w:sz w:val="22"/>
          <w:szCs w:val="22"/>
        </w:rPr>
        <w:t xml:space="preserve">crystal planes of (104), (110), (113), (012), (024) and (018), respectively, </w:t>
      </w:r>
      <w:r w:rsidRPr="005454CE">
        <w:rPr>
          <w:rFonts w:asciiTheme="minorHAnsi" w:hAnsiTheme="minorHAnsi" w:cstheme="minorHAnsi"/>
          <w:b/>
          <w:sz w:val="22"/>
          <w:szCs w:val="22"/>
        </w:rPr>
        <w:t>Figure 3E</w:t>
      </w:r>
      <w:r w:rsidRPr="005454CE">
        <w:rPr>
          <w:rFonts w:asciiTheme="minorHAnsi" w:hAnsiTheme="minorHAnsi" w:cstheme="minorHAnsi"/>
          <w:sz w:val="22"/>
          <w:szCs w:val="22"/>
        </w:rPr>
        <w:t xml:space="preserve">. </w:t>
      </w:r>
    </w:p>
    <w:p w14:paraId="764C0555" w14:textId="77777777" w:rsidR="00AC02ED" w:rsidRPr="005454CE" w:rsidRDefault="00AC02ED" w:rsidP="00590C9D">
      <w:pPr>
        <w:rPr>
          <w:rFonts w:asciiTheme="minorHAnsi" w:hAnsiTheme="minorHAnsi" w:cstheme="minorHAnsi"/>
          <w:b/>
          <w:bCs/>
          <w:sz w:val="22"/>
          <w:szCs w:val="22"/>
          <w:lang w:val="en-US"/>
        </w:rPr>
      </w:pPr>
    </w:p>
    <w:p w14:paraId="5D757B33" w14:textId="77777777" w:rsidR="00AC02ED" w:rsidRPr="005454CE" w:rsidRDefault="00AC02ED" w:rsidP="00590C9D">
      <w:pPr>
        <w:spacing w:line="360" w:lineRule="auto"/>
        <w:jc w:val="both"/>
        <w:rPr>
          <w:rFonts w:asciiTheme="minorHAnsi" w:hAnsiTheme="minorHAnsi" w:cstheme="minorHAnsi"/>
          <w:b/>
          <w:bCs/>
          <w:sz w:val="22"/>
          <w:szCs w:val="22"/>
        </w:rPr>
      </w:pPr>
      <w:r w:rsidRPr="005454CE">
        <w:rPr>
          <w:rFonts w:asciiTheme="minorHAnsi" w:hAnsiTheme="minorHAnsi" w:cstheme="minorHAnsi"/>
          <w:b/>
          <w:bCs/>
          <w:sz w:val="22"/>
          <w:szCs w:val="22"/>
        </w:rPr>
        <w:t>3.2. Comparison of the conventional three-electrode cell vs. electrolyser device using synthesised the TMO materials for OER evaluation under common conditions.</w:t>
      </w:r>
    </w:p>
    <w:p w14:paraId="7F042DF6" w14:textId="77777777" w:rsidR="00AC02ED" w:rsidRPr="005454CE" w:rsidRDefault="00AC02ED" w:rsidP="00590C9D">
      <w:pPr>
        <w:jc w:val="both"/>
        <w:rPr>
          <w:rFonts w:asciiTheme="minorHAnsi" w:hAnsiTheme="minorHAnsi" w:cstheme="minorHAnsi"/>
          <w:sz w:val="22"/>
          <w:szCs w:val="22"/>
        </w:rPr>
      </w:pPr>
    </w:p>
    <w:p w14:paraId="5E643FC9" w14:textId="77777777" w:rsidR="00AC02ED" w:rsidRPr="005454CE" w:rsidRDefault="00AC02ED" w:rsidP="00590C9D">
      <w:pPr>
        <w:spacing w:line="480" w:lineRule="auto"/>
        <w:jc w:val="both"/>
        <w:rPr>
          <w:rFonts w:asciiTheme="minorHAnsi" w:hAnsiTheme="minorHAnsi" w:cstheme="minorHAnsi"/>
          <w:sz w:val="22"/>
          <w:szCs w:val="22"/>
          <w:lang w:eastAsia="en-GB"/>
        </w:rPr>
      </w:pPr>
      <w:r w:rsidRPr="005454CE">
        <w:rPr>
          <w:rFonts w:asciiTheme="minorHAnsi" w:hAnsiTheme="minorHAnsi" w:cstheme="minorHAnsi"/>
          <w:sz w:val="22"/>
          <w:szCs w:val="22"/>
          <w:lang w:eastAsia="en-GB"/>
        </w:rPr>
        <w:t xml:space="preserve">The water oxidation experiments of the TMO catalysts were carried out in a three-electrode cell and in an electrolyser device, under common conditions found in the literature for each platform (based on Table 1), to determine if the two techniques are complementary; i.e. if the three-electrode set-up is a good indicator of how catalysts perform under representative electrolyser conditions, as shown in </w:t>
      </w:r>
      <w:r w:rsidRPr="005454CE">
        <w:rPr>
          <w:rFonts w:asciiTheme="minorHAnsi" w:hAnsiTheme="minorHAnsi" w:cstheme="minorHAnsi"/>
          <w:b/>
          <w:sz w:val="22"/>
          <w:szCs w:val="22"/>
          <w:lang w:eastAsia="en-GB"/>
        </w:rPr>
        <w:t>Figure 4</w:t>
      </w:r>
      <w:r w:rsidRPr="005454CE">
        <w:rPr>
          <w:rFonts w:asciiTheme="minorHAnsi" w:hAnsiTheme="minorHAnsi" w:cstheme="minorHAnsi"/>
          <w:sz w:val="22"/>
          <w:szCs w:val="22"/>
          <w:lang w:eastAsia="en-GB"/>
        </w:rPr>
        <w:t>.</w:t>
      </w:r>
    </w:p>
    <w:p w14:paraId="46EFE0F4" w14:textId="77777777" w:rsidR="00AC02ED" w:rsidRPr="005454CE" w:rsidRDefault="00AC02ED" w:rsidP="00590C9D">
      <w:pPr>
        <w:spacing w:line="480" w:lineRule="auto"/>
        <w:jc w:val="both"/>
        <w:rPr>
          <w:rFonts w:asciiTheme="minorHAnsi" w:hAnsiTheme="minorHAnsi" w:cstheme="minorHAnsi"/>
          <w:sz w:val="22"/>
          <w:szCs w:val="22"/>
          <w:lang w:eastAsia="en-GB"/>
        </w:rPr>
      </w:pPr>
      <w:r w:rsidRPr="005454CE">
        <w:rPr>
          <w:rFonts w:asciiTheme="minorHAnsi" w:hAnsiTheme="minorHAnsi" w:cstheme="minorHAnsi"/>
          <w:sz w:val="22"/>
          <w:szCs w:val="22"/>
          <w:lang w:eastAsia="en-GB"/>
        </w:rPr>
        <w:t>As conventional three-electrode cell measurements are carried out using a reference electrode in order to isolate the electrode reaction of interest (the working electrode),</w:t>
      </w:r>
      <w:r w:rsidRPr="005454CE">
        <w:rPr>
          <w:rFonts w:asciiTheme="minorHAnsi" w:hAnsiTheme="minorHAnsi" w:cstheme="minorHAnsi"/>
          <w:noProof/>
          <w:sz w:val="22"/>
          <w:szCs w:val="22"/>
          <w:vertAlign w:val="superscript"/>
          <w:lang w:eastAsia="en-GB"/>
        </w:rPr>
        <w:t>3</w:t>
      </w:r>
      <w:r w:rsidRPr="005454CE">
        <w:rPr>
          <w:rFonts w:asciiTheme="minorHAnsi" w:hAnsiTheme="minorHAnsi" w:cstheme="minorHAnsi"/>
          <w:sz w:val="22"/>
          <w:szCs w:val="22"/>
          <w:lang w:eastAsia="en-GB"/>
        </w:rPr>
        <w:t xml:space="preserve"> the electrolyser device used for these comparative studies was modified to allow for a reference electrode to be a part of the device design,</w:t>
      </w:r>
      <w:r w:rsidRPr="005454CE">
        <w:rPr>
          <w:rFonts w:asciiTheme="minorHAnsi" w:hAnsiTheme="minorHAnsi" w:cstheme="minorHAnsi"/>
          <w:noProof/>
          <w:sz w:val="22"/>
          <w:szCs w:val="22"/>
          <w:vertAlign w:val="superscript"/>
          <w:lang w:eastAsia="en-GB"/>
        </w:rPr>
        <w:t>37, 43</w:t>
      </w:r>
      <w:r w:rsidRPr="005454CE">
        <w:rPr>
          <w:rFonts w:asciiTheme="minorHAnsi" w:hAnsiTheme="minorHAnsi" w:cstheme="minorHAnsi"/>
          <w:sz w:val="22"/>
          <w:szCs w:val="22"/>
          <w:lang w:eastAsia="en-GB"/>
        </w:rPr>
        <w:t xml:space="preserve"> as shown in </w:t>
      </w:r>
      <w:r w:rsidRPr="005454CE">
        <w:rPr>
          <w:rFonts w:asciiTheme="minorHAnsi" w:hAnsiTheme="minorHAnsi" w:cstheme="minorHAnsi"/>
          <w:b/>
          <w:sz w:val="22"/>
          <w:szCs w:val="22"/>
          <w:lang w:eastAsia="en-GB"/>
        </w:rPr>
        <w:t>Figure 2A</w:t>
      </w:r>
      <w:r w:rsidRPr="005454CE">
        <w:rPr>
          <w:rFonts w:asciiTheme="minorHAnsi" w:hAnsiTheme="minorHAnsi" w:cstheme="minorHAnsi"/>
          <w:sz w:val="22"/>
          <w:szCs w:val="22"/>
          <w:lang w:eastAsia="en-GB"/>
        </w:rPr>
        <w:t xml:space="preserve">. </w:t>
      </w:r>
    </w:p>
    <w:p w14:paraId="7B95CFCC" w14:textId="77777777" w:rsidR="00AC02ED" w:rsidRPr="005454CE" w:rsidRDefault="00AC02ED" w:rsidP="00590C9D">
      <w:pPr>
        <w:spacing w:line="480" w:lineRule="auto"/>
        <w:jc w:val="both"/>
        <w:rPr>
          <w:rFonts w:asciiTheme="minorHAnsi" w:hAnsiTheme="minorHAnsi" w:cstheme="minorHAnsi"/>
          <w:sz w:val="22"/>
          <w:szCs w:val="22"/>
          <w:lang w:eastAsia="en-GB"/>
        </w:rPr>
      </w:pPr>
      <w:r w:rsidRPr="005454CE">
        <w:rPr>
          <w:rFonts w:asciiTheme="minorHAnsi" w:hAnsiTheme="minorHAnsi" w:cstheme="minorHAnsi"/>
          <w:sz w:val="22"/>
          <w:szCs w:val="22"/>
          <w:lang w:eastAsia="en-GB"/>
        </w:rPr>
        <w:t>The linear sweep voltammetry (LSV) curves for the in-house synthesised RuO</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 Co</w:t>
      </w:r>
      <w:r w:rsidRPr="005454CE">
        <w:rPr>
          <w:rFonts w:asciiTheme="minorHAnsi" w:hAnsiTheme="minorHAnsi" w:cstheme="minorHAnsi"/>
          <w:sz w:val="22"/>
          <w:szCs w:val="22"/>
          <w:vertAlign w:val="subscript"/>
          <w:lang w:eastAsia="en-GB"/>
        </w:rPr>
        <w:t>3</w:t>
      </w:r>
      <w:r w:rsidRPr="005454CE">
        <w:rPr>
          <w:rFonts w:asciiTheme="minorHAnsi" w:hAnsiTheme="minorHAnsi" w:cstheme="minorHAnsi"/>
          <w:sz w:val="22"/>
          <w:szCs w:val="22"/>
          <w:lang w:eastAsia="en-GB"/>
        </w:rPr>
        <w:t>O</w:t>
      </w:r>
      <w:r w:rsidRPr="005454CE">
        <w:rPr>
          <w:rFonts w:asciiTheme="minorHAnsi" w:hAnsiTheme="minorHAnsi" w:cstheme="minorHAnsi"/>
          <w:sz w:val="22"/>
          <w:szCs w:val="22"/>
          <w:vertAlign w:val="subscript"/>
          <w:lang w:eastAsia="en-GB"/>
        </w:rPr>
        <w:t>4</w:t>
      </w:r>
      <w:r w:rsidRPr="005454CE">
        <w:rPr>
          <w:rFonts w:asciiTheme="minorHAnsi" w:hAnsiTheme="minorHAnsi" w:cstheme="minorHAnsi"/>
          <w:sz w:val="22"/>
          <w:szCs w:val="22"/>
          <w:lang w:eastAsia="en-GB"/>
        </w:rPr>
        <w:t>, MnO</w:t>
      </w:r>
      <w:r w:rsidRPr="005454CE">
        <w:rPr>
          <w:rFonts w:asciiTheme="minorHAnsi" w:hAnsiTheme="minorHAnsi" w:cstheme="minorHAnsi"/>
          <w:sz w:val="22"/>
          <w:szCs w:val="22"/>
          <w:vertAlign w:val="subscript"/>
          <w:lang w:eastAsia="en-GB"/>
        </w:rPr>
        <w:t>x</w:t>
      </w:r>
      <w:r w:rsidRPr="005454CE">
        <w:rPr>
          <w:rFonts w:asciiTheme="minorHAnsi" w:hAnsiTheme="minorHAnsi" w:cstheme="minorHAnsi"/>
          <w:sz w:val="22"/>
          <w:szCs w:val="22"/>
          <w:lang w:eastAsia="en-GB"/>
        </w:rPr>
        <w:t>, NiO and Fe</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O</w:t>
      </w:r>
      <w:r w:rsidRPr="005454CE">
        <w:rPr>
          <w:rFonts w:asciiTheme="minorHAnsi" w:hAnsiTheme="minorHAnsi" w:cstheme="minorHAnsi"/>
          <w:sz w:val="22"/>
          <w:szCs w:val="22"/>
          <w:vertAlign w:val="subscript"/>
          <w:lang w:eastAsia="en-GB"/>
        </w:rPr>
        <w:t>3</w:t>
      </w:r>
      <w:r w:rsidRPr="005454CE">
        <w:rPr>
          <w:rFonts w:asciiTheme="minorHAnsi" w:hAnsiTheme="minorHAnsi" w:cstheme="minorHAnsi"/>
          <w:sz w:val="22"/>
          <w:szCs w:val="22"/>
          <w:lang w:eastAsia="en-GB"/>
        </w:rPr>
        <w:t xml:space="preserve"> in a conventional three-electrode cell are illustrated in </w:t>
      </w:r>
      <w:r w:rsidRPr="005454CE">
        <w:rPr>
          <w:rFonts w:asciiTheme="minorHAnsi" w:hAnsiTheme="minorHAnsi" w:cstheme="minorHAnsi"/>
          <w:b/>
          <w:sz w:val="22"/>
          <w:szCs w:val="22"/>
          <w:lang w:eastAsia="en-GB"/>
        </w:rPr>
        <w:t>Figure 4A and Figure S3-7</w:t>
      </w:r>
      <w:r w:rsidRPr="005454CE">
        <w:rPr>
          <w:rFonts w:asciiTheme="minorHAnsi" w:hAnsiTheme="minorHAnsi" w:cstheme="minorHAnsi"/>
          <w:sz w:val="22"/>
          <w:szCs w:val="22"/>
          <w:lang w:eastAsia="en-GB"/>
        </w:rPr>
        <w:t>. It is clear that the RuO</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 xml:space="preserve"> is the optimum catalyst under the acidic three-electrode cell conditions compared to the other transition metal oxides, as it exhibits a potential of ca. 1.6 V vs RHE at a current density of 10 mA cm</w:t>
      </w:r>
      <w:r w:rsidRPr="005454CE">
        <w:rPr>
          <w:rFonts w:asciiTheme="minorHAnsi" w:hAnsiTheme="minorHAnsi" w:cstheme="minorHAnsi"/>
          <w:sz w:val="22"/>
          <w:szCs w:val="22"/>
          <w:vertAlign w:val="superscript"/>
          <w:lang w:eastAsia="en-GB"/>
        </w:rPr>
        <w:t>-2</w:t>
      </w:r>
      <w:r w:rsidRPr="005454CE">
        <w:rPr>
          <w:rFonts w:asciiTheme="minorHAnsi" w:hAnsiTheme="minorHAnsi" w:cstheme="minorHAnsi"/>
          <w:sz w:val="22"/>
          <w:szCs w:val="22"/>
          <w:lang w:eastAsia="en-GB"/>
        </w:rPr>
        <w:t>, which is a common result in literature for RuO</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 xml:space="preserve"> under acidic conditions.</w:t>
      </w:r>
      <w:r w:rsidRPr="005454CE">
        <w:rPr>
          <w:rFonts w:asciiTheme="minorHAnsi" w:hAnsiTheme="minorHAnsi" w:cstheme="minorHAnsi"/>
          <w:noProof/>
          <w:sz w:val="22"/>
          <w:szCs w:val="22"/>
          <w:vertAlign w:val="superscript"/>
          <w:lang w:eastAsia="en-GB"/>
        </w:rPr>
        <w:t>21</w:t>
      </w:r>
      <w:r w:rsidRPr="005454CE">
        <w:rPr>
          <w:rFonts w:asciiTheme="minorHAnsi" w:hAnsiTheme="minorHAnsi" w:cstheme="minorHAnsi"/>
          <w:sz w:val="22"/>
          <w:szCs w:val="22"/>
          <w:lang w:eastAsia="en-GB"/>
        </w:rPr>
        <w:t xml:space="preserve"> The extremely low activity of the first row TMOs (Co</w:t>
      </w:r>
      <w:r w:rsidRPr="005454CE">
        <w:rPr>
          <w:rFonts w:asciiTheme="minorHAnsi" w:hAnsiTheme="minorHAnsi" w:cstheme="minorHAnsi"/>
          <w:sz w:val="22"/>
          <w:szCs w:val="22"/>
          <w:vertAlign w:val="subscript"/>
          <w:lang w:eastAsia="en-GB"/>
        </w:rPr>
        <w:t>3</w:t>
      </w:r>
      <w:r w:rsidRPr="005454CE">
        <w:rPr>
          <w:rFonts w:asciiTheme="minorHAnsi" w:hAnsiTheme="minorHAnsi" w:cstheme="minorHAnsi"/>
          <w:sz w:val="22"/>
          <w:szCs w:val="22"/>
          <w:lang w:eastAsia="en-GB"/>
        </w:rPr>
        <w:t>O</w:t>
      </w:r>
      <w:r w:rsidRPr="005454CE">
        <w:rPr>
          <w:rFonts w:asciiTheme="minorHAnsi" w:hAnsiTheme="minorHAnsi" w:cstheme="minorHAnsi"/>
          <w:sz w:val="22"/>
          <w:szCs w:val="22"/>
          <w:vertAlign w:val="subscript"/>
          <w:lang w:eastAsia="en-GB"/>
        </w:rPr>
        <w:t>4</w:t>
      </w:r>
      <w:r w:rsidRPr="005454CE">
        <w:rPr>
          <w:rFonts w:asciiTheme="minorHAnsi" w:hAnsiTheme="minorHAnsi" w:cstheme="minorHAnsi"/>
          <w:sz w:val="22"/>
          <w:szCs w:val="22"/>
          <w:lang w:eastAsia="en-GB"/>
        </w:rPr>
        <w:t>, MnO</w:t>
      </w:r>
      <w:r w:rsidRPr="005454CE">
        <w:rPr>
          <w:rFonts w:asciiTheme="minorHAnsi" w:hAnsiTheme="minorHAnsi" w:cstheme="minorHAnsi"/>
          <w:sz w:val="22"/>
          <w:szCs w:val="22"/>
          <w:vertAlign w:val="subscript"/>
          <w:lang w:eastAsia="en-GB"/>
        </w:rPr>
        <w:t>x</w:t>
      </w:r>
      <w:r w:rsidRPr="005454CE">
        <w:rPr>
          <w:rFonts w:asciiTheme="minorHAnsi" w:hAnsiTheme="minorHAnsi" w:cstheme="minorHAnsi"/>
          <w:sz w:val="22"/>
          <w:szCs w:val="22"/>
          <w:lang w:eastAsia="en-GB"/>
        </w:rPr>
        <w:t>, NiO and Fe</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O</w:t>
      </w:r>
      <w:r w:rsidRPr="005454CE">
        <w:rPr>
          <w:rFonts w:asciiTheme="minorHAnsi" w:hAnsiTheme="minorHAnsi" w:cstheme="minorHAnsi"/>
          <w:sz w:val="22"/>
          <w:szCs w:val="22"/>
          <w:vertAlign w:val="subscript"/>
          <w:lang w:eastAsia="en-GB"/>
        </w:rPr>
        <w:t>3</w:t>
      </w:r>
      <w:r w:rsidRPr="005454CE">
        <w:rPr>
          <w:rFonts w:asciiTheme="minorHAnsi" w:hAnsiTheme="minorHAnsi" w:cstheme="minorHAnsi"/>
          <w:sz w:val="22"/>
          <w:szCs w:val="22"/>
          <w:lang w:eastAsia="en-GB"/>
        </w:rPr>
        <w:t>) in the 0.5 M H</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SO</w:t>
      </w:r>
      <w:r w:rsidRPr="005454CE">
        <w:rPr>
          <w:rFonts w:asciiTheme="minorHAnsi" w:hAnsiTheme="minorHAnsi" w:cstheme="minorHAnsi"/>
          <w:sz w:val="22"/>
          <w:szCs w:val="22"/>
          <w:vertAlign w:val="subscript"/>
          <w:lang w:eastAsia="en-GB"/>
        </w:rPr>
        <w:t>4</w:t>
      </w:r>
      <w:r w:rsidRPr="005454CE">
        <w:rPr>
          <w:rFonts w:asciiTheme="minorHAnsi" w:hAnsiTheme="minorHAnsi" w:cstheme="minorHAnsi"/>
          <w:sz w:val="22"/>
          <w:szCs w:val="22"/>
          <w:lang w:eastAsia="en-GB"/>
        </w:rPr>
        <w:t xml:space="preserve"> electrolyte could be due to the degradation of these materials in the acidic corrosive environment under the applied OER potentials, which is common for these earth abundant based materials.</w:t>
      </w:r>
      <w:r w:rsidRPr="005454CE">
        <w:rPr>
          <w:rFonts w:asciiTheme="minorHAnsi" w:hAnsiTheme="minorHAnsi" w:cstheme="minorHAnsi"/>
          <w:noProof/>
          <w:sz w:val="22"/>
          <w:szCs w:val="22"/>
          <w:vertAlign w:val="superscript"/>
          <w:lang w:eastAsia="en-GB"/>
        </w:rPr>
        <w:t>44</w:t>
      </w:r>
      <w:r w:rsidRPr="005454CE">
        <w:rPr>
          <w:rFonts w:asciiTheme="minorHAnsi" w:hAnsiTheme="minorHAnsi" w:cstheme="minorHAnsi"/>
          <w:sz w:val="22"/>
          <w:szCs w:val="22"/>
          <w:lang w:eastAsia="en-GB"/>
        </w:rPr>
        <w:t xml:space="preserve"> </w:t>
      </w:r>
    </w:p>
    <w:p w14:paraId="3D51B92C" w14:textId="77777777" w:rsidR="00AC02ED" w:rsidRPr="005454CE" w:rsidRDefault="00AC02ED" w:rsidP="00590C9D">
      <w:pPr>
        <w:spacing w:line="480" w:lineRule="auto"/>
        <w:jc w:val="both"/>
        <w:rPr>
          <w:rFonts w:asciiTheme="minorHAnsi" w:hAnsiTheme="minorHAnsi" w:cstheme="minorHAnsi"/>
          <w:sz w:val="22"/>
          <w:szCs w:val="22"/>
          <w:lang w:eastAsia="en-GB"/>
        </w:rPr>
      </w:pPr>
      <w:r w:rsidRPr="005454CE">
        <w:rPr>
          <w:rFonts w:asciiTheme="minorHAnsi" w:hAnsiTheme="minorHAnsi" w:cstheme="minorHAnsi"/>
          <w:sz w:val="22"/>
          <w:szCs w:val="22"/>
          <w:lang w:eastAsia="en-GB"/>
        </w:rPr>
        <w:t xml:space="preserve">Next, the in-house catalysts were evaluated using standard protocols under PEM electrolyser conditions; i.e. current – potential (I-V) curves, shown in </w:t>
      </w:r>
      <w:r w:rsidRPr="005454CE">
        <w:rPr>
          <w:rFonts w:asciiTheme="minorHAnsi" w:hAnsiTheme="minorHAnsi" w:cstheme="minorHAnsi"/>
          <w:b/>
          <w:sz w:val="22"/>
          <w:szCs w:val="22"/>
          <w:lang w:eastAsia="en-GB"/>
        </w:rPr>
        <w:t>Figure 4B</w:t>
      </w:r>
      <w:r w:rsidRPr="005454CE">
        <w:rPr>
          <w:rFonts w:asciiTheme="minorHAnsi" w:hAnsiTheme="minorHAnsi" w:cstheme="minorHAnsi"/>
          <w:sz w:val="22"/>
          <w:szCs w:val="22"/>
          <w:lang w:eastAsia="en-GB"/>
        </w:rPr>
        <w:t xml:space="preserve"> (the y- and x-axes of the I-V curves are plotted inversely to allow for comparison with the LSV curves). Interestingly, when each of the in-house transition metal oxide (TMO) catalysts are constructed into a CCM, inserted into the electrolyser device and benchmarked under the same conditions, all of the catalysts (RuO</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 Co</w:t>
      </w:r>
      <w:r w:rsidRPr="005454CE">
        <w:rPr>
          <w:rFonts w:asciiTheme="minorHAnsi" w:hAnsiTheme="minorHAnsi" w:cstheme="minorHAnsi"/>
          <w:sz w:val="22"/>
          <w:szCs w:val="22"/>
          <w:vertAlign w:val="subscript"/>
          <w:lang w:eastAsia="en-GB"/>
        </w:rPr>
        <w:t>3</w:t>
      </w:r>
      <w:r w:rsidRPr="005454CE">
        <w:rPr>
          <w:rFonts w:asciiTheme="minorHAnsi" w:hAnsiTheme="minorHAnsi" w:cstheme="minorHAnsi"/>
          <w:sz w:val="22"/>
          <w:szCs w:val="22"/>
          <w:lang w:eastAsia="en-GB"/>
        </w:rPr>
        <w:t>O</w:t>
      </w:r>
      <w:r w:rsidRPr="005454CE">
        <w:rPr>
          <w:rFonts w:asciiTheme="minorHAnsi" w:hAnsiTheme="minorHAnsi" w:cstheme="minorHAnsi"/>
          <w:sz w:val="22"/>
          <w:szCs w:val="22"/>
          <w:vertAlign w:val="subscript"/>
          <w:lang w:eastAsia="en-GB"/>
        </w:rPr>
        <w:t>4</w:t>
      </w:r>
      <w:r w:rsidRPr="005454CE">
        <w:rPr>
          <w:rFonts w:asciiTheme="minorHAnsi" w:hAnsiTheme="minorHAnsi" w:cstheme="minorHAnsi"/>
          <w:sz w:val="22"/>
          <w:szCs w:val="22"/>
          <w:lang w:eastAsia="en-GB"/>
        </w:rPr>
        <w:t>, MnO</w:t>
      </w:r>
      <w:r w:rsidRPr="005454CE">
        <w:rPr>
          <w:rFonts w:asciiTheme="minorHAnsi" w:hAnsiTheme="minorHAnsi" w:cstheme="minorHAnsi"/>
          <w:sz w:val="22"/>
          <w:szCs w:val="22"/>
          <w:vertAlign w:val="subscript"/>
          <w:lang w:eastAsia="en-GB"/>
        </w:rPr>
        <w:t>x</w:t>
      </w:r>
      <w:r w:rsidRPr="005454CE">
        <w:rPr>
          <w:rFonts w:asciiTheme="minorHAnsi" w:hAnsiTheme="minorHAnsi" w:cstheme="minorHAnsi"/>
          <w:sz w:val="22"/>
          <w:szCs w:val="22"/>
          <w:lang w:eastAsia="en-GB"/>
        </w:rPr>
        <w:t>, NiO and Fe</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O</w:t>
      </w:r>
      <w:r w:rsidRPr="005454CE">
        <w:rPr>
          <w:rFonts w:asciiTheme="minorHAnsi" w:hAnsiTheme="minorHAnsi" w:cstheme="minorHAnsi"/>
          <w:sz w:val="22"/>
          <w:szCs w:val="22"/>
          <w:vertAlign w:val="subscript"/>
          <w:lang w:eastAsia="en-GB"/>
        </w:rPr>
        <w:t>3</w:t>
      </w:r>
      <w:r w:rsidRPr="005454CE">
        <w:rPr>
          <w:rFonts w:asciiTheme="minorHAnsi" w:hAnsiTheme="minorHAnsi" w:cstheme="minorHAnsi"/>
          <w:sz w:val="22"/>
          <w:szCs w:val="22"/>
          <w:lang w:eastAsia="en-GB"/>
        </w:rPr>
        <w:t xml:space="preserve">) seem to exhibit much-improved OER activity than when evaluated in the three-electrode cell. </w:t>
      </w:r>
    </w:p>
    <w:p w14:paraId="0339B4C4" w14:textId="77777777" w:rsidR="00AC02ED" w:rsidRPr="005454CE" w:rsidRDefault="00AC02ED" w:rsidP="00624F62">
      <w:pPr>
        <w:spacing w:line="480" w:lineRule="auto"/>
        <w:jc w:val="center"/>
        <w:rPr>
          <w:rFonts w:asciiTheme="minorHAnsi" w:hAnsiTheme="minorHAnsi" w:cstheme="minorHAnsi"/>
          <w:sz w:val="22"/>
          <w:szCs w:val="22"/>
          <w:lang w:eastAsia="en-GB"/>
        </w:rPr>
      </w:pPr>
      <w:r w:rsidRPr="005454CE">
        <w:rPr>
          <w:rFonts w:asciiTheme="minorHAnsi" w:hAnsiTheme="minorHAnsi" w:cstheme="minorHAnsi"/>
          <w:noProof/>
          <w:sz w:val="22"/>
          <w:szCs w:val="22"/>
          <w:lang w:eastAsia="en-GB"/>
        </w:rPr>
        <w:drawing>
          <wp:inline distT="0" distB="0" distL="0" distR="0" wp14:anchorId="44AFE4C0" wp14:editId="2AE76F2B">
            <wp:extent cx="4179570" cy="3352406"/>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01664" cy="3370127"/>
                    </a:xfrm>
                    <a:prstGeom prst="rect">
                      <a:avLst/>
                    </a:prstGeom>
                    <a:noFill/>
                  </pic:spPr>
                </pic:pic>
              </a:graphicData>
            </a:graphic>
          </wp:inline>
        </w:drawing>
      </w:r>
    </w:p>
    <w:p w14:paraId="57D86645" w14:textId="77777777" w:rsidR="00AC02ED" w:rsidRPr="005454CE" w:rsidRDefault="00AC02ED" w:rsidP="00590C9D">
      <w:pPr>
        <w:jc w:val="both"/>
        <w:rPr>
          <w:rFonts w:asciiTheme="minorHAnsi" w:hAnsiTheme="minorHAnsi" w:cstheme="minorHAnsi"/>
          <w:sz w:val="22"/>
          <w:szCs w:val="22"/>
        </w:rPr>
      </w:pPr>
      <w:r w:rsidRPr="005454CE">
        <w:rPr>
          <w:rFonts w:asciiTheme="minorHAnsi" w:hAnsiTheme="minorHAnsi" w:cstheme="minorHAnsi"/>
          <w:b/>
          <w:sz w:val="22"/>
          <w:szCs w:val="22"/>
        </w:rPr>
        <w:t>Figure 4.</w:t>
      </w:r>
      <w:r w:rsidRPr="005454CE">
        <w:rPr>
          <w:rFonts w:asciiTheme="minorHAnsi" w:hAnsiTheme="minorHAnsi" w:cstheme="minorHAnsi"/>
          <w:sz w:val="22"/>
          <w:szCs w:val="22"/>
        </w:rPr>
        <w:t xml:space="preserve"> Three-electrode cell vs. electrolyser device (with integrated reference electrode) measurements under acidic conditions for range of TMO catalysts. </w:t>
      </w:r>
      <w:r w:rsidRPr="005454CE">
        <w:rPr>
          <w:rFonts w:asciiTheme="minorHAnsi" w:hAnsiTheme="minorHAnsi" w:cstheme="minorHAnsi"/>
          <w:b/>
          <w:sz w:val="22"/>
          <w:szCs w:val="22"/>
        </w:rPr>
        <w:t>A)</w:t>
      </w:r>
      <w:r w:rsidRPr="005454CE">
        <w:rPr>
          <w:rFonts w:asciiTheme="minorHAnsi" w:hAnsiTheme="minorHAnsi" w:cstheme="minorHAnsi"/>
          <w:sz w:val="22"/>
          <w:szCs w:val="22"/>
        </w:rPr>
        <w:t xml:space="preserve"> Linear sweep voltammetry (iR-corrected) in a three-electrode cell configuration at a scan rate of 1 mV s</w:t>
      </w:r>
      <w:r w:rsidRPr="005454CE">
        <w:rPr>
          <w:rFonts w:asciiTheme="minorHAnsi" w:hAnsiTheme="minorHAnsi" w:cstheme="minorHAnsi"/>
          <w:sz w:val="22"/>
          <w:szCs w:val="22"/>
          <w:vertAlign w:val="superscript"/>
        </w:rPr>
        <w:t>-1</w:t>
      </w:r>
      <w:r w:rsidRPr="005454CE">
        <w:rPr>
          <w:rFonts w:asciiTheme="minorHAnsi" w:hAnsiTheme="minorHAnsi" w:cstheme="minorHAnsi"/>
          <w:sz w:val="22"/>
          <w:szCs w:val="22"/>
        </w:rPr>
        <w:t xml:space="preserve"> in 0.5 M H</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SO</w:t>
      </w:r>
      <w:r w:rsidRPr="005454CE">
        <w:rPr>
          <w:rFonts w:asciiTheme="minorHAnsi" w:hAnsiTheme="minorHAnsi" w:cstheme="minorHAnsi"/>
          <w:sz w:val="22"/>
          <w:szCs w:val="22"/>
          <w:vertAlign w:val="subscript"/>
        </w:rPr>
        <w:t xml:space="preserve">4 </w:t>
      </w:r>
      <w:r w:rsidRPr="005454CE">
        <w:rPr>
          <w:rFonts w:asciiTheme="minorHAnsi" w:hAnsiTheme="minorHAnsi" w:cstheme="minorHAnsi"/>
          <w:sz w:val="22"/>
          <w:szCs w:val="22"/>
        </w:rPr>
        <w:t xml:space="preserve">at an rpm of 1600. </w:t>
      </w:r>
      <w:r w:rsidRPr="005454CE">
        <w:rPr>
          <w:rFonts w:asciiTheme="minorHAnsi" w:hAnsiTheme="minorHAnsi" w:cstheme="minorHAnsi"/>
          <w:b/>
          <w:sz w:val="22"/>
          <w:szCs w:val="22"/>
        </w:rPr>
        <w:t>B)</w:t>
      </w:r>
      <w:r w:rsidRPr="005454CE">
        <w:rPr>
          <w:rFonts w:asciiTheme="minorHAnsi" w:hAnsiTheme="minorHAnsi" w:cstheme="minorHAnsi"/>
          <w:sz w:val="22"/>
          <w:szCs w:val="22"/>
        </w:rPr>
        <w:t xml:space="preserve"> I-V curves in a PEM device using a Nafion membrane. </w:t>
      </w:r>
      <w:r w:rsidRPr="005454CE">
        <w:rPr>
          <w:rFonts w:asciiTheme="minorHAnsi" w:hAnsiTheme="minorHAnsi" w:cstheme="minorHAnsi"/>
          <w:b/>
          <w:sz w:val="22"/>
          <w:szCs w:val="22"/>
        </w:rPr>
        <w:t>C)</w:t>
      </w:r>
      <w:r w:rsidRPr="005454CE">
        <w:rPr>
          <w:rFonts w:asciiTheme="minorHAnsi" w:hAnsiTheme="minorHAnsi" w:cstheme="minorHAnsi"/>
          <w:sz w:val="22"/>
          <w:szCs w:val="22"/>
        </w:rPr>
        <w:t xml:space="preserve"> Chronopotentiometry measurements in a three-electrode cell configuration at a current density of 10 mA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xml:space="preserve"> in 0.5 M H</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SO</w:t>
      </w:r>
      <w:r w:rsidRPr="005454CE">
        <w:rPr>
          <w:rFonts w:asciiTheme="minorHAnsi" w:hAnsiTheme="minorHAnsi" w:cstheme="minorHAnsi"/>
          <w:sz w:val="22"/>
          <w:szCs w:val="22"/>
          <w:vertAlign w:val="subscript"/>
        </w:rPr>
        <w:t>4</w:t>
      </w:r>
      <w:r w:rsidRPr="005454CE">
        <w:rPr>
          <w:rFonts w:asciiTheme="minorHAnsi" w:hAnsiTheme="minorHAnsi" w:cstheme="minorHAnsi"/>
          <w:sz w:val="22"/>
          <w:szCs w:val="22"/>
        </w:rPr>
        <w:t xml:space="preserve"> at an rpm of 1600 and </w:t>
      </w:r>
      <w:r w:rsidRPr="005454CE">
        <w:rPr>
          <w:rFonts w:asciiTheme="minorHAnsi" w:hAnsiTheme="minorHAnsi" w:cstheme="minorHAnsi"/>
          <w:b/>
          <w:sz w:val="22"/>
          <w:szCs w:val="22"/>
        </w:rPr>
        <w:t xml:space="preserve">D) </w:t>
      </w:r>
      <w:r w:rsidRPr="005454CE">
        <w:rPr>
          <w:rFonts w:asciiTheme="minorHAnsi" w:hAnsiTheme="minorHAnsi" w:cstheme="minorHAnsi"/>
          <w:sz w:val="22"/>
          <w:szCs w:val="22"/>
        </w:rPr>
        <w:t>Chronopotentiometry measurements in a PEM device using a Nafion membrane at a current density of 10 mA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xml:space="preserve">. </w:t>
      </w:r>
      <w:r w:rsidRPr="005454CE">
        <w:rPr>
          <w:rFonts w:asciiTheme="minorHAnsi" w:hAnsiTheme="minorHAnsi" w:cstheme="minorHAnsi"/>
          <w:b/>
          <w:sz w:val="22"/>
          <w:szCs w:val="22"/>
        </w:rPr>
        <w:t>Note:</w:t>
      </w:r>
      <w:r w:rsidRPr="005454CE">
        <w:rPr>
          <w:rFonts w:asciiTheme="minorHAnsi" w:hAnsiTheme="minorHAnsi" w:cstheme="minorHAnsi"/>
          <w:sz w:val="22"/>
          <w:szCs w:val="22"/>
        </w:rPr>
        <w:t xml:space="preserve"> All of the electrolyser measurements in Figure 4 B and D are conducted using the PEEK electrolyser cell with the integrated reference electrode illustrated in Figure 6A.</w:t>
      </w:r>
    </w:p>
    <w:p w14:paraId="23D83F36" w14:textId="77777777" w:rsidR="00AC02ED" w:rsidRPr="005454CE" w:rsidRDefault="00AC02ED" w:rsidP="00590C9D">
      <w:pPr>
        <w:jc w:val="both"/>
        <w:rPr>
          <w:rFonts w:asciiTheme="minorHAnsi" w:hAnsiTheme="minorHAnsi" w:cstheme="minorHAnsi"/>
          <w:sz w:val="22"/>
          <w:szCs w:val="22"/>
        </w:rPr>
      </w:pPr>
    </w:p>
    <w:p w14:paraId="39FDB271" w14:textId="77777777" w:rsidR="00AC02ED" w:rsidRPr="005454CE" w:rsidRDefault="00AC02ED" w:rsidP="00BF50ED">
      <w:pPr>
        <w:pStyle w:val="MainText"/>
        <w:jc w:val="both"/>
        <w:rPr>
          <w:rFonts w:asciiTheme="minorHAnsi" w:hAnsiTheme="minorHAnsi" w:cstheme="minorHAnsi"/>
          <w:color w:val="FF0000"/>
          <w:sz w:val="22"/>
          <w:szCs w:val="22"/>
        </w:rPr>
      </w:pPr>
      <w:r w:rsidRPr="005454CE">
        <w:rPr>
          <w:rFonts w:asciiTheme="minorHAnsi" w:hAnsiTheme="minorHAnsi" w:cstheme="minorHAnsi"/>
          <w:sz w:val="22"/>
          <w:szCs w:val="22"/>
          <w:lang w:eastAsia="en-GB"/>
        </w:rPr>
        <w:t>Indeed, the best performing catalyst is again the RuO</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 However in the PEM device, the Co</w:t>
      </w:r>
      <w:r w:rsidRPr="005454CE">
        <w:rPr>
          <w:rFonts w:asciiTheme="minorHAnsi" w:hAnsiTheme="minorHAnsi" w:cstheme="minorHAnsi"/>
          <w:sz w:val="22"/>
          <w:szCs w:val="22"/>
          <w:vertAlign w:val="subscript"/>
          <w:lang w:eastAsia="en-GB"/>
        </w:rPr>
        <w:t>3</w:t>
      </w:r>
      <w:r w:rsidRPr="005454CE">
        <w:rPr>
          <w:rFonts w:asciiTheme="minorHAnsi" w:hAnsiTheme="minorHAnsi" w:cstheme="minorHAnsi"/>
          <w:sz w:val="22"/>
          <w:szCs w:val="22"/>
          <w:lang w:eastAsia="en-GB"/>
        </w:rPr>
        <w:t>O</w:t>
      </w:r>
      <w:r w:rsidRPr="005454CE">
        <w:rPr>
          <w:rFonts w:asciiTheme="minorHAnsi" w:hAnsiTheme="minorHAnsi" w:cstheme="minorHAnsi"/>
          <w:sz w:val="22"/>
          <w:szCs w:val="22"/>
          <w:vertAlign w:val="subscript"/>
          <w:lang w:eastAsia="en-GB"/>
        </w:rPr>
        <w:t>4</w:t>
      </w:r>
      <w:r w:rsidRPr="005454CE">
        <w:rPr>
          <w:rFonts w:asciiTheme="minorHAnsi" w:hAnsiTheme="minorHAnsi" w:cstheme="minorHAnsi"/>
          <w:sz w:val="22"/>
          <w:szCs w:val="22"/>
          <w:lang w:eastAsia="en-GB"/>
        </w:rPr>
        <w:t>, NiO and Fe</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O</w:t>
      </w:r>
      <w:r w:rsidRPr="005454CE">
        <w:rPr>
          <w:rFonts w:asciiTheme="minorHAnsi" w:hAnsiTheme="minorHAnsi" w:cstheme="minorHAnsi"/>
          <w:sz w:val="22"/>
          <w:szCs w:val="22"/>
          <w:vertAlign w:val="subscript"/>
          <w:lang w:eastAsia="en-GB"/>
        </w:rPr>
        <w:t xml:space="preserve">3 </w:t>
      </w:r>
      <w:r w:rsidRPr="005454CE">
        <w:rPr>
          <w:rFonts w:asciiTheme="minorHAnsi" w:hAnsiTheme="minorHAnsi" w:cstheme="minorHAnsi"/>
          <w:sz w:val="22"/>
          <w:szCs w:val="22"/>
          <w:lang w:eastAsia="en-GB"/>
        </w:rPr>
        <w:t>catalysts all reach a current density of 10 mA cm</w:t>
      </w:r>
      <w:r w:rsidRPr="005454CE">
        <w:rPr>
          <w:rFonts w:asciiTheme="minorHAnsi" w:hAnsiTheme="minorHAnsi" w:cstheme="minorHAnsi"/>
          <w:sz w:val="22"/>
          <w:szCs w:val="22"/>
          <w:vertAlign w:val="superscript"/>
          <w:lang w:eastAsia="en-GB"/>
        </w:rPr>
        <w:t>-2</w:t>
      </w:r>
      <w:r w:rsidRPr="005454CE">
        <w:rPr>
          <w:rFonts w:asciiTheme="minorHAnsi" w:hAnsiTheme="minorHAnsi" w:cstheme="minorHAnsi"/>
          <w:sz w:val="22"/>
          <w:szCs w:val="22"/>
          <w:lang w:eastAsia="en-GB"/>
        </w:rPr>
        <w:t xml:space="preserve"> at or before 2 V vs. RHE, while the MnO</w:t>
      </w:r>
      <w:r w:rsidRPr="005454CE">
        <w:rPr>
          <w:rFonts w:asciiTheme="minorHAnsi" w:hAnsiTheme="minorHAnsi" w:cstheme="minorHAnsi"/>
          <w:sz w:val="22"/>
          <w:szCs w:val="22"/>
          <w:vertAlign w:val="subscript"/>
          <w:lang w:eastAsia="en-GB"/>
        </w:rPr>
        <w:t>x</w:t>
      </w:r>
      <w:r w:rsidRPr="005454CE">
        <w:rPr>
          <w:rFonts w:asciiTheme="minorHAnsi" w:hAnsiTheme="minorHAnsi" w:cstheme="minorHAnsi"/>
          <w:sz w:val="22"/>
          <w:szCs w:val="22"/>
          <w:lang w:eastAsia="en-GB"/>
        </w:rPr>
        <w:t xml:space="preserve"> reaches a current density of 8 mA cm</w:t>
      </w:r>
      <w:r w:rsidRPr="005454CE">
        <w:rPr>
          <w:rFonts w:asciiTheme="minorHAnsi" w:hAnsiTheme="minorHAnsi" w:cstheme="minorHAnsi"/>
          <w:sz w:val="22"/>
          <w:szCs w:val="22"/>
          <w:vertAlign w:val="superscript"/>
          <w:lang w:eastAsia="en-GB"/>
        </w:rPr>
        <w:t>-2</w:t>
      </w:r>
      <w:r w:rsidRPr="005454CE">
        <w:rPr>
          <w:rFonts w:asciiTheme="minorHAnsi" w:hAnsiTheme="minorHAnsi" w:cstheme="minorHAnsi"/>
          <w:sz w:val="22"/>
          <w:szCs w:val="22"/>
          <w:lang w:eastAsia="en-GB"/>
        </w:rPr>
        <w:t xml:space="preserve"> at this potential; this is contrary to the corresponding result from the three-electrode cell set-up where none of the earth abundant materials even reach a current density of 1 mA cm</w:t>
      </w:r>
      <w:r w:rsidRPr="005454CE">
        <w:rPr>
          <w:rFonts w:asciiTheme="minorHAnsi" w:hAnsiTheme="minorHAnsi" w:cstheme="minorHAnsi"/>
          <w:sz w:val="22"/>
          <w:szCs w:val="22"/>
          <w:vertAlign w:val="superscript"/>
          <w:lang w:eastAsia="en-GB"/>
        </w:rPr>
        <w:t>-2</w:t>
      </w:r>
      <w:r w:rsidRPr="005454CE">
        <w:rPr>
          <w:rFonts w:asciiTheme="minorHAnsi" w:hAnsiTheme="minorHAnsi" w:cstheme="minorHAnsi"/>
          <w:sz w:val="22"/>
          <w:szCs w:val="22"/>
          <w:lang w:eastAsia="en-GB"/>
        </w:rPr>
        <w:t>.</w:t>
      </w:r>
    </w:p>
    <w:p w14:paraId="54B358E4" w14:textId="77777777" w:rsidR="00AC02ED" w:rsidRPr="005454CE" w:rsidRDefault="00AC02ED" w:rsidP="00BF50ED">
      <w:pPr>
        <w:spacing w:line="480" w:lineRule="auto"/>
        <w:jc w:val="both"/>
        <w:rPr>
          <w:rFonts w:asciiTheme="minorHAnsi" w:hAnsiTheme="minorHAnsi" w:cstheme="minorHAnsi"/>
          <w:sz w:val="22"/>
          <w:szCs w:val="22"/>
          <w:lang w:eastAsia="en-GB"/>
        </w:rPr>
      </w:pPr>
      <w:r w:rsidRPr="005454CE">
        <w:rPr>
          <w:rFonts w:asciiTheme="minorHAnsi" w:hAnsiTheme="minorHAnsi" w:cstheme="minorHAnsi"/>
          <w:sz w:val="22"/>
          <w:szCs w:val="22"/>
        </w:rPr>
        <w:t xml:space="preserve">As the durability of OER catalysts is another extremely important parameter that must be assessed during OER evaluation, the TMO catalysts </w:t>
      </w:r>
      <w:r w:rsidRPr="005454CE">
        <w:rPr>
          <w:rFonts w:asciiTheme="minorHAnsi" w:hAnsiTheme="minorHAnsi" w:cstheme="minorHAnsi"/>
          <w:sz w:val="22"/>
          <w:szCs w:val="22"/>
          <w:lang w:eastAsia="en-GB"/>
        </w:rPr>
        <w:t>underwent longevity testing under electrochemical conditions routinely applied in the literature using the conventional three-electrode cell; i.e. monitoring of the potential at a constant applied current density of 10 mA cm</w:t>
      </w:r>
      <w:r w:rsidRPr="005454CE">
        <w:rPr>
          <w:rFonts w:asciiTheme="minorHAnsi" w:hAnsiTheme="minorHAnsi" w:cstheme="minorHAnsi"/>
          <w:sz w:val="22"/>
          <w:szCs w:val="22"/>
          <w:vertAlign w:val="superscript"/>
          <w:lang w:eastAsia="en-GB"/>
        </w:rPr>
        <w:t>-2</w:t>
      </w:r>
      <w:r w:rsidRPr="005454CE">
        <w:rPr>
          <w:rFonts w:asciiTheme="minorHAnsi" w:hAnsiTheme="minorHAnsi" w:cstheme="minorHAnsi"/>
          <w:sz w:val="22"/>
          <w:szCs w:val="22"/>
          <w:lang w:eastAsia="en-GB"/>
        </w:rPr>
        <w:t xml:space="preserve"> over a period of time.</w:t>
      </w:r>
      <w:r w:rsidRPr="005454CE">
        <w:rPr>
          <w:rFonts w:asciiTheme="minorHAnsi" w:hAnsiTheme="minorHAnsi" w:cstheme="minorHAnsi"/>
          <w:noProof/>
          <w:sz w:val="22"/>
          <w:szCs w:val="22"/>
          <w:vertAlign w:val="superscript"/>
          <w:lang w:eastAsia="en-GB"/>
        </w:rPr>
        <w:t>10, 45</w:t>
      </w:r>
      <w:r w:rsidRPr="005454CE">
        <w:rPr>
          <w:rFonts w:asciiTheme="minorHAnsi" w:hAnsiTheme="minorHAnsi" w:cstheme="minorHAnsi"/>
          <w:sz w:val="22"/>
          <w:szCs w:val="22"/>
          <w:lang w:eastAsia="en-GB"/>
        </w:rPr>
        <w:t xml:space="preserve"> Again, to determine the compatibility of the three-electrode cell results with those of the electrolyser device, all of the materials underwent stability tests under both set-ups at a current density of 10 mA cm</w:t>
      </w:r>
      <w:r w:rsidRPr="005454CE">
        <w:rPr>
          <w:rFonts w:asciiTheme="minorHAnsi" w:hAnsiTheme="minorHAnsi" w:cstheme="minorHAnsi"/>
          <w:sz w:val="22"/>
          <w:szCs w:val="22"/>
          <w:vertAlign w:val="superscript"/>
          <w:lang w:eastAsia="en-GB"/>
        </w:rPr>
        <w:t>-2</w:t>
      </w:r>
      <w:r w:rsidRPr="005454CE">
        <w:rPr>
          <w:rFonts w:asciiTheme="minorHAnsi" w:hAnsiTheme="minorHAnsi" w:cstheme="minorHAnsi"/>
          <w:sz w:val="22"/>
          <w:szCs w:val="22"/>
          <w:lang w:eastAsia="en-GB"/>
        </w:rPr>
        <w:t xml:space="preserve">. From </w:t>
      </w:r>
      <w:r w:rsidRPr="005454CE">
        <w:rPr>
          <w:rFonts w:asciiTheme="minorHAnsi" w:hAnsiTheme="minorHAnsi" w:cstheme="minorHAnsi"/>
          <w:b/>
          <w:sz w:val="22"/>
          <w:szCs w:val="22"/>
          <w:lang w:eastAsia="en-GB"/>
        </w:rPr>
        <w:t>Figure 4C</w:t>
      </w:r>
      <w:r w:rsidRPr="005454CE">
        <w:rPr>
          <w:rFonts w:asciiTheme="minorHAnsi" w:hAnsiTheme="minorHAnsi" w:cstheme="minorHAnsi"/>
          <w:sz w:val="22"/>
          <w:szCs w:val="22"/>
          <w:lang w:eastAsia="en-GB"/>
        </w:rPr>
        <w:t>, the chronopotentiometry curves of the Co</w:t>
      </w:r>
      <w:r w:rsidRPr="005454CE">
        <w:rPr>
          <w:rFonts w:asciiTheme="minorHAnsi" w:hAnsiTheme="minorHAnsi" w:cstheme="minorHAnsi"/>
          <w:sz w:val="22"/>
          <w:szCs w:val="22"/>
          <w:vertAlign w:val="subscript"/>
          <w:lang w:eastAsia="en-GB"/>
        </w:rPr>
        <w:t>3</w:t>
      </w:r>
      <w:r w:rsidRPr="005454CE">
        <w:rPr>
          <w:rFonts w:asciiTheme="minorHAnsi" w:hAnsiTheme="minorHAnsi" w:cstheme="minorHAnsi"/>
          <w:sz w:val="22"/>
          <w:szCs w:val="22"/>
          <w:lang w:eastAsia="en-GB"/>
        </w:rPr>
        <w:t>O</w:t>
      </w:r>
      <w:r w:rsidRPr="005454CE">
        <w:rPr>
          <w:rFonts w:asciiTheme="minorHAnsi" w:hAnsiTheme="minorHAnsi" w:cstheme="minorHAnsi"/>
          <w:sz w:val="22"/>
          <w:szCs w:val="22"/>
          <w:vertAlign w:val="subscript"/>
          <w:lang w:eastAsia="en-GB"/>
        </w:rPr>
        <w:t>4</w:t>
      </w:r>
      <w:r w:rsidRPr="005454CE">
        <w:rPr>
          <w:rFonts w:asciiTheme="minorHAnsi" w:hAnsiTheme="minorHAnsi" w:cstheme="minorHAnsi"/>
          <w:sz w:val="22"/>
          <w:szCs w:val="22"/>
          <w:lang w:eastAsia="en-GB"/>
        </w:rPr>
        <w:t>, MnO</w:t>
      </w:r>
      <w:r w:rsidRPr="005454CE">
        <w:rPr>
          <w:rFonts w:asciiTheme="minorHAnsi" w:hAnsiTheme="minorHAnsi" w:cstheme="minorHAnsi"/>
          <w:sz w:val="22"/>
          <w:szCs w:val="22"/>
          <w:vertAlign w:val="subscript"/>
          <w:lang w:eastAsia="en-GB"/>
        </w:rPr>
        <w:t>x</w:t>
      </w:r>
      <w:r w:rsidRPr="005454CE">
        <w:rPr>
          <w:rFonts w:asciiTheme="minorHAnsi" w:hAnsiTheme="minorHAnsi" w:cstheme="minorHAnsi"/>
          <w:sz w:val="22"/>
          <w:szCs w:val="22"/>
          <w:lang w:eastAsia="en-GB"/>
        </w:rPr>
        <w:t>, NiO and Fe</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O</w:t>
      </w:r>
      <w:r w:rsidRPr="005454CE">
        <w:rPr>
          <w:rFonts w:asciiTheme="minorHAnsi" w:hAnsiTheme="minorHAnsi" w:cstheme="minorHAnsi"/>
          <w:sz w:val="22"/>
          <w:szCs w:val="22"/>
          <w:vertAlign w:val="subscript"/>
          <w:lang w:eastAsia="en-GB"/>
        </w:rPr>
        <w:t xml:space="preserve">3 </w:t>
      </w:r>
      <w:r w:rsidRPr="005454CE">
        <w:rPr>
          <w:rFonts w:asciiTheme="minorHAnsi" w:hAnsiTheme="minorHAnsi" w:cstheme="minorHAnsi"/>
          <w:sz w:val="22"/>
          <w:szCs w:val="22"/>
          <w:lang w:eastAsia="en-GB"/>
        </w:rPr>
        <w:t>materials in the conventional three-electrode cell all exhibit similar potentials (V vs. RHE) as the GC substrate, indicating that these cheap TMO materials have either become in-active or degraded under the applied OER environment. The RuO</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 xml:space="preserve"> on the GC substrate shows a continuously declining performance until it also reaches the same potential as the GC substrate at a time of ~40 s. On the other hand, in the electrolyser device, illustrated in </w:t>
      </w:r>
      <w:r w:rsidRPr="005454CE">
        <w:rPr>
          <w:rFonts w:asciiTheme="minorHAnsi" w:hAnsiTheme="minorHAnsi" w:cstheme="minorHAnsi"/>
          <w:b/>
          <w:sz w:val="22"/>
          <w:szCs w:val="22"/>
          <w:lang w:eastAsia="en-GB"/>
        </w:rPr>
        <w:t>Figure 4D</w:t>
      </w:r>
      <w:r w:rsidRPr="005454CE">
        <w:rPr>
          <w:rFonts w:asciiTheme="minorHAnsi" w:hAnsiTheme="minorHAnsi" w:cstheme="minorHAnsi"/>
          <w:sz w:val="22"/>
          <w:szCs w:val="22"/>
          <w:lang w:eastAsia="en-GB"/>
        </w:rPr>
        <w:t>, the RuO</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 Co</w:t>
      </w:r>
      <w:r w:rsidRPr="005454CE">
        <w:rPr>
          <w:rFonts w:asciiTheme="minorHAnsi" w:hAnsiTheme="minorHAnsi" w:cstheme="minorHAnsi"/>
          <w:sz w:val="22"/>
          <w:szCs w:val="22"/>
          <w:vertAlign w:val="subscript"/>
          <w:lang w:eastAsia="en-GB"/>
        </w:rPr>
        <w:t>3</w:t>
      </w:r>
      <w:r w:rsidRPr="005454CE">
        <w:rPr>
          <w:rFonts w:asciiTheme="minorHAnsi" w:hAnsiTheme="minorHAnsi" w:cstheme="minorHAnsi"/>
          <w:sz w:val="22"/>
          <w:szCs w:val="22"/>
          <w:lang w:eastAsia="en-GB"/>
        </w:rPr>
        <w:t>O</w:t>
      </w:r>
      <w:r w:rsidRPr="005454CE">
        <w:rPr>
          <w:rFonts w:asciiTheme="minorHAnsi" w:hAnsiTheme="minorHAnsi" w:cstheme="minorHAnsi"/>
          <w:sz w:val="22"/>
          <w:szCs w:val="22"/>
          <w:vertAlign w:val="subscript"/>
          <w:lang w:eastAsia="en-GB"/>
        </w:rPr>
        <w:t>4</w:t>
      </w:r>
      <w:r w:rsidRPr="005454CE">
        <w:rPr>
          <w:rFonts w:asciiTheme="minorHAnsi" w:hAnsiTheme="minorHAnsi" w:cstheme="minorHAnsi"/>
          <w:sz w:val="22"/>
          <w:szCs w:val="22"/>
          <w:lang w:eastAsia="en-GB"/>
        </w:rPr>
        <w:t>, MnO</w:t>
      </w:r>
      <w:r w:rsidRPr="005454CE">
        <w:rPr>
          <w:rFonts w:asciiTheme="minorHAnsi" w:hAnsiTheme="minorHAnsi" w:cstheme="minorHAnsi"/>
          <w:sz w:val="22"/>
          <w:szCs w:val="22"/>
          <w:vertAlign w:val="subscript"/>
          <w:lang w:eastAsia="en-GB"/>
        </w:rPr>
        <w:t>x</w:t>
      </w:r>
      <w:r w:rsidRPr="005454CE">
        <w:rPr>
          <w:rFonts w:asciiTheme="minorHAnsi" w:hAnsiTheme="minorHAnsi" w:cstheme="minorHAnsi"/>
          <w:sz w:val="22"/>
          <w:szCs w:val="22"/>
          <w:lang w:eastAsia="en-GB"/>
        </w:rPr>
        <w:t>, and Fe</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O</w:t>
      </w:r>
      <w:r w:rsidRPr="005454CE">
        <w:rPr>
          <w:rFonts w:asciiTheme="minorHAnsi" w:hAnsiTheme="minorHAnsi" w:cstheme="minorHAnsi"/>
          <w:sz w:val="22"/>
          <w:szCs w:val="22"/>
          <w:vertAlign w:val="subscript"/>
          <w:lang w:eastAsia="en-GB"/>
        </w:rPr>
        <w:t xml:space="preserve">3 </w:t>
      </w:r>
      <w:r w:rsidRPr="005454CE">
        <w:rPr>
          <w:rFonts w:asciiTheme="minorHAnsi" w:hAnsiTheme="minorHAnsi" w:cstheme="minorHAnsi"/>
          <w:sz w:val="22"/>
          <w:szCs w:val="22"/>
          <w:lang w:eastAsia="en-GB"/>
        </w:rPr>
        <w:t xml:space="preserve">materials are all stable over a period of 6 hours, while the NiO catalysts begin to decline after 2 hours. This clearly shows that the three-electrode cell configuration is a poor indicator of the stability of a catalyst for the OER in an electrolyser device.  </w:t>
      </w:r>
    </w:p>
    <w:p w14:paraId="7F65F35F" w14:textId="77777777" w:rsidR="00AC02ED" w:rsidRPr="005454CE" w:rsidRDefault="00AC02ED" w:rsidP="00BF50ED">
      <w:pPr>
        <w:spacing w:line="480" w:lineRule="auto"/>
        <w:jc w:val="both"/>
        <w:rPr>
          <w:rFonts w:asciiTheme="minorHAnsi" w:hAnsiTheme="minorHAnsi" w:cstheme="minorHAnsi"/>
          <w:sz w:val="22"/>
          <w:szCs w:val="22"/>
          <w:lang w:val="en-IE" w:eastAsia="en-GB"/>
        </w:rPr>
      </w:pPr>
    </w:p>
    <w:p w14:paraId="05368DD5" w14:textId="77777777" w:rsidR="00AC02ED" w:rsidRPr="005454CE" w:rsidRDefault="00AC02ED" w:rsidP="001E215B">
      <w:pPr>
        <w:jc w:val="both"/>
        <w:rPr>
          <w:rFonts w:asciiTheme="minorHAnsi" w:hAnsiTheme="minorHAnsi" w:cstheme="minorHAnsi"/>
          <w:b/>
          <w:bCs/>
          <w:sz w:val="22"/>
          <w:szCs w:val="22"/>
          <w:lang w:val="en-IE" w:eastAsia="en-GB"/>
        </w:rPr>
      </w:pPr>
      <w:r w:rsidRPr="005454CE">
        <w:rPr>
          <w:rFonts w:asciiTheme="minorHAnsi" w:hAnsiTheme="minorHAnsi" w:cstheme="minorHAnsi"/>
          <w:b/>
          <w:bCs/>
          <w:sz w:val="22"/>
          <w:szCs w:val="22"/>
          <w:lang w:val="en-IE" w:eastAsia="en-GB"/>
        </w:rPr>
        <w:t xml:space="preserve">3.3 Why is there a difference in the activity and stability between the conventional three electrode cell and the electrolyser three electrode device? </w:t>
      </w:r>
    </w:p>
    <w:p w14:paraId="18EBE3D9" w14:textId="77777777" w:rsidR="00AC02ED" w:rsidRPr="005454CE" w:rsidRDefault="00AC02ED" w:rsidP="00BF50ED">
      <w:pPr>
        <w:spacing w:line="480" w:lineRule="auto"/>
        <w:jc w:val="both"/>
        <w:rPr>
          <w:rFonts w:asciiTheme="minorHAnsi" w:hAnsiTheme="minorHAnsi" w:cstheme="minorHAnsi"/>
          <w:sz w:val="22"/>
          <w:szCs w:val="22"/>
          <w:lang w:val="en-IE" w:eastAsia="en-GB"/>
        </w:rPr>
      </w:pPr>
      <w:r w:rsidRPr="005454CE">
        <w:rPr>
          <w:rFonts w:asciiTheme="minorHAnsi" w:hAnsiTheme="minorHAnsi" w:cstheme="minorHAnsi"/>
          <w:sz w:val="22"/>
          <w:szCs w:val="22"/>
          <w:lang w:val="en-IE" w:eastAsia="en-GB"/>
        </w:rPr>
        <w:t>From a comparison of the LSV/I-V curves and the chronopotentiometry from the three-electrode set-up, Figure 4 A and C respectively, and the electrolyser device set-up, Figure 4B and D respectively, it is clear that the three-electrode cell set-up currently undertaken throughout the literature in academic labs is not a sufficient method for the evaluation of transition metal catalysts for PEM electrolyser devices. The results obtained during the OER evaluation measurements in the conventional three electrode cell could potentially result in the omission of these materials from further investigation however, in the electrolyser device the same materials show promising activity. One must remember that the conventional three electrode cell platform is the most common evaluation method proposed in literature to benchmark materials for a water splitting therefore should give a reasonable indication of the activity and stability in a electrolyser device; as the electrolyser device is the final application.</w:t>
      </w:r>
      <w:r w:rsidRPr="005454CE">
        <w:rPr>
          <w:rFonts w:asciiTheme="minorHAnsi" w:hAnsiTheme="minorHAnsi" w:cstheme="minorHAnsi"/>
          <w:sz w:val="22"/>
          <w:szCs w:val="22"/>
          <w:vertAlign w:val="superscript"/>
          <w:lang w:val="en-IE" w:eastAsia="en-GB"/>
        </w:rPr>
        <w:t>10</w:t>
      </w:r>
    </w:p>
    <w:p w14:paraId="2C90A98A" w14:textId="77777777" w:rsidR="00AC02ED" w:rsidRPr="005454CE" w:rsidRDefault="00AC02ED" w:rsidP="00BF50ED">
      <w:pPr>
        <w:spacing w:line="480" w:lineRule="auto"/>
        <w:jc w:val="both"/>
        <w:rPr>
          <w:rFonts w:asciiTheme="minorHAnsi" w:hAnsiTheme="minorHAnsi" w:cstheme="minorHAnsi"/>
          <w:sz w:val="22"/>
          <w:szCs w:val="22"/>
          <w:lang w:val="en-IE" w:eastAsia="en-GB"/>
        </w:rPr>
      </w:pPr>
      <w:r w:rsidRPr="005454CE">
        <w:rPr>
          <w:rFonts w:asciiTheme="minorHAnsi" w:hAnsiTheme="minorHAnsi" w:cstheme="minorHAnsi"/>
          <w:sz w:val="22"/>
          <w:szCs w:val="22"/>
          <w:lang w:val="en-IE" w:eastAsia="en-GB"/>
        </w:rPr>
        <w:t xml:space="preserve">The reasoning behind the discrepancy in the activity and stability of the materials between the two platforms, outlined in Figure 4, may be rationalised between the difference in the parameters, e.g. catalyst loadings, electrolyte used and working electrode supports, utilised for the three-electrode cell set-up and the electrolyser device, outlined from literature in Table 1.  </w:t>
      </w:r>
    </w:p>
    <w:p w14:paraId="44C4E554" w14:textId="77777777" w:rsidR="00AC02ED" w:rsidRPr="005454CE" w:rsidRDefault="00AC02ED" w:rsidP="002F63D8">
      <w:pPr>
        <w:spacing w:line="480" w:lineRule="auto"/>
        <w:jc w:val="both"/>
        <w:rPr>
          <w:rFonts w:asciiTheme="minorHAnsi" w:hAnsiTheme="minorHAnsi" w:cstheme="minorHAnsi"/>
          <w:color w:val="000000"/>
          <w:sz w:val="22"/>
          <w:szCs w:val="22"/>
          <w:lang w:val="en-IE"/>
        </w:rPr>
      </w:pPr>
      <w:r w:rsidRPr="005454CE">
        <w:rPr>
          <w:rFonts w:asciiTheme="minorHAnsi" w:hAnsiTheme="minorHAnsi" w:cstheme="minorHAnsi"/>
          <w:sz w:val="22"/>
          <w:szCs w:val="22"/>
          <w:lang w:val="en-IE" w:eastAsia="en-GB"/>
        </w:rPr>
        <w:t>In a bid to determine if the variation in the catalyst loadings used in literature is the cause of the loss in the activity and stability of OER catalysts in the three electrode cell set-up when compared to the electrolyser device, LSV and chronopotentiometry measurements were carried out in the three electrode cell set-up, Figure 1A, with the RuO</w:t>
      </w:r>
      <w:r w:rsidRPr="005454CE">
        <w:rPr>
          <w:rFonts w:asciiTheme="minorHAnsi" w:hAnsiTheme="minorHAnsi" w:cstheme="minorHAnsi"/>
          <w:sz w:val="22"/>
          <w:szCs w:val="22"/>
          <w:vertAlign w:val="subscript"/>
          <w:lang w:val="en-IE" w:eastAsia="en-GB"/>
        </w:rPr>
        <w:t>2</w:t>
      </w:r>
      <w:r w:rsidRPr="005454CE">
        <w:rPr>
          <w:rFonts w:asciiTheme="minorHAnsi" w:hAnsiTheme="minorHAnsi" w:cstheme="minorHAnsi"/>
          <w:sz w:val="22"/>
          <w:szCs w:val="22"/>
          <w:lang w:val="en-IE" w:eastAsia="en-GB"/>
        </w:rPr>
        <w:t xml:space="preserve"> catalyst (best-performing catalyst in Figure 4) with a catalyst loading of 3 mg cm</w:t>
      </w:r>
      <w:r w:rsidRPr="005454CE">
        <w:rPr>
          <w:rFonts w:asciiTheme="minorHAnsi" w:hAnsiTheme="minorHAnsi" w:cstheme="minorHAnsi"/>
          <w:sz w:val="22"/>
          <w:szCs w:val="22"/>
          <w:vertAlign w:val="superscript"/>
          <w:lang w:val="en-IE" w:eastAsia="en-GB"/>
        </w:rPr>
        <w:t xml:space="preserve">-2  </w:t>
      </w:r>
      <w:r w:rsidRPr="005454CE">
        <w:rPr>
          <w:rFonts w:asciiTheme="minorHAnsi" w:hAnsiTheme="minorHAnsi" w:cstheme="minorHAnsi"/>
          <w:sz w:val="22"/>
          <w:szCs w:val="22"/>
          <w:lang w:val="en-IE" w:eastAsia="en-GB"/>
        </w:rPr>
        <w:t>i.e. the same loading of the RuO</w:t>
      </w:r>
      <w:r w:rsidRPr="005454CE">
        <w:rPr>
          <w:rFonts w:asciiTheme="minorHAnsi" w:hAnsiTheme="minorHAnsi" w:cstheme="minorHAnsi"/>
          <w:sz w:val="22"/>
          <w:szCs w:val="22"/>
          <w:vertAlign w:val="subscript"/>
          <w:lang w:val="en-IE" w:eastAsia="en-GB"/>
        </w:rPr>
        <w:t>2</w:t>
      </w:r>
      <w:r w:rsidRPr="005454CE">
        <w:rPr>
          <w:rFonts w:asciiTheme="minorHAnsi" w:hAnsiTheme="minorHAnsi" w:cstheme="minorHAnsi"/>
          <w:sz w:val="22"/>
          <w:szCs w:val="22"/>
          <w:lang w:val="en-IE" w:eastAsia="en-GB"/>
        </w:rPr>
        <w:t xml:space="preserve"> in the electrolyser device in this work, </w:t>
      </w:r>
      <w:r w:rsidRPr="005454CE">
        <w:rPr>
          <w:rFonts w:asciiTheme="minorHAnsi" w:hAnsiTheme="minorHAnsi" w:cstheme="minorHAnsi"/>
          <w:b/>
          <w:bCs/>
          <w:sz w:val="22"/>
          <w:szCs w:val="22"/>
          <w:lang w:val="en-IE" w:eastAsia="en-GB"/>
        </w:rPr>
        <w:t>Figure 5</w:t>
      </w:r>
      <w:r w:rsidRPr="005454CE">
        <w:rPr>
          <w:rFonts w:asciiTheme="minorHAnsi" w:hAnsiTheme="minorHAnsi" w:cstheme="minorHAnsi"/>
          <w:sz w:val="22"/>
          <w:szCs w:val="22"/>
          <w:lang w:val="en-IE" w:eastAsia="en-GB"/>
        </w:rPr>
        <w:t xml:space="preserve">. </w:t>
      </w:r>
    </w:p>
    <w:p w14:paraId="509EAB52" w14:textId="77777777" w:rsidR="00AC02ED" w:rsidRPr="005454CE" w:rsidRDefault="00AC02ED" w:rsidP="002F63D8">
      <w:pPr>
        <w:spacing w:line="480" w:lineRule="auto"/>
        <w:jc w:val="center"/>
        <w:rPr>
          <w:rFonts w:asciiTheme="minorHAnsi" w:hAnsiTheme="minorHAnsi" w:cstheme="minorHAnsi"/>
          <w:sz w:val="22"/>
          <w:szCs w:val="22"/>
          <w:lang w:val="en-IE" w:eastAsia="en-GB"/>
        </w:rPr>
      </w:pPr>
      <w:r w:rsidRPr="005454CE">
        <w:rPr>
          <w:noProof/>
          <w:lang w:val="en-IE" w:eastAsia="en-GB"/>
        </w:rPr>
        <w:drawing>
          <wp:inline distT="0" distB="0" distL="0" distR="0" wp14:anchorId="0BA0A129" wp14:editId="2C5361E3">
            <wp:extent cx="5173758" cy="200445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87072" cy="2009608"/>
                    </a:xfrm>
                    <a:prstGeom prst="rect">
                      <a:avLst/>
                    </a:prstGeom>
                    <a:noFill/>
                  </pic:spPr>
                </pic:pic>
              </a:graphicData>
            </a:graphic>
          </wp:inline>
        </w:drawing>
      </w:r>
    </w:p>
    <w:p w14:paraId="721F4087" w14:textId="77777777" w:rsidR="00AC02ED" w:rsidRPr="005454CE" w:rsidRDefault="00AC02ED" w:rsidP="009E6D06">
      <w:pPr>
        <w:spacing w:line="480" w:lineRule="auto"/>
        <w:jc w:val="both"/>
        <w:rPr>
          <w:rFonts w:asciiTheme="minorHAnsi" w:hAnsiTheme="minorHAnsi" w:cstheme="minorHAnsi"/>
          <w:b/>
          <w:bCs/>
          <w:sz w:val="22"/>
          <w:szCs w:val="22"/>
          <w:lang w:val="en-IE" w:eastAsia="en-GB"/>
        </w:rPr>
      </w:pPr>
      <w:r w:rsidRPr="005454CE">
        <w:rPr>
          <w:rFonts w:asciiTheme="minorHAnsi" w:hAnsiTheme="minorHAnsi" w:cstheme="minorHAnsi"/>
          <w:b/>
          <w:bCs/>
          <w:sz w:val="22"/>
          <w:szCs w:val="22"/>
          <w:lang w:val="en-IE" w:eastAsia="en-GB"/>
        </w:rPr>
        <w:t xml:space="preserve">Figure 5 A. </w:t>
      </w:r>
      <w:r w:rsidRPr="005454CE">
        <w:rPr>
          <w:rFonts w:asciiTheme="minorHAnsi" w:hAnsiTheme="minorHAnsi" w:cstheme="minorHAnsi"/>
          <w:sz w:val="22"/>
          <w:szCs w:val="22"/>
          <w:lang w:val="en-IE" w:eastAsia="en-GB"/>
        </w:rPr>
        <w:t>LSV curves of RuO</w:t>
      </w:r>
      <w:r w:rsidRPr="005454CE">
        <w:rPr>
          <w:rFonts w:asciiTheme="minorHAnsi" w:hAnsiTheme="minorHAnsi" w:cstheme="minorHAnsi"/>
          <w:sz w:val="22"/>
          <w:szCs w:val="22"/>
          <w:vertAlign w:val="subscript"/>
          <w:lang w:val="en-IE" w:eastAsia="en-GB"/>
        </w:rPr>
        <w:t>2</w:t>
      </w:r>
      <w:r w:rsidRPr="005454CE">
        <w:rPr>
          <w:rFonts w:asciiTheme="minorHAnsi" w:hAnsiTheme="minorHAnsi" w:cstheme="minorHAnsi"/>
          <w:sz w:val="22"/>
          <w:szCs w:val="22"/>
          <w:lang w:val="en-IE" w:eastAsia="en-GB"/>
        </w:rPr>
        <w:t xml:space="preserve"> in a RDE three electrode set-up and an electrolyser device with various catalyst loadings and </w:t>
      </w:r>
      <w:r w:rsidRPr="005454CE">
        <w:rPr>
          <w:rFonts w:asciiTheme="minorHAnsi" w:hAnsiTheme="minorHAnsi" w:cstheme="minorHAnsi"/>
          <w:b/>
          <w:bCs/>
          <w:sz w:val="22"/>
          <w:szCs w:val="22"/>
          <w:lang w:val="en-IE" w:eastAsia="en-GB"/>
        </w:rPr>
        <w:t xml:space="preserve">B. </w:t>
      </w:r>
      <w:r w:rsidRPr="005454CE">
        <w:rPr>
          <w:rFonts w:asciiTheme="minorHAnsi" w:hAnsiTheme="minorHAnsi" w:cstheme="minorHAnsi"/>
          <w:sz w:val="22"/>
          <w:szCs w:val="22"/>
          <w:lang w:val="en-IE" w:eastAsia="en-GB"/>
        </w:rPr>
        <w:t>LSV curves of RuO</w:t>
      </w:r>
      <w:r w:rsidRPr="005454CE">
        <w:rPr>
          <w:rFonts w:asciiTheme="minorHAnsi" w:hAnsiTheme="minorHAnsi" w:cstheme="minorHAnsi"/>
          <w:sz w:val="22"/>
          <w:szCs w:val="22"/>
          <w:vertAlign w:val="subscript"/>
          <w:lang w:val="en-IE" w:eastAsia="en-GB"/>
        </w:rPr>
        <w:t>2</w:t>
      </w:r>
      <w:r w:rsidRPr="005454CE">
        <w:rPr>
          <w:rFonts w:asciiTheme="minorHAnsi" w:hAnsiTheme="minorHAnsi" w:cstheme="minorHAnsi"/>
          <w:sz w:val="22"/>
          <w:szCs w:val="22"/>
          <w:lang w:val="en-IE" w:eastAsia="en-GB"/>
        </w:rPr>
        <w:t xml:space="preserve"> in a RDE three electrode set-up and an electrolyser device with various catalyst loadings</w:t>
      </w:r>
    </w:p>
    <w:p w14:paraId="33FB6FC8" w14:textId="77777777" w:rsidR="00AC02ED" w:rsidRPr="005454CE" w:rsidRDefault="00AC02ED" w:rsidP="009E6D06">
      <w:pPr>
        <w:spacing w:line="480" w:lineRule="auto"/>
        <w:jc w:val="both"/>
        <w:rPr>
          <w:rFonts w:asciiTheme="minorHAnsi" w:hAnsiTheme="minorHAnsi" w:cstheme="minorHAnsi"/>
          <w:b/>
          <w:bCs/>
          <w:sz w:val="22"/>
          <w:szCs w:val="22"/>
          <w:lang w:val="en-IE" w:eastAsia="en-GB"/>
        </w:rPr>
      </w:pPr>
    </w:p>
    <w:p w14:paraId="4FFC257F" w14:textId="77777777" w:rsidR="00AC02ED" w:rsidRPr="005454CE" w:rsidRDefault="00AC02ED" w:rsidP="009E6D06">
      <w:pPr>
        <w:spacing w:line="480" w:lineRule="auto"/>
        <w:jc w:val="both"/>
        <w:rPr>
          <w:rFonts w:asciiTheme="minorHAnsi" w:hAnsiTheme="minorHAnsi" w:cstheme="minorHAnsi"/>
          <w:sz w:val="22"/>
          <w:szCs w:val="22"/>
          <w:lang w:val="en-IE" w:eastAsia="en-GB"/>
        </w:rPr>
      </w:pPr>
      <w:r w:rsidRPr="005454CE">
        <w:rPr>
          <w:rFonts w:asciiTheme="minorHAnsi" w:hAnsiTheme="minorHAnsi" w:cstheme="minorHAnsi"/>
          <w:sz w:val="22"/>
          <w:szCs w:val="22"/>
          <w:lang w:val="en-IE" w:eastAsia="en-GB"/>
        </w:rPr>
        <w:t xml:space="preserve">By comparing the LSV/I-V curves in </w:t>
      </w:r>
      <w:r w:rsidRPr="005454CE">
        <w:rPr>
          <w:rFonts w:asciiTheme="minorHAnsi" w:hAnsiTheme="minorHAnsi" w:cstheme="minorHAnsi"/>
          <w:b/>
          <w:bCs/>
          <w:sz w:val="22"/>
          <w:szCs w:val="22"/>
          <w:lang w:val="en-IE" w:eastAsia="en-GB"/>
        </w:rPr>
        <w:t>Figure 5A</w:t>
      </w:r>
      <w:r w:rsidRPr="005454CE">
        <w:rPr>
          <w:rFonts w:asciiTheme="minorHAnsi" w:hAnsiTheme="minorHAnsi" w:cstheme="minorHAnsi"/>
          <w:sz w:val="22"/>
          <w:szCs w:val="22"/>
          <w:lang w:val="en-IE" w:eastAsia="en-GB"/>
        </w:rPr>
        <w:t>, of the higher catalyst loading (3 mg cm</w:t>
      </w:r>
      <w:r w:rsidRPr="005454CE">
        <w:rPr>
          <w:rFonts w:asciiTheme="minorHAnsi" w:hAnsiTheme="minorHAnsi" w:cstheme="minorHAnsi"/>
          <w:sz w:val="22"/>
          <w:szCs w:val="22"/>
          <w:vertAlign w:val="superscript"/>
          <w:lang w:val="en-IE" w:eastAsia="en-GB"/>
        </w:rPr>
        <w:t>-2</w:t>
      </w:r>
      <w:r w:rsidRPr="005454CE">
        <w:rPr>
          <w:rFonts w:asciiTheme="minorHAnsi" w:hAnsiTheme="minorHAnsi" w:cstheme="minorHAnsi"/>
          <w:sz w:val="22"/>
          <w:szCs w:val="22"/>
          <w:lang w:val="en-IE" w:eastAsia="en-GB"/>
        </w:rPr>
        <w:t>) on the RDE electrode in the three electrode cell set-up when compared to the lower catalyst loading (0.7 mg cm</w:t>
      </w:r>
      <w:r w:rsidRPr="005454CE">
        <w:rPr>
          <w:rFonts w:asciiTheme="minorHAnsi" w:hAnsiTheme="minorHAnsi" w:cstheme="minorHAnsi"/>
          <w:sz w:val="22"/>
          <w:szCs w:val="22"/>
          <w:vertAlign w:val="superscript"/>
          <w:lang w:val="en-IE" w:eastAsia="en-GB"/>
        </w:rPr>
        <w:t>-2</w:t>
      </w:r>
      <w:r w:rsidRPr="005454CE">
        <w:rPr>
          <w:rFonts w:asciiTheme="minorHAnsi" w:hAnsiTheme="minorHAnsi" w:cstheme="minorHAnsi"/>
          <w:sz w:val="22"/>
          <w:szCs w:val="22"/>
          <w:lang w:val="en-IE" w:eastAsia="en-GB"/>
        </w:rPr>
        <w:t>) in the same set-up, it can be stated that the OER activity has improved. However, when compared to the same material (RuO</w:t>
      </w:r>
      <w:r w:rsidRPr="005454CE">
        <w:rPr>
          <w:rFonts w:asciiTheme="minorHAnsi" w:hAnsiTheme="minorHAnsi" w:cstheme="minorHAnsi"/>
          <w:sz w:val="22"/>
          <w:szCs w:val="22"/>
          <w:vertAlign w:val="subscript"/>
          <w:lang w:val="en-IE" w:eastAsia="en-GB"/>
        </w:rPr>
        <w:t>2</w:t>
      </w:r>
      <w:r w:rsidRPr="005454CE">
        <w:rPr>
          <w:rFonts w:asciiTheme="minorHAnsi" w:hAnsiTheme="minorHAnsi" w:cstheme="minorHAnsi"/>
          <w:sz w:val="22"/>
          <w:szCs w:val="22"/>
          <w:lang w:val="en-IE" w:eastAsia="en-GB"/>
        </w:rPr>
        <w:t xml:space="preserve"> at a catalyst loading of 3 mg cm</w:t>
      </w:r>
      <w:r w:rsidRPr="005454CE">
        <w:rPr>
          <w:rFonts w:asciiTheme="minorHAnsi" w:hAnsiTheme="minorHAnsi" w:cstheme="minorHAnsi"/>
          <w:sz w:val="22"/>
          <w:szCs w:val="22"/>
          <w:vertAlign w:val="superscript"/>
          <w:lang w:val="en-IE" w:eastAsia="en-GB"/>
        </w:rPr>
        <w:t>-2</w:t>
      </w:r>
      <w:r w:rsidRPr="005454CE">
        <w:rPr>
          <w:rFonts w:asciiTheme="minorHAnsi" w:hAnsiTheme="minorHAnsi" w:cstheme="minorHAnsi"/>
          <w:sz w:val="22"/>
          <w:szCs w:val="22"/>
          <w:lang w:val="en-IE" w:eastAsia="en-GB"/>
        </w:rPr>
        <w:t>) in the electrolyser device, the RuO</w:t>
      </w:r>
      <w:r w:rsidRPr="005454CE">
        <w:rPr>
          <w:rFonts w:asciiTheme="minorHAnsi" w:hAnsiTheme="minorHAnsi" w:cstheme="minorHAnsi"/>
          <w:sz w:val="22"/>
          <w:szCs w:val="22"/>
          <w:vertAlign w:val="subscript"/>
          <w:lang w:val="en-IE" w:eastAsia="en-GB"/>
        </w:rPr>
        <w:t xml:space="preserve">2 </w:t>
      </w:r>
      <w:r w:rsidRPr="005454CE">
        <w:rPr>
          <w:rFonts w:asciiTheme="minorHAnsi" w:hAnsiTheme="minorHAnsi" w:cstheme="minorHAnsi"/>
          <w:sz w:val="22"/>
          <w:szCs w:val="22"/>
          <w:lang w:val="en-IE" w:eastAsia="en-GB"/>
        </w:rPr>
        <w:t xml:space="preserve">with the higher catalysts loading in the RDE still significantly under performs. Therefore, even if the catalyst loading of OER materials under investigation in RDE three electrode cells were the same as those utilised to make CCMs in electrolysers, the true activity of the catalysts for electrolyser applications would not be realised. </w:t>
      </w:r>
    </w:p>
    <w:p w14:paraId="17374AD0" w14:textId="77777777" w:rsidR="00AC02ED" w:rsidRPr="005454CE" w:rsidRDefault="00AC02ED" w:rsidP="009E6D06">
      <w:pPr>
        <w:spacing w:line="480" w:lineRule="auto"/>
        <w:jc w:val="both"/>
        <w:rPr>
          <w:rFonts w:asciiTheme="minorHAnsi" w:hAnsiTheme="minorHAnsi" w:cstheme="minorHAnsi"/>
          <w:sz w:val="22"/>
          <w:szCs w:val="22"/>
          <w:lang w:val="en-IE" w:eastAsia="en-GB"/>
        </w:rPr>
      </w:pPr>
      <w:r w:rsidRPr="005454CE">
        <w:rPr>
          <w:rFonts w:asciiTheme="minorHAnsi" w:hAnsiTheme="minorHAnsi" w:cstheme="minorHAnsi"/>
          <w:sz w:val="22"/>
          <w:szCs w:val="22"/>
          <w:lang w:val="en-IE" w:eastAsia="en-GB"/>
        </w:rPr>
        <w:t>In terms of stability, the stability of the RuO</w:t>
      </w:r>
      <w:r w:rsidRPr="005454CE">
        <w:rPr>
          <w:rFonts w:asciiTheme="minorHAnsi" w:hAnsiTheme="minorHAnsi" w:cstheme="minorHAnsi"/>
          <w:sz w:val="22"/>
          <w:szCs w:val="22"/>
          <w:vertAlign w:val="subscript"/>
          <w:lang w:val="en-IE" w:eastAsia="en-GB"/>
        </w:rPr>
        <w:t>2</w:t>
      </w:r>
      <w:r w:rsidRPr="005454CE">
        <w:rPr>
          <w:rFonts w:asciiTheme="minorHAnsi" w:hAnsiTheme="minorHAnsi" w:cstheme="minorHAnsi"/>
          <w:sz w:val="22"/>
          <w:szCs w:val="22"/>
          <w:lang w:val="en-IE" w:eastAsia="en-GB"/>
        </w:rPr>
        <w:t xml:space="preserve"> is improved with the higher mass loading in the RDE three electrode set-up compared to the RuO</w:t>
      </w:r>
      <w:r w:rsidRPr="005454CE">
        <w:rPr>
          <w:rFonts w:asciiTheme="minorHAnsi" w:hAnsiTheme="minorHAnsi" w:cstheme="minorHAnsi"/>
          <w:sz w:val="22"/>
          <w:szCs w:val="22"/>
          <w:vertAlign w:val="subscript"/>
          <w:lang w:val="en-IE" w:eastAsia="en-GB"/>
        </w:rPr>
        <w:t>2</w:t>
      </w:r>
      <w:r w:rsidRPr="005454CE">
        <w:rPr>
          <w:rFonts w:asciiTheme="minorHAnsi" w:hAnsiTheme="minorHAnsi" w:cstheme="minorHAnsi"/>
          <w:sz w:val="22"/>
          <w:szCs w:val="22"/>
          <w:lang w:val="en-IE" w:eastAsia="en-GB"/>
        </w:rPr>
        <w:t xml:space="preserve"> with a catalyst loading of 0.7 mg cm</w:t>
      </w:r>
      <w:r w:rsidRPr="005454CE">
        <w:rPr>
          <w:rFonts w:asciiTheme="minorHAnsi" w:hAnsiTheme="minorHAnsi" w:cstheme="minorHAnsi"/>
          <w:sz w:val="22"/>
          <w:szCs w:val="22"/>
          <w:vertAlign w:val="superscript"/>
          <w:lang w:val="en-IE" w:eastAsia="en-GB"/>
        </w:rPr>
        <w:t>-2</w:t>
      </w:r>
      <w:r w:rsidRPr="005454CE">
        <w:rPr>
          <w:rFonts w:asciiTheme="minorHAnsi" w:hAnsiTheme="minorHAnsi" w:cstheme="minorHAnsi"/>
          <w:sz w:val="22"/>
          <w:szCs w:val="22"/>
          <w:lang w:val="en-IE" w:eastAsia="en-GB"/>
        </w:rPr>
        <w:t xml:space="preserve">, </w:t>
      </w:r>
      <w:r w:rsidRPr="005454CE">
        <w:rPr>
          <w:rFonts w:asciiTheme="minorHAnsi" w:hAnsiTheme="minorHAnsi" w:cstheme="minorHAnsi"/>
          <w:b/>
          <w:bCs/>
          <w:sz w:val="22"/>
          <w:szCs w:val="22"/>
          <w:lang w:val="en-IE" w:eastAsia="en-GB"/>
        </w:rPr>
        <w:t>Figure 5B</w:t>
      </w:r>
      <w:r w:rsidRPr="005454CE">
        <w:rPr>
          <w:rFonts w:asciiTheme="minorHAnsi" w:hAnsiTheme="minorHAnsi" w:cstheme="minorHAnsi"/>
          <w:sz w:val="22"/>
          <w:szCs w:val="22"/>
          <w:lang w:val="en-IE" w:eastAsia="en-GB"/>
        </w:rPr>
        <w:t>. In fact, the RuO</w:t>
      </w:r>
      <w:r w:rsidRPr="005454CE">
        <w:rPr>
          <w:rFonts w:asciiTheme="minorHAnsi" w:hAnsiTheme="minorHAnsi" w:cstheme="minorHAnsi"/>
          <w:sz w:val="22"/>
          <w:szCs w:val="22"/>
          <w:vertAlign w:val="subscript"/>
          <w:lang w:val="en-IE" w:eastAsia="en-GB"/>
        </w:rPr>
        <w:t>2</w:t>
      </w:r>
      <w:r w:rsidRPr="005454CE">
        <w:rPr>
          <w:rFonts w:asciiTheme="minorHAnsi" w:hAnsiTheme="minorHAnsi" w:cstheme="minorHAnsi"/>
          <w:sz w:val="22"/>
          <w:szCs w:val="22"/>
          <w:lang w:val="en-IE" w:eastAsia="en-GB"/>
        </w:rPr>
        <w:t xml:space="preserve"> in the RDE set-up with the lower catalyst loading seems to reach the same potential as the bare GC electrode in a matter of seconds during the chronopotentiometry measurement, Figure 4D. This is not the case for the RuO</w:t>
      </w:r>
      <w:r w:rsidRPr="005454CE">
        <w:rPr>
          <w:rFonts w:asciiTheme="minorHAnsi" w:hAnsiTheme="minorHAnsi" w:cstheme="minorHAnsi"/>
          <w:sz w:val="22"/>
          <w:szCs w:val="22"/>
          <w:vertAlign w:val="subscript"/>
          <w:lang w:val="en-IE" w:eastAsia="en-GB"/>
        </w:rPr>
        <w:t>2</w:t>
      </w:r>
      <w:r w:rsidRPr="005454CE">
        <w:rPr>
          <w:rFonts w:asciiTheme="minorHAnsi" w:hAnsiTheme="minorHAnsi" w:cstheme="minorHAnsi"/>
          <w:sz w:val="22"/>
          <w:szCs w:val="22"/>
          <w:lang w:val="en-IE" w:eastAsia="en-GB"/>
        </w:rPr>
        <w:t xml:space="preserve"> with a catalyst loading of 3 mg cm</w:t>
      </w:r>
      <w:r w:rsidRPr="005454CE">
        <w:rPr>
          <w:rFonts w:asciiTheme="minorHAnsi" w:hAnsiTheme="minorHAnsi" w:cstheme="minorHAnsi"/>
          <w:sz w:val="22"/>
          <w:szCs w:val="22"/>
          <w:vertAlign w:val="superscript"/>
          <w:lang w:val="en-IE" w:eastAsia="en-GB"/>
        </w:rPr>
        <w:t>-2</w:t>
      </w:r>
      <w:r w:rsidRPr="005454CE">
        <w:rPr>
          <w:rFonts w:asciiTheme="minorHAnsi" w:hAnsiTheme="minorHAnsi" w:cstheme="minorHAnsi"/>
          <w:sz w:val="22"/>
          <w:szCs w:val="22"/>
          <w:lang w:val="en-IE" w:eastAsia="en-GB"/>
        </w:rPr>
        <w:t>. The reasoning for the RuO</w:t>
      </w:r>
      <w:r w:rsidRPr="005454CE">
        <w:rPr>
          <w:rFonts w:asciiTheme="minorHAnsi" w:hAnsiTheme="minorHAnsi" w:cstheme="minorHAnsi"/>
          <w:sz w:val="22"/>
          <w:szCs w:val="22"/>
          <w:vertAlign w:val="subscript"/>
          <w:lang w:val="en-IE" w:eastAsia="en-GB"/>
        </w:rPr>
        <w:t>2</w:t>
      </w:r>
      <w:r w:rsidRPr="005454CE">
        <w:rPr>
          <w:rFonts w:asciiTheme="minorHAnsi" w:hAnsiTheme="minorHAnsi" w:cstheme="minorHAnsi"/>
          <w:sz w:val="22"/>
          <w:szCs w:val="22"/>
          <w:lang w:val="en-IE" w:eastAsia="en-GB"/>
        </w:rPr>
        <w:t xml:space="preserve"> lower catalyst loading exhibiting extremely poor stability in acidic media may be due to the bare GC support undergoing passivation which essentially blocks the active material from being measured due to the increase in the contact resistance, which has been extensively studied by Cherevko and co-workers.</w:t>
      </w:r>
      <w:r w:rsidRPr="005454CE">
        <w:rPr>
          <w:rFonts w:asciiTheme="minorHAnsi" w:hAnsiTheme="minorHAnsi" w:cstheme="minorHAnsi"/>
          <w:noProof/>
          <w:sz w:val="22"/>
          <w:szCs w:val="22"/>
          <w:vertAlign w:val="superscript"/>
          <w:lang w:val="en-IE" w:eastAsia="en-GB"/>
        </w:rPr>
        <w:t>46</w:t>
      </w:r>
      <w:r w:rsidRPr="005454CE">
        <w:rPr>
          <w:rFonts w:asciiTheme="minorHAnsi" w:hAnsiTheme="minorHAnsi" w:cstheme="minorHAnsi"/>
          <w:sz w:val="22"/>
          <w:szCs w:val="22"/>
          <w:lang w:val="en-IE" w:eastAsia="en-GB"/>
        </w:rPr>
        <w:t xml:space="preserve"> In the RDE set-up, with the RuO</w:t>
      </w:r>
      <w:r w:rsidRPr="005454CE">
        <w:rPr>
          <w:rFonts w:asciiTheme="minorHAnsi" w:hAnsiTheme="minorHAnsi" w:cstheme="minorHAnsi"/>
          <w:sz w:val="22"/>
          <w:szCs w:val="22"/>
          <w:vertAlign w:val="subscript"/>
          <w:lang w:val="en-IE" w:eastAsia="en-GB"/>
        </w:rPr>
        <w:t>2</w:t>
      </w:r>
      <w:r w:rsidRPr="005454CE">
        <w:rPr>
          <w:rFonts w:asciiTheme="minorHAnsi" w:hAnsiTheme="minorHAnsi" w:cstheme="minorHAnsi"/>
          <w:sz w:val="22"/>
          <w:szCs w:val="22"/>
          <w:lang w:val="en-IE" w:eastAsia="en-GB"/>
        </w:rPr>
        <w:t xml:space="preserve"> at a higher catalyst loading this passivation effect of the GC electrode may not occur or occurs at a less significant rate which allows for the OER performance to be measured. Unfortunately, similar to the OER activity, the RuO</w:t>
      </w:r>
      <w:r w:rsidRPr="005454CE">
        <w:rPr>
          <w:rFonts w:asciiTheme="minorHAnsi" w:hAnsiTheme="minorHAnsi" w:cstheme="minorHAnsi"/>
          <w:sz w:val="22"/>
          <w:szCs w:val="22"/>
          <w:vertAlign w:val="subscript"/>
          <w:lang w:val="en-IE" w:eastAsia="en-GB"/>
        </w:rPr>
        <w:t>2</w:t>
      </w:r>
      <w:r w:rsidRPr="005454CE">
        <w:rPr>
          <w:rFonts w:asciiTheme="minorHAnsi" w:hAnsiTheme="minorHAnsi" w:cstheme="minorHAnsi"/>
          <w:sz w:val="22"/>
          <w:szCs w:val="22"/>
          <w:lang w:val="en-IE" w:eastAsia="en-GB"/>
        </w:rPr>
        <w:t xml:space="preserve"> with a catalyst loading of 3 mg cm</w:t>
      </w:r>
      <w:r w:rsidRPr="005454CE">
        <w:rPr>
          <w:rFonts w:asciiTheme="minorHAnsi" w:hAnsiTheme="minorHAnsi" w:cstheme="minorHAnsi"/>
          <w:sz w:val="22"/>
          <w:szCs w:val="22"/>
          <w:vertAlign w:val="superscript"/>
          <w:lang w:val="en-IE" w:eastAsia="en-GB"/>
        </w:rPr>
        <w:t>-2</w:t>
      </w:r>
      <w:r w:rsidRPr="005454CE">
        <w:rPr>
          <w:rFonts w:asciiTheme="minorHAnsi" w:hAnsiTheme="minorHAnsi" w:cstheme="minorHAnsi"/>
          <w:sz w:val="22"/>
          <w:szCs w:val="22"/>
          <w:lang w:val="en-IE" w:eastAsia="en-GB"/>
        </w:rPr>
        <w:t xml:space="preserve"> in the RDE three electrode set-up under performs when compared to the same material on a CCM in the electrolyser, Figure 5B. This result suggests that the GC support used in the RDE three electrode cell may somewhat hinder the OER stability measurements. </w:t>
      </w:r>
    </w:p>
    <w:p w14:paraId="3F3DC097" w14:textId="77777777" w:rsidR="00AC02ED" w:rsidRPr="005454CE" w:rsidRDefault="00AC02ED" w:rsidP="009E6D06">
      <w:pPr>
        <w:spacing w:line="480" w:lineRule="auto"/>
        <w:jc w:val="both"/>
        <w:rPr>
          <w:rFonts w:asciiTheme="minorHAnsi" w:hAnsiTheme="minorHAnsi" w:cstheme="minorHAnsi"/>
          <w:color w:val="000000"/>
          <w:sz w:val="22"/>
          <w:szCs w:val="22"/>
          <w:lang w:val="en-IE"/>
        </w:rPr>
      </w:pPr>
      <w:r w:rsidRPr="005454CE">
        <w:rPr>
          <w:rFonts w:asciiTheme="minorHAnsi" w:hAnsiTheme="minorHAnsi" w:cstheme="minorHAnsi"/>
          <w:sz w:val="22"/>
          <w:szCs w:val="22"/>
          <w:lang w:val="en-IE" w:eastAsia="en-GB"/>
        </w:rPr>
        <w:t xml:space="preserve">Hence, it can be stated that the most common catalyst loadings (i.e. </w:t>
      </w:r>
      <w:r w:rsidRPr="005454CE">
        <w:rPr>
          <w:rFonts w:asciiTheme="minorHAnsi" w:hAnsiTheme="minorHAnsi" w:cstheme="minorHAnsi"/>
          <w:color w:val="000000"/>
          <w:sz w:val="22"/>
          <w:szCs w:val="22"/>
          <w:lang w:val="en-IE"/>
        </w:rPr>
        <w:t>0.1 to 1 mg cm</w:t>
      </w:r>
      <w:r w:rsidRPr="005454CE">
        <w:rPr>
          <w:rFonts w:asciiTheme="minorHAnsi" w:hAnsiTheme="minorHAnsi" w:cstheme="minorHAnsi"/>
          <w:color w:val="000000"/>
          <w:sz w:val="22"/>
          <w:szCs w:val="22"/>
          <w:vertAlign w:val="superscript"/>
          <w:lang w:val="en-IE"/>
        </w:rPr>
        <w:t>-2</w:t>
      </w:r>
      <w:r w:rsidRPr="005454CE">
        <w:rPr>
          <w:rFonts w:asciiTheme="minorHAnsi" w:hAnsiTheme="minorHAnsi" w:cstheme="minorHAnsi"/>
          <w:color w:val="000000"/>
          <w:sz w:val="22"/>
          <w:szCs w:val="22"/>
          <w:lang w:val="en-IE"/>
        </w:rPr>
        <w:t xml:space="preserve">) </w:t>
      </w:r>
      <w:r w:rsidRPr="005454CE">
        <w:rPr>
          <w:rFonts w:asciiTheme="minorHAnsi" w:hAnsiTheme="minorHAnsi" w:cstheme="minorHAnsi"/>
          <w:sz w:val="22"/>
          <w:szCs w:val="22"/>
          <w:lang w:val="en-IE" w:eastAsia="en-GB"/>
        </w:rPr>
        <w:t xml:space="preserve">and supports (GC electrodes) utilised in literature for OER evaluation in RDE three electrode cells plays a role in the discrepancy in the activity and stability when compared to the performance of the same materials in an electrolyser but cannot explain the entire difference. The contact resistance in the two platforms is also likely to contribute to the increased activity and stability of the same material with the same catalyst loading in the electrolyser device, as the electrolyser device has an extremely low contact resistance due to the cell design when compared to the conventional three electrode set-up. </w:t>
      </w:r>
    </w:p>
    <w:p w14:paraId="3F122F15" w14:textId="77777777" w:rsidR="00AC02ED" w:rsidRPr="005454CE" w:rsidRDefault="00AC02ED" w:rsidP="00590C9D">
      <w:pPr>
        <w:jc w:val="both"/>
        <w:rPr>
          <w:rFonts w:asciiTheme="minorHAnsi" w:hAnsiTheme="minorHAnsi" w:cstheme="minorHAnsi"/>
          <w:b/>
          <w:sz w:val="22"/>
          <w:szCs w:val="22"/>
          <w:lang w:eastAsia="en-GB"/>
        </w:rPr>
      </w:pPr>
      <w:r w:rsidRPr="005454CE">
        <w:rPr>
          <w:rFonts w:asciiTheme="minorHAnsi" w:hAnsiTheme="minorHAnsi" w:cstheme="minorHAnsi"/>
          <w:b/>
          <w:bCs/>
          <w:sz w:val="22"/>
          <w:szCs w:val="22"/>
        </w:rPr>
        <w:t xml:space="preserve">3.4. </w:t>
      </w:r>
      <w:r w:rsidRPr="005454CE">
        <w:rPr>
          <w:rFonts w:asciiTheme="minorHAnsi" w:hAnsiTheme="minorHAnsi" w:cstheme="minorHAnsi"/>
          <w:b/>
          <w:sz w:val="22"/>
          <w:szCs w:val="22"/>
          <w:lang w:eastAsia="en-GB"/>
        </w:rPr>
        <w:t>Development of 3D-printed electrolysers for the cheap evaluation of catalysts for the OER in acedemic labs</w:t>
      </w:r>
    </w:p>
    <w:p w14:paraId="37A50462" w14:textId="77777777" w:rsidR="00AC02ED" w:rsidRPr="005454CE" w:rsidRDefault="00AC02ED" w:rsidP="00590C9D">
      <w:pPr>
        <w:spacing w:line="360" w:lineRule="auto"/>
        <w:jc w:val="both"/>
        <w:rPr>
          <w:rFonts w:asciiTheme="minorHAnsi" w:hAnsiTheme="minorHAnsi" w:cstheme="minorHAnsi"/>
          <w:b/>
          <w:bCs/>
          <w:sz w:val="22"/>
          <w:szCs w:val="22"/>
        </w:rPr>
      </w:pPr>
    </w:p>
    <w:p w14:paraId="50A5EF94" w14:textId="77777777" w:rsidR="00AC02ED" w:rsidRPr="005454CE" w:rsidRDefault="00AC02ED" w:rsidP="00590C9D">
      <w:pPr>
        <w:spacing w:line="480" w:lineRule="auto"/>
        <w:jc w:val="both"/>
        <w:rPr>
          <w:rFonts w:asciiTheme="minorHAnsi" w:hAnsiTheme="minorHAnsi" w:cstheme="minorHAnsi"/>
          <w:sz w:val="22"/>
          <w:szCs w:val="22"/>
          <w:lang w:eastAsia="en-GB"/>
        </w:rPr>
      </w:pPr>
      <w:r w:rsidRPr="005454CE">
        <w:rPr>
          <w:rFonts w:asciiTheme="minorHAnsi" w:hAnsiTheme="minorHAnsi" w:cstheme="minorHAnsi"/>
          <w:sz w:val="22"/>
          <w:szCs w:val="22"/>
          <w:lang w:eastAsia="en-GB"/>
        </w:rPr>
        <w:t xml:space="preserve">As the evaluation of both the activity and the stability of the materials in the conventional three-electrode set-up is clearly not a good indicator of device performance, there is the need for a cheap lab-deployable device capable of catalyst evaluation under more representative test conditions for PEM OER. As catalyst evaluation typically requires a high volume of discrete testing and tests over extended periods, a low-cost, in-house manufacturable solution is desirable. Herein, 3D-printing using various methods has been investigated to identify the most appropriate practical solution to manufacture an electrolyser device capable of screening PEM OER catalysts. </w:t>
      </w:r>
    </w:p>
    <w:p w14:paraId="08E4E1A7" w14:textId="77777777" w:rsidR="00AC02ED" w:rsidRPr="005454CE" w:rsidRDefault="00AC02ED" w:rsidP="00590C9D">
      <w:pPr>
        <w:spacing w:line="480" w:lineRule="auto"/>
        <w:jc w:val="both"/>
        <w:rPr>
          <w:rFonts w:asciiTheme="minorHAnsi" w:hAnsiTheme="minorHAnsi" w:cstheme="minorHAnsi"/>
          <w:sz w:val="22"/>
          <w:szCs w:val="22"/>
          <w:lang w:eastAsia="en-GB"/>
        </w:rPr>
      </w:pPr>
      <w:r w:rsidRPr="005454CE">
        <w:rPr>
          <w:rFonts w:asciiTheme="minorHAnsi" w:hAnsiTheme="minorHAnsi" w:cstheme="minorHAnsi"/>
          <w:sz w:val="22"/>
          <w:szCs w:val="22"/>
          <w:lang w:eastAsia="en-GB"/>
        </w:rPr>
        <w:t>In order to show the diversity in the range of commercial 3D-printing filaments and low-cost 3D-printers which can be utilised to produce durable 3D-printed electrolyser devices for the evaluation of OER catalysts, four device assemblies were 3D-printed and the activity of a IrO</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 xml:space="preserve">/Pt CCM was compared to the practical PEM electrolyser with the intregrated reference electrode (made from PEEK), </w:t>
      </w:r>
      <w:r w:rsidRPr="005454CE">
        <w:rPr>
          <w:rFonts w:asciiTheme="minorHAnsi" w:hAnsiTheme="minorHAnsi" w:cstheme="minorHAnsi"/>
          <w:b/>
          <w:sz w:val="22"/>
          <w:szCs w:val="22"/>
          <w:lang w:eastAsia="en-GB"/>
        </w:rPr>
        <w:t>Figure 6A</w:t>
      </w:r>
      <w:r w:rsidRPr="005454CE">
        <w:rPr>
          <w:rFonts w:asciiTheme="minorHAnsi" w:hAnsiTheme="minorHAnsi" w:cstheme="minorHAnsi"/>
          <w:sz w:val="22"/>
          <w:szCs w:val="22"/>
          <w:lang w:eastAsia="en-GB"/>
        </w:rPr>
        <w:t xml:space="preserve">. </w:t>
      </w:r>
      <w:r w:rsidRPr="005454CE">
        <w:rPr>
          <w:rFonts w:asciiTheme="minorHAnsi" w:hAnsiTheme="minorHAnsi" w:cstheme="minorHAnsi"/>
          <w:b/>
          <w:sz w:val="22"/>
          <w:szCs w:val="22"/>
          <w:lang w:eastAsia="en-GB"/>
        </w:rPr>
        <w:t>Note:</w:t>
      </w:r>
      <w:r w:rsidRPr="005454CE">
        <w:rPr>
          <w:rFonts w:asciiTheme="minorHAnsi" w:hAnsiTheme="minorHAnsi" w:cstheme="minorHAnsi"/>
          <w:sz w:val="22"/>
          <w:szCs w:val="22"/>
          <w:lang w:eastAsia="en-GB"/>
        </w:rPr>
        <w:t xml:space="preserve"> the IrO</w:t>
      </w:r>
      <w:r w:rsidRPr="005454CE">
        <w:rPr>
          <w:rFonts w:asciiTheme="minorHAnsi" w:hAnsiTheme="minorHAnsi" w:cstheme="minorHAnsi"/>
          <w:sz w:val="22"/>
          <w:szCs w:val="22"/>
          <w:vertAlign w:val="subscript"/>
          <w:lang w:eastAsia="en-GB"/>
        </w:rPr>
        <w:t>2</w:t>
      </w:r>
      <w:r w:rsidRPr="005454CE">
        <w:rPr>
          <w:rFonts w:asciiTheme="minorHAnsi" w:hAnsiTheme="minorHAnsi" w:cstheme="minorHAnsi"/>
          <w:sz w:val="22"/>
          <w:szCs w:val="22"/>
          <w:lang w:eastAsia="en-GB"/>
        </w:rPr>
        <w:t xml:space="preserve"> and Pt are commercial materials and are know as the benchmark materials for PEM OER.</w:t>
      </w:r>
      <w:r w:rsidRPr="005454CE">
        <w:rPr>
          <w:rFonts w:asciiTheme="minorHAnsi" w:hAnsiTheme="minorHAnsi" w:cstheme="minorHAnsi"/>
          <w:noProof/>
          <w:sz w:val="22"/>
          <w:szCs w:val="22"/>
          <w:vertAlign w:val="superscript"/>
          <w:lang w:eastAsia="en-GB"/>
        </w:rPr>
        <w:t>47</w:t>
      </w:r>
      <w:r w:rsidRPr="005454CE">
        <w:rPr>
          <w:rFonts w:asciiTheme="minorHAnsi" w:hAnsiTheme="minorHAnsi" w:cstheme="minorHAnsi"/>
          <w:sz w:val="22"/>
          <w:szCs w:val="22"/>
          <w:lang w:eastAsia="en-GB"/>
        </w:rPr>
        <w:t xml:space="preserve"> </w:t>
      </w:r>
    </w:p>
    <w:p w14:paraId="4FB171D3"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lang w:eastAsia="en-GB"/>
        </w:rPr>
        <w:t xml:space="preserve">Two of the electrolysers were 3D-printed using fused deposition modelling (FDM); one electrolyser using a glycol-modified polyethylene terephthalate (PET) filament, as shown in </w:t>
      </w:r>
      <w:r w:rsidRPr="005454CE">
        <w:rPr>
          <w:rFonts w:asciiTheme="minorHAnsi" w:hAnsiTheme="minorHAnsi" w:cstheme="minorHAnsi"/>
          <w:b/>
          <w:sz w:val="22"/>
          <w:szCs w:val="22"/>
          <w:lang w:eastAsia="en-GB"/>
        </w:rPr>
        <w:t>Figure 6B</w:t>
      </w:r>
      <w:r w:rsidRPr="005454CE">
        <w:rPr>
          <w:rFonts w:asciiTheme="minorHAnsi" w:hAnsiTheme="minorHAnsi" w:cstheme="minorHAnsi"/>
          <w:sz w:val="22"/>
          <w:szCs w:val="22"/>
          <w:lang w:eastAsia="en-GB"/>
        </w:rPr>
        <w:t xml:space="preserve">, and the other using a co-polyester filament (Co-P), as shown in </w:t>
      </w:r>
      <w:r w:rsidRPr="005454CE">
        <w:rPr>
          <w:rFonts w:asciiTheme="minorHAnsi" w:hAnsiTheme="minorHAnsi" w:cstheme="minorHAnsi"/>
          <w:b/>
          <w:sz w:val="22"/>
          <w:szCs w:val="22"/>
          <w:lang w:eastAsia="en-GB"/>
        </w:rPr>
        <w:t>Figure 6C</w:t>
      </w:r>
      <w:r w:rsidRPr="005454CE">
        <w:rPr>
          <w:rFonts w:asciiTheme="minorHAnsi" w:hAnsiTheme="minorHAnsi" w:cstheme="minorHAnsi"/>
          <w:sz w:val="22"/>
          <w:szCs w:val="22"/>
          <w:lang w:eastAsia="en-GB"/>
        </w:rPr>
        <w:t xml:space="preserve">. </w:t>
      </w:r>
    </w:p>
    <w:p w14:paraId="6568814B" w14:textId="77777777" w:rsidR="00AC02ED" w:rsidRPr="005454CE" w:rsidRDefault="00AC02ED" w:rsidP="00E00C37">
      <w:pPr>
        <w:spacing w:line="480" w:lineRule="auto"/>
        <w:jc w:val="center"/>
        <w:rPr>
          <w:rFonts w:asciiTheme="minorHAnsi" w:hAnsiTheme="minorHAnsi" w:cstheme="minorHAnsi"/>
          <w:sz w:val="22"/>
          <w:szCs w:val="22"/>
        </w:rPr>
      </w:pPr>
      <w:r w:rsidRPr="005454CE">
        <w:rPr>
          <w:rFonts w:asciiTheme="minorHAnsi" w:hAnsiTheme="minorHAnsi" w:cstheme="minorHAnsi"/>
          <w:noProof/>
          <w:sz w:val="22"/>
          <w:szCs w:val="22"/>
        </w:rPr>
        <w:drawing>
          <wp:inline distT="0" distB="0" distL="0" distR="0" wp14:anchorId="15DEF997" wp14:editId="2619CB35">
            <wp:extent cx="4758690" cy="5402829"/>
            <wp:effectExtent l="0" t="0" r="381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77472" cy="5424153"/>
                    </a:xfrm>
                    <a:prstGeom prst="rect">
                      <a:avLst/>
                    </a:prstGeom>
                    <a:noFill/>
                  </pic:spPr>
                </pic:pic>
              </a:graphicData>
            </a:graphic>
          </wp:inline>
        </w:drawing>
      </w:r>
    </w:p>
    <w:p w14:paraId="75350BAF" w14:textId="77777777" w:rsidR="00AC02ED" w:rsidRPr="005454CE" w:rsidRDefault="00AC02ED" w:rsidP="00590C9D">
      <w:pPr>
        <w:jc w:val="both"/>
        <w:rPr>
          <w:rFonts w:asciiTheme="minorHAnsi" w:hAnsiTheme="minorHAnsi" w:cstheme="minorHAnsi"/>
          <w:sz w:val="22"/>
          <w:szCs w:val="22"/>
        </w:rPr>
      </w:pPr>
      <w:r w:rsidRPr="005454CE">
        <w:rPr>
          <w:rFonts w:asciiTheme="minorHAnsi" w:hAnsiTheme="minorHAnsi" w:cstheme="minorHAnsi"/>
          <w:b/>
          <w:sz w:val="22"/>
          <w:szCs w:val="22"/>
        </w:rPr>
        <w:t xml:space="preserve">Figure 6. </w:t>
      </w:r>
      <w:r w:rsidRPr="005454CE">
        <w:rPr>
          <w:rFonts w:asciiTheme="minorHAnsi" w:hAnsiTheme="minorHAnsi" w:cstheme="minorHAnsi"/>
          <w:sz w:val="22"/>
          <w:szCs w:val="22"/>
        </w:rPr>
        <w:t>Comparison of the practical cell with the 3D-printed cells using a CCM fabricated using commercial IrO</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 xml:space="preserve"> and Pt/C.</w:t>
      </w:r>
      <w:r w:rsidRPr="005454CE">
        <w:rPr>
          <w:rFonts w:asciiTheme="minorHAnsi" w:hAnsiTheme="minorHAnsi" w:cstheme="minorHAnsi"/>
          <w:b/>
          <w:sz w:val="22"/>
          <w:szCs w:val="22"/>
        </w:rPr>
        <w:t xml:space="preserve"> </w:t>
      </w:r>
      <w:r w:rsidRPr="005454CE">
        <w:rPr>
          <w:rFonts w:asciiTheme="minorHAnsi" w:hAnsiTheme="minorHAnsi" w:cstheme="minorHAnsi"/>
          <w:sz w:val="22"/>
          <w:szCs w:val="22"/>
        </w:rPr>
        <w:t xml:space="preserve">Photos of </w:t>
      </w:r>
      <w:r w:rsidRPr="005454CE">
        <w:rPr>
          <w:rFonts w:asciiTheme="minorHAnsi" w:hAnsiTheme="minorHAnsi" w:cstheme="minorHAnsi"/>
          <w:b/>
          <w:sz w:val="22"/>
          <w:szCs w:val="22"/>
        </w:rPr>
        <w:t>(A)</w:t>
      </w:r>
      <w:r w:rsidRPr="005454CE">
        <w:rPr>
          <w:rFonts w:asciiTheme="minorHAnsi" w:hAnsiTheme="minorHAnsi" w:cstheme="minorHAnsi"/>
          <w:sz w:val="22"/>
          <w:szCs w:val="22"/>
        </w:rPr>
        <w:t xml:space="preserve"> PEEK, </w:t>
      </w:r>
      <w:r w:rsidRPr="005454CE">
        <w:rPr>
          <w:rFonts w:asciiTheme="minorHAnsi" w:hAnsiTheme="minorHAnsi" w:cstheme="minorHAnsi"/>
          <w:b/>
          <w:sz w:val="22"/>
          <w:szCs w:val="22"/>
        </w:rPr>
        <w:t>(B)</w:t>
      </w:r>
      <w:r w:rsidRPr="005454CE">
        <w:rPr>
          <w:rFonts w:asciiTheme="minorHAnsi" w:hAnsiTheme="minorHAnsi" w:cstheme="minorHAnsi"/>
          <w:sz w:val="22"/>
          <w:szCs w:val="22"/>
        </w:rPr>
        <w:t xml:space="preserve"> PET, </w:t>
      </w:r>
      <w:r w:rsidRPr="005454CE">
        <w:rPr>
          <w:rFonts w:asciiTheme="minorHAnsi" w:hAnsiTheme="minorHAnsi" w:cstheme="minorHAnsi"/>
          <w:b/>
          <w:sz w:val="22"/>
          <w:szCs w:val="22"/>
        </w:rPr>
        <w:t>(C)</w:t>
      </w:r>
      <w:r w:rsidRPr="005454CE">
        <w:rPr>
          <w:rFonts w:asciiTheme="minorHAnsi" w:hAnsiTheme="minorHAnsi" w:cstheme="minorHAnsi"/>
          <w:sz w:val="22"/>
          <w:szCs w:val="22"/>
        </w:rPr>
        <w:t xml:space="preserve"> co-polyester, </w:t>
      </w:r>
      <w:r w:rsidRPr="005454CE">
        <w:rPr>
          <w:rFonts w:asciiTheme="minorHAnsi" w:hAnsiTheme="minorHAnsi" w:cstheme="minorHAnsi"/>
          <w:b/>
          <w:sz w:val="22"/>
          <w:szCs w:val="22"/>
        </w:rPr>
        <w:t>(D)</w:t>
      </w:r>
      <w:r w:rsidRPr="005454CE">
        <w:rPr>
          <w:rFonts w:asciiTheme="minorHAnsi" w:hAnsiTheme="minorHAnsi" w:cstheme="minorHAnsi"/>
          <w:sz w:val="22"/>
          <w:szCs w:val="22"/>
        </w:rPr>
        <w:t xml:space="preserve"> HTPR, </w:t>
      </w:r>
      <w:r w:rsidRPr="005454CE">
        <w:rPr>
          <w:rFonts w:asciiTheme="minorHAnsi" w:hAnsiTheme="minorHAnsi" w:cstheme="minorHAnsi"/>
          <w:b/>
          <w:sz w:val="22"/>
          <w:szCs w:val="22"/>
        </w:rPr>
        <w:t>(E)</w:t>
      </w:r>
      <w:r w:rsidRPr="005454CE">
        <w:rPr>
          <w:rFonts w:asciiTheme="minorHAnsi" w:hAnsiTheme="minorHAnsi" w:cstheme="minorHAnsi"/>
          <w:sz w:val="22"/>
          <w:szCs w:val="22"/>
        </w:rPr>
        <w:t xml:space="preserve"> LTPR, and </w:t>
      </w:r>
      <w:r w:rsidRPr="005454CE">
        <w:rPr>
          <w:rFonts w:asciiTheme="minorHAnsi" w:hAnsiTheme="minorHAnsi" w:cstheme="minorHAnsi"/>
          <w:b/>
          <w:sz w:val="22"/>
          <w:szCs w:val="22"/>
        </w:rPr>
        <w:t xml:space="preserve">(F) </w:t>
      </w:r>
      <w:r w:rsidRPr="005454CE">
        <w:rPr>
          <w:rFonts w:asciiTheme="minorHAnsi" w:hAnsiTheme="minorHAnsi" w:cstheme="minorHAnsi"/>
          <w:sz w:val="22"/>
          <w:szCs w:val="22"/>
        </w:rPr>
        <w:t>I-V curves for these electrolyser assemblies.</w:t>
      </w:r>
    </w:p>
    <w:p w14:paraId="0F0E38EE" w14:textId="77777777" w:rsidR="00AC02ED" w:rsidRPr="005454CE" w:rsidRDefault="00AC02ED" w:rsidP="00590C9D">
      <w:pPr>
        <w:jc w:val="both"/>
        <w:rPr>
          <w:rFonts w:asciiTheme="minorHAnsi" w:hAnsiTheme="minorHAnsi" w:cstheme="minorHAnsi"/>
          <w:sz w:val="22"/>
          <w:szCs w:val="22"/>
        </w:rPr>
      </w:pPr>
    </w:p>
    <w:p w14:paraId="2FAABBC8"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lang w:eastAsia="en-GB"/>
        </w:rPr>
        <w:t xml:space="preserve">The other two 3D-printed electrolysers were manufactured with </w:t>
      </w:r>
      <w:r w:rsidRPr="005454CE">
        <w:rPr>
          <w:rFonts w:asciiTheme="minorHAnsi" w:hAnsiTheme="minorHAnsi" w:cstheme="minorHAnsi"/>
          <w:sz w:val="22"/>
          <w:szCs w:val="22"/>
        </w:rPr>
        <w:t xml:space="preserve">stereolithography (SLA) using commercially available High-Temperature Photo Resin (HTPR), as illustrated in </w:t>
      </w:r>
      <w:r w:rsidRPr="005454CE">
        <w:rPr>
          <w:rFonts w:asciiTheme="minorHAnsi" w:hAnsiTheme="minorHAnsi" w:cstheme="minorHAnsi"/>
          <w:b/>
          <w:sz w:val="22"/>
          <w:szCs w:val="22"/>
        </w:rPr>
        <w:t>Figure 6D</w:t>
      </w:r>
      <w:r w:rsidRPr="005454CE">
        <w:rPr>
          <w:rFonts w:asciiTheme="minorHAnsi" w:hAnsiTheme="minorHAnsi" w:cstheme="minorHAnsi"/>
          <w:sz w:val="22"/>
          <w:szCs w:val="22"/>
        </w:rPr>
        <w:t xml:space="preserve">, and the other electrolyser with a Low-Temperature Photo Resin (LTPR), as shown in </w:t>
      </w:r>
      <w:r w:rsidRPr="005454CE">
        <w:rPr>
          <w:rFonts w:asciiTheme="minorHAnsi" w:hAnsiTheme="minorHAnsi" w:cstheme="minorHAnsi"/>
          <w:b/>
          <w:sz w:val="22"/>
          <w:szCs w:val="22"/>
        </w:rPr>
        <w:t>Figure 6E</w:t>
      </w:r>
      <w:r w:rsidRPr="005454CE">
        <w:rPr>
          <w:rFonts w:asciiTheme="minorHAnsi" w:hAnsiTheme="minorHAnsi" w:cstheme="minorHAnsi"/>
          <w:sz w:val="22"/>
          <w:szCs w:val="22"/>
        </w:rPr>
        <w:t xml:space="preserve">. (The design of the 3D-printed compartment used to construct the overall PEM cell device can be observed in </w:t>
      </w:r>
      <w:r w:rsidRPr="005454CE">
        <w:rPr>
          <w:rFonts w:asciiTheme="minorHAnsi" w:hAnsiTheme="minorHAnsi" w:cstheme="minorHAnsi"/>
          <w:b/>
          <w:sz w:val="22"/>
          <w:szCs w:val="22"/>
        </w:rPr>
        <w:t>Figure S8</w:t>
      </w:r>
      <w:r w:rsidRPr="005454CE">
        <w:rPr>
          <w:rFonts w:asciiTheme="minorHAnsi" w:hAnsiTheme="minorHAnsi" w:cstheme="minorHAnsi"/>
          <w:sz w:val="22"/>
          <w:szCs w:val="22"/>
        </w:rPr>
        <w:t>.)</w:t>
      </w:r>
    </w:p>
    <w:p w14:paraId="43F2BFC6"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 xml:space="preserve">The suitability of the 3D-printed electrolyser for OER catalysts evaluation was investigated under a two-electrode regime, shown in </w:t>
      </w:r>
      <w:r w:rsidRPr="005454CE">
        <w:rPr>
          <w:rFonts w:asciiTheme="minorHAnsi" w:hAnsiTheme="minorHAnsi" w:cstheme="minorHAnsi"/>
          <w:b/>
          <w:sz w:val="22"/>
          <w:szCs w:val="22"/>
        </w:rPr>
        <w:t>Figure S9</w:t>
      </w:r>
      <w:r w:rsidRPr="005454CE">
        <w:rPr>
          <w:rFonts w:asciiTheme="minorHAnsi" w:hAnsiTheme="minorHAnsi" w:cstheme="minorHAnsi"/>
          <w:bCs/>
          <w:sz w:val="22"/>
          <w:szCs w:val="22"/>
        </w:rPr>
        <w:t>, where the</w:t>
      </w:r>
      <w:r w:rsidRPr="005454CE">
        <w:rPr>
          <w:rFonts w:asciiTheme="minorHAnsi" w:hAnsiTheme="minorHAnsi" w:cstheme="minorHAnsi"/>
          <w:sz w:val="22"/>
          <w:szCs w:val="22"/>
        </w:rPr>
        <w:t xml:space="preserve"> current/voltage response is that of the whole cell, to allow for a simple design for the 3D-printed electrodes. When using Pt as a catalyst for the cathodic reaction for water splitting in an electrolyser device, the overpotential associated with the HER is negligible at low current densities (i.e. 10 mA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w:t>
      </w:r>
      <w:r w:rsidRPr="005454CE">
        <w:rPr>
          <w:rFonts w:asciiTheme="minorHAnsi" w:hAnsiTheme="minorHAnsi" w:cstheme="minorHAnsi"/>
          <w:noProof/>
          <w:sz w:val="22"/>
          <w:szCs w:val="22"/>
          <w:vertAlign w:val="superscript"/>
        </w:rPr>
        <w:t>48</w:t>
      </w:r>
      <w:r w:rsidRPr="005454CE">
        <w:rPr>
          <w:rFonts w:asciiTheme="minorHAnsi" w:hAnsiTheme="minorHAnsi" w:cstheme="minorHAnsi"/>
          <w:sz w:val="22"/>
          <w:szCs w:val="22"/>
        </w:rPr>
        <w:t xml:space="preserve"> Therefore, in a two-electrode cell electrolyser device, the measured overpotential for the ‘whole’ cell can be mostly related to the potential for the OER/anodic reaction, See </w:t>
      </w:r>
      <w:r w:rsidRPr="005454CE">
        <w:rPr>
          <w:rFonts w:asciiTheme="minorHAnsi" w:hAnsiTheme="minorHAnsi" w:cstheme="minorHAnsi"/>
          <w:bCs/>
          <w:sz w:val="22"/>
          <w:szCs w:val="22"/>
        </w:rPr>
        <w:t>Figure S9 for</w:t>
      </w:r>
      <w:r w:rsidRPr="005454CE">
        <w:rPr>
          <w:rFonts w:asciiTheme="minorHAnsi" w:hAnsiTheme="minorHAnsi" w:cstheme="minorHAnsi"/>
          <w:sz w:val="22"/>
          <w:szCs w:val="22"/>
        </w:rPr>
        <w:t xml:space="preserve"> more details. Before any water splitting measurements are conducted, the cell resistance must be tested. </w:t>
      </w:r>
    </w:p>
    <w:p w14:paraId="52B3D9C8" w14:textId="77777777" w:rsidR="00AC02ED" w:rsidRPr="005454CE" w:rsidRDefault="00AC02ED" w:rsidP="00590C9D">
      <w:pPr>
        <w:spacing w:line="480" w:lineRule="auto"/>
        <w:jc w:val="both"/>
        <w:rPr>
          <w:rFonts w:asciiTheme="minorHAnsi" w:hAnsiTheme="minorHAnsi" w:cstheme="minorHAnsi"/>
          <w:sz w:val="22"/>
          <w:szCs w:val="22"/>
          <w:lang w:val="en-IE"/>
        </w:rPr>
      </w:pPr>
      <w:r w:rsidRPr="005454CE">
        <w:rPr>
          <w:rFonts w:asciiTheme="minorHAnsi" w:hAnsiTheme="minorHAnsi" w:cstheme="minorHAnsi"/>
          <w:sz w:val="22"/>
          <w:szCs w:val="22"/>
        </w:rPr>
        <w:t>Evaluation of the IrO</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 xml:space="preserve">/Pt CCM was carried out in the four two-electrode 3D-printed electrolysers (PET, Co-P, HTPR and LTPR) and in the three-electrode practical electrolyser (PEEK cell) to determine the optimum 3D-printing technique and precursor material for the fabrication of the 3D-printed electrolyser device. As observed in </w:t>
      </w:r>
      <w:r w:rsidRPr="005454CE">
        <w:rPr>
          <w:rFonts w:asciiTheme="minorHAnsi" w:hAnsiTheme="minorHAnsi" w:cstheme="minorHAnsi"/>
          <w:b/>
          <w:sz w:val="22"/>
          <w:szCs w:val="22"/>
        </w:rPr>
        <w:t>Figure 6F</w:t>
      </w:r>
      <w:r w:rsidRPr="005454CE">
        <w:rPr>
          <w:rFonts w:asciiTheme="minorHAnsi" w:hAnsiTheme="minorHAnsi" w:cstheme="minorHAnsi"/>
          <w:sz w:val="22"/>
          <w:szCs w:val="22"/>
        </w:rPr>
        <w:t>, the I-V curves show that all of the 3D-printed cells are capable of efficiently measuring the OER activity of the IrO</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/Pt CCM when compared to the I-V curve of the PEEK cell (practical three-electrode electrolyser).</w:t>
      </w:r>
      <w:r w:rsidRPr="005454CE">
        <w:rPr>
          <w:rFonts w:asciiTheme="minorHAnsi" w:hAnsiTheme="minorHAnsi" w:cstheme="minorHAnsi"/>
          <w:sz w:val="22"/>
          <w:szCs w:val="22"/>
          <w:lang w:val="en-IE"/>
        </w:rPr>
        <w:t xml:space="preserve"> The inherent cell ohmic resistances of the 3D-printed cells are similar to the PEEK cell (ran in a two-electrode regime</w:t>
      </w:r>
      <w:r w:rsidR="008B0788" w:rsidRPr="005454CE">
        <w:rPr>
          <w:rFonts w:asciiTheme="minorHAnsi" w:hAnsiTheme="minorHAnsi" w:cstheme="minorHAnsi"/>
          <w:sz w:val="22"/>
          <w:szCs w:val="22"/>
          <w:lang w:val="en-IE"/>
        </w:rPr>
        <w:t>)</w:t>
      </w:r>
      <w:r w:rsidRPr="005454CE">
        <w:rPr>
          <w:rFonts w:asciiTheme="minorHAnsi" w:hAnsiTheme="minorHAnsi" w:cstheme="minorHAnsi"/>
          <w:sz w:val="22"/>
          <w:szCs w:val="22"/>
          <w:lang w:val="en-IE"/>
        </w:rPr>
        <w:t xml:space="preserve">, as seen in the Nyquist plot in </w:t>
      </w:r>
      <w:r w:rsidRPr="005454CE">
        <w:rPr>
          <w:rFonts w:asciiTheme="minorHAnsi" w:hAnsiTheme="minorHAnsi" w:cstheme="minorHAnsi"/>
          <w:b/>
          <w:bCs/>
          <w:sz w:val="22"/>
          <w:szCs w:val="22"/>
          <w:lang w:val="en-IE"/>
        </w:rPr>
        <w:t>Figure S10</w:t>
      </w:r>
      <w:r w:rsidRPr="005454CE">
        <w:rPr>
          <w:rFonts w:asciiTheme="minorHAnsi" w:hAnsiTheme="minorHAnsi" w:cstheme="minorHAnsi"/>
          <w:sz w:val="22"/>
          <w:szCs w:val="22"/>
          <w:lang w:val="en-IE"/>
        </w:rPr>
        <w:t>. The ohmic values for the cell are 0.058, 0.067, 0.096, 0.101 and 0.103 Ω for the PEEK, PET, Co-P, HTPR and LTPR cells, respectively. Since, the same operating parameters for all the cells (e.g. the IrO</w:t>
      </w:r>
      <w:r w:rsidRPr="005454CE">
        <w:rPr>
          <w:rFonts w:asciiTheme="minorHAnsi" w:hAnsiTheme="minorHAnsi" w:cstheme="minorHAnsi"/>
          <w:sz w:val="22"/>
          <w:szCs w:val="22"/>
          <w:vertAlign w:val="subscript"/>
          <w:lang w:val="en-IE"/>
        </w:rPr>
        <w:t>2</w:t>
      </w:r>
      <w:r w:rsidRPr="005454CE">
        <w:rPr>
          <w:rFonts w:asciiTheme="minorHAnsi" w:hAnsiTheme="minorHAnsi" w:cstheme="minorHAnsi"/>
          <w:sz w:val="22"/>
          <w:szCs w:val="22"/>
          <w:lang w:val="en-IE"/>
        </w:rPr>
        <w:t xml:space="preserve">/Pt CCM, temperature) are used, the ohmic resistance will give us the most information about how to improve the cell design/ indicate the best materials for the 3D-printed electrolysers. This is because the ohmic losses are due to the drop in </w:t>
      </w:r>
      <w:r w:rsidR="008B0788" w:rsidRPr="005454CE">
        <w:rPr>
          <w:rFonts w:asciiTheme="minorHAnsi" w:hAnsiTheme="minorHAnsi" w:cstheme="minorHAnsi"/>
          <w:sz w:val="22"/>
          <w:szCs w:val="22"/>
          <w:lang w:val="en-IE"/>
        </w:rPr>
        <w:t xml:space="preserve">the </w:t>
      </w:r>
      <w:r w:rsidRPr="005454CE">
        <w:rPr>
          <w:rFonts w:asciiTheme="minorHAnsi" w:hAnsiTheme="minorHAnsi" w:cstheme="minorHAnsi"/>
          <w:sz w:val="22"/>
          <w:szCs w:val="22"/>
          <w:lang w:val="en-IE"/>
        </w:rPr>
        <w:t>resistance due to the cell components i.e. the polymer material used to produce the 3D-printed cells; the only variable for these cells.</w:t>
      </w:r>
      <w:r w:rsidR="00653779" w:rsidRPr="005454CE">
        <w:rPr>
          <w:rFonts w:asciiTheme="minorHAnsi" w:hAnsiTheme="minorHAnsi" w:cstheme="minorHAnsi"/>
          <w:sz w:val="22"/>
          <w:szCs w:val="22"/>
          <w:vertAlign w:val="superscript"/>
          <w:lang w:val="en-IE"/>
        </w:rPr>
        <w:t>49</w:t>
      </w:r>
      <w:r w:rsidRPr="005454CE">
        <w:rPr>
          <w:rFonts w:asciiTheme="minorHAnsi" w:hAnsiTheme="minorHAnsi" w:cstheme="minorHAnsi"/>
          <w:sz w:val="22"/>
          <w:szCs w:val="22"/>
          <w:vertAlign w:val="superscript"/>
          <w:lang w:val="en-IE"/>
        </w:rPr>
        <w:t xml:space="preserve"> </w:t>
      </w:r>
      <w:r w:rsidRPr="00C512C4">
        <w:rPr>
          <w:rFonts w:asciiTheme="minorHAnsi" w:hAnsiTheme="minorHAnsi" w:cstheme="minorHAnsi"/>
          <w:sz w:val="22"/>
          <w:szCs w:val="22"/>
          <w:lang w:val="en-IE"/>
        </w:rPr>
        <w:t>The increase in the ohmic resistances, which may contribute to the slightly higher activity observed for the Co-P, HTPR and LTPR cell when compared to the PET cell, may be due to the contact of the cell, pistons, meshes and sinters and the CCM which slightly changes with the material used for the fabrication of the 3D-printed cells.’</w:t>
      </w:r>
    </w:p>
    <w:p w14:paraId="58B6B91A"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The stability tests of the IrO</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/Pt CCM in the PEEK and 3D-printed cells were conducted over a period of 6 hours at a current density of 10 mA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xml:space="preserve"> and are illustrated in </w:t>
      </w:r>
      <w:r w:rsidRPr="005454CE">
        <w:rPr>
          <w:rFonts w:asciiTheme="minorHAnsi" w:hAnsiTheme="minorHAnsi" w:cstheme="minorHAnsi"/>
          <w:b/>
          <w:sz w:val="22"/>
          <w:szCs w:val="22"/>
        </w:rPr>
        <w:t>Figure 7A</w:t>
      </w:r>
      <w:r w:rsidRPr="005454CE">
        <w:rPr>
          <w:rFonts w:asciiTheme="minorHAnsi" w:hAnsiTheme="minorHAnsi" w:cstheme="minorHAnsi"/>
          <w:sz w:val="22"/>
          <w:szCs w:val="22"/>
        </w:rPr>
        <w:t>. The PET and the Co-P cell are stable throughout the tests but the potential of the HTPR and LTPR based devices increases with time. The devices that show degradation with time are 3D-printed using photoresins; these are known to be brittle and have low heat deflection temperatures (higher heat deflection temperature means a higher resistance to heat-induced defects/changes) due to the photoresin precursor materials. In this study, the electrolyte is maintained at a temperature of 60 °C which may cause the SLA 3D-printed electrolysers to be more susceptible to changes in the electrolyser structure over time, which could be responsible for the observed degradation in performance.</w:t>
      </w:r>
      <w:r w:rsidRPr="005454CE">
        <w:rPr>
          <w:rFonts w:asciiTheme="minorHAnsi" w:hAnsiTheme="minorHAnsi" w:cstheme="minorHAnsi"/>
          <w:noProof/>
          <w:sz w:val="22"/>
          <w:szCs w:val="22"/>
          <w:vertAlign w:val="superscript"/>
        </w:rPr>
        <w:t>49, 50</w:t>
      </w:r>
      <w:r w:rsidRPr="005454CE">
        <w:rPr>
          <w:rFonts w:asciiTheme="minorHAnsi" w:hAnsiTheme="minorHAnsi" w:cstheme="minorHAnsi"/>
          <w:sz w:val="22"/>
          <w:szCs w:val="22"/>
        </w:rPr>
        <w:t xml:space="preserve"> Furthermore, some of the photoresin materials may leach from the cell body and influence the OER activity by depositing on the catalyst surface. </w:t>
      </w:r>
    </w:p>
    <w:p w14:paraId="74E8066A" w14:textId="77777777" w:rsidR="00AC02ED" w:rsidRPr="005454CE" w:rsidRDefault="00AC02ED" w:rsidP="000F18F0">
      <w:pPr>
        <w:spacing w:line="480" w:lineRule="auto"/>
        <w:jc w:val="center"/>
        <w:rPr>
          <w:rFonts w:asciiTheme="minorHAnsi" w:hAnsiTheme="minorHAnsi" w:cstheme="minorHAnsi"/>
          <w:sz w:val="22"/>
          <w:szCs w:val="22"/>
        </w:rPr>
      </w:pPr>
      <w:r w:rsidRPr="005454CE">
        <w:rPr>
          <w:rFonts w:asciiTheme="minorHAnsi" w:hAnsiTheme="minorHAnsi" w:cstheme="minorHAnsi"/>
          <w:noProof/>
          <w:sz w:val="22"/>
          <w:szCs w:val="22"/>
        </w:rPr>
        <w:drawing>
          <wp:inline distT="0" distB="0" distL="0" distR="0" wp14:anchorId="46957051" wp14:editId="6E02B8E0">
            <wp:extent cx="5732780" cy="2512545"/>
            <wp:effectExtent l="0" t="0" r="127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7851" cy="2523533"/>
                    </a:xfrm>
                    <a:prstGeom prst="rect">
                      <a:avLst/>
                    </a:prstGeom>
                    <a:noFill/>
                  </pic:spPr>
                </pic:pic>
              </a:graphicData>
            </a:graphic>
          </wp:inline>
        </w:drawing>
      </w:r>
    </w:p>
    <w:p w14:paraId="044B06E6" w14:textId="77777777" w:rsidR="00AC02ED" w:rsidRPr="005454CE" w:rsidRDefault="00AC02ED" w:rsidP="00590C9D">
      <w:pPr>
        <w:jc w:val="both"/>
        <w:rPr>
          <w:rFonts w:asciiTheme="minorHAnsi" w:hAnsiTheme="minorHAnsi" w:cstheme="minorHAnsi"/>
          <w:sz w:val="22"/>
          <w:szCs w:val="22"/>
        </w:rPr>
      </w:pPr>
      <w:r w:rsidRPr="005454CE">
        <w:rPr>
          <w:rFonts w:asciiTheme="minorHAnsi" w:hAnsiTheme="minorHAnsi" w:cstheme="minorHAnsi"/>
          <w:b/>
          <w:sz w:val="22"/>
          <w:szCs w:val="22"/>
        </w:rPr>
        <w:t>Figure 7A.</w:t>
      </w:r>
      <w:r w:rsidRPr="005454CE">
        <w:rPr>
          <w:rFonts w:asciiTheme="minorHAnsi" w:hAnsiTheme="minorHAnsi" w:cstheme="minorHAnsi"/>
          <w:sz w:val="22"/>
          <w:szCs w:val="22"/>
        </w:rPr>
        <w:t xml:space="preserve"> Chronopotentiometry measurements in a two-electrode cell configuration for the 3D-printed electrolysers with the IrO</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 xml:space="preserve"> and Pt/C CCM and </w:t>
      </w:r>
      <w:r w:rsidRPr="005454CE">
        <w:rPr>
          <w:rFonts w:asciiTheme="minorHAnsi" w:hAnsiTheme="minorHAnsi" w:cstheme="minorHAnsi"/>
          <w:b/>
          <w:sz w:val="22"/>
          <w:szCs w:val="22"/>
        </w:rPr>
        <w:t>B.</w:t>
      </w:r>
      <w:r w:rsidRPr="005454CE">
        <w:rPr>
          <w:rFonts w:asciiTheme="minorHAnsi" w:hAnsiTheme="minorHAnsi" w:cstheme="minorHAnsi"/>
          <w:sz w:val="22"/>
          <w:szCs w:val="22"/>
        </w:rPr>
        <w:t xml:space="preserve"> Cost analysis of the 3D-printed cells relative to the PEEK cell. </w:t>
      </w:r>
    </w:p>
    <w:p w14:paraId="4D5458BB" w14:textId="77777777" w:rsidR="00AC02ED" w:rsidRPr="005454CE" w:rsidRDefault="00AC02ED" w:rsidP="00590C9D">
      <w:pPr>
        <w:spacing w:line="480" w:lineRule="auto"/>
        <w:jc w:val="both"/>
        <w:rPr>
          <w:rFonts w:asciiTheme="minorHAnsi" w:hAnsiTheme="minorHAnsi" w:cstheme="minorHAnsi"/>
          <w:sz w:val="22"/>
          <w:szCs w:val="22"/>
        </w:rPr>
      </w:pPr>
    </w:p>
    <w:p w14:paraId="37DCDA19" w14:textId="77777777" w:rsidR="00AC02ED" w:rsidRPr="005454CE" w:rsidRDefault="00AC02ED" w:rsidP="00590C9D">
      <w:pPr>
        <w:spacing w:line="480" w:lineRule="auto"/>
        <w:jc w:val="both"/>
        <w:rPr>
          <w:rFonts w:asciiTheme="minorHAnsi" w:hAnsiTheme="minorHAnsi" w:cstheme="minorHAnsi"/>
          <w:b/>
          <w:sz w:val="22"/>
          <w:szCs w:val="22"/>
        </w:rPr>
      </w:pPr>
      <w:r w:rsidRPr="005454CE">
        <w:rPr>
          <w:rFonts w:asciiTheme="minorHAnsi" w:hAnsiTheme="minorHAnsi" w:cstheme="minorHAnsi"/>
          <w:sz w:val="22"/>
          <w:szCs w:val="22"/>
        </w:rPr>
        <w:t xml:space="preserve">Finally, a cost evaluation analysis was carried out to compare the relative price of the 3D-printed electrolyser parts to the PEEK electrolyser parts used to construct the PEM cell. As shown in </w:t>
      </w:r>
      <w:r w:rsidRPr="005454CE">
        <w:rPr>
          <w:rFonts w:asciiTheme="minorHAnsi" w:hAnsiTheme="minorHAnsi" w:cstheme="minorHAnsi"/>
          <w:b/>
          <w:sz w:val="22"/>
          <w:szCs w:val="22"/>
        </w:rPr>
        <w:t>Figure 7B</w:t>
      </w:r>
      <w:r w:rsidRPr="005454CE">
        <w:rPr>
          <w:rFonts w:asciiTheme="minorHAnsi" w:hAnsiTheme="minorHAnsi" w:cstheme="minorHAnsi"/>
          <w:sz w:val="22"/>
          <w:szCs w:val="22"/>
        </w:rPr>
        <w:t>, all the 3D-printed electrolysers are less expensive to manufacture compared to the PEEK cell. Furthermore, the PETG cell, which shows similar performance to the PEEK cell for the evaluation of the CCM, is significantly less expensive than commercially available electrolysers that have the same active area of 5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Table S2. Finally, the optimum combined 3D-printing technique and precursor materials to use to produce these devices would be FDM 3D-printing and the PETG filament due to the good stability of the IrO</w:t>
      </w:r>
      <w:r w:rsidRPr="005454CE">
        <w:rPr>
          <w:rFonts w:asciiTheme="minorHAnsi" w:hAnsiTheme="minorHAnsi" w:cstheme="minorHAnsi"/>
          <w:sz w:val="22"/>
          <w:szCs w:val="22"/>
          <w:vertAlign w:val="subscript"/>
        </w:rPr>
        <w:t>2</w:t>
      </w:r>
      <w:r w:rsidRPr="005454CE">
        <w:rPr>
          <w:rFonts w:asciiTheme="minorHAnsi" w:hAnsiTheme="minorHAnsi" w:cstheme="minorHAnsi"/>
          <w:sz w:val="22"/>
          <w:szCs w:val="22"/>
        </w:rPr>
        <w:t>/Pt CCM in this device and the low cost of the PETG filament, respectively.</w:t>
      </w:r>
      <w:r w:rsidRPr="005454CE">
        <w:rPr>
          <w:rFonts w:asciiTheme="minorHAnsi" w:hAnsiTheme="minorHAnsi" w:cstheme="minorHAnsi"/>
          <w:b/>
          <w:sz w:val="22"/>
          <w:szCs w:val="22"/>
        </w:rPr>
        <w:t xml:space="preserve"> </w:t>
      </w:r>
    </w:p>
    <w:p w14:paraId="2EA7B498" w14:textId="77777777" w:rsidR="00AC02ED" w:rsidRPr="005454CE" w:rsidRDefault="00AC02ED" w:rsidP="00590C9D">
      <w:pPr>
        <w:rPr>
          <w:rFonts w:asciiTheme="minorHAnsi" w:hAnsiTheme="minorHAnsi" w:cstheme="minorHAnsi"/>
          <w:sz w:val="22"/>
          <w:szCs w:val="22"/>
          <w:lang w:val="en-US"/>
        </w:rPr>
      </w:pPr>
    </w:p>
    <w:p w14:paraId="72C7F7F1" w14:textId="77777777" w:rsidR="00AC02ED" w:rsidRPr="005454CE" w:rsidRDefault="00AC02ED" w:rsidP="00841DD7">
      <w:pPr>
        <w:pStyle w:val="Head1"/>
      </w:pPr>
      <w:r w:rsidRPr="005454CE">
        <w:t>4. Conclusion</w:t>
      </w:r>
    </w:p>
    <w:p w14:paraId="7C7FD8C0" w14:textId="77777777" w:rsidR="00AC02ED" w:rsidRPr="005454CE" w:rsidRDefault="00AC02ED" w:rsidP="00590C9D">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In summary, this work has shown that the conventional three-electrode cell set-up is not necessarily a good indicator of the activity and stability of catalysts for the OER in PEM electrolysers, particularly at low current densities of 10 mA cm</w:t>
      </w:r>
      <w:r w:rsidRPr="005454CE">
        <w:rPr>
          <w:rFonts w:asciiTheme="minorHAnsi" w:hAnsiTheme="minorHAnsi" w:cstheme="minorHAnsi"/>
          <w:sz w:val="22"/>
          <w:szCs w:val="22"/>
          <w:vertAlign w:val="superscript"/>
        </w:rPr>
        <w:t>-2</w:t>
      </w:r>
      <w:r w:rsidRPr="005454CE">
        <w:rPr>
          <w:rFonts w:asciiTheme="minorHAnsi" w:hAnsiTheme="minorHAnsi" w:cstheme="minorHAnsi"/>
          <w:sz w:val="22"/>
          <w:szCs w:val="22"/>
        </w:rPr>
        <w:t>, which is the standard benchmark current density used in the literature. This is a serious concern, as most of the research into new catalysts for the OER are carried out using conventional three-electrode cells. Consequently, many TMO catalysts for the OER could have been omitted from further study as falsely deemed ‘inactive’ in a conventional three-electrode cell, when they may have shown promising performance in practical electrolyser devices using actual CCMs. As such, when screening candidate materials for electrolyser catalysts, it is imperative that these materials be tested in device configurations as well as the RDE conventional three elctrode cell set-up.</w:t>
      </w:r>
    </w:p>
    <w:p w14:paraId="4FAB35DC" w14:textId="77777777" w:rsidR="00AC02ED" w:rsidRPr="005454CE" w:rsidRDefault="00AC02ED" w:rsidP="00590C9D">
      <w:pPr>
        <w:spacing w:line="480" w:lineRule="auto"/>
        <w:jc w:val="both"/>
        <w:rPr>
          <w:rFonts w:asciiTheme="minorHAnsi" w:hAnsiTheme="minorHAnsi" w:cstheme="minorHAnsi"/>
          <w:sz w:val="22"/>
          <w:szCs w:val="22"/>
          <w:lang w:val="en-IE"/>
        </w:rPr>
      </w:pPr>
      <w:r w:rsidRPr="005454CE">
        <w:rPr>
          <w:rFonts w:asciiTheme="minorHAnsi" w:hAnsiTheme="minorHAnsi" w:cstheme="minorHAnsi"/>
          <w:sz w:val="22"/>
          <w:szCs w:val="22"/>
          <w:lang w:val="en-IE"/>
        </w:rPr>
        <w:t xml:space="preserve">The difference in the activity and stability between the RDE three electrode cell and the electrolyser device, ran at common parameter found in literature, could somewhat be explained by a difference in catalysts loading and supports utilised however, cell design is also thought to play a role. As a solution to this issue and to access the true OER activity and stability of materials, the materials need to also be evaluated in a practical electrolyser device. </w:t>
      </w:r>
    </w:p>
    <w:p w14:paraId="763E195A" w14:textId="77777777" w:rsidR="00AC02ED" w:rsidRPr="005454CE" w:rsidRDefault="00AC02ED" w:rsidP="009F62EA">
      <w:pPr>
        <w:spacing w:line="480" w:lineRule="auto"/>
        <w:jc w:val="both"/>
        <w:rPr>
          <w:rFonts w:asciiTheme="minorHAnsi" w:hAnsiTheme="minorHAnsi" w:cstheme="minorHAnsi"/>
          <w:sz w:val="22"/>
          <w:szCs w:val="22"/>
          <w:lang w:val="en-IE"/>
        </w:rPr>
      </w:pPr>
      <w:r w:rsidRPr="005454CE">
        <w:rPr>
          <w:rFonts w:asciiTheme="minorHAnsi" w:hAnsiTheme="minorHAnsi" w:cstheme="minorHAnsi"/>
          <w:sz w:val="22"/>
          <w:szCs w:val="22"/>
          <w:lang w:val="en-IE"/>
        </w:rPr>
        <w:t>In order to address the issue of accessibility to test electrolyser devices in academic labs, we demonstrate that 3D-printed electrolyser cells can be fabricated using low-cost 3D-printers and commercially available precursors. These 3D-printed electrolyser cells were utilised to successfully evaluate CCMs with geometric surface areas relevant to a practical device. The results show that FDM 3D-printing using a PETG filament is the optimum 3D-</w:t>
      </w:r>
      <w:r w:rsidRPr="005454CE">
        <w:rPr>
          <w:rFonts w:asciiTheme="minorHAnsi" w:hAnsiTheme="minorHAnsi" w:cstheme="minorHAnsi"/>
          <w:sz w:val="22"/>
          <w:szCs w:val="22"/>
        </w:rPr>
        <w:t xml:space="preserve">printing technique and filament. Electrolyser devices produced by SLM and the photoresin precursors exhibited issues during the stability tests which can be related to the heat deflection </w:t>
      </w:r>
      <w:r w:rsidRPr="005454CE">
        <w:rPr>
          <w:rFonts w:asciiTheme="minorHAnsi" w:hAnsiTheme="minorHAnsi" w:cstheme="minorHAnsi"/>
          <w:sz w:val="22"/>
          <w:szCs w:val="22"/>
          <w:lang w:val="en-IE"/>
        </w:rPr>
        <w:t xml:space="preserve">temperature of the photoresin. Finally, a cost evaluation analysis of the 3D-printed devices revealed that the PET electrolyser was the least expensive device. </w:t>
      </w:r>
    </w:p>
    <w:p w14:paraId="475F8922" w14:textId="77777777" w:rsidR="00AC02ED" w:rsidRPr="005454CE" w:rsidRDefault="00AC02ED" w:rsidP="009F62EA">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lang w:val="en-IE"/>
        </w:rPr>
        <w:t>Finally, it is recommended that research groups utilise practical electrolyser devices in their OER research</w:t>
      </w:r>
      <w:r w:rsidRPr="005454CE">
        <w:rPr>
          <w:rFonts w:asciiTheme="minorHAnsi" w:hAnsiTheme="minorHAnsi" w:cstheme="minorHAnsi"/>
          <w:sz w:val="22"/>
          <w:szCs w:val="22"/>
        </w:rPr>
        <w:t xml:space="preserve"> and not rely exclusively on conventional three-electrode cells.</w:t>
      </w:r>
      <w:r w:rsidRPr="005454CE">
        <w:rPr>
          <w:rFonts w:asciiTheme="minorHAnsi" w:hAnsiTheme="minorHAnsi" w:cstheme="minorHAnsi"/>
          <w:sz w:val="22"/>
          <w:szCs w:val="22"/>
          <w:lang w:val="en-IE"/>
        </w:rPr>
        <w:t xml:space="preserve"> </w:t>
      </w:r>
      <w:r w:rsidRPr="005454CE">
        <w:rPr>
          <w:rFonts w:asciiTheme="minorHAnsi" w:hAnsiTheme="minorHAnsi" w:cstheme="minorHAnsi"/>
          <w:sz w:val="22"/>
          <w:szCs w:val="22"/>
        </w:rPr>
        <w:t xml:space="preserve"> We are happy to share our CAD file for the 3D-printed electrolyser with researchers who are interested. </w:t>
      </w:r>
    </w:p>
    <w:p w14:paraId="371CA582" w14:textId="77777777" w:rsidR="00AC02ED" w:rsidRPr="005454CE" w:rsidRDefault="00AC02ED" w:rsidP="009F62EA">
      <w:pPr>
        <w:spacing w:line="480" w:lineRule="auto"/>
        <w:jc w:val="both"/>
        <w:rPr>
          <w:rFonts w:asciiTheme="minorHAnsi" w:hAnsiTheme="minorHAnsi" w:cstheme="minorHAnsi"/>
          <w:b/>
          <w:bCs/>
        </w:rPr>
      </w:pPr>
      <w:r w:rsidRPr="005454CE">
        <w:rPr>
          <w:rFonts w:asciiTheme="minorHAnsi" w:hAnsiTheme="minorHAnsi" w:cstheme="minorHAnsi"/>
          <w:b/>
          <w:bCs/>
        </w:rPr>
        <w:t xml:space="preserve">Conflicts of Interest </w:t>
      </w:r>
    </w:p>
    <w:p w14:paraId="610642FE" w14:textId="77777777" w:rsidR="00AC02ED" w:rsidRPr="005454CE" w:rsidRDefault="00AC02ED" w:rsidP="009F62EA">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rPr>
        <w:t>There are no conflicts to declare</w:t>
      </w:r>
    </w:p>
    <w:p w14:paraId="4844F126" w14:textId="77777777" w:rsidR="00AC02ED" w:rsidRPr="005454CE" w:rsidRDefault="00AC02ED" w:rsidP="009F62EA">
      <w:pPr>
        <w:pStyle w:val="Head1"/>
        <w:spacing w:line="480" w:lineRule="auto"/>
      </w:pPr>
      <w:r w:rsidRPr="005454CE">
        <w:t>Acknowledgements</w:t>
      </w:r>
    </w:p>
    <w:p w14:paraId="17E427B5" w14:textId="77777777" w:rsidR="00AC02ED" w:rsidRPr="005454CE" w:rsidRDefault="00AC02ED" w:rsidP="009F62EA">
      <w:pPr>
        <w:spacing w:line="480" w:lineRule="auto"/>
        <w:jc w:val="both"/>
        <w:rPr>
          <w:rFonts w:asciiTheme="minorHAnsi" w:hAnsiTheme="minorHAnsi" w:cstheme="minorHAnsi"/>
          <w:sz w:val="22"/>
          <w:szCs w:val="22"/>
        </w:rPr>
      </w:pPr>
      <w:r w:rsidRPr="005454CE">
        <w:rPr>
          <w:rFonts w:asciiTheme="minorHAnsi" w:hAnsiTheme="minorHAnsi" w:cstheme="minorHAnsi"/>
          <w:sz w:val="22"/>
          <w:szCs w:val="22"/>
          <w:lang w:val="en-US"/>
        </w:rPr>
        <w:t xml:space="preserve">M.P.B. would like to acknowledge </w:t>
      </w:r>
      <w:r w:rsidRPr="005454CE">
        <w:rPr>
          <w:rFonts w:asciiTheme="minorHAnsi" w:eastAsiaTheme="minorEastAsia" w:hAnsi="Calibri" w:cstheme="minorBidi"/>
          <w:color w:val="000000" w:themeColor="text1"/>
          <w:kern w:val="24"/>
          <w:sz w:val="21"/>
          <w:szCs w:val="21"/>
          <w:lang w:val="en-US"/>
        </w:rPr>
        <w:t xml:space="preserve">the European Union's Horizon 2020 research and innovation </w:t>
      </w:r>
      <w:r w:rsidRPr="005454CE">
        <w:rPr>
          <w:rFonts w:asciiTheme="minorHAnsi" w:eastAsiaTheme="minorEastAsia" w:hAnsi="Calibri" w:cstheme="minorBidi"/>
          <w:color w:val="000000" w:themeColor="text1"/>
          <w:kern w:val="24"/>
          <w:sz w:val="21"/>
          <w:szCs w:val="21"/>
        </w:rPr>
        <w:t>programme</w:t>
      </w:r>
      <w:r w:rsidRPr="005454CE">
        <w:rPr>
          <w:rFonts w:asciiTheme="minorHAnsi" w:eastAsiaTheme="minorEastAsia" w:hAnsi="Calibri" w:cstheme="minorBidi"/>
          <w:color w:val="000000" w:themeColor="text1"/>
          <w:kern w:val="24"/>
          <w:sz w:val="21"/>
          <w:szCs w:val="21"/>
          <w:lang w:val="en-US"/>
        </w:rPr>
        <w:t> under the Marie Skłodowska-Curie grant agreement No. 884318  (TriCat4Energy),</w:t>
      </w:r>
      <w:r w:rsidRPr="005454CE">
        <w:rPr>
          <w:rFonts w:asciiTheme="minorHAnsi" w:hAnsiTheme="minorHAnsi" w:cstheme="minorHAnsi"/>
          <w:sz w:val="22"/>
          <w:szCs w:val="22"/>
          <w:lang w:val="en-US"/>
        </w:rPr>
        <w:t xml:space="preserve"> the European Structural and Investment Funds OP RDE-funded project “ChemJets” (No. CZ.02.2.69/ 0.0/0.0/16_027/0008351) and the Royal Society of Chemistry (RSC) Researchers Mobility grant (no. </w:t>
      </w:r>
      <w:r w:rsidRPr="005454CE">
        <w:rPr>
          <w:rFonts w:asciiTheme="minorHAnsi" w:hAnsiTheme="minorHAnsi" w:cstheme="minorHAnsi"/>
          <w:sz w:val="22"/>
          <w:szCs w:val="22"/>
        </w:rPr>
        <w:t>RM1802-5340). P.R.S. acknowledges the support of The Royal Academy of Engineering (CiET1718/59). V.N acknowledges the support of SFI AMBER (12/RC/2278_P2) and the ERC CoG 3D2DPrint (681544). D.J.L.B would like to acknowledge funding from the EPSRC (EP/L015277/1, EP/P009050/1, EP/M014371/1, EP/M009394/1, EP/M023508/1, EP/L015749/1, EP/N022971/1) for supporting the hydrogen research in the Electrochemical Innovation Lab (EIL). M.P. acknowledges the financial support of Grant Agency of the Czech Republic (EXPRO: 19-26896X).</w:t>
      </w:r>
    </w:p>
    <w:p w14:paraId="26D4099F" w14:textId="77777777" w:rsidR="00AC02ED" w:rsidRPr="005454CE" w:rsidRDefault="00AC02ED" w:rsidP="009F62EA">
      <w:pPr>
        <w:spacing w:line="480" w:lineRule="auto"/>
        <w:jc w:val="both"/>
        <w:rPr>
          <w:rFonts w:asciiTheme="minorHAnsi" w:hAnsiTheme="minorHAnsi" w:cstheme="minorHAnsi"/>
          <w:sz w:val="22"/>
          <w:szCs w:val="22"/>
        </w:rPr>
      </w:pPr>
    </w:p>
    <w:p w14:paraId="2F81DB73" w14:textId="77777777" w:rsidR="00AC02ED" w:rsidRPr="005454CE" w:rsidRDefault="00AC02ED" w:rsidP="009F62EA">
      <w:pPr>
        <w:spacing w:line="480" w:lineRule="auto"/>
        <w:rPr>
          <w:rFonts w:asciiTheme="minorHAnsi" w:hAnsiTheme="minorHAnsi" w:cstheme="minorHAnsi"/>
          <w:b/>
          <w:bCs/>
        </w:rPr>
      </w:pPr>
      <w:r w:rsidRPr="005454CE">
        <w:rPr>
          <w:rFonts w:asciiTheme="minorHAnsi" w:hAnsiTheme="minorHAnsi" w:cstheme="minorHAnsi"/>
          <w:b/>
          <w:bCs/>
        </w:rPr>
        <w:t xml:space="preserve">References </w:t>
      </w:r>
    </w:p>
    <w:p w14:paraId="23CC9795"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1.</w:t>
      </w:r>
      <w:r w:rsidRPr="005454CE">
        <w:rPr>
          <w:rFonts w:asciiTheme="minorHAnsi" w:hAnsiTheme="minorHAnsi" w:cstheme="minorHAnsi"/>
          <w:sz w:val="22"/>
        </w:rPr>
        <w:tab/>
        <w:t xml:space="preserve">M. Carmo, D. L. Fritz, J. Mergel and D. Stolten, </w:t>
      </w:r>
      <w:bookmarkStart w:id="2" w:name="_Hlk62048517"/>
      <w:r w:rsidRPr="005454CE">
        <w:rPr>
          <w:rFonts w:asciiTheme="minorHAnsi" w:hAnsiTheme="minorHAnsi" w:cstheme="minorHAnsi"/>
          <w:i/>
          <w:sz w:val="22"/>
        </w:rPr>
        <w:t>Int. J. Hydrog. Energy</w:t>
      </w:r>
      <w:bookmarkEnd w:id="2"/>
      <w:r w:rsidRPr="005454CE">
        <w:rPr>
          <w:rFonts w:asciiTheme="minorHAnsi" w:hAnsiTheme="minorHAnsi" w:cstheme="minorHAnsi"/>
          <w:sz w:val="22"/>
        </w:rPr>
        <w:t xml:space="preserve">, 2013, </w:t>
      </w:r>
      <w:r w:rsidRPr="005454CE">
        <w:rPr>
          <w:rFonts w:asciiTheme="minorHAnsi" w:hAnsiTheme="minorHAnsi" w:cstheme="minorHAnsi"/>
          <w:b/>
          <w:sz w:val="22"/>
        </w:rPr>
        <w:t>38</w:t>
      </w:r>
      <w:r w:rsidRPr="005454CE">
        <w:rPr>
          <w:rFonts w:asciiTheme="minorHAnsi" w:hAnsiTheme="minorHAnsi" w:cstheme="minorHAnsi"/>
          <w:sz w:val="22"/>
        </w:rPr>
        <w:t>, 4901-4934.</w:t>
      </w:r>
    </w:p>
    <w:p w14:paraId="7ADFE992"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2.</w:t>
      </w:r>
      <w:r w:rsidRPr="005454CE">
        <w:rPr>
          <w:rFonts w:asciiTheme="minorHAnsi" w:hAnsiTheme="minorHAnsi" w:cstheme="minorHAnsi"/>
          <w:sz w:val="22"/>
        </w:rPr>
        <w:tab/>
        <w:t xml:space="preserve">S. Shiva Kumar and V. Himabindu, </w:t>
      </w:r>
      <w:r w:rsidRPr="005454CE">
        <w:rPr>
          <w:rFonts w:asciiTheme="minorHAnsi" w:hAnsiTheme="minorHAnsi" w:cstheme="minorHAnsi"/>
          <w:i/>
          <w:sz w:val="22"/>
        </w:rPr>
        <w:t>Mater. Sci. Technol.</w:t>
      </w:r>
      <w:r w:rsidRPr="005454CE">
        <w:rPr>
          <w:rFonts w:asciiTheme="minorHAnsi" w:hAnsiTheme="minorHAnsi" w:cstheme="minorHAnsi"/>
          <w:sz w:val="22"/>
        </w:rPr>
        <w:t xml:space="preserve">, 2019, </w:t>
      </w:r>
      <w:r w:rsidRPr="005454CE">
        <w:rPr>
          <w:rFonts w:asciiTheme="minorHAnsi" w:hAnsiTheme="minorHAnsi" w:cstheme="minorHAnsi"/>
          <w:b/>
          <w:sz w:val="22"/>
        </w:rPr>
        <w:t>2</w:t>
      </w:r>
      <w:r w:rsidRPr="005454CE">
        <w:rPr>
          <w:rFonts w:asciiTheme="minorHAnsi" w:hAnsiTheme="minorHAnsi" w:cstheme="minorHAnsi"/>
          <w:sz w:val="22"/>
        </w:rPr>
        <w:t>, 442-454.</w:t>
      </w:r>
    </w:p>
    <w:p w14:paraId="7B1079F3"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3.</w:t>
      </w:r>
      <w:r w:rsidRPr="005454CE">
        <w:rPr>
          <w:rFonts w:asciiTheme="minorHAnsi" w:hAnsiTheme="minorHAnsi" w:cstheme="minorHAnsi"/>
          <w:sz w:val="22"/>
        </w:rPr>
        <w:tab/>
        <w:t xml:space="preserve">C. Wei, R. R. Rao, J. Peng, B. Huang, I. E. L. Stephens, M. Risch, Z. J. Xu and Y. Shao-Horn, </w:t>
      </w:r>
      <w:r w:rsidRPr="005454CE">
        <w:rPr>
          <w:rFonts w:asciiTheme="minorHAnsi" w:hAnsiTheme="minorHAnsi" w:cstheme="minorHAnsi"/>
          <w:i/>
          <w:sz w:val="22"/>
        </w:rPr>
        <w:t>Adv. Mater.</w:t>
      </w:r>
      <w:r w:rsidRPr="005454CE">
        <w:rPr>
          <w:rFonts w:asciiTheme="minorHAnsi" w:hAnsiTheme="minorHAnsi" w:cstheme="minorHAnsi"/>
          <w:sz w:val="22"/>
        </w:rPr>
        <w:t xml:space="preserve">, 2019, </w:t>
      </w:r>
      <w:r w:rsidRPr="005454CE">
        <w:rPr>
          <w:rFonts w:asciiTheme="minorHAnsi" w:hAnsiTheme="minorHAnsi" w:cstheme="minorHAnsi"/>
          <w:b/>
          <w:sz w:val="22"/>
        </w:rPr>
        <w:t>31</w:t>
      </w:r>
      <w:r w:rsidRPr="005454CE">
        <w:rPr>
          <w:rFonts w:asciiTheme="minorHAnsi" w:hAnsiTheme="minorHAnsi" w:cstheme="minorHAnsi"/>
          <w:sz w:val="22"/>
        </w:rPr>
        <w:t>, 1806296.</w:t>
      </w:r>
    </w:p>
    <w:p w14:paraId="42235F7B"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4.</w:t>
      </w:r>
      <w:r w:rsidRPr="005454CE">
        <w:rPr>
          <w:rFonts w:asciiTheme="minorHAnsi" w:hAnsiTheme="minorHAnsi" w:cstheme="minorHAnsi"/>
          <w:sz w:val="22"/>
        </w:rPr>
        <w:tab/>
        <w:t xml:space="preserve">X. Chia and M. Pumera, </w:t>
      </w:r>
      <w:r w:rsidRPr="005454CE">
        <w:rPr>
          <w:rFonts w:asciiTheme="minorHAnsi" w:hAnsiTheme="minorHAnsi" w:cstheme="minorHAnsi"/>
          <w:i/>
          <w:sz w:val="22"/>
        </w:rPr>
        <w:t>Nature Catal.</w:t>
      </w:r>
      <w:r w:rsidRPr="005454CE">
        <w:rPr>
          <w:rFonts w:asciiTheme="minorHAnsi" w:hAnsiTheme="minorHAnsi" w:cstheme="minorHAnsi"/>
          <w:sz w:val="22"/>
        </w:rPr>
        <w:t xml:space="preserve">, 2018, </w:t>
      </w:r>
      <w:r w:rsidRPr="005454CE">
        <w:rPr>
          <w:rFonts w:asciiTheme="minorHAnsi" w:hAnsiTheme="minorHAnsi" w:cstheme="minorHAnsi"/>
          <w:b/>
          <w:sz w:val="22"/>
        </w:rPr>
        <w:t>1</w:t>
      </w:r>
      <w:r w:rsidRPr="005454CE">
        <w:rPr>
          <w:rFonts w:asciiTheme="minorHAnsi" w:hAnsiTheme="minorHAnsi" w:cstheme="minorHAnsi"/>
          <w:sz w:val="22"/>
        </w:rPr>
        <w:t>, 909-921.</w:t>
      </w:r>
    </w:p>
    <w:p w14:paraId="6212C36E"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5.</w:t>
      </w:r>
      <w:r w:rsidRPr="005454CE">
        <w:rPr>
          <w:rFonts w:asciiTheme="minorHAnsi" w:hAnsiTheme="minorHAnsi" w:cstheme="minorHAnsi"/>
          <w:sz w:val="22"/>
        </w:rPr>
        <w:tab/>
        <w:t xml:space="preserve">R. L. Doyle, I. J. Godwin, M. P. Brandon and M. E. G. Lyons, </w:t>
      </w:r>
      <w:r w:rsidRPr="005454CE">
        <w:rPr>
          <w:rFonts w:asciiTheme="minorHAnsi" w:hAnsiTheme="minorHAnsi" w:cstheme="minorHAnsi"/>
          <w:i/>
          <w:sz w:val="22"/>
        </w:rPr>
        <w:t>Phys. Chem. Chem. Phys.</w:t>
      </w:r>
      <w:r w:rsidRPr="005454CE">
        <w:rPr>
          <w:rFonts w:asciiTheme="minorHAnsi" w:hAnsiTheme="minorHAnsi" w:cstheme="minorHAnsi"/>
          <w:sz w:val="22"/>
        </w:rPr>
        <w:t xml:space="preserve">, 2013, </w:t>
      </w:r>
      <w:r w:rsidRPr="005454CE">
        <w:rPr>
          <w:rFonts w:asciiTheme="minorHAnsi" w:hAnsiTheme="minorHAnsi" w:cstheme="minorHAnsi"/>
          <w:b/>
          <w:sz w:val="22"/>
        </w:rPr>
        <w:t>15</w:t>
      </w:r>
      <w:r w:rsidRPr="005454CE">
        <w:rPr>
          <w:rFonts w:asciiTheme="minorHAnsi" w:hAnsiTheme="minorHAnsi" w:cstheme="minorHAnsi"/>
          <w:sz w:val="22"/>
        </w:rPr>
        <w:t>, 13737-13783.</w:t>
      </w:r>
    </w:p>
    <w:p w14:paraId="04E03353"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6.</w:t>
      </w:r>
      <w:r w:rsidRPr="005454CE">
        <w:rPr>
          <w:rFonts w:asciiTheme="minorHAnsi" w:hAnsiTheme="minorHAnsi" w:cstheme="minorHAnsi"/>
          <w:sz w:val="22"/>
        </w:rPr>
        <w:tab/>
        <w:t xml:space="preserve">F. Song, L. Bai, A. Moysiadou, S. Lee, C. Hu, L. Liardet and X. Hu, </w:t>
      </w:r>
      <w:r w:rsidRPr="005454CE">
        <w:rPr>
          <w:rFonts w:asciiTheme="minorHAnsi" w:hAnsiTheme="minorHAnsi" w:cstheme="minorHAnsi"/>
          <w:i/>
          <w:sz w:val="22"/>
        </w:rPr>
        <w:t>J. Amer. Chem. Soc.</w:t>
      </w:r>
      <w:r w:rsidRPr="005454CE">
        <w:rPr>
          <w:rFonts w:asciiTheme="minorHAnsi" w:hAnsiTheme="minorHAnsi" w:cstheme="minorHAnsi"/>
          <w:sz w:val="22"/>
        </w:rPr>
        <w:t xml:space="preserve">, 2018, </w:t>
      </w:r>
      <w:r w:rsidRPr="005454CE">
        <w:rPr>
          <w:rFonts w:asciiTheme="minorHAnsi" w:hAnsiTheme="minorHAnsi" w:cstheme="minorHAnsi"/>
          <w:b/>
          <w:sz w:val="22"/>
        </w:rPr>
        <w:t>140</w:t>
      </w:r>
      <w:r w:rsidRPr="005454CE">
        <w:rPr>
          <w:rFonts w:asciiTheme="minorHAnsi" w:hAnsiTheme="minorHAnsi" w:cstheme="minorHAnsi"/>
          <w:sz w:val="22"/>
        </w:rPr>
        <w:t>, 7748-7759.</w:t>
      </w:r>
    </w:p>
    <w:p w14:paraId="281D9AE5"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7.</w:t>
      </w:r>
      <w:r w:rsidRPr="005454CE">
        <w:rPr>
          <w:rFonts w:asciiTheme="minorHAnsi" w:hAnsiTheme="minorHAnsi" w:cstheme="minorHAnsi"/>
          <w:sz w:val="22"/>
        </w:rPr>
        <w:tab/>
        <w:t xml:space="preserve">O. Schmidt, A. Gambhir, I. Staffell, A. Hawkes, J. Nelson and S. Few, </w:t>
      </w:r>
      <w:r w:rsidRPr="005454CE">
        <w:rPr>
          <w:rFonts w:asciiTheme="minorHAnsi" w:hAnsiTheme="minorHAnsi" w:cstheme="minorHAnsi"/>
          <w:i/>
          <w:sz w:val="22"/>
        </w:rPr>
        <w:t>Int. J. Hydrog. Energy</w:t>
      </w:r>
      <w:r w:rsidRPr="005454CE">
        <w:rPr>
          <w:rFonts w:asciiTheme="minorHAnsi" w:hAnsiTheme="minorHAnsi" w:cstheme="minorHAnsi"/>
          <w:sz w:val="22"/>
        </w:rPr>
        <w:t xml:space="preserve">, 2017, </w:t>
      </w:r>
      <w:r w:rsidRPr="005454CE">
        <w:rPr>
          <w:rFonts w:asciiTheme="minorHAnsi" w:hAnsiTheme="minorHAnsi" w:cstheme="minorHAnsi"/>
          <w:b/>
          <w:sz w:val="22"/>
        </w:rPr>
        <w:t>42</w:t>
      </w:r>
      <w:r w:rsidRPr="005454CE">
        <w:rPr>
          <w:rFonts w:asciiTheme="minorHAnsi" w:hAnsiTheme="minorHAnsi" w:cstheme="minorHAnsi"/>
          <w:sz w:val="22"/>
        </w:rPr>
        <w:t>, 30470-30492.</w:t>
      </w:r>
    </w:p>
    <w:p w14:paraId="12CC0F52"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8.</w:t>
      </w:r>
      <w:r w:rsidRPr="005454CE">
        <w:rPr>
          <w:rFonts w:asciiTheme="minorHAnsi" w:hAnsiTheme="minorHAnsi" w:cstheme="minorHAnsi"/>
          <w:sz w:val="22"/>
        </w:rPr>
        <w:tab/>
        <w:t xml:space="preserve">K. E. Ayers, E. B. Anderson, C. Capuano, B. Carter, L. Dalton, G. Hanlon, J. Manco and M. Niedzwiecki, </w:t>
      </w:r>
      <w:r w:rsidRPr="005454CE">
        <w:rPr>
          <w:rFonts w:asciiTheme="minorHAnsi" w:hAnsiTheme="minorHAnsi" w:cstheme="minorHAnsi"/>
          <w:i/>
          <w:sz w:val="22"/>
        </w:rPr>
        <w:t>ECS Trans.</w:t>
      </w:r>
      <w:r w:rsidRPr="005454CE">
        <w:rPr>
          <w:rFonts w:asciiTheme="minorHAnsi" w:hAnsiTheme="minorHAnsi" w:cstheme="minorHAnsi"/>
          <w:sz w:val="22"/>
        </w:rPr>
        <w:t xml:space="preserve">, 2010, </w:t>
      </w:r>
      <w:r w:rsidRPr="005454CE">
        <w:rPr>
          <w:rFonts w:asciiTheme="minorHAnsi" w:hAnsiTheme="minorHAnsi" w:cstheme="minorHAnsi"/>
          <w:b/>
          <w:sz w:val="22"/>
        </w:rPr>
        <w:t>33</w:t>
      </w:r>
      <w:r w:rsidRPr="005454CE">
        <w:rPr>
          <w:rFonts w:asciiTheme="minorHAnsi" w:hAnsiTheme="minorHAnsi" w:cstheme="minorHAnsi"/>
          <w:sz w:val="22"/>
        </w:rPr>
        <w:t>, 3-15.</w:t>
      </w:r>
    </w:p>
    <w:p w14:paraId="3974853F"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9.</w:t>
      </w:r>
      <w:r w:rsidRPr="005454CE">
        <w:rPr>
          <w:rFonts w:asciiTheme="minorHAnsi" w:hAnsiTheme="minorHAnsi" w:cstheme="minorHAnsi"/>
          <w:sz w:val="22"/>
        </w:rPr>
        <w:tab/>
        <w:t xml:space="preserve">C. Hu, L. Zhang and J. Gong, </w:t>
      </w:r>
      <w:r w:rsidRPr="005454CE">
        <w:rPr>
          <w:rFonts w:asciiTheme="minorHAnsi" w:hAnsiTheme="minorHAnsi" w:cstheme="minorHAnsi"/>
          <w:i/>
          <w:sz w:val="22"/>
        </w:rPr>
        <w:t>Energy Environ. Sci.</w:t>
      </w:r>
      <w:r w:rsidRPr="005454CE">
        <w:rPr>
          <w:rFonts w:asciiTheme="minorHAnsi" w:hAnsiTheme="minorHAnsi" w:cstheme="minorHAnsi"/>
          <w:sz w:val="22"/>
        </w:rPr>
        <w:t xml:space="preserve">, 2019, </w:t>
      </w:r>
      <w:r w:rsidRPr="005454CE">
        <w:rPr>
          <w:rFonts w:asciiTheme="minorHAnsi" w:hAnsiTheme="minorHAnsi" w:cstheme="minorHAnsi"/>
          <w:b/>
          <w:sz w:val="22"/>
        </w:rPr>
        <w:t>12</w:t>
      </w:r>
      <w:r w:rsidRPr="005454CE">
        <w:rPr>
          <w:rFonts w:asciiTheme="minorHAnsi" w:hAnsiTheme="minorHAnsi" w:cstheme="minorHAnsi"/>
          <w:sz w:val="22"/>
        </w:rPr>
        <w:t>, 2620-2645.</w:t>
      </w:r>
    </w:p>
    <w:p w14:paraId="46288E2A"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10.</w:t>
      </w:r>
      <w:r w:rsidRPr="005454CE">
        <w:rPr>
          <w:rFonts w:asciiTheme="minorHAnsi" w:hAnsiTheme="minorHAnsi" w:cstheme="minorHAnsi"/>
          <w:sz w:val="22"/>
        </w:rPr>
        <w:tab/>
        <w:t xml:space="preserve">C. C. L. McCrory, S. Jung, I. M. Ferrer, S. M. Chatman, J. C. Peters and T. F. Jaramillo, </w:t>
      </w:r>
      <w:r w:rsidRPr="005454CE">
        <w:rPr>
          <w:rFonts w:asciiTheme="minorHAnsi" w:hAnsiTheme="minorHAnsi" w:cstheme="minorHAnsi"/>
          <w:i/>
          <w:sz w:val="22"/>
        </w:rPr>
        <w:t>J. Amer. Chem. Soc.</w:t>
      </w:r>
      <w:r w:rsidRPr="005454CE">
        <w:rPr>
          <w:rFonts w:asciiTheme="minorHAnsi" w:hAnsiTheme="minorHAnsi" w:cstheme="minorHAnsi"/>
          <w:sz w:val="22"/>
        </w:rPr>
        <w:t xml:space="preserve">, 2015, </w:t>
      </w:r>
      <w:r w:rsidRPr="005454CE">
        <w:rPr>
          <w:rFonts w:asciiTheme="minorHAnsi" w:hAnsiTheme="minorHAnsi" w:cstheme="minorHAnsi"/>
          <w:b/>
          <w:sz w:val="22"/>
        </w:rPr>
        <w:t>137</w:t>
      </w:r>
      <w:r w:rsidRPr="005454CE">
        <w:rPr>
          <w:rFonts w:asciiTheme="minorHAnsi" w:hAnsiTheme="minorHAnsi" w:cstheme="minorHAnsi"/>
          <w:sz w:val="22"/>
        </w:rPr>
        <w:t>, 4347-4357.</w:t>
      </w:r>
    </w:p>
    <w:p w14:paraId="1CE2B7A7"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11.</w:t>
      </w:r>
      <w:r w:rsidRPr="005454CE">
        <w:rPr>
          <w:rFonts w:asciiTheme="minorHAnsi" w:hAnsiTheme="minorHAnsi" w:cstheme="minorHAnsi"/>
          <w:sz w:val="22"/>
        </w:rPr>
        <w:tab/>
        <w:t xml:space="preserve">R. Gusmão, Z. Sofer, J. Luxa and M. Pumera, </w:t>
      </w:r>
      <w:r w:rsidRPr="005454CE">
        <w:rPr>
          <w:rFonts w:asciiTheme="minorHAnsi" w:hAnsiTheme="minorHAnsi" w:cstheme="minorHAnsi"/>
          <w:i/>
          <w:sz w:val="22"/>
        </w:rPr>
        <w:t>ACS Sustain. Chem. Eng.</w:t>
      </w:r>
      <w:r w:rsidRPr="005454CE">
        <w:rPr>
          <w:rFonts w:asciiTheme="minorHAnsi" w:hAnsiTheme="minorHAnsi" w:cstheme="minorHAnsi"/>
          <w:sz w:val="22"/>
        </w:rPr>
        <w:t xml:space="preserve"> 2019, </w:t>
      </w:r>
      <w:r w:rsidRPr="005454CE">
        <w:rPr>
          <w:rFonts w:asciiTheme="minorHAnsi" w:hAnsiTheme="minorHAnsi" w:cstheme="minorHAnsi"/>
          <w:b/>
          <w:sz w:val="22"/>
        </w:rPr>
        <w:t>7</w:t>
      </w:r>
      <w:r w:rsidRPr="005454CE">
        <w:rPr>
          <w:rFonts w:asciiTheme="minorHAnsi" w:hAnsiTheme="minorHAnsi" w:cstheme="minorHAnsi"/>
          <w:sz w:val="22"/>
        </w:rPr>
        <w:t>, 15790-15798.</w:t>
      </w:r>
    </w:p>
    <w:p w14:paraId="40AC45B4"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12.</w:t>
      </w:r>
      <w:r w:rsidRPr="005454CE">
        <w:rPr>
          <w:rFonts w:asciiTheme="minorHAnsi" w:hAnsiTheme="minorHAnsi" w:cstheme="minorHAnsi"/>
          <w:sz w:val="22"/>
        </w:rPr>
        <w:tab/>
        <w:t xml:space="preserve">C. L. Manzanares Palenzuela, J. Luxa, Z. Sofer and M. Pumera, </w:t>
      </w:r>
      <w:r w:rsidRPr="005454CE">
        <w:rPr>
          <w:rFonts w:asciiTheme="minorHAnsi" w:hAnsiTheme="minorHAnsi" w:cstheme="minorHAnsi"/>
          <w:i/>
          <w:sz w:val="22"/>
        </w:rPr>
        <w:t>ACS Appl. Mater. Interfaces</w:t>
      </w:r>
      <w:r w:rsidRPr="005454CE">
        <w:rPr>
          <w:rFonts w:asciiTheme="minorHAnsi" w:hAnsiTheme="minorHAnsi" w:cstheme="minorHAnsi"/>
          <w:sz w:val="22"/>
        </w:rPr>
        <w:t xml:space="preserve">, 2018, </w:t>
      </w:r>
      <w:r w:rsidRPr="005454CE">
        <w:rPr>
          <w:rFonts w:asciiTheme="minorHAnsi" w:hAnsiTheme="minorHAnsi" w:cstheme="minorHAnsi"/>
          <w:b/>
          <w:sz w:val="22"/>
        </w:rPr>
        <w:t>10</w:t>
      </w:r>
      <w:r w:rsidRPr="005454CE">
        <w:rPr>
          <w:rFonts w:asciiTheme="minorHAnsi" w:hAnsiTheme="minorHAnsi" w:cstheme="minorHAnsi"/>
          <w:sz w:val="22"/>
        </w:rPr>
        <w:t>, 17820-17826.</w:t>
      </w:r>
    </w:p>
    <w:p w14:paraId="2BFAE189"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13.</w:t>
      </w:r>
      <w:r w:rsidRPr="005454CE">
        <w:rPr>
          <w:rFonts w:asciiTheme="minorHAnsi" w:hAnsiTheme="minorHAnsi" w:cstheme="minorHAnsi"/>
          <w:sz w:val="22"/>
        </w:rPr>
        <w:tab/>
        <w:t xml:space="preserve">A. Ambrosi, Z. Sofer and M. Pumera, </w:t>
      </w:r>
      <w:r w:rsidRPr="005454CE">
        <w:rPr>
          <w:rFonts w:asciiTheme="minorHAnsi" w:hAnsiTheme="minorHAnsi" w:cstheme="minorHAnsi"/>
          <w:i/>
          <w:sz w:val="22"/>
        </w:rPr>
        <w:t>Chem. Commun.</w:t>
      </w:r>
      <w:r w:rsidRPr="005454CE">
        <w:rPr>
          <w:rFonts w:asciiTheme="minorHAnsi" w:hAnsiTheme="minorHAnsi" w:cstheme="minorHAnsi"/>
          <w:sz w:val="22"/>
        </w:rPr>
        <w:t xml:space="preserve">, 2015, </w:t>
      </w:r>
      <w:r w:rsidRPr="005454CE">
        <w:rPr>
          <w:rFonts w:asciiTheme="minorHAnsi" w:hAnsiTheme="minorHAnsi" w:cstheme="minorHAnsi"/>
          <w:b/>
          <w:sz w:val="22"/>
        </w:rPr>
        <w:t>51</w:t>
      </w:r>
      <w:r w:rsidRPr="005454CE">
        <w:rPr>
          <w:rFonts w:asciiTheme="minorHAnsi" w:hAnsiTheme="minorHAnsi" w:cstheme="minorHAnsi"/>
          <w:sz w:val="22"/>
        </w:rPr>
        <w:t>, 8450-8453.</w:t>
      </w:r>
    </w:p>
    <w:p w14:paraId="52AB01C3"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14.</w:t>
      </w:r>
      <w:r w:rsidRPr="005454CE">
        <w:rPr>
          <w:rFonts w:asciiTheme="minorHAnsi" w:hAnsiTheme="minorHAnsi" w:cstheme="minorHAnsi"/>
          <w:sz w:val="22"/>
        </w:rPr>
        <w:tab/>
        <w:t xml:space="preserve">A. B. Jorge, I. Dedigama, T. S. Miller, P. Shearing, D. J. L. Brett and P. F. McMillan, </w:t>
      </w:r>
      <w:r w:rsidRPr="005454CE">
        <w:rPr>
          <w:rFonts w:asciiTheme="minorHAnsi" w:hAnsiTheme="minorHAnsi" w:cstheme="minorHAnsi"/>
          <w:i/>
          <w:sz w:val="22"/>
        </w:rPr>
        <w:t>Nanomaterials</w:t>
      </w:r>
      <w:r w:rsidRPr="005454CE">
        <w:rPr>
          <w:rFonts w:asciiTheme="minorHAnsi" w:hAnsiTheme="minorHAnsi" w:cstheme="minorHAnsi"/>
          <w:sz w:val="22"/>
        </w:rPr>
        <w:t xml:space="preserve">, 2018, </w:t>
      </w:r>
      <w:r w:rsidRPr="005454CE">
        <w:rPr>
          <w:rFonts w:asciiTheme="minorHAnsi" w:hAnsiTheme="minorHAnsi" w:cstheme="minorHAnsi"/>
          <w:b/>
          <w:sz w:val="22"/>
        </w:rPr>
        <w:t>8</w:t>
      </w:r>
      <w:r w:rsidRPr="005454CE">
        <w:rPr>
          <w:rFonts w:asciiTheme="minorHAnsi" w:hAnsiTheme="minorHAnsi" w:cstheme="minorHAnsi"/>
          <w:sz w:val="22"/>
        </w:rPr>
        <w:t>, 16.</w:t>
      </w:r>
    </w:p>
    <w:p w14:paraId="056F6A23"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15.</w:t>
      </w:r>
      <w:r w:rsidRPr="005454CE">
        <w:rPr>
          <w:rFonts w:asciiTheme="minorHAnsi" w:hAnsiTheme="minorHAnsi" w:cstheme="minorHAnsi"/>
          <w:sz w:val="22"/>
        </w:rPr>
        <w:tab/>
        <w:t xml:space="preserve">N. Mansor, T. S. Miller, I. Dedigama, A. B. Jorge, J. Jia, V. Brázdová, C. Mattevi, C. Gibbs, D. Hodgson, P. R. Shearing, C. A. Howard, F. Corà, M. Shaffer, D. J. L. Brett and P. F. McMillan, </w:t>
      </w:r>
      <w:r w:rsidRPr="005454CE">
        <w:rPr>
          <w:rFonts w:asciiTheme="minorHAnsi" w:hAnsiTheme="minorHAnsi" w:cstheme="minorHAnsi"/>
          <w:i/>
          <w:sz w:val="22"/>
        </w:rPr>
        <w:t>Electrochim. Acta</w:t>
      </w:r>
      <w:r w:rsidRPr="005454CE">
        <w:rPr>
          <w:rFonts w:asciiTheme="minorHAnsi" w:hAnsiTheme="minorHAnsi" w:cstheme="minorHAnsi"/>
          <w:sz w:val="22"/>
        </w:rPr>
        <w:t xml:space="preserve">, 2016, </w:t>
      </w:r>
      <w:r w:rsidRPr="005454CE">
        <w:rPr>
          <w:rFonts w:asciiTheme="minorHAnsi" w:hAnsiTheme="minorHAnsi" w:cstheme="minorHAnsi"/>
          <w:b/>
          <w:sz w:val="22"/>
        </w:rPr>
        <w:t>222</w:t>
      </w:r>
      <w:r w:rsidRPr="005454CE">
        <w:rPr>
          <w:rFonts w:asciiTheme="minorHAnsi" w:hAnsiTheme="minorHAnsi" w:cstheme="minorHAnsi"/>
          <w:sz w:val="22"/>
        </w:rPr>
        <w:t>, 44-57.</w:t>
      </w:r>
    </w:p>
    <w:p w14:paraId="1E478175"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16.</w:t>
      </w:r>
      <w:r w:rsidRPr="005454CE">
        <w:rPr>
          <w:rFonts w:asciiTheme="minorHAnsi" w:hAnsiTheme="minorHAnsi" w:cstheme="minorHAnsi"/>
          <w:sz w:val="22"/>
        </w:rPr>
        <w:tab/>
        <w:t xml:space="preserve">M. Inaba, A. W. Jensen, G. W. Sievers, M. Escudero-Escribano, A. Zana and M. Arenz, </w:t>
      </w:r>
      <w:bookmarkStart w:id="3" w:name="_Hlk64528380"/>
      <w:r w:rsidRPr="005454CE">
        <w:rPr>
          <w:rFonts w:asciiTheme="minorHAnsi" w:hAnsiTheme="minorHAnsi" w:cstheme="minorHAnsi"/>
          <w:i/>
          <w:sz w:val="22"/>
        </w:rPr>
        <w:t>Energy Environ. Sci.</w:t>
      </w:r>
      <w:r w:rsidRPr="005454CE">
        <w:rPr>
          <w:rFonts w:asciiTheme="minorHAnsi" w:hAnsiTheme="minorHAnsi" w:cstheme="minorHAnsi"/>
          <w:sz w:val="22"/>
        </w:rPr>
        <w:t xml:space="preserve">, </w:t>
      </w:r>
      <w:bookmarkEnd w:id="3"/>
      <w:r w:rsidRPr="005454CE">
        <w:rPr>
          <w:rFonts w:asciiTheme="minorHAnsi" w:hAnsiTheme="minorHAnsi" w:cstheme="minorHAnsi"/>
          <w:sz w:val="22"/>
        </w:rPr>
        <w:t xml:space="preserve">2018, </w:t>
      </w:r>
      <w:r w:rsidRPr="005454CE">
        <w:rPr>
          <w:rFonts w:asciiTheme="minorHAnsi" w:hAnsiTheme="minorHAnsi" w:cstheme="minorHAnsi"/>
          <w:b/>
          <w:sz w:val="22"/>
        </w:rPr>
        <w:t>11</w:t>
      </w:r>
      <w:r w:rsidRPr="005454CE">
        <w:rPr>
          <w:rFonts w:asciiTheme="minorHAnsi" w:hAnsiTheme="minorHAnsi" w:cstheme="minorHAnsi"/>
          <w:sz w:val="22"/>
        </w:rPr>
        <w:t>, 988-994.</w:t>
      </w:r>
    </w:p>
    <w:p w14:paraId="383E1695"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17.</w:t>
      </w:r>
      <w:r w:rsidRPr="005454CE">
        <w:rPr>
          <w:rFonts w:asciiTheme="minorHAnsi" w:hAnsiTheme="minorHAnsi" w:cstheme="minorHAnsi"/>
          <w:sz w:val="22"/>
        </w:rPr>
        <w:tab/>
        <w:t xml:space="preserve">D. Xu, M. B. Stevens, M. R. Cosby, S. Z. Oener, A. M. Smith, L. J. Enman, K. E. Ayers, C. B. Capuano, J. N. Renner, N. Danilovic, Y. Li, H. Wang, Q. Zhang and S. W. Boettcher, </w:t>
      </w:r>
      <w:r w:rsidRPr="005454CE">
        <w:rPr>
          <w:rFonts w:asciiTheme="minorHAnsi" w:hAnsiTheme="minorHAnsi" w:cstheme="minorHAnsi"/>
          <w:i/>
          <w:sz w:val="22"/>
        </w:rPr>
        <w:t>ACS Catal.</w:t>
      </w:r>
      <w:r w:rsidRPr="005454CE">
        <w:rPr>
          <w:rFonts w:asciiTheme="minorHAnsi" w:hAnsiTheme="minorHAnsi" w:cstheme="minorHAnsi"/>
          <w:sz w:val="22"/>
        </w:rPr>
        <w:t xml:space="preserve">, 2019, </w:t>
      </w:r>
      <w:r w:rsidRPr="005454CE">
        <w:rPr>
          <w:rFonts w:asciiTheme="minorHAnsi" w:hAnsiTheme="minorHAnsi" w:cstheme="minorHAnsi"/>
          <w:b/>
          <w:sz w:val="22"/>
        </w:rPr>
        <w:t>9</w:t>
      </w:r>
      <w:r w:rsidRPr="005454CE">
        <w:rPr>
          <w:rFonts w:asciiTheme="minorHAnsi" w:hAnsiTheme="minorHAnsi" w:cstheme="minorHAnsi"/>
          <w:sz w:val="22"/>
        </w:rPr>
        <w:t>, 7-15.</w:t>
      </w:r>
    </w:p>
    <w:p w14:paraId="40F52AFE"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18.</w:t>
      </w:r>
      <w:r w:rsidRPr="005454CE">
        <w:rPr>
          <w:rFonts w:asciiTheme="minorHAnsi" w:hAnsiTheme="minorHAnsi" w:cstheme="minorHAnsi"/>
          <w:sz w:val="22"/>
        </w:rPr>
        <w:tab/>
        <w:t xml:space="preserve">H. Nolan and M. P. Browne, </w:t>
      </w:r>
      <w:r w:rsidRPr="005454CE">
        <w:rPr>
          <w:rFonts w:asciiTheme="minorHAnsi" w:hAnsiTheme="minorHAnsi" w:cstheme="minorHAnsi"/>
          <w:i/>
          <w:sz w:val="22"/>
        </w:rPr>
        <w:t>Curr. Opin. Electrochem.</w:t>
      </w:r>
      <w:r w:rsidRPr="005454CE">
        <w:rPr>
          <w:rFonts w:asciiTheme="minorHAnsi" w:hAnsiTheme="minorHAnsi" w:cstheme="minorHAnsi"/>
          <w:sz w:val="22"/>
        </w:rPr>
        <w:t xml:space="preserve">, 2020, </w:t>
      </w:r>
      <w:r w:rsidRPr="005454CE">
        <w:rPr>
          <w:rFonts w:asciiTheme="minorHAnsi" w:hAnsiTheme="minorHAnsi" w:cstheme="minorHAnsi"/>
          <w:b/>
          <w:sz w:val="22"/>
        </w:rPr>
        <w:t>21</w:t>
      </w:r>
      <w:r w:rsidRPr="005454CE">
        <w:rPr>
          <w:rFonts w:asciiTheme="minorHAnsi" w:hAnsiTheme="minorHAnsi" w:cstheme="minorHAnsi"/>
          <w:sz w:val="22"/>
        </w:rPr>
        <w:t>, 55-61.</w:t>
      </w:r>
    </w:p>
    <w:p w14:paraId="187F3C73"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19.</w:t>
      </w:r>
      <w:r w:rsidRPr="005454CE">
        <w:rPr>
          <w:rFonts w:asciiTheme="minorHAnsi" w:hAnsiTheme="minorHAnsi" w:cstheme="minorHAnsi"/>
          <w:sz w:val="22"/>
        </w:rPr>
        <w:tab/>
        <w:t xml:space="preserve">P. P. Patel, M. K. Datta, O. I. Velikokhatnyi, R. Kuruba, K. Damodaran, P. Jampani, B. Gattu, P. M. Shanthi, S. S. Damle and P. N. Kumta, </w:t>
      </w:r>
      <w:r w:rsidRPr="005454CE">
        <w:rPr>
          <w:rFonts w:asciiTheme="minorHAnsi" w:hAnsiTheme="minorHAnsi" w:cstheme="minorHAnsi"/>
          <w:i/>
          <w:sz w:val="22"/>
        </w:rPr>
        <w:t>Sci. Rep.</w:t>
      </w:r>
      <w:r w:rsidRPr="005454CE">
        <w:rPr>
          <w:rFonts w:asciiTheme="minorHAnsi" w:hAnsiTheme="minorHAnsi" w:cstheme="minorHAnsi"/>
          <w:sz w:val="22"/>
        </w:rPr>
        <w:t xml:space="preserve">, 2016, </w:t>
      </w:r>
      <w:r w:rsidRPr="005454CE">
        <w:rPr>
          <w:rFonts w:asciiTheme="minorHAnsi" w:hAnsiTheme="minorHAnsi" w:cstheme="minorHAnsi"/>
          <w:b/>
          <w:sz w:val="22"/>
        </w:rPr>
        <w:t>6</w:t>
      </w:r>
      <w:r w:rsidRPr="005454CE">
        <w:rPr>
          <w:rFonts w:asciiTheme="minorHAnsi" w:hAnsiTheme="minorHAnsi" w:cstheme="minorHAnsi"/>
          <w:sz w:val="22"/>
        </w:rPr>
        <w:t>, 28367.</w:t>
      </w:r>
    </w:p>
    <w:p w14:paraId="643ECA03"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20.</w:t>
      </w:r>
      <w:r w:rsidRPr="005454CE">
        <w:rPr>
          <w:rFonts w:asciiTheme="minorHAnsi" w:hAnsiTheme="minorHAnsi" w:cstheme="minorHAnsi"/>
          <w:sz w:val="22"/>
        </w:rPr>
        <w:tab/>
        <w:t xml:space="preserve">M. Etzi Coller Pascuzzi, A. Goryachev, J. P. Hofmann and E. J. M. Hensen, </w:t>
      </w:r>
      <w:r w:rsidRPr="005454CE">
        <w:rPr>
          <w:rFonts w:asciiTheme="minorHAnsi" w:hAnsiTheme="minorHAnsi" w:cstheme="minorHAnsi"/>
          <w:i/>
          <w:sz w:val="22"/>
        </w:rPr>
        <w:t>Appl. Catal. B</w:t>
      </w:r>
      <w:r w:rsidRPr="005454CE">
        <w:rPr>
          <w:rFonts w:asciiTheme="minorHAnsi" w:hAnsiTheme="minorHAnsi" w:cstheme="minorHAnsi"/>
          <w:sz w:val="22"/>
        </w:rPr>
        <w:t xml:space="preserve">, 2020, </w:t>
      </w:r>
      <w:r w:rsidRPr="005454CE">
        <w:rPr>
          <w:rFonts w:asciiTheme="minorHAnsi" w:hAnsiTheme="minorHAnsi" w:cstheme="minorHAnsi"/>
          <w:b/>
          <w:sz w:val="22"/>
        </w:rPr>
        <w:t>261</w:t>
      </w:r>
      <w:r w:rsidRPr="005454CE">
        <w:rPr>
          <w:rFonts w:asciiTheme="minorHAnsi" w:hAnsiTheme="minorHAnsi" w:cstheme="minorHAnsi"/>
          <w:sz w:val="22"/>
        </w:rPr>
        <w:t>, 118225.</w:t>
      </w:r>
    </w:p>
    <w:p w14:paraId="57D8C4CF"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21.</w:t>
      </w:r>
      <w:r w:rsidRPr="005454CE">
        <w:rPr>
          <w:rFonts w:asciiTheme="minorHAnsi" w:hAnsiTheme="minorHAnsi" w:cstheme="minorHAnsi"/>
          <w:sz w:val="22"/>
        </w:rPr>
        <w:tab/>
        <w:t xml:space="preserve">Y. Lin, Z. Tian, L. Zhang, J. Ma, Z. Jiang, B. J. Deibert, R. Ge and L. Chen, </w:t>
      </w:r>
      <w:r w:rsidRPr="005454CE">
        <w:rPr>
          <w:rFonts w:asciiTheme="minorHAnsi" w:hAnsiTheme="minorHAnsi" w:cstheme="minorHAnsi"/>
          <w:i/>
          <w:sz w:val="22"/>
        </w:rPr>
        <w:t>Nat. Commun.</w:t>
      </w:r>
      <w:r w:rsidRPr="005454CE">
        <w:rPr>
          <w:rFonts w:asciiTheme="minorHAnsi" w:hAnsiTheme="minorHAnsi" w:cstheme="minorHAnsi"/>
          <w:sz w:val="22"/>
        </w:rPr>
        <w:t xml:space="preserve">, 2019, </w:t>
      </w:r>
      <w:r w:rsidRPr="005454CE">
        <w:rPr>
          <w:rFonts w:asciiTheme="minorHAnsi" w:hAnsiTheme="minorHAnsi" w:cstheme="minorHAnsi"/>
          <w:b/>
          <w:sz w:val="22"/>
        </w:rPr>
        <w:t>10</w:t>
      </w:r>
      <w:r w:rsidRPr="005454CE">
        <w:rPr>
          <w:rFonts w:asciiTheme="minorHAnsi" w:hAnsiTheme="minorHAnsi" w:cstheme="minorHAnsi"/>
          <w:sz w:val="22"/>
        </w:rPr>
        <w:t>, 162.</w:t>
      </w:r>
    </w:p>
    <w:p w14:paraId="32030C5F"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22.</w:t>
      </w:r>
      <w:r w:rsidRPr="005454CE">
        <w:rPr>
          <w:rFonts w:asciiTheme="minorHAnsi" w:hAnsiTheme="minorHAnsi" w:cstheme="minorHAnsi"/>
          <w:sz w:val="22"/>
        </w:rPr>
        <w:tab/>
        <w:t xml:space="preserve">M. P. Browne, E. Redondo and M. Pumera, </w:t>
      </w:r>
      <w:r w:rsidRPr="005454CE">
        <w:rPr>
          <w:rFonts w:asciiTheme="minorHAnsi" w:hAnsiTheme="minorHAnsi" w:cstheme="minorHAnsi"/>
          <w:i/>
          <w:sz w:val="22"/>
        </w:rPr>
        <w:t>Chem. Rev.</w:t>
      </w:r>
      <w:r w:rsidRPr="005454CE">
        <w:rPr>
          <w:rFonts w:asciiTheme="minorHAnsi" w:hAnsiTheme="minorHAnsi" w:cstheme="minorHAnsi"/>
          <w:sz w:val="22"/>
        </w:rPr>
        <w:t xml:space="preserve">, 2020, </w:t>
      </w:r>
      <w:r w:rsidRPr="005454CE">
        <w:rPr>
          <w:rFonts w:asciiTheme="minorHAnsi" w:hAnsiTheme="minorHAnsi" w:cstheme="minorHAnsi"/>
          <w:b/>
          <w:sz w:val="22"/>
        </w:rPr>
        <w:t>120</w:t>
      </w:r>
      <w:r w:rsidRPr="005454CE">
        <w:rPr>
          <w:rFonts w:asciiTheme="minorHAnsi" w:hAnsiTheme="minorHAnsi" w:cstheme="minorHAnsi"/>
          <w:sz w:val="22"/>
        </w:rPr>
        <w:t>, 2783-2810.</w:t>
      </w:r>
    </w:p>
    <w:p w14:paraId="39FE63D1"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23.</w:t>
      </w:r>
      <w:r w:rsidRPr="005454CE">
        <w:rPr>
          <w:rFonts w:asciiTheme="minorHAnsi" w:hAnsiTheme="minorHAnsi" w:cstheme="minorHAnsi"/>
          <w:sz w:val="22"/>
        </w:rPr>
        <w:tab/>
        <w:t xml:space="preserve">A. Ambrosi and M. Pumera, </w:t>
      </w:r>
      <w:r w:rsidRPr="005454CE">
        <w:rPr>
          <w:rFonts w:asciiTheme="minorHAnsi" w:hAnsiTheme="minorHAnsi" w:cstheme="minorHAnsi"/>
          <w:i/>
          <w:sz w:val="22"/>
        </w:rPr>
        <w:t>Chem. Soc. Rev.</w:t>
      </w:r>
      <w:r w:rsidRPr="005454CE">
        <w:rPr>
          <w:rFonts w:asciiTheme="minorHAnsi" w:hAnsiTheme="minorHAnsi" w:cstheme="minorHAnsi"/>
          <w:sz w:val="22"/>
        </w:rPr>
        <w:t xml:space="preserve">, 2016, </w:t>
      </w:r>
      <w:r w:rsidRPr="005454CE">
        <w:rPr>
          <w:rFonts w:asciiTheme="minorHAnsi" w:hAnsiTheme="minorHAnsi" w:cstheme="minorHAnsi"/>
          <w:b/>
          <w:sz w:val="22"/>
        </w:rPr>
        <w:t>45</w:t>
      </w:r>
      <w:r w:rsidRPr="005454CE">
        <w:rPr>
          <w:rFonts w:asciiTheme="minorHAnsi" w:hAnsiTheme="minorHAnsi" w:cstheme="minorHAnsi"/>
          <w:sz w:val="22"/>
        </w:rPr>
        <w:t>, 2740-2755.</w:t>
      </w:r>
    </w:p>
    <w:p w14:paraId="6F481174"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24.</w:t>
      </w:r>
      <w:r w:rsidRPr="005454CE">
        <w:rPr>
          <w:rFonts w:asciiTheme="minorHAnsi" w:hAnsiTheme="minorHAnsi" w:cstheme="minorHAnsi"/>
          <w:sz w:val="22"/>
        </w:rPr>
        <w:tab/>
        <w:t xml:space="preserve">M. P. Browne, V. Urbanova, J. Plutnar, F. Novotný and M. Pumera, </w:t>
      </w:r>
      <w:r w:rsidRPr="005454CE">
        <w:rPr>
          <w:rFonts w:asciiTheme="minorHAnsi" w:hAnsiTheme="minorHAnsi" w:cstheme="minorHAnsi"/>
          <w:i/>
          <w:sz w:val="22"/>
        </w:rPr>
        <w:t>J. Mater. Chem. A</w:t>
      </w:r>
      <w:r w:rsidRPr="005454CE">
        <w:rPr>
          <w:rFonts w:asciiTheme="minorHAnsi" w:hAnsiTheme="minorHAnsi" w:cstheme="minorHAnsi"/>
          <w:sz w:val="22"/>
        </w:rPr>
        <w:t xml:space="preserve">, 2020, </w:t>
      </w:r>
      <w:r w:rsidRPr="005454CE">
        <w:rPr>
          <w:rFonts w:asciiTheme="minorHAnsi" w:hAnsiTheme="minorHAnsi" w:cstheme="minorHAnsi"/>
          <w:b/>
          <w:sz w:val="22"/>
        </w:rPr>
        <w:t>8</w:t>
      </w:r>
      <w:r w:rsidRPr="005454CE">
        <w:rPr>
          <w:rFonts w:asciiTheme="minorHAnsi" w:hAnsiTheme="minorHAnsi" w:cstheme="minorHAnsi"/>
          <w:sz w:val="22"/>
        </w:rPr>
        <w:t>, 1120-1126.</w:t>
      </w:r>
    </w:p>
    <w:p w14:paraId="3AD288C0"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25.</w:t>
      </w:r>
      <w:r w:rsidRPr="005454CE">
        <w:rPr>
          <w:rFonts w:asciiTheme="minorHAnsi" w:hAnsiTheme="minorHAnsi" w:cstheme="minorHAnsi"/>
          <w:sz w:val="22"/>
        </w:rPr>
        <w:tab/>
        <w:t xml:space="preserve">L. Yang, G. Yu, X. Ai, W. Yan, H. Duan, W. Chen, X. Li, T. Wang, C. Zhang, X. Huang, J.-S. Chen and X. Zou, </w:t>
      </w:r>
      <w:r w:rsidRPr="005454CE">
        <w:rPr>
          <w:rFonts w:asciiTheme="minorHAnsi" w:hAnsiTheme="minorHAnsi" w:cstheme="minorHAnsi"/>
          <w:i/>
          <w:sz w:val="22"/>
        </w:rPr>
        <w:t>Nat. Commun.</w:t>
      </w:r>
      <w:r w:rsidRPr="005454CE">
        <w:rPr>
          <w:rFonts w:asciiTheme="minorHAnsi" w:hAnsiTheme="minorHAnsi" w:cstheme="minorHAnsi"/>
          <w:sz w:val="22"/>
        </w:rPr>
        <w:t xml:space="preserve">, 2018, </w:t>
      </w:r>
      <w:r w:rsidRPr="005454CE">
        <w:rPr>
          <w:rFonts w:asciiTheme="minorHAnsi" w:hAnsiTheme="minorHAnsi" w:cstheme="minorHAnsi"/>
          <w:b/>
          <w:sz w:val="22"/>
        </w:rPr>
        <w:t>9</w:t>
      </w:r>
      <w:r w:rsidRPr="005454CE">
        <w:rPr>
          <w:rFonts w:asciiTheme="minorHAnsi" w:hAnsiTheme="minorHAnsi" w:cstheme="minorHAnsi"/>
          <w:sz w:val="22"/>
        </w:rPr>
        <w:t>, 5236.</w:t>
      </w:r>
    </w:p>
    <w:p w14:paraId="39D50019"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26.</w:t>
      </w:r>
      <w:r w:rsidRPr="005454CE">
        <w:rPr>
          <w:rFonts w:asciiTheme="minorHAnsi" w:hAnsiTheme="minorHAnsi" w:cstheme="minorHAnsi"/>
          <w:sz w:val="22"/>
        </w:rPr>
        <w:tab/>
        <w:t xml:space="preserve">P. E. Pearce, C. Yang, A. Iadecola, J. Rodriguez-Carvajal, G. Rousse, R. Dedryvère, A. M. Abakumov, D. Giaume, M. Deschamps, J.-M. Tarascon and A. Grimaud, </w:t>
      </w:r>
      <w:r w:rsidRPr="005454CE">
        <w:rPr>
          <w:rFonts w:asciiTheme="minorHAnsi" w:hAnsiTheme="minorHAnsi" w:cstheme="minorHAnsi"/>
          <w:i/>
          <w:sz w:val="22"/>
        </w:rPr>
        <w:t>Chem. Mater.</w:t>
      </w:r>
      <w:r w:rsidRPr="005454CE">
        <w:rPr>
          <w:rFonts w:asciiTheme="minorHAnsi" w:hAnsiTheme="minorHAnsi" w:cstheme="minorHAnsi"/>
          <w:sz w:val="22"/>
        </w:rPr>
        <w:t xml:space="preserve">, 2019, </w:t>
      </w:r>
      <w:r w:rsidRPr="005454CE">
        <w:rPr>
          <w:rFonts w:asciiTheme="minorHAnsi" w:hAnsiTheme="minorHAnsi" w:cstheme="minorHAnsi"/>
          <w:b/>
          <w:sz w:val="22"/>
        </w:rPr>
        <w:t>31</w:t>
      </w:r>
      <w:r w:rsidRPr="005454CE">
        <w:rPr>
          <w:rFonts w:asciiTheme="minorHAnsi" w:hAnsiTheme="minorHAnsi" w:cstheme="minorHAnsi"/>
          <w:sz w:val="22"/>
        </w:rPr>
        <w:t>, 5845-5855.</w:t>
      </w:r>
    </w:p>
    <w:p w14:paraId="3B718A76"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27.</w:t>
      </w:r>
      <w:r w:rsidRPr="005454CE">
        <w:rPr>
          <w:rFonts w:asciiTheme="minorHAnsi" w:hAnsiTheme="minorHAnsi" w:cstheme="minorHAnsi"/>
          <w:sz w:val="22"/>
        </w:rPr>
        <w:tab/>
        <w:t xml:space="preserve">M. Maier, Q. Meyer, J. Majasan, C. Tan, I. Dedigama, J. Robinson, J. Dodwell, Y. Wu, L. Castanheira, G. Hinds, P. R. Shearing and D. J. L. Brett, </w:t>
      </w:r>
      <w:r w:rsidRPr="005454CE">
        <w:rPr>
          <w:rFonts w:asciiTheme="minorHAnsi" w:hAnsiTheme="minorHAnsi" w:cstheme="minorHAnsi"/>
          <w:i/>
          <w:sz w:val="22"/>
        </w:rPr>
        <w:t>J. Power Sources</w:t>
      </w:r>
      <w:r w:rsidRPr="005454CE">
        <w:rPr>
          <w:rFonts w:asciiTheme="minorHAnsi" w:hAnsiTheme="minorHAnsi" w:cstheme="minorHAnsi"/>
          <w:sz w:val="22"/>
        </w:rPr>
        <w:t xml:space="preserve">, 2019, </w:t>
      </w:r>
      <w:r w:rsidRPr="005454CE">
        <w:rPr>
          <w:rFonts w:asciiTheme="minorHAnsi" w:hAnsiTheme="minorHAnsi" w:cstheme="minorHAnsi"/>
          <w:b/>
          <w:sz w:val="22"/>
        </w:rPr>
        <w:t>424</w:t>
      </w:r>
      <w:r w:rsidRPr="005454CE">
        <w:rPr>
          <w:rFonts w:asciiTheme="minorHAnsi" w:hAnsiTheme="minorHAnsi" w:cstheme="minorHAnsi"/>
          <w:sz w:val="22"/>
        </w:rPr>
        <w:t>, 138-149.</w:t>
      </w:r>
    </w:p>
    <w:p w14:paraId="0DD9A05F"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28.</w:t>
      </w:r>
      <w:r w:rsidRPr="005454CE">
        <w:rPr>
          <w:rFonts w:asciiTheme="minorHAnsi" w:hAnsiTheme="minorHAnsi" w:cstheme="minorHAnsi"/>
          <w:sz w:val="22"/>
        </w:rPr>
        <w:tab/>
        <w:t xml:space="preserve">G. Yang, S. Yu, Z. Kang, Y. Dohrmann, G. Bender, B. S. Pivovar, J. B. Green, Jr., S. T. Retterer, D. A. Cullen and F. Y. Zhang, </w:t>
      </w:r>
      <w:r w:rsidRPr="005454CE">
        <w:rPr>
          <w:rFonts w:asciiTheme="minorHAnsi" w:hAnsiTheme="minorHAnsi" w:cstheme="minorHAnsi"/>
          <w:i/>
          <w:sz w:val="22"/>
        </w:rPr>
        <w:t>Energy Convers. Manag.</w:t>
      </w:r>
      <w:r w:rsidRPr="005454CE">
        <w:rPr>
          <w:rFonts w:asciiTheme="minorHAnsi" w:hAnsiTheme="minorHAnsi" w:cstheme="minorHAnsi"/>
          <w:sz w:val="22"/>
        </w:rPr>
        <w:t>, 2019, DOI: 10.1016/j.enconman.2018.12.046, 108-116.</w:t>
      </w:r>
    </w:p>
    <w:p w14:paraId="70EA0545"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29.</w:t>
      </w:r>
      <w:r w:rsidRPr="005454CE">
        <w:rPr>
          <w:rFonts w:asciiTheme="minorHAnsi" w:hAnsiTheme="minorHAnsi" w:cstheme="minorHAnsi"/>
          <w:sz w:val="22"/>
        </w:rPr>
        <w:tab/>
        <w:t xml:space="preserve">J. A. Arminio-Ravelo, A. W. Jensen, K. D. Jensen, J. Quinson and M. Escudero-Escribano, </w:t>
      </w:r>
      <w:r w:rsidRPr="005454CE">
        <w:rPr>
          <w:rFonts w:asciiTheme="minorHAnsi" w:hAnsiTheme="minorHAnsi" w:cstheme="minorHAnsi"/>
          <w:i/>
          <w:sz w:val="22"/>
        </w:rPr>
        <w:t>ChemPhysChem</w:t>
      </w:r>
      <w:r w:rsidRPr="005454CE">
        <w:rPr>
          <w:rFonts w:asciiTheme="minorHAnsi" w:hAnsiTheme="minorHAnsi" w:cstheme="minorHAnsi"/>
          <w:sz w:val="22"/>
        </w:rPr>
        <w:t xml:space="preserve">, 2019, </w:t>
      </w:r>
      <w:r w:rsidRPr="005454CE">
        <w:rPr>
          <w:rFonts w:asciiTheme="minorHAnsi" w:hAnsiTheme="minorHAnsi" w:cstheme="minorHAnsi"/>
          <w:b/>
          <w:sz w:val="22"/>
        </w:rPr>
        <w:t>20</w:t>
      </w:r>
      <w:r w:rsidRPr="005454CE">
        <w:rPr>
          <w:rFonts w:asciiTheme="minorHAnsi" w:hAnsiTheme="minorHAnsi" w:cstheme="minorHAnsi"/>
          <w:sz w:val="22"/>
        </w:rPr>
        <w:t>, 2956-2963.</w:t>
      </w:r>
    </w:p>
    <w:p w14:paraId="5CD92113"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30.</w:t>
      </w:r>
      <w:r w:rsidRPr="005454CE">
        <w:rPr>
          <w:rFonts w:asciiTheme="minorHAnsi" w:hAnsiTheme="minorHAnsi" w:cstheme="minorHAnsi"/>
          <w:sz w:val="22"/>
        </w:rPr>
        <w:tab/>
        <w:t xml:space="preserve">M. Bernt, A. Siebel and H. A. Gasteiger, </w:t>
      </w:r>
      <w:r w:rsidRPr="005454CE">
        <w:rPr>
          <w:rFonts w:asciiTheme="minorHAnsi" w:hAnsiTheme="minorHAnsi" w:cstheme="minorHAnsi"/>
          <w:i/>
          <w:sz w:val="22"/>
        </w:rPr>
        <w:t>J. Electrochem. Soc</w:t>
      </w:r>
      <w:r w:rsidRPr="005454CE">
        <w:rPr>
          <w:rFonts w:asciiTheme="minorHAnsi" w:hAnsiTheme="minorHAnsi" w:cstheme="minorHAnsi"/>
          <w:sz w:val="22"/>
        </w:rPr>
        <w:t xml:space="preserve">, 2018, </w:t>
      </w:r>
      <w:r w:rsidRPr="005454CE">
        <w:rPr>
          <w:rFonts w:asciiTheme="minorHAnsi" w:hAnsiTheme="minorHAnsi" w:cstheme="minorHAnsi"/>
          <w:b/>
          <w:sz w:val="22"/>
        </w:rPr>
        <w:t>165</w:t>
      </w:r>
      <w:r w:rsidRPr="005454CE">
        <w:rPr>
          <w:rFonts w:asciiTheme="minorHAnsi" w:hAnsiTheme="minorHAnsi" w:cstheme="minorHAnsi"/>
          <w:sz w:val="22"/>
        </w:rPr>
        <w:t>, F305-F314.</w:t>
      </w:r>
    </w:p>
    <w:p w14:paraId="10D6BD3B"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31.</w:t>
      </w:r>
      <w:r w:rsidRPr="005454CE">
        <w:rPr>
          <w:rFonts w:asciiTheme="minorHAnsi" w:hAnsiTheme="minorHAnsi" w:cstheme="minorHAnsi"/>
          <w:sz w:val="22"/>
        </w:rPr>
        <w:tab/>
        <w:t xml:space="preserve">A. A. S. Rovetta, M. P. Browne, A. Harvey, I. J. Godwin, J. N. Coleman and M. E. G. Lyons, </w:t>
      </w:r>
      <w:r w:rsidRPr="005454CE">
        <w:rPr>
          <w:rFonts w:asciiTheme="minorHAnsi" w:hAnsiTheme="minorHAnsi" w:cstheme="minorHAnsi"/>
          <w:i/>
          <w:sz w:val="22"/>
        </w:rPr>
        <w:t>Nanotechnology</w:t>
      </w:r>
      <w:r w:rsidRPr="005454CE">
        <w:rPr>
          <w:rFonts w:asciiTheme="minorHAnsi" w:hAnsiTheme="minorHAnsi" w:cstheme="minorHAnsi"/>
          <w:sz w:val="22"/>
        </w:rPr>
        <w:t xml:space="preserve">, 2017, </w:t>
      </w:r>
      <w:r w:rsidRPr="005454CE">
        <w:rPr>
          <w:rFonts w:asciiTheme="minorHAnsi" w:hAnsiTheme="minorHAnsi" w:cstheme="minorHAnsi"/>
          <w:b/>
          <w:sz w:val="22"/>
        </w:rPr>
        <w:t>28</w:t>
      </w:r>
      <w:r w:rsidRPr="005454CE">
        <w:rPr>
          <w:rFonts w:asciiTheme="minorHAnsi" w:hAnsiTheme="minorHAnsi" w:cstheme="minorHAnsi"/>
          <w:sz w:val="22"/>
        </w:rPr>
        <w:t>, 375401.</w:t>
      </w:r>
    </w:p>
    <w:p w14:paraId="1926466B"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32.</w:t>
      </w:r>
      <w:r w:rsidRPr="005454CE">
        <w:rPr>
          <w:rFonts w:asciiTheme="minorHAnsi" w:hAnsiTheme="minorHAnsi" w:cstheme="minorHAnsi"/>
          <w:sz w:val="22"/>
        </w:rPr>
        <w:tab/>
        <w:t xml:space="preserve">A. S. Gago, J. Bürkle, P. Lettenmeier, T. Morawietz, M. Handl, R. Hiesgen, F. Burggraf, P. A. Valles Beltran and K. A. Friedrich, </w:t>
      </w:r>
      <w:r w:rsidRPr="005454CE">
        <w:rPr>
          <w:rFonts w:asciiTheme="minorHAnsi" w:hAnsiTheme="minorHAnsi" w:cstheme="minorHAnsi"/>
          <w:i/>
          <w:sz w:val="22"/>
        </w:rPr>
        <w:t>ECS Trans.</w:t>
      </w:r>
      <w:r w:rsidRPr="005454CE">
        <w:rPr>
          <w:rFonts w:asciiTheme="minorHAnsi" w:hAnsiTheme="minorHAnsi" w:cstheme="minorHAnsi"/>
          <w:sz w:val="22"/>
        </w:rPr>
        <w:t xml:space="preserve">, 2018, </w:t>
      </w:r>
      <w:r w:rsidRPr="005454CE">
        <w:rPr>
          <w:rFonts w:asciiTheme="minorHAnsi" w:hAnsiTheme="minorHAnsi" w:cstheme="minorHAnsi"/>
          <w:b/>
          <w:sz w:val="22"/>
        </w:rPr>
        <w:t>86</w:t>
      </w:r>
      <w:r w:rsidRPr="005454CE">
        <w:rPr>
          <w:rFonts w:asciiTheme="minorHAnsi" w:hAnsiTheme="minorHAnsi" w:cstheme="minorHAnsi"/>
          <w:sz w:val="22"/>
        </w:rPr>
        <w:t>, 695-700.</w:t>
      </w:r>
    </w:p>
    <w:p w14:paraId="6C68435F"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33.</w:t>
      </w:r>
      <w:r w:rsidRPr="005454CE">
        <w:rPr>
          <w:rFonts w:asciiTheme="minorHAnsi" w:hAnsiTheme="minorHAnsi" w:cstheme="minorHAnsi"/>
          <w:sz w:val="22"/>
        </w:rPr>
        <w:tab/>
        <w:t xml:space="preserve">M. Suermann, A. Pătru, T. J. Schmidt and F. N. Büchi, </w:t>
      </w:r>
      <w:r w:rsidRPr="005454CE">
        <w:rPr>
          <w:rFonts w:asciiTheme="minorHAnsi" w:hAnsiTheme="minorHAnsi" w:cstheme="minorHAnsi"/>
          <w:i/>
          <w:sz w:val="22"/>
        </w:rPr>
        <w:t>Int. J. Hydrog. Energy</w:t>
      </w:r>
      <w:r w:rsidRPr="005454CE">
        <w:rPr>
          <w:rFonts w:asciiTheme="minorHAnsi" w:hAnsiTheme="minorHAnsi" w:cstheme="minorHAnsi"/>
          <w:sz w:val="22"/>
        </w:rPr>
        <w:t xml:space="preserve">, 2017, </w:t>
      </w:r>
      <w:r w:rsidRPr="005454CE">
        <w:rPr>
          <w:rFonts w:asciiTheme="minorHAnsi" w:hAnsiTheme="minorHAnsi" w:cstheme="minorHAnsi"/>
          <w:b/>
          <w:sz w:val="22"/>
        </w:rPr>
        <w:t>42</w:t>
      </w:r>
      <w:r w:rsidRPr="005454CE">
        <w:rPr>
          <w:rFonts w:asciiTheme="minorHAnsi" w:hAnsiTheme="minorHAnsi" w:cstheme="minorHAnsi"/>
          <w:sz w:val="22"/>
        </w:rPr>
        <w:t>, 12076-12086.</w:t>
      </w:r>
    </w:p>
    <w:p w14:paraId="76ED7ECE"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34.</w:t>
      </w:r>
      <w:r w:rsidRPr="005454CE">
        <w:rPr>
          <w:rFonts w:asciiTheme="minorHAnsi" w:hAnsiTheme="minorHAnsi" w:cstheme="minorHAnsi"/>
          <w:sz w:val="22"/>
        </w:rPr>
        <w:tab/>
        <w:t xml:space="preserve">E. Oakton, D. Lebedev, M. Povia, D. F. Abbott, E. Fabbri, A. Fedorov, M. Nachtegaal, C. Copéret and T. J. Schmidt, </w:t>
      </w:r>
      <w:r w:rsidRPr="005454CE">
        <w:rPr>
          <w:rFonts w:asciiTheme="minorHAnsi" w:hAnsiTheme="minorHAnsi" w:cstheme="minorHAnsi"/>
          <w:i/>
          <w:sz w:val="22"/>
        </w:rPr>
        <w:t>ACS Catal.</w:t>
      </w:r>
      <w:r w:rsidRPr="005454CE">
        <w:rPr>
          <w:rFonts w:asciiTheme="minorHAnsi" w:hAnsiTheme="minorHAnsi" w:cstheme="minorHAnsi"/>
          <w:sz w:val="22"/>
        </w:rPr>
        <w:t xml:space="preserve">, 2017, </w:t>
      </w:r>
      <w:r w:rsidRPr="005454CE">
        <w:rPr>
          <w:rFonts w:asciiTheme="minorHAnsi" w:hAnsiTheme="minorHAnsi" w:cstheme="minorHAnsi"/>
          <w:b/>
          <w:sz w:val="22"/>
        </w:rPr>
        <w:t>7</w:t>
      </w:r>
      <w:r w:rsidRPr="005454CE">
        <w:rPr>
          <w:rFonts w:asciiTheme="minorHAnsi" w:hAnsiTheme="minorHAnsi" w:cstheme="minorHAnsi"/>
          <w:sz w:val="22"/>
        </w:rPr>
        <w:t>, 2346-2352.</w:t>
      </w:r>
    </w:p>
    <w:p w14:paraId="1026A93D"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35.</w:t>
      </w:r>
      <w:r w:rsidRPr="005454CE">
        <w:rPr>
          <w:rFonts w:asciiTheme="minorHAnsi" w:hAnsiTheme="minorHAnsi" w:cstheme="minorHAnsi"/>
          <w:sz w:val="22"/>
        </w:rPr>
        <w:tab/>
        <w:t xml:space="preserve">S. Jung, C. C. L. McCrory, I. M. Ferrer, J. C. Peters and T. F. Jaramillo, </w:t>
      </w:r>
      <w:r w:rsidRPr="005454CE">
        <w:rPr>
          <w:rFonts w:asciiTheme="minorHAnsi" w:hAnsiTheme="minorHAnsi" w:cstheme="minorHAnsi"/>
          <w:i/>
          <w:sz w:val="22"/>
        </w:rPr>
        <w:t>J. Mater. Chem. A</w:t>
      </w:r>
      <w:r w:rsidRPr="005454CE">
        <w:rPr>
          <w:rFonts w:asciiTheme="minorHAnsi" w:hAnsiTheme="minorHAnsi" w:cstheme="minorHAnsi"/>
          <w:sz w:val="22"/>
        </w:rPr>
        <w:t xml:space="preserve">, 2016, </w:t>
      </w:r>
      <w:r w:rsidRPr="005454CE">
        <w:rPr>
          <w:rFonts w:asciiTheme="minorHAnsi" w:hAnsiTheme="minorHAnsi" w:cstheme="minorHAnsi"/>
          <w:b/>
          <w:sz w:val="22"/>
        </w:rPr>
        <w:t>4</w:t>
      </w:r>
      <w:r w:rsidRPr="005454CE">
        <w:rPr>
          <w:rFonts w:asciiTheme="minorHAnsi" w:hAnsiTheme="minorHAnsi" w:cstheme="minorHAnsi"/>
          <w:sz w:val="22"/>
        </w:rPr>
        <w:t>, 3068-3076.</w:t>
      </w:r>
    </w:p>
    <w:p w14:paraId="36373B23"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36.</w:t>
      </w:r>
      <w:r w:rsidRPr="005454CE">
        <w:rPr>
          <w:rFonts w:asciiTheme="minorHAnsi" w:hAnsiTheme="minorHAnsi" w:cstheme="minorHAnsi"/>
          <w:sz w:val="22"/>
        </w:rPr>
        <w:tab/>
        <w:t xml:space="preserve">M. P. Browne and A. Mills, </w:t>
      </w:r>
      <w:r w:rsidRPr="005454CE">
        <w:rPr>
          <w:rFonts w:asciiTheme="minorHAnsi" w:hAnsiTheme="minorHAnsi" w:cstheme="minorHAnsi"/>
          <w:i/>
          <w:sz w:val="22"/>
        </w:rPr>
        <w:t>J. Mater. Chem. A</w:t>
      </w:r>
      <w:r w:rsidRPr="005454CE">
        <w:rPr>
          <w:rFonts w:asciiTheme="minorHAnsi" w:hAnsiTheme="minorHAnsi" w:cstheme="minorHAnsi"/>
          <w:sz w:val="22"/>
        </w:rPr>
        <w:t xml:space="preserve">, 2018, </w:t>
      </w:r>
      <w:r w:rsidRPr="005454CE">
        <w:rPr>
          <w:rFonts w:asciiTheme="minorHAnsi" w:hAnsiTheme="minorHAnsi" w:cstheme="minorHAnsi"/>
          <w:b/>
          <w:sz w:val="22"/>
        </w:rPr>
        <w:t>6</w:t>
      </w:r>
      <w:r w:rsidRPr="005454CE">
        <w:rPr>
          <w:rFonts w:asciiTheme="minorHAnsi" w:hAnsiTheme="minorHAnsi" w:cstheme="minorHAnsi"/>
          <w:sz w:val="22"/>
        </w:rPr>
        <w:t>, 14162-14169.</w:t>
      </w:r>
    </w:p>
    <w:p w14:paraId="7FE48D78"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37.</w:t>
      </w:r>
      <w:r w:rsidRPr="005454CE">
        <w:rPr>
          <w:rFonts w:asciiTheme="minorHAnsi" w:hAnsiTheme="minorHAnsi" w:cstheme="minorHAnsi"/>
          <w:sz w:val="22"/>
        </w:rPr>
        <w:tab/>
        <w:t xml:space="preserve">E. Brightman, J. Dodwell, N. van Dijk and G. Hinds, </w:t>
      </w:r>
      <w:r w:rsidRPr="005454CE">
        <w:rPr>
          <w:rFonts w:asciiTheme="minorHAnsi" w:hAnsiTheme="minorHAnsi" w:cstheme="minorHAnsi"/>
          <w:i/>
          <w:sz w:val="22"/>
        </w:rPr>
        <w:t>Electrochem. Commun.</w:t>
      </w:r>
      <w:r w:rsidRPr="005454CE">
        <w:rPr>
          <w:rFonts w:asciiTheme="minorHAnsi" w:hAnsiTheme="minorHAnsi" w:cstheme="minorHAnsi"/>
          <w:sz w:val="22"/>
        </w:rPr>
        <w:t xml:space="preserve">, 2015, </w:t>
      </w:r>
      <w:r w:rsidRPr="005454CE">
        <w:rPr>
          <w:rFonts w:asciiTheme="minorHAnsi" w:hAnsiTheme="minorHAnsi" w:cstheme="minorHAnsi"/>
          <w:b/>
          <w:sz w:val="22"/>
        </w:rPr>
        <w:t>52</w:t>
      </w:r>
      <w:r w:rsidRPr="005454CE">
        <w:rPr>
          <w:rFonts w:asciiTheme="minorHAnsi" w:hAnsiTheme="minorHAnsi" w:cstheme="minorHAnsi"/>
          <w:sz w:val="22"/>
        </w:rPr>
        <w:t>, 1-4.</w:t>
      </w:r>
    </w:p>
    <w:p w14:paraId="7E143A0A"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38.</w:t>
      </w:r>
      <w:r w:rsidRPr="005454CE">
        <w:rPr>
          <w:rFonts w:asciiTheme="minorHAnsi" w:hAnsiTheme="minorHAnsi" w:cstheme="minorHAnsi"/>
          <w:sz w:val="22"/>
        </w:rPr>
        <w:tab/>
        <w:t xml:space="preserve">M. P. Browne, C. O'Rourke, N. Wells and A. Mills, </w:t>
      </w:r>
      <w:r w:rsidRPr="005454CE">
        <w:rPr>
          <w:rFonts w:asciiTheme="minorHAnsi" w:hAnsiTheme="minorHAnsi" w:cstheme="minorHAnsi"/>
          <w:i/>
          <w:sz w:val="22"/>
        </w:rPr>
        <w:t>ChemPhotoChem</w:t>
      </w:r>
      <w:r w:rsidRPr="005454CE">
        <w:rPr>
          <w:rFonts w:asciiTheme="minorHAnsi" w:hAnsiTheme="minorHAnsi" w:cstheme="minorHAnsi"/>
          <w:sz w:val="22"/>
        </w:rPr>
        <w:t xml:space="preserve">, 2018, </w:t>
      </w:r>
      <w:r w:rsidRPr="005454CE">
        <w:rPr>
          <w:rFonts w:asciiTheme="minorHAnsi" w:hAnsiTheme="minorHAnsi" w:cstheme="minorHAnsi"/>
          <w:b/>
          <w:sz w:val="22"/>
        </w:rPr>
        <w:t>2</w:t>
      </w:r>
      <w:r w:rsidRPr="005454CE">
        <w:rPr>
          <w:rFonts w:asciiTheme="minorHAnsi" w:hAnsiTheme="minorHAnsi" w:cstheme="minorHAnsi"/>
          <w:sz w:val="22"/>
        </w:rPr>
        <w:t>, 293-299.</w:t>
      </w:r>
    </w:p>
    <w:p w14:paraId="69037ECD"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39.</w:t>
      </w:r>
      <w:r w:rsidRPr="005454CE">
        <w:rPr>
          <w:rFonts w:asciiTheme="minorHAnsi" w:hAnsiTheme="minorHAnsi" w:cstheme="minorHAnsi"/>
          <w:sz w:val="22"/>
        </w:rPr>
        <w:tab/>
        <w:t xml:space="preserve">A. Ananth, M. S. Gandhi and Y. S. Mok, </w:t>
      </w:r>
      <w:r w:rsidRPr="005454CE">
        <w:rPr>
          <w:rFonts w:asciiTheme="minorHAnsi" w:hAnsiTheme="minorHAnsi" w:cstheme="minorHAnsi"/>
          <w:i/>
          <w:sz w:val="22"/>
        </w:rPr>
        <w:t>J. Phys. D Appl. Phys.</w:t>
      </w:r>
      <w:r w:rsidRPr="005454CE">
        <w:rPr>
          <w:rFonts w:asciiTheme="minorHAnsi" w:hAnsiTheme="minorHAnsi" w:cstheme="minorHAnsi"/>
          <w:sz w:val="22"/>
        </w:rPr>
        <w:t xml:space="preserve">, 2013, </w:t>
      </w:r>
      <w:r w:rsidRPr="005454CE">
        <w:rPr>
          <w:rFonts w:asciiTheme="minorHAnsi" w:hAnsiTheme="minorHAnsi" w:cstheme="minorHAnsi"/>
          <w:b/>
          <w:sz w:val="22"/>
        </w:rPr>
        <w:t>46</w:t>
      </w:r>
      <w:r w:rsidRPr="005454CE">
        <w:rPr>
          <w:rFonts w:asciiTheme="minorHAnsi" w:hAnsiTheme="minorHAnsi" w:cstheme="minorHAnsi"/>
          <w:sz w:val="22"/>
        </w:rPr>
        <w:t>, 155202.</w:t>
      </w:r>
    </w:p>
    <w:p w14:paraId="46247156"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40.</w:t>
      </w:r>
      <w:r w:rsidRPr="005454CE">
        <w:rPr>
          <w:rFonts w:asciiTheme="minorHAnsi" w:hAnsiTheme="minorHAnsi" w:cstheme="minorHAnsi"/>
          <w:sz w:val="22"/>
        </w:rPr>
        <w:tab/>
        <w:t xml:space="preserve">D. D. M. Prabaharan, K. Sadaiyandi, M. Mahendran and S. Sagadevan, </w:t>
      </w:r>
      <w:r w:rsidRPr="005454CE">
        <w:rPr>
          <w:rFonts w:asciiTheme="minorHAnsi" w:hAnsiTheme="minorHAnsi" w:cstheme="minorHAnsi"/>
          <w:i/>
          <w:sz w:val="22"/>
        </w:rPr>
        <w:t>Appl. Phys. A</w:t>
      </w:r>
      <w:r w:rsidRPr="005454CE">
        <w:rPr>
          <w:rFonts w:asciiTheme="minorHAnsi" w:hAnsiTheme="minorHAnsi" w:cstheme="minorHAnsi"/>
          <w:sz w:val="22"/>
        </w:rPr>
        <w:t xml:space="preserve">, 2017, </w:t>
      </w:r>
      <w:r w:rsidRPr="005454CE">
        <w:rPr>
          <w:rFonts w:asciiTheme="minorHAnsi" w:hAnsiTheme="minorHAnsi" w:cstheme="minorHAnsi"/>
          <w:b/>
          <w:sz w:val="22"/>
        </w:rPr>
        <w:t>123</w:t>
      </w:r>
      <w:r w:rsidRPr="005454CE">
        <w:rPr>
          <w:rFonts w:asciiTheme="minorHAnsi" w:hAnsiTheme="minorHAnsi" w:cstheme="minorHAnsi"/>
          <w:sz w:val="22"/>
        </w:rPr>
        <w:t>.</w:t>
      </w:r>
    </w:p>
    <w:p w14:paraId="7F1CDB89"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41.</w:t>
      </w:r>
      <w:r w:rsidRPr="005454CE">
        <w:rPr>
          <w:rFonts w:asciiTheme="minorHAnsi" w:hAnsiTheme="minorHAnsi" w:cstheme="minorHAnsi"/>
          <w:sz w:val="22"/>
        </w:rPr>
        <w:tab/>
        <w:t xml:space="preserve">A. Ramírez, P. Hillebrand, D. Stellmach, M. M. May, P. Bogdanoff and S. Fiechter, </w:t>
      </w:r>
      <w:r w:rsidRPr="005454CE">
        <w:rPr>
          <w:rFonts w:asciiTheme="minorHAnsi" w:hAnsiTheme="minorHAnsi" w:cstheme="minorHAnsi"/>
          <w:i/>
          <w:sz w:val="22"/>
        </w:rPr>
        <w:t>J. Phys. Chem. C</w:t>
      </w:r>
      <w:r w:rsidRPr="005454CE">
        <w:rPr>
          <w:rFonts w:asciiTheme="minorHAnsi" w:hAnsiTheme="minorHAnsi" w:cstheme="minorHAnsi"/>
          <w:sz w:val="22"/>
        </w:rPr>
        <w:t xml:space="preserve">, 2014, </w:t>
      </w:r>
      <w:r w:rsidRPr="005454CE">
        <w:rPr>
          <w:rFonts w:asciiTheme="minorHAnsi" w:hAnsiTheme="minorHAnsi" w:cstheme="minorHAnsi"/>
          <w:b/>
          <w:sz w:val="22"/>
        </w:rPr>
        <w:t>118</w:t>
      </w:r>
      <w:r w:rsidRPr="005454CE">
        <w:rPr>
          <w:rFonts w:asciiTheme="minorHAnsi" w:hAnsiTheme="minorHAnsi" w:cstheme="minorHAnsi"/>
          <w:sz w:val="22"/>
        </w:rPr>
        <w:t>, 14073-14081.</w:t>
      </w:r>
    </w:p>
    <w:p w14:paraId="111F1B2C"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42.</w:t>
      </w:r>
      <w:r w:rsidRPr="005454CE">
        <w:rPr>
          <w:rFonts w:asciiTheme="minorHAnsi" w:hAnsiTheme="minorHAnsi" w:cstheme="minorHAnsi"/>
          <w:sz w:val="22"/>
        </w:rPr>
        <w:tab/>
        <w:t xml:space="preserve">H. Yan, D. Zhang, J. Xu, Y. Lu, Y. Liu, K. Qiu, Y. Zhang and Y. Luo, </w:t>
      </w:r>
      <w:r w:rsidRPr="005454CE">
        <w:rPr>
          <w:rFonts w:asciiTheme="minorHAnsi" w:hAnsiTheme="minorHAnsi" w:cstheme="minorHAnsi"/>
          <w:i/>
          <w:sz w:val="22"/>
        </w:rPr>
        <w:t>Nanoscale Res. Lett.</w:t>
      </w:r>
      <w:r w:rsidRPr="005454CE">
        <w:rPr>
          <w:rFonts w:asciiTheme="minorHAnsi" w:hAnsiTheme="minorHAnsi" w:cstheme="minorHAnsi"/>
          <w:sz w:val="22"/>
        </w:rPr>
        <w:t xml:space="preserve">, 2014, </w:t>
      </w:r>
      <w:r w:rsidRPr="005454CE">
        <w:rPr>
          <w:rFonts w:asciiTheme="minorHAnsi" w:hAnsiTheme="minorHAnsi" w:cstheme="minorHAnsi"/>
          <w:b/>
          <w:sz w:val="22"/>
        </w:rPr>
        <w:t>9</w:t>
      </w:r>
      <w:r w:rsidRPr="005454CE">
        <w:rPr>
          <w:rFonts w:asciiTheme="minorHAnsi" w:hAnsiTheme="minorHAnsi" w:cstheme="minorHAnsi"/>
          <w:sz w:val="22"/>
        </w:rPr>
        <w:t>, 424.</w:t>
      </w:r>
    </w:p>
    <w:p w14:paraId="716218F5"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43.</w:t>
      </w:r>
      <w:r w:rsidRPr="005454CE">
        <w:rPr>
          <w:rFonts w:asciiTheme="minorHAnsi" w:hAnsiTheme="minorHAnsi" w:cstheme="minorHAnsi"/>
          <w:sz w:val="22"/>
        </w:rPr>
        <w:tab/>
        <w:t xml:space="preserve">H. Becker, L. Castanheira and G. Hinds, </w:t>
      </w:r>
      <w:r w:rsidRPr="005454CE">
        <w:rPr>
          <w:rFonts w:asciiTheme="minorHAnsi" w:hAnsiTheme="minorHAnsi" w:cstheme="minorHAnsi"/>
          <w:i/>
          <w:sz w:val="22"/>
        </w:rPr>
        <w:t>J. Power Sources</w:t>
      </w:r>
      <w:r w:rsidRPr="005454CE">
        <w:rPr>
          <w:rFonts w:asciiTheme="minorHAnsi" w:hAnsiTheme="minorHAnsi" w:cstheme="minorHAnsi"/>
          <w:sz w:val="22"/>
        </w:rPr>
        <w:t xml:space="preserve">, 2020, </w:t>
      </w:r>
      <w:r w:rsidRPr="005454CE">
        <w:rPr>
          <w:rFonts w:asciiTheme="minorHAnsi" w:hAnsiTheme="minorHAnsi" w:cstheme="minorHAnsi"/>
          <w:b/>
          <w:sz w:val="22"/>
        </w:rPr>
        <w:t>448</w:t>
      </w:r>
      <w:r w:rsidRPr="005454CE">
        <w:rPr>
          <w:rFonts w:asciiTheme="minorHAnsi" w:hAnsiTheme="minorHAnsi" w:cstheme="minorHAnsi"/>
          <w:sz w:val="22"/>
        </w:rPr>
        <w:t>, 227563.</w:t>
      </w:r>
    </w:p>
    <w:p w14:paraId="5B647520"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44.</w:t>
      </w:r>
      <w:r w:rsidRPr="005454CE">
        <w:rPr>
          <w:rFonts w:asciiTheme="minorHAnsi" w:hAnsiTheme="minorHAnsi" w:cstheme="minorHAnsi"/>
          <w:sz w:val="22"/>
        </w:rPr>
        <w:tab/>
        <w:t xml:space="preserve">W. Li, D. Xiong, X. Gao and L. Liu, </w:t>
      </w:r>
      <w:r w:rsidRPr="005454CE">
        <w:rPr>
          <w:rFonts w:asciiTheme="minorHAnsi" w:hAnsiTheme="minorHAnsi" w:cstheme="minorHAnsi"/>
          <w:i/>
          <w:sz w:val="22"/>
        </w:rPr>
        <w:t>Chem. Commun.</w:t>
      </w:r>
      <w:r w:rsidRPr="005454CE">
        <w:rPr>
          <w:rFonts w:asciiTheme="minorHAnsi" w:hAnsiTheme="minorHAnsi" w:cstheme="minorHAnsi"/>
          <w:sz w:val="22"/>
        </w:rPr>
        <w:t xml:space="preserve">, 2019, </w:t>
      </w:r>
      <w:r w:rsidRPr="005454CE">
        <w:rPr>
          <w:rFonts w:asciiTheme="minorHAnsi" w:hAnsiTheme="minorHAnsi" w:cstheme="minorHAnsi"/>
          <w:b/>
          <w:sz w:val="22"/>
        </w:rPr>
        <w:t>55</w:t>
      </w:r>
      <w:r w:rsidRPr="005454CE">
        <w:rPr>
          <w:rFonts w:asciiTheme="minorHAnsi" w:hAnsiTheme="minorHAnsi" w:cstheme="minorHAnsi"/>
          <w:sz w:val="22"/>
        </w:rPr>
        <w:t>, 8744-8763.</w:t>
      </w:r>
    </w:p>
    <w:p w14:paraId="37EE2BDC"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45.</w:t>
      </w:r>
      <w:r w:rsidRPr="005454CE">
        <w:rPr>
          <w:rFonts w:asciiTheme="minorHAnsi" w:hAnsiTheme="minorHAnsi" w:cstheme="minorHAnsi"/>
          <w:sz w:val="22"/>
        </w:rPr>
        <w:tab/>
        <w:t xml:space="preserve">A. L. Strickler, D. Higgins and T. F. Jaramillo, </w:t>
      </w:r>
      <w:r w:rsidRPr="005454CE">
        <w:rPr>
          <w:rFonts w:asciiTheme="minorHAnsi" w:hAnsiTheme="minorHAnsi" w:cstheme="minorHAnsi"/>
          <w:i/>
          <w:sz w:val="22"/>
        </w:rPr>
        <w:t>ACS Appl. Energy Mater.</w:t>
      </w:r>
      <w:r w:rsidRPr="005454CE">
        <w:rPr>
          <w:rFonts w:asciiTheme="minorHAnsi" w:hAnsiTheme="minorHAnsi" w:cstheme="minorHAnsi"/>
          <w:sz w:val="22"/>
        </w:rPr>
        <w:t xml:space="preserve">, 2019, </w:t>
      </w:r>
      <w:r w:rsidRPr="005454CE">
        <w:rPr>
          <w:rFonts w:asciiTheme="minorHAnsi" w:hAnsiTheme="minorHAnsi" w:cstheme="minorHAnsi"/>
          <w:b/>
          <w:sz w:val="22"/>
        </w:rPr>
        <w:t>2</w:t>
      </w:r>
      <w:r w:rsidRPr="005454CE">
        <w:rPr>
          <w:rFonts w:asciiTheme="minorHAnsi" w:hAnsiTheme="minorHAnsi" w:cstheme="minorHAnsi"/>
          <w:sz w:val="22"/>
        </w:rPr>
        <w:t>, 5490-5498.</w:t>
      </w:r>
    </w:p>
    <w:p w14:paraId="47156B97"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46.</w:t>
      </w:r>
      <w:r w:rsidRPr="005454CE">
        <w:rPr>
          <w:rFonts w:asciiTheme="minorHAnsi" w:hAnsiTheme="minorHAnsi" w:cstheme="minorHAnsi"/>
          <w:sz w:val="22"/>
        </w:rPr>
        <w:tab/>
        <w:t xml:space="preserve">S. Geiger, O. Kasian, A. M. Mingers, S. S. Nicley, K. Haenen, K. J. J. Mayrhofer and S. Cherevko, </w:t>
      </w:r>
      <w:r w:rsidRPr="005454CE">
        <w:rPr>
          <w:rFonts w:asciiTheme="minorHAnsi" w:hAnsiTheme="minorHAnsi" w:cstheme="minorHAnsi"/>
          <w:i/>
          <w:sz w:val="22"/>
        </w:rPr>
        <w:t>ChemSusChem</w:t>
      </w:r>
      <w:r w:rsidRPr="005454CE">
        <w:rPr>
          <w:rFonts w:asciiTheme="minorHAnsi" w:hAnsiTheme="minorHAnsi" w:cstheme="minorHAnsi"/>
          <w:sz w:val="22"/>
        </w:rPr>
        <w:t xml:space="preserve">, 2017, </w:t>
      </w:r>
      <w:r w:rsidRPr="005454CE">
        <w:rPr>
          <w:rFonts w:asciiTheme="minorHAnsi" w:hAnsiTheme="minorHAnsi" w:cstheme="minorHAnsi"/>
          <w:b/>
          <w:sz w:val="22"/>
        </w:rPr>
        <w:t>10</w:t>
      </w:r>
      <w:r w:rsidRPr="005454CE">
        <w:rPr>
          <w:rFonts w:asciiTheme="minorHAnsi" w:hAnsiTheme="minorHAnsi" w:cstheme="minorHAnsi"/>
          <w:sz w:val="22"/>
        </w:rPr>
        <w:t>, 4140-4143.</w:t>
      </w:r>
    </w:p>
    <w:p w14:paraId="1BCD6370"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47.</w:t>
      </w:r>
      <w:r w:rsidRPr="005454CE">
        <w:rPr>
          <w:rFonts w:asciiTheme="minorHAnsi" w:hAnsiTheme="minorHAnsi" w:cstheme="minorHAnsi"/>
          <w:sz w:val="22"/>
        </w:rPr>
        <w:tab/>
        <w:t xml:space="preserve">A. W. Jensen, G. W. Sievers, K. D. Jensen, J. Quinson, J. A. Arminio-Ravelo, V. Brüser, M. Arenz and M. Escudero-Escribano, </w:t>
      </w:r>
      <w:r w:rsidRPr="005454CE">
        <w:rPr>
          <w:rFonts w:asciiTheme="minorHAnsi" w:hAnsiTheme="minorHAnsi" w:cstheme="minorHAnsi"/>
          <w:i/>
          <w:sz w:val="22"/>
        </w:rPr>
        <w:t>J. Mater. Chem. A</w:t>
      </w:r>
      <w:r w:rsidRPr="005454CE">
        <w:rPr>
          <w:rFonts w:asciiTheme="minorHAnsi" w:hAnsiTheme="minorHAnsi" w:cstheme="minorHAnsi"/>
          <w:sz w:val="22"/>
        </w:rPr>
        <w:t xml:space="preserve">, 2020, </w:t>
      </w:r>
      <w:r w:rsidRPr="005454CE">
        <w:rPr>
          <w:rFonts w:asciiTheme="minorHAnsi" w:hAnsiTheme="minorHAnsi" w:cstheme="minorHAnsi"/>
          <w:b/>
          <w:sz w:val="22"/>
        </w:rPr>
        <w:t>8</w:t>
      </w:r>
      <w:r w:rsidRPr="005454CE">
        <w:rPr>
          <w:rFonts w:asciiTheme="minorHAnsi" w:hAnsiTheme="minorHAnsi" w:cstheme="minorHAnsi"/>
          <w:sz w:val="22"/>
        </w:rPr>
        <w:t>, 1066-1071.</w:t>
      </w:r>
    </w:p>
    <w:p w14:paraId="316C8286" w14:textId="77777777" w:rsidR="00AC02ED" w:rsidRPr="005454CE" w:rsidRDefault="00AC02ED"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48.</w:t>
      </w:r>
      <w:r w:rsidRPr="005454CE">
        <w:rPr>
          <w:rFonts w:asciiTheme="minorHAnsi" w:hAnsiTheme="minorHAnsi" w:cstheme="minorHAnsi"/>
          <w:sz w:val="22"/>
        </w:rPr>
        <w:tab/>
        <w:t xml:space="preserve">K. Ayers, </w:t>
      </w:r>
      <w:r w:rsidRPr="005454CE">
        <w:rPr>
          <w:rFonts w:asciiTheme="minorHAnsi" w:hAnsiTheme="minorHAnsi" w:cstheme="minorHAnsi"/>
          <w:i/>
          <w:sz w:val="22"/>
        </w:rPr>
        <w:t>Curr. Opin. Electrochem.</w:t>
      </w:r>
      <w:r w:rsidRPr="005454CE">
        <w:rPr>
          <w:rFonts w:asciiTheme="minorHAnsi" w:hAnsiTheme="minorHAnsi" w:cstheme="minorHAnsi"/>
          <w:sz w:val="22"/>
        </w:rPr>
        <w:t xml:space="preserve">, 2019, </w:t>
      </w:r>
      <w:r w:rsidRPr="005454CE">
        <w:rPr>
          <w:rFonts w:asciiTheme="minorHAnsi" w:hAnsiTheme="minorHAnsi" w:cstheme="minorHAnsi"/>
          <w:b/>
          <w:sz w:val="22"/>
        </w:rPr>
        <w:t>18</w:t>
      </w:r>
      <w:r w:rsidRPr="005454CE">
        <w:rPr>
          <w:rFonts w:asciiTheme="minorHAnsi" w:hAnsiTheme="minorHAnsi" w:cstheme="minorHAnsi"/>
          <w:sz w:val="22"/>
        </w:rPr>
        <w:t>, 9-15.</w:t>
      </w:r>
    </w:p>
    <w:p w14:paraId="2AD8296B" w14:textId="77777777" w:rsidR="003041AE" w:rsidRPr="005454CE" w:rsidRDefault="003041AE"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49.</w:t>
      </w:r>
      <w:r w:rsidR="00A21DE9" w:rsidRPr="005454CE">
        <w:rPr>
          <w:rFonts w:asciiTheme="minorHAnsi" w:hAnsiTheme="minorHAnsi" w:cstheme="minorHAnsi"/>
          <w:sz w:val="22"/>
        </w:rPr>
        <w:tab/>
      </w:r>
      <w:r w:rsidR="00817766" w:rsidRPr="005454CE">
        <w:rPr>
          <w:rFonts w:asciiTheme="minorHAnsi" w:hAnsiTheme="minorHAnsi" w:cstheme="minorHAnsi"/>
          <w:sz w:val="22"/>
          <w:lang w:val="de-DE"/>
        </w:rPr>
        <w:t xml:space="preserve">G. Chisholm, P. J. Kitson, N. D. Kirkaldy, L. G. Bloor and L. Cronin, </w:t>
      </w:r>
      <w:r w:rsidR="00817766" w:rsidRPr="005454CE">
        <w:rPr>
          <w:rFonts w:asciiTheme="minorHAnsi" w:hAnsiTheme="minorHAnsi" w:cstheme="minorHAnsi"/>
          <w:i/>
          <w:sz w:val="22"/>
          <w:lang w:val="de-DE"/>
        </w:rPr>
        <w:t>Energy Environ. Sci.</w:t>
      </w:r>
      <w:r w:rsidR="00817766" w:rsidRPr="005454CE">
        <w:rPr>
          <w:rFonts w:asciiTheme="minorHAnsi" w:hAnsiTheme="minorHAnsi" w:cstheme="minorHAnsi"/>
          <w:sz w:val="22"/>
          <w:lang w:val="de-DE"/>
        </w:rPr>
        <w:t>, 2014,</w:t>
      </w:r>
      <w:r w:rsidR="00817766" w:rsidRPr="005454CE">
        <w:rPr>
          <w:rFonts w:eastAsia="MS Mincho"/>
          <w:noProof w:val="0"/>
          <w:szCs w:val="24"/>
          <w:lang w:val="de-DE" w:eastAsia="ja-JP"/>
        </w:rPr>
        <w:t xml:space="preserve"> </w:t>
      </w:r>
      <w:r w:rsidR="00817766" w:rsidRPr="005454CE">
        <w:rPr>
          <w:rFonts w:asciiTheme="minorHAnsi" w:hAnsiTheme="minorHAnsi" w:cstheme="minorHAnsi"/>
          <w:b/>
          <w:bCs/>
          <w:sz w:val="22"/>
          <w:lang w:val="de-DE"/>
        </w:rPr>
        <w:t>7</w:t>
      </w:r>
      <w:r w:rsidR="00817766" w:rsidRPr="005454CE">
        <w:rPr>
          <w:rFonts w:asciiTheme="minorHAnsi" w:hAnsiTheme="minorHAnsi" w:cstheme="minorHAnsi"/>
          <w:sz w:val="22"/>
          <w:lang w:val="de-DE"/>
        </w:rPr>
        <w:t>, 3026</w:t>
      </w:r>
      <w:r w:rsidR="0045513A" w:rsidRPr="005454CE">
        <w:rPr>
          <w:rFonts w:asciiTheme="minorHAnsi" w:hAnsiTheme="minorHAnsi" w:cstheme="minorHAnsi"/>
          <w:sz w:val="22"/>
          <w:lang w:val="de-DE"/>
        </w:rPr>
        <w:t>-3032</w:t>
      </w:r>
      <w:r w:rsidR="00817766" w:rsidRPr="005454CE">
        <w:rPr>
          <w:rFonts w:asciiTheme="minorHAnsi" w:hAnsiTheme="minorHAnsi" w:cstheme="minorHAnsi"/>
          <w:sz w:val="22"/>
          <w:lang w:val="de-DE"/>
        </w:rPr>
        <w:t xml:space="preserve">. </w:t>
      </w:r>
    </w:p>
    <w:p w14:paraId="41B9C670" w14:textId="77777777" w:rsidR="00AC02ED" w:rsidRPr="005454CE" w:rsidRDefault="003041AE" w:rsidP="003F4DCC">
      <w:pPr>
        <w:pStyle w:val="EndNoteBibliography"/>
        <w:spacing w:after="0"/>
        <w:ind w:left="720" w:hanging="720"/>
        <w:rPr>
          <w:rFonts w:asciiTheme="minorHAnsi" w:hAnsiTheme="minorHAnsi" w:cstheme="minorHAnsi"/>
          <w:sz w:val="22"/>
        </w:rPr>
      </w:pPr>
      <w:r w:rsidRPr="005454CE">
        <w:rPr>
          <w:rFonts w:asciiTheme="minorHAnsi" w:hAnsiTheme="minorHAnsi" w:cstheme="minorHAnsi"/>
          <w:sz w:val="22"/>
        </w:rPr>
        <w:t>50</w:t>
      </w:r>
      <w:r w:rsidR="00AC02ED" w:rsidRPr="005454CE">
        <w:rPr>
          <w:rFonts w:asciiTheme="minorHAnsi" w:hAnsiTheme="minorHAnsi" w:cstheme="minorHAnsi"/>
          <w:sz w:val="22"/>
        </w:rPr>
        <w:t>.</w:t>
      </w:r>
      <w:r w:rsidR="00AC02ED" w:rsidRPr="005454CE">
        <w:rPr>
          <w:rFonts w:asciiTheme="minorHAnsi" w:hAnsiTheme="minorHAnsi" w:cstheme="minorHAnsi"/>
          <w:sz w:val="22"/>
        </w:rPr>
        <w:tab/>
        <w:t>Formlabs, Material Data Sheet Standard, https://dental-media.formlabs.com/datasheets/Standard-DataSheet.pdf).</w:t>
      </w:r>
    </w:p>
    <w:p w14:paraId="0EFE84FE" w14:textId="77777777" w:rsidR="00AC02ED" w:rsidRPr="00E93208" w:rsidRDefault="00AC02ED" w:rsidP="003F4DCC">
      <w:pPr>
        <w:pStyle w:val="EndNoteBibliography"/>
        <w:ind w:left="720" w:hanging="720"/>
        <w:rPr>
          <w:rFonts w:asciiTheme="minorHAnsi" w:hAnsiTheme="minorHAnsi" w:cstheme="minorHAnsi"/>
          <w:sz w:val="22"/>
        </w:rPr>
      </w:pPr>
      <w:r w:rsidRPr="005454CE">
        <w:rPr>
          <w:rFonts w:asciiTheme="minorHAnsi" w:hAnsiTheme="minorHAnsi" w:cstheme="minorHAnsi"/>
          <w:sz w:val="22"/>
        </w:rPr>
        <w:t>5</w:t>
      </w:r>
      <w:r w:rsidR="003041AE" w:rsidRPr="005454CE">
        <w:rPr>
          <w:rFonts w:asciiTheme="minorHAnsi" w:hAnsiTheme="minorHAnsi" w:cstheme="minorHAnsi"/>
          <w:sz w:val="22"/>
        </w:rPr>
        <w:t>1</w:t>
      </w:r>
      <w:r w:rsidRPr="005454CE">
        <w:rPr>
          <w:rFonts w:asciiTheme="minorHAnsi" w:hAnsiTheme="minorHAnsi" w:cstheme="minorHAnsi"/>
          <w:sz w:val="22"/>
        </w:rPr>
        <w:t>.</w:t>
      </w:r>
      <w:r w:rsidRPr="005454CE">
        <w:rPr>
          <w:rFonts w:asciiTheme="minorHAnsi" w:hAnsiTheme="minorHAnsi" w:cstheme="minorHAnsi"/>
          <w:sz w:val="22"/>
        </w:rPr>
        <w:tab/>
        <w:t>Formlabs, Material Data Sheet High Temp, https://archive-media.formlabs.com/upload/HighTemp-DataSheet.pdf).</w:t>
      </w:r>
    </w:p>
    <w:p w14:paraId="5540B0A1" w14:textId="77777777" w:rsidR="00AC02ED" w:rsidRPr="00DB176C" w:rsidRDefault="00AC02ED">
      <w:pPr>
        <w:rPr>
          <w:rFonts w:asciiTheme="minorHAnsi" w:hAnsiTheme="minorHAnsi" w:cstheme="minorHAnsi"/>
          <w:sz w:val="22"/>
          <w:szCs w:val="22"/>
        </w:rPr>
      </w:pPr>
    </w:p>
    <w:p w14:paraId="2DC4FEB6" w14:textId="77777777" w:rsidR="00932ED2" w:rsidRDefault="00932ED2"/>
    <w:sectPr w:rsidR="00932ED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882BF5" w14:textId="77777777" w:rsidR="009E650B" w:rsidRDefault="009E650B">
      <w:r>
        <w:separator/>
      </w:r>
    </w:p>
  </w:endnote>
  <w:endnote w:type="continuationSeparator" w:id="0">
    <w:p w14:paraId="5B99ACC9" w14:textId="77777777" w:rsidR="009E650B" w:rsidRDefault="009E6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77315973"/>
      <w:docPartObj>
        <w:docPartGallery w:val="Page Numbers (Bottom of Page)"/>
        <w:docPartUnique/>
      </w:docPartObj>
    </w:sdtPr>
    <w:sdtEndPr>
      <w:rPr>
        <w:noProof/>
      </w:rPr>
    </w:sdtEndPr>
    <w:sdtContent>
      <w:p w14:paraId="5DFF5D93" w14:textId="77777777" w:rsidR="00615CA3" w:rsidRDefault="005454C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B5BE8C" w14:textId="77777777" w:rsidR="00615CA3" w:rsidRDefault="009E6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EFD869" w14:textId="77777777" w:rsidR="009E650B" w:rsidRDefault="009E650B">
      <w:r>
        <w:separator/>
      </w:r>
    </w:p>
  </w:footnote>
  <w:footnote w:type="continuationSeparator" w:id="0">
    <w:p w14:paraId="57BE44CB" w14:textId="77777777" w:rsidR="009E650B" w:rsidRDefault="009E65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DE0794"/>
    <w:multiLevelType w:val="hybridMultilevel"/>
    <w:tmpl w:val="DCF42E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7EB2524B"/>
    <w:multiLevelType w:val="hybridMultilevel"/>
    <w:tmpl w:val="C84ED4F2"/>
    <w:lvl w:ilvl="0" w:tplc="562A0AC6">
      <w:start w:val="5"/>
      <w:numFmt w:val="bullet"/>
      <w:lvlText w:val="-"/>
      <w:lvlJc w:val="left"/>
      <w:pPr>
        <w:ind w:left="720" w:hanging="360"/>
      </w:pPr>
      <w:rPr>
        <w:rFonts w:ascii="Calibri" w:eastAsia="MS Mincho" w:hAnsi="Calibri" w:cs="Calibri" w:hint="default"/>
        <w:b w:val="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AC02ED"/>
    <w:rsid w:val="001B3B04"/>
    <w:rsid w:val="001E7625"/>
    <w:rsid w:val="00295930"/>
    <w:rsid w:val="003041AE"/>
    <w:rsid w:val="0045513A"/>
    <w:rsid w:val="005323F4"/>
    <w:rsid w:val="005454CE"/>
    <w:rsid w:val="00653779"/>
    <w:rsid w:val="00817766"/>
    <w:rsid w:val="008B0788"/>
    <w:rsid w:val="00932ED2"/>
    <w:rsid w:val="009E650B"/>
    <w:rsid w:val="00A21DE9"/>
    <w:rsid w:val="00AC02ED"/>
    <w:rsid w:val="00B16D72"/>
    <w:rsid w:val="00B96AFF"/>
    <w:rsid w:val="00E30A4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73A50"/>
  <w15:chartTrackingRefBased/>
  <w15:docId w15:val="{09AF15C2-9E14-43EF-B349-90E20E706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2ED"/>
    <w:pPr>
      <w:spacing w:after="0" w:line="240" w:lineRule="auto"/>
    </w:pPr>
    <w:rPr>
      <w:rFonts w:ascii="Times New Roman" w:eastAsia="MS Mincho" w:hAnsi="Times New Roman" w:cs="Times New Roman"/>
      <w:sz w:val="24"/>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istory">
    <w:name w:val="History"/>
    <w:basedOn w:val="Normal"/>
    <w:rsid w:val="00AC02ED"/>
    <w:pPr>
      <w:spacing w:before="230" w:after="460" w:line="180" w:lineRule="exact"/>
      <w:jc w:val="right"/>
    </w:pPr>
    <w:rPr>
      <w:rFonts w:ascii="Arial" w:hAnsi="Arial"/>
      <w:sz w:val="14"/>
      <w:szCs w:val="16"/>
    </w:rPr>
  </w:style>
  <w:style w:type="paragraph" w:customStyle="1" w:styleId="References">
    <w:name w:val="References"/>
    <w:basedOn w:val="Normal"/>
    <w:rsid w:val="00AC02ED"/>
    <w:pPr>
      <w:spacing w:line="200" w:lineRule="exact"/>
      <w:ind w:left="425" w:hanging="425"/>
      <w:jc w:val="both"/>
    </w:pPr>
    <w:rPr>
      <w:sz w:val="15"/>
      <w:szCs w:val="14"/>
      <w:lang w:val="en-GB"/>
    </w:rPr>
  </w:style>
  <w:style w:type="paragraph" w:customStyle="1" w:styleId="HExperimentalSection">
    <w:name w:val="HExperimental_Section"/>
    <w:basedOn w:val="Normal"/>
    <w:rsid w:val="00AC02ED"/>
    <w:pPr>
      <w:spacing w:before="460" w:after="230" w:line="230" w:lineRule="atLeast"/>
    </w:pPr>
    <w:rPr>
      <w:i/>
      <w:szCs w:val="20"/>
    </w:rPr>
  </w:style>
  <w:style w:type="paragraph" w:customStyle="1" w:styleId="ExperimentalSection">
    <w:name w:val="ExperimentalSection"/>
    <w:basedOn w:val="Normal"/>
    <w:rsid w:val="00AC02ED"/>
    <w:pPr>
      <w:spacing w:after="240" w:line="200" w:lineRule="exact"/>
      <w:ind w:firstLine="170"/>
      <w:jc w:val="both"/>
    </w:pPr>
    <w:rPr>
      <w:sz w:val="16"/>
      <w:szCs w:val="14"/>
      <w:lang w:val="en-GB"/>
    </w:rPr>
  </w:style>
  <w:style w:type="paragraph" w:customStyle="1" w:styleId="FNB">
    <w:name w:val="FNB"/>
    <w:basedOn w:val="Normal"/>
    <w:link w:val="FNBChar"/>
    <w:rsid w:val="00AC02ED"/>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AC02ED"/>
    <w:rPr>
      <w:rFonts w:ascii="Times" w:eastAsia="MS Mincho" w:hAnsi="Times" w:cs="Times New Roman"/>
      <w:sz w:val="14"/>
      <w:szCs w:val="3276"/>
      <w:lang w:val="en-GB" w:eastAsia="de-DE"/>
    </w:rPr>
  </w:style>
  <w:style w:type="paragraph" w:customStyle="1" w:styleId="Ack">
    <w:name w:val="Ack"/>
    <w:basedOn w:val="Normal"/>
    <w:rsid w:val="00AC02ED"/>
  </w:style>
  <w:style w:type="paragraph" w:customStyle="1" w:styleId="TableCaption">
    <w:name w:val="TableCaption"/>
    <w:basedOn w:val="Normal"/>
    <w:rsid w:val="00AC02ED"/>
    <w:pPr>
      <w:spacing w:after="120" w:line="190" w:lineRule="exact"/>
      <w:jc w:val="both"/>
    </w:pPr>
    <w:rPr>
      <w:rFonts w:ascii="Arial" w:hAnsi="Arial"/>
      <w:sz w:val="16"/>
      <w:szCs w:val="14"/>
      <w:lang w:val="en-GB"/>
    </w:rPr>
  </w:style>
  <w:style w:type="paragraph" w:customStyle="1" w:styleId="TableHead">
    <w:name w:val="TableHead"/>
    <w:basedOn w:val="TableCaption"/>
    <w:rsid w:val="00AC02ED"/>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AC02ED"/>
  </w:style>
  <w:style w:type="paragraph" w:customStyle="1" w:styleId="TableFoot">
    <w:name w:val="TableFoot"/>
    <w:basedOn w:val="TableBody"/>
    <w:rsid w:val="00AC02ED"/>
    <w:pPr>
      <w:spacing w:before="60" w:after="60"/>
    </w:pPr>
  </w:style>
  <w:style w:type="paragraph" w:customStyle="1" w:styleId="SchemeCaption">
    <w:name w:val="SchemeCaption"/>
    <w:basedOn w:val="Normal"/>
    <w:rsid w:val="00AC02ED"/>
    <w:pPr>
      <w:spacing w:before="230" w:after="460" w:line="190" w:lineRule="exact"/>
      <w:jc w:val="both"/>
    </w:pPr>
    <w:rPr>
      <w:rFonts w:ascii="Arial" w:hAnsi="Arial"/>
      <w:sz w:val="16"/>
      <w:szCs w:val="14"/>
      <w:lang w:val="en-GB"/>
    </w:rPr>
  </w:style>
  <w:style w:type="paragraph" w:styleId="FootnoteText">
    <w:name w:val="footnote text"/>
    <w:basedOn w:val="Normal"/>
    <w:link w:val="FootnoteTextChar"/>
    <w:semiHidden/>
    <w:rsid w:val="00AC02ED"/>
    <w:pPr>
      <w:keepLines/>
      <w:widowControl w:val="0"/>
      <w:jc w:val="both"/>
    </w:pPr>
    <w:rPr>
      <w:rFonts w:eastAsia="Times New Roman"/>
      <w:sz w:val="20"/>
      <w:szCs w:val="20"/>
      <w:lang w:val="en-GB" w:eastAsia="ro-RO"/>
    </w:rPr>
  </w:style>
  <w:style w:type="character" w:customStyle="1" w:styleId="FootnoteTextChar">
    <w:name w:val="Footnote Text Char"/>
    <w:basedOn w:val="DefaultParagraphFont"/>
    <w:link w:val="FootnoteText"/>
    <w:semiHidden/>
    <w:rsid w:val="00AC02ED"/>
    <w:rPr>
      <w:rFonts w:ascii="Times New Roman" w:eastAsia="Times New Roman" w:hAnsi="Times New Roman" w:cs="Times New Roman"/>
      <w:sz w:val="20"/>
      <w:szCs w:val="20"/>
      <w:lang w:val="en-GB" w:eastAsia="ro-RO"/>
    </w:rPr>
  </w:style>
  <w:style w:type="paragraph" w:customStyle="1" w:styleId="STOE">
    <w:name w:val="STOE"/>
    <w:basedOn w:val="Normal"/>
    <w:link w:val="STOEChar1"/>
    <w:rsid w:val="00AC02ED"/>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AC02ED"/>
    <w:rPr>
      <w:rFonts w:ascii="Times" w:eastAsia="MS Mincho" w:hAnsi="Times" w:cs="Times New Roman"/>
      <w:sz w:val="18"/>
      <w:szCs w:val="3276"/>
      <w:lang w:val="en-GB" w:eastAsia="de-DE"/>
    </w:rPr>
  </w:style>
  <w:style w:type="paragraph" w:styleId="BalloonText">
    <w:name w:val="Balloon Text"/>
    <w:basedOn w:val="Normal"/>
    <w:link w:val="BalloonTextChar"/>
    <w:semiHidden/>
    <w:rsid w:val="00AC02ED"/>
    <w:rPr>
      <w:rFonts w:ascii="Tahoma" w:hAnsi="Tahoma" w:cs="Tahoma"/>
      <w:sz w:val="16"/>
      <w:szCs w:val="16"/>
    </w:rPr>
  </w:style>
  <w:style w:type="character" w:customStyle="1" w:styleId="BalloonTextChar">
    <w:name w:val="Balloon Text Char"/>
    <w:basedOn w:val="DefaultParagraphFont"/>
    <w:link w:val="BalloonText"/>
    <w:semiHidden/>
    <w:rsid w:val="00AC02ED"/>
    <w:rPr>
      <w:rFonts w:ascii="Tahoma" w:eastAsia="MS Mincho" w:hAnsi="Tahoma" w:cs="Tahoma"/>
      <w:sz w:val="16"/>
      <w:szCs w:val="16"/>
      <w:lang w:val="de-DE" w:eastAsia="ja-JP"/>
    </w:rPr>
  </w:style>
  <w:style w:type="paragraph" w:styleId="Header">
    <w:name w:val="header"/>
    <w:basedOn w:val="Normal"/>
    <w:link w:val="HeaderChar"/>
    <w:rsid w:val="00AC02ED"/>
    <w:pPr>
      <w:tabs>
        <w:tab w:val="center" w:pos="4536"/>
        <w:tab w:val="right" w:pos="9072"/>
      </w:tabs>
    </w:pPr>
    <w:rPr>
      <w:lang w:val="x-none"/>
    </w:rPr>
  </w:style>
  <w:style w:type="character" w:customStyle="1" w:styleId="HeaderChar">
    <w:name w:val="Header Char"/>
    <w:basedOn w:val="DefaultParagraphFont"/>
    <w:link w:val="Header"/>
    <w:rsid w:val="00AC02ED"/>
    <w:rPr>
      <w:rFonts w:ascii="Times New Roman" w:eastAsia="MS Mincho" w:hAnsi="Times New Roman" w:cs="Times New Roman"/>
      <w:sz w:val="24"/>
      <w:szCs w:val="24"/>
      <w:lang w:val="x-none" w:eastAsia="ja-JP"/>
    </w:rPr>
  </w:style>
  <w:style w:type="paragraph" w:styleId="Footer">
    <w:name w:val="footer"/>
    <w:basedOn w:val="Normal"/>
    <w:link w:val="FooterChar"/>
    <w:uiPriority w:val="99"/>
    <w:rsid w:val="00AC02ED"/>
    <w:pPr>
      <w:tabs>
        <w:tab w:val="center" w:pos="4536"/>
        <w:tab w:val="right" w:pos="9072"/>
      </w:tabs>
    </w:pPr>
  </w:style>
  <w:style w:type="character" w:customStyle="1" w:styleId="FooterChar">
    <w:name w:val="Footer Char"/>
    <w:basedOn w:val="DefaultParagraphFont"/>
    <w:link w:val="Footer"/>
    <w:uiPriority w:val="99"/>
    <w:rsid w:val="00AC02ED"/>
    <w:rPr>
      <w:rFonts w:ascii="Times New Roman" w:eastAsia="MS Mincho" w:hAnsi="Times New Roman" w:cs="Times New Roman"/>
      <w:sz w:val="24"/>
      <w:szCs w:val="24"/>
      <w:lang w:val="de-DE" w:eastAsia="ja-JP"/>
    </w:rPr>
  </w:style>
  <w:style w:type="paragraph" w:customStyle="1" w:styleId="Title1">
    <w:name w:val="Title1"/>
    <w:basedOn w:val="Normal"/>
    <w:rsid w:val="00AC02ED"/>
    <w:rPr>
      <w:b/>
      <w:lang w:val="en-US"/>
    </w:rPr>
  </w:style>
  <w:style w:type="paragraph" w:customStyle="1" w:styleId="AuthorsFull">
    <w:name w:val="Authors Full"/>
    <w:basedOn w:val="Normal"/>
    <w:rsid w:val="00AC02ED"/>
    <w:rPr>
      <w:i/>
      <w:lang w:val="en-US"/>
    </w:rPr>
  </w:style>
  <w:style w:type="paragraph" w:customStyle="1" w:styleId="dedication">
    <w:name w:val="dedication"/>
    <w:basedOn w:val="Normal"/>
    <w:rsid w:val="00AC02ED"/>
    <w:rPr>
      <w:i/>
      <w:lang w:val="en-US"/>
    </w:rPr>
  </w:style>
  <w:style w:type="paragraph" w:customStyle="1" w:styleId="Addresses">
    <w:name w:val="Addresses"/>
    <w:basedOn w:val="Normal"/>
    <w:rsid w:val="00AC02ED"/>
    <w:rPr>
      <w:lang w:val="en-US"/>
    </w:rPr>
  </w:style>
  <w:style w:type="paragraph" w:customStyle="1" w:styleId="Acknowledgements">
    <w:name w:val="Acknowledgements"/>
    <w:basedOn w:val="Normal"/>
    <w:rsid w:val="00AC02ED"/>
    <w:rPr>
      <w:lang w:val="en-US"/>
    </w:rPr>
  </w:style>
  <w:style w:type="paragraph" w:customStyle="1" w:styleId="Abstract">
    <w:name w:val="Abstract"/>
    <w:basedOn w:val="Normal"/>
    <w:autoRedefine/>
    <w:rsid w:val="00AC02ED"/>
    <w:pPr>
      <w:spacing w:line="480" w:lineRule="auto"/>
      <w:jc w:val="both"/>
    </w:pPr>
    <w:rPr>
      <w:lang w:val="en-US"/>
    </w:rPr>
  </w:style>
  <w:style w:type="paragraph" w:customStyle="1" w:styleId="Head1">
    <w:name w:val="Head 1"/>
    <w:basedOn w:val="Normal"/>
    <w:autoRedefine/>
    <w:rsid w:val="00AC02ED"/>
    <w:rPr>
      <w:rFonts w:asciiTheme="minorHAnsi" w:hAnsiTheme="minorHAnsi" w:cstheme="minorHAnsi"/>
      <w:b/>
      <w:lang w:val="en-US"/>
    </w:rPr>
  </w:style>
  <w:style w:type="paragraph" w:customStyle="1" w:styleId="Head2">
    <w:name w:val="Head 2"/>
    <w:basedOn w:val="Normal"/>
    <w:autoRedefine/>
    <w:rsid w:val="00AC02ED"/>
    <w:pPr>
      <w:spacing w:line="360" w:lineRule="auto"/>
    </w:pPr>
    <w:rPr>
      <w:i/>
      <w:lang w:val="en-US"/>
    </w:rPr>
  </w:style>
  <w:style w:type="paragraph" w:customStyle="1" w:styleId="dates">
    <w:name w:val="dates"/>
    <w:basedOn w:val="Normal"/>
    <w:rsid w:val="00AC02ED"/>
    <w:pPr>
      <w:jc w:val="right"/>
    </w:pPr>
    <w:rPr>
      <w:lang w:val="en-US"/>
    </w:rPr>
  </w:style>
  <w:style w:type="paragraph" w:customStyle="1" w:styleId="Literature">
    <w:name w:val="Literature"/>
    <w:basedOn w:val="Normal"/>
    <w:rsid w:val="00AC02ED"/>
    <w:pPr>
      <w:spacing w:line="480" w:lineRule="auto"/>
    </w:pPr>
  </w:style>
  <w:style w:type="paragraph" w:customStyle="1" w:styleId="Legend">
    <w:name w:val="Legend"/>
    <w:basedOn w:val="Normal"/>
    <w:rsid w:val="00AC02ED"/>
    <w:rPr>
      <w:lang w:val="en-US"/>
    </w:rPr>
  </w:style>
  <w:style w:type="paragraph" w:customStyle="1" w:styleId="MainText">
    <w:name w:val="Main Text"/>
    <w:basedOn w:val="Normal"/>
    <w:link w:val="MainTextChar"/>
    <w:rsid w:val="00AC02ED"/>
    <w:pPr>
      <w:spacing w:line="480" w:lineRule="auto"/>
    </w:pPr>
    <w:rPr>
      <w:lang w:val="en-US"/>
    </w:rPr>
  </w:style>
  <w:style w:type="paragraph" w:customStyle="1" w:styleId="Tableofcontents">
    <w:name w:val="Table of contents"/>
    <w:basedOn w:val="Normal"/>
    <w:autoRedefine/>
    <w:rsid w:val="00AC02ED"/>
    <w:rPr>
      <w:lang w:val="en-US"/>
    </w:rPr>
  </w:style>
  <w:style w:type="paragraph" w:customStyle="1" w:styleId="ExperimentalText">
    <w:name w:val="Experimental Text"/>
    <w:basedOn w:val="Normal"/>
    <w:link w:val="ExperimentalTextChar"/>
    <w:rsid w:val="00AC02ED"/>
    <w:pPr>
      <w:spacing w:line="480" w:lineRule="auto"/>
    </w:pPr>
    <w:rPr>
      <w:lang w:val="en-US"/>
    </w:rPr>
  </w:style>
  <w:style w:type="character" w:customStyle="1" w:styleId="ExperimentalTextChar">
    <w:name w:val="Experimental Text Char"/>
    <w:link w:val="ExperimentalText"/>
    <w:rsid w:val="00AC02ED"/>
    <w:rPr>
      <w:rFonts w:ascii="Times New Roman" w:eastAsia="MS Mincho" w:hAnsi="Times New Roman" w:cs="Times New Roman"/>
      <w:sz w:val="24"/>
      <w:szCs w:val="24"/>
      <w:lang w:val="en-US" w:eastAsia="ja-JP"/>
    </w:rPr>
  </w:style>
  <w:style w:type="character" w:customStyle="1" w:styleId="MainTextChar">
    <w:name w:val="Main Text Char"/>
    <w:link w:val="MainText"/>
    <w:rsid w:val="00AC02ED"/>
    <w:rPr>
      <w:rFonts w:ascii="Times New Roman" w:eastAsia="MS Mincho" w:hAnsi="Times New Roman" w:cs="Times New Roman"/>
      <w:sz w:val="24"/>
      <w:szCs w:val="24"/>
      <w:lang w:val="en-US" w:eastAsia="ja-JP"/>
    </w:rPr>
  </w:style>
  <w:style w:type="paragraph" w:customStyle="1" w:styleId="Title2">
    <w:name w:val="Title2"/>
    <w:basedOn w:val="Normal"/>
    <w:rsid w:val="00AC02ED"/>
    <w:rPr>
      <w:b/>
      <w:lang w:val="en-US"/>
    </w:rPr>
  </w:style>
  <w:style w:type="paragraph" w:customStyle="1" w:styleId="Dedication0">
    <w:name w:val="Dedication"/>
    <w:basedOn w:val="Normal"/>
    <w:autoRedefine/>
    <w:rsid w:val="00AC02ED"/>
    <w:rPr>
      <w:lang w:val="en-US"/>
    </w:rPr>
  </w:style>
  <w:style w:type="paragraph" w:customStyle="1" w:styleId="Maintext0">
    <w:name w:val="Main text"/>
    <w:basedOn w:val="Normal"/>
    <w:link w:val="MaintextChar0"/>
    <w:autoRedefine/>
    <w:rsid w:val="00AC02ED"/>
    <w:pPr>
      <w:spacing w:line="480" w:lineRule="auto"/>
    </w:pPr>
    <w:rPr>
      <w:lang w:val="en-US"/>
    </w:rPr>
  </w:style>
  <w:style w:type="character" w:customStyle="1" w:styleId="MaintextChar0">
    <w:name w:val="Main text Char"/>
    <w:link w:val="Maintext0"/>
    <w:rsid w:val="00AC02ED"/>
    <w:rPr>
      <w:rFonts w:ascii="Times New Roman" w:eastAsia="MS Mincho" w:hAnsi="Times New Roman" w:cs="Times New Roman"/>
      <w:sz w:val="24"/>
      <w:szCs w:val="24"/>
      <w:lang w:val="en-US" w:eastAsia="ja-JP"/>
    </w:rPr>
  </w:style>
  <w:style w:type="paragraph" w:customStyle="1" w:styleId="Biography">
    <w:name w:val="Biography"/>
    <w:basedOn w:val="Normal"/>
    <w:autoRedefine/>
    <w:rsid w:val="00AC02ED"/>
    <w:rPr>
      <w:i/>
      <w:lang w:val="en-US"/>
    </w:rPr>
  </w:style>
  <w:style w:type="character" w:styleId="CommentReference">
    <w:name w:val="annotation reference"/>
    <w:uiPriority w:val="99"/>
    <w:semiHidden/>
    <w:unhideWhenUsed/>
    <w:rsid w:val="00AC02ED"/>
    <w:rPr>
      <w:sz w:val="16"/>
      <w:szCs w:val="16"/>
    </w:rPr>
  </w:style>
  <w:style w:type="paragraph" w:styleId="CommentText">
    <w:name w:val="annotation text"/>
    <w:basedOn w:val="Normal"/>
    <w:link w:val="CommentTextChar"/>
    <w:uiPriority w:val="99"/>
    <w:semiHidden/>
    <w:unhideWhenUsed/>
    <w:rsid w:val="00AC02ED"/>
    <w:rPr>
      <w:sz w:val="20"/>
      <w:szCs w:val="20"/>
      <w:lang w:val="x-none"/>
    </w:rPr>
  </w:style>
  <w:style w:type="character" w:customStyle="1" w:styleId="CommentTextChar">
    <w:name w:val="Comment Text Char"/>
    <w:basedOn w:val="DefaultParagraphFont"/>
    <w:link w:val="CommentText"/>
    <w:uiPriority w:val="99"/>
    <w:semiHidden/>
    <w:rsid w:val="00AC02ED"/>
    <w:rPr>
      <w:rFonts w:ascii="Times New Roman" w:eastAsia="MS Mincho" w:hAnsi="Times New Roman" w:cs="Times New Roman"/>
      <w:sz w:val="20"/>
      <w:szCs w:val="20"/>
      <w:lang w:val="x-none" w:eastAsia="ja-JP"/>
    </w:rPr>
  </w:style>
  <w:style w:type="paragraph" w:styleId="CommentSubject">
    <w:name w:val="annotation subject"/>
    <w:basedOn w:val="CommentText"/>
    <w:next w:val="CommentText"/>
    <w:link w:val="CommentSubjectChar"/>
    <w:uiPriority w:val="99"/>
    <w:semiHidden/>
    <w:unhideWhenUsed/>
    <w:rsid w:val="00AC02ED"/>
    <w:rPr>
      <w:b/>
      <w:bCs/>
    </w:rPr>
  </w:style>
  <w:style w:type="character" w:customStyle="1" w:styleId="CommentSubjectChar">
    <w:name w:val="Comment Subject Char"/>
    <w:basedOn w:val="CommentTextChar"/>
    <w:link w:val="CommentSubject"/>
    <w:uiPriority w:val="99"/>
    <w:semiHidden/>
    <w:rsid w:val="00AC02ED"/>
    <w:rPr>
      <w:rFonts w:ascii="Times New Roman" w:eastAsia="MS Mincho" w:hAnsi="Times New Roman" w:cs="Times New Roman"/>
      <w:b/>
      <w:bCs/>
      <w:sz w:val="20"/>
      <w:szCs w:val="20"/>
      <w:lang w:val="x-none" w:eastAsia="ja-JP"/>
    </w:rPr>
  </w:style>
  <w:style w:type="table" w:styleId="TableGrid">
    <w:name w:val="Table Grid"/>
    <w:basedOn w:val="TableNormal"/>
    <w:uiPriority w:val="39"/>
    <w:rsid w:val="00AC02ED"/>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AC02ED"/>
    <w:pPr>
      <w:spacing w:after="0" w:line="240" w:lineRule="auto"/>
    </w:pPr>
    <w:rPr>
      <w:rFonts w:ascii="Times New Roman" w:eastAsia="MS Mincho" w:hAnsi="Times New Roman" w:cs="Times New Roman"/>
      <w:sz w:val="20"/>
      <w:szCs w:val="20"/>
      <w:lang w:eastAsia="en-I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ListTable6Colorful">
    <w:name w:val="List Table 6 Colorful"/>
    <w:basedOn w:val="TableNormal"/>
    <w:uiPriority w:val="51"/>
    <w:rsid w:val="00AC02ED"/>
    <w:pPr>
      <w:spacing w:after="0" w:line="240" w:lineRule="auto"/>
    </w:pPr>
    <w:rPr>
      <w:rFonts w:ascii="Times New Roman" w:eastAsia="MS Mincho" w:hAnsi="Times New Roman" w:cs="Times New Roman"/>
      <w:color w:val="000000"/>
      <w:sz w:val="20"/>
      <w:szCs w:val="20"/>
      <w:lang w:eastAsia="en-IE"/>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Strong">
    <w:name w:val="Strong"/>
    <w:uiPriority w:val="22"/>
    <w:qFormat/>
    <w:rsid w:val="00AC02ED"/>
    <w:rPr>
      <w:b/>
      <w:bCs/>
    </w:rPr>
  </w:style>
  <w:style w:type="character" w:customStyle="1" w:styleId="oradatatext">
    <w:name w:val="oradatatext"/>
    <w:rsid w:val="00AC02ED"/>
  </w:style>
  <w:style w:type="paragraph" w:customStyle="1" w:styleId="EndNoteBibliography">
    <w:name w:val="EndNote Bibliography"/>
    <w:basedOn w:val="Normal"/>
    <w:link w:val="EndNoteBibliographyChar"/>
    <w:rsid w:val="00AC02ED"/>
    <w:pPr>
      <w:spacing w:after="160"/>
    </w:pPr>
    <w:rPr>
      <w:rFonts w:eastAsia="Calibri"/>
      <w:noProof/>
      <w:szCs w:val="22"/>
      <w:lang w:val="en-US" w:eastAsia="en-US"/>
    </w:rPr>
  </w:style>
  <w:style w:type="character" w:customStyle="1" w:styleId="EndNoteBibliographyChar">
    <w:name w:val="EndNote Bibliography Char"/>
    <w:link w:val="EndNoteBibliography"/>
    <w:rsid w:val="00AC02ED"/>
    <w:rPr>
      <w:rFonts w:ascii="Times New Roman" w:eastAsia="Calibri" w:hAnsi="Times New Roman" w:cs="Times New Roman"/>
      <w:noProof/>
      <w:sz w:val="24"/>
      <w:lang w:val="en-US"/>
    </w:rPr>
  </w:style>
  <w:style w:type="character" w:styleId="Hyperlink">
    <w:name w:val="Hyperlink"/>
    <w:uiPriority w:val="99"/>
    <w:unhideWhenUsed/>
    <w:rsid w:val="00AC02ED"/>
    <w:rPr>
      <w:color w:val="0563C1"/>
      <w:u w:val="single"/>
    </w:rPr>
  </w:style>
  <w:style w:type="paragraph" w:customStyle="1" w:styleId="EndNoteBibliographyTitle">
    <w:name w:val="EndNote Bibliography Title"/>
    <w:basedOn w:val="Normal"/>
    <w:link w:val="EndNoteBibliographyTitleChar"/>
    <w:rsid w:val="00AC02ED"/>
    <w:pPr>
      <w:jc w:val="center"/>
    </w:pPr>
    <w:rPr>
      <w:noProof/>
    </w:rPr>
  </w:style>
  <w:style w:type="character" w:customStyle="1" w:styleId="EndNoteBibliographyTitleChar">
    <w:name w:val="EndNote Bibliography Title Char"/>
    <w:link w:val="EndNoteBibliographyTitle"/>
    <w:rsid w:val="00AC02ED"/>
    <w:rPr>
      <w:rFonts w:ascii="Times New Roman" w:eastAsia="MS Mincho" w:hAnsi="Times New Roman" w:cs="Times New Roman"/>
      <w:noProof/>
      <w:sz w:val="24"/>
      <w:szCs w:val="24"/>
      <w:lang w:val="de-DE" w:eastAsia="ja-JP"/>
    </w:rPr>
  </w:style>
  <w:style w:type="character" w:styleId="UnresolvedMention">
    <w:name w:val="Unresolved Mention"/>
    <w:uiPriority w:val="99"/>
    <w:semiHidden/>
    <w:unhideWhenUsed/>
    <w:rsid w:val="00AC02ED"/>
    <w:rPr>
      <w:color w:val="605E5C"/>
      <w:shd w:val="clear" w:color="auto" w:fill="E1DFDD"/>
    </w:rPr>
  </w:style>
  <w:style w:type="paragraph" w:styleId="ListParagraph">
    <w:name w:val="List Paragraph"/>
    <w:basedOn w:val="Normal"/>
    <w:uiPriority w:val="34"/>
    <w:qFormat/>
    <w:rsid w:val="00AC0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6777</Words>
  <Characters>38631</Characters>
  <Application>Microsoft Office Word</Application>
  <DocSecurity>0</DocSecurity>
  <Lines>321</Lines>
  <Paragraphs>90</Paragraphs>
  <ScaleCrop>false</ScaleCrop>
  <Company/>
  <LinksUpToDate>false</LinksUpToDate>
  <CharactersWithSpaces>45318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Browne</dc:creator>
  <cp:keywords/>
  <dc:description/>
  <cp:lastModifiedBy>Jessica Eustace-Cook</cp:lastModifiedBy>
  <cp:revision>2</cp:revision>
  <dcterms:created xsi:type="dcterms:W3CDTF">2021-06-10T07:37:00Z</dcterms:created>
  <dcterms:modified xsi:type="dcterms:W3CDTF">2021-06-10T07:37:00Z</dcterms:modified>
</cp:coreProperties>
</file>