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AEFB1" w14:textId="6351BD9B" w:rsidR="000003CC" w:rsidRPr="007809AC" w:rsidRDefault="000003CC">
      <w:pPr>
        <w:spacing w:before="240" w:line="360" w:lineRule="auto"/>
        <w:jc w:val="both"/>
        <w:rPr>
          <w:rFonts w:ascii="Arial" w:hAnsi="Arial" w:cs="Arial"/>
          <w:b/>
          <w:sz w:val="24"/>
          <w:szCs w:val="24"/>
        </w:rPr>
      </w:pPr>
      <w:bookmarkStart w:id="0" w:name="_GoBack"/>
      <w:r w:rsidRPr="007809AC">
        <w:rPr>
          <w:rFonts w:ascii="Arial" w:hAnsi="Arial" w:cs="Arial"/>
          <w:b/>
          <w:sz w:val="24"/>
          <w:szCs w:val="24"/>
        </w:rPr>
        <w:t>The Epidemiology, Nature, and Impact of Eating and Swallowing Problems in Adults presenting with Temporomandibular Disorders</w:t>
      </w:r>
      <w:bookmarkEnd w:id="0"/>
      <w:r w:rsidRPr="007809AC">
        <w:rPr>
          <w:rFonts w:ascii="Arial" w:hAnsi="Arial" w:cs="Arial"/>
          <w:b/>
          <w:sz w:val="24"/>
          <w:szCs w:val="24"/>
        </w:rPr>
        <w:t>.</w:t>
      </w:r>
    </w:p>
    <w:p w14:paraId="5211F23D" w14:textId="7705B10F" w:rsidR="00947FA4" w:rsidRPr="007809AC" w:rsidRDefault="00947FA4" w:rsidP="00947FA4">
      <w:pPr>
        <w:spacing w:before="240" w:line="360" w:lineRule="auto"/>
        <w:jc w:val="both"/>
        <w:rPr>
          <w:rFonts w:ascii="Arial" w:hAnsi="Arial" w:cs="Arial"/>
          <w:sz w:val="24"/>
          <w:szCs w:val="24"/>
        </w:rPr>
      </w:pPr>
      <w:r w:rsidRPr="007809AC">
        <w:rPr>
          <w:rFonts w:ascii="Arial" w:hAnsi="Arial" w:cs="Arial"/>
          <w:b/>
          <w:sz w:val="24"/>
          <w:szCs w:val="24"/>
        </w:rPr>
        <w:t xml:space="preserve">Abstract </w:t>
      </w:r>
      <w:r w:rsidRPr="007809AC">
        <w:rPr>
          <w:rFonts w:ascii="Arial" w:hAnsi="Arial" w:cs="Arial"/>
          <w:sz w:val="24"/>
          <w:szCs w:val="24"/>
        </w:rPr>
        <w:t>(150 words)</w:t>
      </w:r>
    </w:p>
    <w:p w14:paraId="485E981F" w14:textId="77777777" w:rsidR="00947FA4" w:rsidRPr="007809AC" w:rsidRDefault="00947FA4" w:rsidP="00947FA4">
      <w:pPr>
        <w:spacing w:before="240" w:line="360" w:lineRule="auto"/>
        <w:jc w:val="both"/>
        <w:rPr>
          <w:sz w:val="24"/>
          <w:szCs w:val="24"/>
        </w:rPr>
      </w:pPr>
      <w:r w:rsidRPr="007809AC">
        <w:rPr>
          <w:rFonts w:ascii="Arial" w:hAnsi="Arial" w:cs="Arial"/>
          <w:b/>
          <w:sz w:val="24"/>
          <w:szCs w:val="24"/>
        </w:rPr>
        <w:t xml:space="preserve">Objective: </w:t>
      </w:r>
      <w:r w:rsidRPr="007809AC">
        <w:rPr>
          <w:rFonts w:ascii="Arial" w:hAnsi="Arial" w:cs="Arial"/>
          <w:sz w:val="24"/>
          <w:szCs w:val="24"/>
        </w:rPr>
        <w:t>Temporomandibular disorders (TMDs) are the most common non-dental orofacial pain disorders. Research suggests that patients with TMDs experience eating and swallowing problems, although information is sparse, impacting on effectiveness of management. Research aims were to investigate the epidemiology and impact of TMD-related eating and swallowing problems.</w:t>
      </w:r>
    </w:p>
    <w:p w14:paraId="6FFEA69D" w14:textId="77777777" w:rsidR="00947FA4" w:rsidRPr="007809AC" w:rsidRDefault="00947FA4" w:rsidP="00947FA4">
      <w:pPr>
        <w:spacing w:before="240" w:line="360" w:lineRule="auto"/>
        <w:jc w:val="both"/>
        <w:rPr>
          <w:sz w:val="24"/>
          <w:szCs w:val="24"/>
        </w:rPr>
      </w:pPr>
      <w:r w:rsidRPr="007809AC">
        <w:rPr>
          <w:rFonts w:ascii="Arial" w:hAnsi="Arial" w:cs="Arial"/>
          <w:b/>
          <w:sz w:val="24"/>
          <w:szCs w:val="24"/>
        </w:rPr>
        <w:t xml:space="preserve">Methods: </w:t>
      </w:r>
      <w:r w:rsidRPr="007809AC">
        <w:rPr>
          <w:rFonts w:ascii="Arial" w:hAnsi="Arial" w:cs="Arial"/>
          <w:sz w:val="24"/>
          <w:szCs w:val="24"/>
        </w:rPr>
        <w:t>A cross-sectional study was completed in two national Irish specialist centres, with 126 participants with TMDs assessed using a specifically devised protocol. Descriptive and statistical analyses were completed.</w:t>
      </w:r>
    </w:p>
    <w:p w14:paraId="174ACE92" w14:textId="77777777" w:rsidR="00947FA4" w:rsidRPr="007809AC" w:rsidRDefault="00947FA4" w:rsidP="00947FA4">
      <w:pPr>
        <w:spacing w:before="240" w:line="360" w:lineRule="auto"/>
        <w:jc w:val="both"/>
        <w:rPr>
          <w:sz w:val="24"/>
          <w:szCs w:val="24"/>
        </w:rPr>
      </w:pPr>
      <w:r w:rsidRPr="007809AC">
        <w:rPr>
          <w:rFonts w:ascii="Arial" w:hAnsi="Arial" w:cs="Arial"/>
          <w:b/>
          <w:sz w:val="24"/>
          <w:szCs w:val="24"/>
        </w:rPr>
        <w:t xml:space="preserve">Results: </w:t>
      </w:r>
      <w:r w:rsidRPr="007809AC">
        <w:rPr>
          <w:rFonts w:ascii="Arial" w:hAnsi="Arial" w:cs="Arial"/>
          <w:sz w:val="24"/>
          <w:szCs w:val="24"/>
        </w:rPr>
        <w:t>Masticatory issues (95%), swallowing difficulties (53%), and weight loss (50%) were prevalent. Participants reported moderately severe eating and swallowing problems impacting on participation and well-being across daily and social activities.</w:t>
      </w:r>
    </w:p>
    <w:p w14:paraId="2BE3827E" w14:textId="77777777" w:rsidR="00947FA4" w:rsidRPr="007809AC" w:rsidRDefault="00947FA4" w:rsidP="00947FA4">
      <w:pPr>
        <w:tabs>
          <w:tab w:val="left" w:pos="6521"/>
        </w:tabs>
        <w:spacing w:before="240" w:line="360" w:lineRule="auto"/>
        <w:jc w:val="both"/>
        <w:rPr>
          <w:sz w:val="24"/>
          <w:szCs w:val="24"/>
        </w:rPr>
      </w:pPr>
      <w:r w:rsidRPr="007809AC">
        <w:rPr>
          <w:rFonts w:ascii="Arial" w:hAnsi="Arial" w:cs="Arial"/>
          <w:b/>
          <w:sz w:val="24"/>
          <w:szCs w:val="24"/>
        </w:rPr>
        <w:t xml:space="preserve">Discussion: </w:t>
      </w:r>
      <w:r w:rsidRPr="007809AC">
        <w:rPr>
          <w:rFonts w:ascii="Arial" w:hAnsi="Arial" w:cs="Arial"/>
          <w:sz w:val="24"/>
          <w:szCs w:val="24"/>
        </w:rPr>
        <w:t>A variety of eating and swallowing problems are reported by adults with TMDs which impact on functioning and psychosocial well-being. The need to improve clinical practice and research is argued. Future research should refine the original assessment protocol developed in this study.</w:t>
      </w:r>
    </w:p>
    <w:p w14:paraId="7641E69D" w14:textId="3066968B" w:rsidR="00F71F78" w:rsidRPr="007809AC" w:rsidRDefault="00D13F0A">
      <w:pPr>
        <w:spacing w:before="240" w:line="360" w:lineRule="auto"/>
        <w:jc w:val="both"/>
        <w:rPr>
          <w:rFonts w:ascii="Arial" w:hAnsi="Arial" w:cs="Arial"/>
          <w:b/>
          <w:sz w:val="24"/>
          <w:szCs w:val="24"/>
        </w:rPr>
      </w:pPr>
      <w:r w:rsidRPr="007809AC">
        <w:rPr>
          <w:rFonts w:ascii="Arial" w:hAnsi="Arial" w:cs="Arial"/>
          <w:b/>
          <w:sz w:val="24"/>
          <w:szCs w:val="24"/>
        </w:rPr>
        <w:t>INTRODUCTION</w:t>
      </w:r>
    </w:p>
    <w:p w14:paraId="593907D3" w14:textId="336DB8FF" w:rsidR="00F71F78" w:rsidRPr="007809AC" w:rsidRDefault="00D13F0A">
      <w:pPr>
        <w:spacing w:line="360" w:lineRule="auto"/>
        <w:jc w:val="both"/>
        <w:rPr>
          <w:rFonts w:ascii="Arial" w:hAnsi="Arial" w:cs="Arial"/>
          <w:sz w:val="24"/>
          <w:szCs w:val="24"/>
        </w:rPr>
      </w:pPr>
      <w:r w:rsidRPr="007809AC">
        <w:rPr>
          <w:rFonts w:ascii="Arial" w:hAnsi="Arial" w:cs="Arial"/>
          <w:sz w:val="24"/>
          <w:szCs w:val="24"/>
        </w:rPr>
        <w:t>Temporomandibular disorders (TMDs) are a range of heterogeneous conditions characterised by pain and dysfunction of the temporomandibular joint (TMJ) complex, due to alterations in the structure and/or functi</w:t>
      </w:r>
      <w:r w:rsidR="00014326" w:rsidRPr="007809AC">
        <w:rPr>
          <w:rFonts w:ascii="Arial" w:hAnsi="Arial" w:cs="Arial"/>
          <w:sz w:val="24"/>
          <w:szCs w:val="24"/>
        </w:rPr>
        <w:t>on of the uni- or bilateral TMJ or</w:t>
      </w:r>
      <w:r w:rsidRPr="007809AC">
        <w:rPr>
          <w:rFonts w:ascii="Arial" w:hAnsi="Arial" w:cs="Arial"/>
          <w:sz w:val="24"/>
          <w:szCs w:val="24"/>
        </w:rPr>
        <w:t xml:space="preserve"> the wider masticatory muscle </w:t>
      </w:r>
      <w:r w:rsidR="00014326" w:rsidRPr="007809AC">
        <w:rPr>
          <w:rFonts w:ascii="Arial" w:hAnsi="Arial" w:cs="Arial"/>
          <w:sz w:val="24"/>
          <w:szCs w:val="24"/>
        </w:rPr>
        <w:t xml:space="preserve">and/or osseous </w:t>
      </w:r>
      <w:r w:rsidRPr="007809AC">
        <w:rPr>
          <w:rFonts w:ascii="Arial" w:hAnsi="Arial" w:cs="Arial"/>
          <w:sz w:val="24"/>
          <w:szCs w:val="24"/>
        </w:rPr>
        <w:t>system</w:t>
      </w:r>
      <w:r w:rsidR="00014326" w:rsidRPr="007809AC">
        <w:rPr>
          <w:rFonts w:ascii="Arial" w:hAnsi="Arial" w:cs="Arial"/>
          <w:sz w:val="24"/>
          <w:szCs w:val="24"/>
        </w:rPr>
        <w:t xml:space="preserve"> </w:t>
      </w:r>
      <w:r w:rsidR="00C6787A" w:rsidRPr="007809AC">
        <w:rPr>
          <w:rFonts w:ascii="Arial" w:hAnsi="Arial" w:cs="Arial"/>
          <w:sz w:val="24"/>
          <w:szCs w:val="24"/>
        </w:rPr>
        <w:fldChar w:fldCharType="begin"/>
      </w:r>
      <w:r w:rsidR="00C6787A" w:rsidRPr="007809AC">
        <w:rPr>
          <w:rFonts w:ascii="Arial" w:hAnsi="Arial" w:cs="Arial"/>
          <w:sz w:val="24"/>
          <w:szCs w:val="24"/>
        </w:rPr>
        <w:instrText xml:space="preserve"> ADDIN ZOTERO_ITEM CSL_CITATION {"citationID":"L07FnZg3","properties":{"formattedCitation":"(1\\uc0\\u8211{}4)","plainCitation":"(1–4)","noteIndex":0},"citationItems":[{"id":13,"uris":["http://zotero.org/users/local/nlzVUL7s/items/CBNGP3HG"],"uri":["http://zotero.org/users/local/nlzVUL7s/items/CBNGP3HG"],"itemData":{"id":13,"type":"article-journal","title":"Examination of a large patient population for the presence of symptoms and signs of temporomandibular disorders","container-title":"Cranio: The Journal of Craniomandibular Practice","page":"114-126","volume":"25","issue":"2","source":"PubMed","abstract":"Temporomandibular Disorder (TMD) is a term generally applied to a condition or conditions characterized by pain and/or dysfunction of the masticatory apparatus. Its characterization has been difficult because of the large number of symptoms and signs attributed to this disorder and to variation in the number and types manifested in any particular patient. For this study, data on 4,528 patients, presenting over a period of 25 years to a single examiner for TMD treatment, was made available for retrospective analysis and determination of whether the TMD care-seeking patient can be profiled, particularly pain difficulties. All patients in this database filled out a questionnaire and were examined for the prevalence of a range of symptoms and clinical examination findings (signs) commonly attributed to TMD. There was no attempt in this study to assign patients to TMD diagnostic subcategories. The data collected were analyzed to determine which of these symptoms and signs were sufficiently \"characteristic of the TMD condition\" that they might be used in diagnosis, research and treatment, especially in patients needing relief from pain and discomfort. All 4,528 patients reported symptoms and all but 190 of them also showed signs upon examination. Symptoms most commonly reported on the questionnaire included (i) pain (96.1%), (ii) headache (79.3%), (iii) temporomandibular joint discomfort or dysfunction (75.0%) and (iv) ear discomfort or dysfunction (82.4%). In the 4,338 patients who showed signs, the most prevalent was tenderness to palpation of the pterygoid muscles (85.1%), followed by tenderness to palpation of the temporomandibular joints (62.4%). Pain symptoms and signs were often accompanied by compromised mandibular movements, TMJ sounds and dental changes, such as incisal edge wear and excessive overbite. Clearly prevalence of pain disclosed by the symptoms and signs examinations was high. Patients showed variable prevalence and nonprevalence of eight categories of painful symptoms and seven categories of painful signs. Despite the variability, these might be developed in the future into TMD scores or indices for studying and unraveling the TMD conundrum.","DOI":"10.1179/crn.2007.018","ISSN":"0886-9634","note":"PMID: 17508632","journalAbbreviation":"Cranio","language":"eng","author":[{"family":"Cooper","given":"Barry C."},{"family":"Kleinberg","given":"Israel"}],"issued":{"date-parts":[["2007",4]]}}},{"id":5,"uris":["http://zotero.org/users/local/nlzVUL7s/items/M2IBXXJ8"],"uri":["http://zotero.org/users/local/nlzVUL7s/items/M2IBXXJ8"],"itemData":{"id":5,"type":"article-journal","title":"Imaging Approach to Temporomandibular Joint Disorders","container-title":"Clinical Neuroradiology","page":"5-22","volume":"26","issue":"1","source":"Web of Science","abstract":"Internal derangement is the most common temporomandibular joint disorder. Degenerative osteoarthritis and trauma are next in frequency. Less common pathology includes rheumatoid arthritis, synovial chondromatosis, calcium pyrophosphate dehydrate deposition disease, pigmented villonodular synovitis, tumors, infection, and osteonecrosis. We provide a systematic approach to facilitate interpretation based on major anatomic structures: disc-attachments, joint space, condyle, and lateral pterygoid muscle. Relevant graphic anatomy and state of the art imaging are discussed in correlation with current clinical and therapeutic highlights of pathologic entities affecting the joint.","DOI":"10.1007/s00062-015-0465-0","ISSN":"1869-1439","note":"WOS:000374375700002","journalAbbreviation":"Clin. Neuroradiol.","language":"English","author":[{"family":"Morales","given":"H."},{"family":"Cornelius","given":"R."}],"issued":{"date-parts":[["2016",3]]}}},{"id":4,"uris":["http://zotero.org/users/local/nlzVUL7s/items/LU3KCBMA"],"uri":["http://zotero.org/users/local/nlzVUL7s/items/LU3KCBMA"],"itemData":{"id":4,"type":"article-journal","title":"Physical therapy for patients with TMD: A descriptive study of treatment, disability, and health status","container-title":"Journal of Orofacial Pain","page":"124-135","volume":"12","issue":"2","source":"Web of Science","abstract":"The purposes of this study were to compare disabilities and health status associated with temporomandibular disorders (TMD) to other musculoskeletal disorders, to describe the types of physical therapy administered to patients with TMD, and to evaluate health-related qualify of life (HRQOL) as an index of clinical change following physical therapy treatment. Outcomes for 56 patients (mean age 40 years, SD 13 years; 89% female) were evaluated from a large database generated by the Focus on Therapeutic Outcomes network. A generic assessment of HRQOL-the Medical Outcomes Study (MOS) 17-was used to evaluate the physical and mental aspects of disability associated with TMD, and the results were compared descriptively to three groups of patients with different cervical pain syndromes. The results showed that patients with TMD had limitations in social function, emotional well-being, and energy level similar to patients with cervical disorders. Physical function (ie, walking, carrying loads, or lifting), however; was much more limited in cervical disorder i patients and bodily pain interfered more with daily work. Large positive effect sizes (&gt; 0.80) in the areas of social function and bodily pain indicated clinical improvement for patients with TMD at the completion of physical therapy. The results suggest that the MOS-17 may be useful as one measure of clinical change for patients with TMD who receive physical therapy.","ISSN":"1064-6655","note":"WOS:000075147700004","shortTitle":"Physical therapy for patients with TMD","journalAbbreviation":"J. Orofac. Pain","language":"English","author":[{"family":"Di Fabio","given":"R. P."}],"issued":{"date-parts":[["1998"]],"season":"SPR"}}},{"id":15,"uris":["http://zotero.org/users/local/nlzVUL7s/items/Z57E3LBV"],"uri":["http://zotero.org/users/local/nlzVUL7s/items/Z57E3LBV"],"itemData":{"id":15,"type":"article-journal","title":"Temporomandibular disorders: diagnosis, management, education, and research","container-title":"Journal of the American Dental Association (1939)","page":"253, 255, 257 passim","volume":"120","issue":"3","source":"PubMed","ISSN":"0002-8177","note":"PMID: 2179355","shortTitle":"Temporomandibular disorders","journalAbbreviation":"J Am Dent Assoc","language":"eng","author":[{"family":"McNeill","given":"C."},{"family":"Mohl","given":"N. D."},{"family":"Rugh","given":"J. D."},{"family":"Tanaka","given":"T. T."}],"issued":{"date-parts":[["1990",3]]}}}],"schema":"https://github.com/citation-style-language/schema/raw/master/csl-citation.json"} </w:instrText>
      </w:r>
      <w:r w:rsidR="00C6787A" w:rsidRPr="007809AC">
        <w:rPr>
          <w:rFonts w:ascii="Arial" w:hAnsi="Arial" w:cs="Arial"/>
          <w:sz w:val="24"/>
          <w:szCs w:val="24"/>
        </w:rPr>
        <w:fldChar w:fldCharType="separate"/>
      </w:r>
      <w:r w:rsidR="00C6787A" w:rsidRPr="007809AC">
        <w:rPr>
          <w:rFonts w:ascii="Arial" w:hAnsi="Arial" w:cs="Arial"/>
          <w:sz w:val="24"/>
          <w:szCs w:val="24"/>
        </w:rPr>
        <w:t>(1–4)</w:t>
      </w:r>
      <w:r w:rsidR="00C6787A" w:rsidRPr="007809AC">
        <w:rPr>
          <w:rFonts w:ascii="Arial" w:hAnsi="Arial" w:cs="Arial"/>
          <w:sz w:val="24"/>
          <w:szCs w:val="24"/>
        </w:rPr>
        <w:fldChar w:fldCharType="end"/>
      </w:r>
      <w:r w:rsidRPr="007809AC">
        <w:rPr>
          <w:rFonts w:ascii="Arial" w:hAnsi="Arial" w:cs="Arial"/>
          <w:sz w:val="24"/>
          <w:szCs w:val="24"/>
        </w:rPr>
        <w:t>. TMDs are the most frequently experienced orofacial pain conditions</w:t>
      </w:r>
      <w:r w:rsidR="00022803" w:rsidRPr="007809AC">
        <w:rPr>
          <w:rFonts w:ascii="Arial" w:hAnsi="Arial" w:cs="Arial"/>
          <w:sz w:val="24"/>
          <w:szCs w:val="24"/>
        </w:rPr>
        <w:t xml:space="preserve"> in which the pain is not directly caused by dental trauma, decay, or pathology (although the ultimate development of TMDs may be related to dental abnormalities such as occlusion difficulties or tooth loss), </w:t>
      </w:r>
      <w:r w:rsidRPr="007809AC">
        <w:rPr>
          <w:rFonts w:ascii="Arial" w:hAnsi="Arial" w:cs="Arial"/>
          <w:sz w:val="24"/>
          <w:szCs w:val="24"/>
        </w:rPr>
        <w:t>and the</w:t>
      </w:r>
      <w:r w:rsidR="00022803" w:rsidRPr="007809AC">
        <w:rPr>
          <w:rFonts w:ascii="Arial" w:hAnsi="Arial" w:cs="Arial"/>
          <w:sz w:val="24"/>
          <w:szCs w:val="24"/>
        </w:rPr>
        <w:t>y also represent the</w:t>
      </w:r>
      <w:r w:rsidRPr="007809AC">
        <w:rPr>
          <w:rFonts w:ascii="Arial" w:hAnsi="Arial" w:cs="Arial"/>
          <w:sz w:val="24"/>
          <w:szCs w:val="24"/>
        </w:rPr>
        <w:t xml:space="preserve"> second most common musculoskeletal and neuromuscular disorders after lower back pain</w:t>
      </w:r>
      <w:r w:rsidR="00C6787A" w:rsidRPr="007809AC">
        <w:rPr>
          <w:rFonts w:ascii="Arial" w:hAnsi="Arial" w:cs="Arial"/>
          <w:sz w:val="24"/>
          <w:szCs w:val="24"/>
        </w:rPr>
        <w:fldChar w:fldCharType="begin"/>
      </w:r>
      <w:r w:rsidR="00C6787A" w:rsidRPr="007809AC">
        <w:rPr>
          <w:rFonts w:ascii="Arial" w:hAnsi="Arial" w:cs="Arial"/>
          <w:sz w:val="24"/>
          <w:szCs w:val="24"/>
        </w:rPr>
        <w:instrText xml:space="preserve"> ADDIN ZOTERO_ITEM CSL_CITATION {"citationID":"6mtGy9Pj","properties":{"formattedCitation":"(5\\uc0\\u8211{}8)","plainCitation":"(5–8)","noteIndex":0},"citationItems":[{"id":29,"uris":["http://zotero.org/users/local/nlzVUL7s/items/H5XAI326"],"uri":["http://zotero.org/users/local/nlzVUL7s/items/H5XAI326"],"itemData":{"id":29,"type":"article-journal","title":"Review of temporomandibular joint pathology. Part I: classification, epidemiology and risk factors","container-title":"Medicina Oral, Patologia Oral Y Cirugia Bucal","page":"E292-298","volume":"12","issue":"4","source":"PubMed","abstract":"Pathology of the temporomandibular joint (TMJ) affects an important part of the population, though it is not viewed as a public health problem. Between 3-7% of the population seeks treatment for pain and dysfunction of the ATM or related structures. The literature reports great variability in the prevalence of the clinical symptoms (6-93%) and signs (0-93%), probably as a result of the different clinical criteria used. In imaging studies it is common to observe alterations that have no clinical expression of any kind. Radiographic changes corresponding to osteoarthrosis are observed in 14-44% of the population. Age is a risk factor, though with some particularities. In elderly patients there is an increased prevalence of clinical and radiological signs, though also a lesser prevalence of symptoms and of treatment demands than in younger adults. Approximately 7% of the population between 12 and 18 years of age is diagnosed with mandibular pain-dysfunction. Temporomandibular dysfunction (TMD) is more frequent in females. No clear relationship has been established between occlusal alterations and TMJ disease. Only disharmony between centric relation and maximum intercuspidation, and unilateral crossbite, have demonstrated a certain TMJ disease-predictive potential. Both local and systemic hyperlaxity has been postulated as a possible cause of TMD. Parafunctional habits and bruxism are considered risk factors of TMD with odds ratios (ORs) of up to 4.8. Psychophysiological theory holds stress as a determinant factor in myofascial pain. Genetic factors and orthodontic treatment have not been shown to cause TMD.","ISSN":"1698-6946","note":"PMID: 17664915","shortTitle":"Review of temporomandibular joint pathology. Part I","journalAbbreviation":"Med Oral Patol Oral Cir Bucal","language":"eng","author":[{"family":"Poveda Roda","given":"Rafael"},{"family":"Bagan","given":"José V."},{"family":"Díaz Fernández","given":"José María"},{"family":"Hernández Bazán","given":"Sergio"},{"family":"Jiménez Soriano","given":"Yolanda"}],"issued":{"date-parts":[["2007",8,1]]}}},{"id":31,"uris":["http://zotero.org/users/local/nlzVUL7s/items/HYN5ZUNM"],"uri":["http://zotero.org/users/local/nlzVUL7s/items/HYN5ZUNM"],"itemData":{"id":31,"type":"article-journal","title":"Occurrence of clinical signs of temporomandibular disorders in adult Finns","container-title":"Journal of Orofacial Pain","page":"208-217","volume":"20","issue":"3","source":"PubMed","abstract":"AIMS: To study the age- and gender-related prevalence of signs of temporomandibular disorders (TMD) in the Finnish adult population.\nMETHODS: A clinical health examination was performed as a part of a Health 2000 Health Examination Survey in 2000 and 2001. A nationally representative sample included 8,028 Finns at least 30 years of age, of whom 79% participated also in an oral health investigation, including examination of the stomatognathic system in order to assess the presence of certain TMD signs: maximum interincisal distance &lt; 40 mm, pain in temporomandibular joints or masticatory muscles, and sounds in temporomandibular joints (crepitation, clicking).\nRESULTS: Thirty-eight percent of the subjects had at least 1 sign of TMD. All the signs studied were more common in women than men. Overall, signs of TMD were also associated with age; the older the subject, the higher the prevalence of the TMD signs. However, when stratified by gender, the association with age was not as clear, and gender differences were observed in the prevalence of the single TMD signs at different ages.\nCONCLUSION: Signs of TMD may be more common among the elderly than is usually reported.","ISSN":"1064-6655","note":"PMID: 16913430","journalAbbreviation":"J Orofac Pain","language":"eng","author":[{"family":"Rutkiewicz","given":"Tarja"},{"family":"Könönen","given":"Mauno"},{"family":"Suominen-Taipale","given":"Liisa"},{"family":"Nordblad","given":"Anne"},{"family":"Alanen","given":"Pentti"}],"issued":{"date-parts":[["2006"]]}}},{"id":35,"uris":["http://zotero.org/users/local/nlzVUL7s/items/JL4Y4JII"],"uri":["http://zotero.org/users/local/nlzVUL7s/items/JL4Y4JII"],"itemData":{"id":35,"type":"article-journal","title":"Magnetic resonance imaging of temporomandibular joint dysfunction-correlation with clinical symptoms, age, and gender","container-title":"Oral Surgery, Oral Medicine, Oral Pathology and Oral Radiology","page":"258-263","volume":"116","issue":"2","source":"PubMed","abstract":"OBJECTIVE: To determine whether the morphological (magnetic resonance imaging) MRI manifestations correlate with the signs and symptoms of temporomandibular joint (TMJ) dysfunction according to gender and age of the patients.\nSTUDY DESIGN: One hundred and forty-four subjects with TMJ dysfunction underwent a MRI of both TMJ to establish the presence of disk displacement, osteoarthritis, and effusion. Chi-square test and logistic regression analysis were preformed. For the comparison of mean values between samples, we used T-test.\nRESULTS: A significant relationship between symptoms and morphological manifestations was found. In the group without reduction there were significant increases in the risk of experiencing symptoms (P = .002). Significant correlation between age and osteoarthritis (P = .001) and age and effusion (P = .022) was found. There was no correlation between gender and morphological manifestations.\nCONCLUSION: MRI morphological manifestations of the TMJ correlate with the presence of symptoms, therefore MRI has a crucial role in the diagnosis of TMJ dysfunction.","DOI":"10.1016/j.oooo.2013.04.019","ISSN":"2212-4411","note":"PMID: 23849379","journalAbbreviation":"Oral Surg Oral Med Oral Pathol Oral Radiol","language":"eng","author":[{"family":"Lamot","given":"Urška"},{"family":"Strojan","given":"Primož"},{"family":"Šurlan Popovič","given":"Katarina"}],"issued":{"date-parts":[["2013",8]]}}},{"id":43,"uris":["http://zotero.org/users/local/nlzVUL7s/items/GKDGWGNI"],"uri":["http://zotero.org/users/local/nlzVUL7s/items/GKDGWGNI"],"itemData":{"id":43,"type":"article-journal","title":"Epidemiology of signs and symptoms in temporomandibular disorders: clinical signs in cases and controls","container-title":"Journal of the American Dental Association (1939)","page":"273-281","volume":"120","issue":"3","source":"PubMed","abstract":"An epidemiologic study of clinical signs and symptoms of temporomandibular disorders (TMD) was conducted with a probability sample of adults enrolled in a major health maintenance organization (HMO). This report presents data from a first wave field examination and interview conducted by trained, calibrated dental hygienist field examiners. Significant gender differences for vertical jaw opening measures were observed but no significant age differences were found for the distribution of clinically relevant findings. Clinic cases showed smaller amounts of vertical range of jaw motion but did not differ from community cases or controls on extent of lateral, protrusive, or retrusive mandibular movements; on classification of occlusion; or on dentally related variables. Clinic cases had more pain during all jaw excursions as well as during muscle and joint palpation. Joint clicking sounds were also observed more frequently in clinic cases.","ISSN":"0002-8177","note":"PMID: 2312947","shortTitle":"Epidemiology of signs and symptoms in temporomandibular disorders","journalAbbreviation":"J Am Dent Assoc","language":"eng","author":[{"family":"Dworkin","given":"S. F."},{"family":"Huggins","given":"K. H."},{"family":"LeResche","given":"L."},{"family":"Von Korff","given":"M."},{"family":"Howard","given":"J."},{"family":"Truelove","given":"E."},{"family":"Sommers","given":"E."}],"issued":{"date-parts":[["1990",3]]}}}],"schema":"https://github.com/citation-style-language/schema/raw/master/csl-citation.json"} </w:instrText>
      </w:r>
      <w:r w:rsidR="00C6787A" w:rsidRPr="007809AC">
        <w:rPr>
          <w:rFonts w:ascii="Arial" w:hAnsi="Arial" w:cs="Arial"/>
          <w:sz w:val="24"/>
          <w:szCs w:val="24"/>
        </w:rPr>
        <w:fldChar w:fldCharType="separate"/>
      </w:r>
      <w:r w:rsidR="00C6787A" w:rsidRPr="007809AC">
        <w:rPr>
          <w:rFonts w:ascii="Arial" w:hAnsi="Arial" w:cs="Arial"/>
          <w:sz w:val="24"/>
          <w:szCs w:val="24"/>
        </w:rPr>
        <w:t>(5–8)</w:t>
      </w:r>
      <w:r w:rsidR="00C6787A" w:rsidRPr="007809AC">
        <w:rPr>
          <w:rFonts w:ascii="Arial" w:hAnsi="Arial" w:cs="Arial"/>
          <w:sz w:val="24"/>
          <w:szCs w:val="24"/>
        </w:rPr>
        <w:fldChar w:fldCharType="end"/>
      </w:r>
      <w:r w:rsidRPr="007809AC">
        <w:rPr>
          <w:rFonts w:ascii="Arial" w:hAnsi="Arial" w:cs="Arial"/>
          <w:sz w:val="24"/>
          <w:szCs w:val="24"/>
        </w:rPr>
        <w:t xml:space="preserve">. Research suggests that up to 93% of the general </w:t>
      </w:r>
      <w:r w:rsidR="00946AF2" w:rsidRPr="007809AC">
        <w:rPr>
          <w:rFonts w:ascii="Arial" w:hAnsi="Arial" w:cs="Arial"/>
          <w:sz w:val="24"/>
          <w:szCs w:val="24"/>
        </w:rPr>
        <w:t xml:space="preserve">global </w:t>
      </w:r>
      <w:r w:rsidRPr="007809AC">
        <w:rPr>
          <w:rFonts w:ascii="Arial" w:hAnsi="Arial" w:cs="Arial"/>
          <w:sz w:val="24"/>
          <w:szCs w:val="24"/>
        </w:rPr>
        <w:t xml:space="preserve">population experience at least one TMD symptom at some point during their </w:t>
      </w:r>
      <w:r w:rsidRPr="007809AC">
        <w:rPr>
          <w:rFonts w:ascii="Arial" w:hAnsi="Arial" w:cs="Arial"/>
          <w:sz w:val="24"/>
          <w:szCs w:val="24"/>
        </w:rPr>
        <w:lastRenderedPageBreak/>
        <w:t xml:space="preserve">lifespan, while it is estimated that </w:t>
      </w:r>
      <w:r w:rsidR="00D15873" w:rsidRPr="007809AC">
        <w:rPr>
          <w:rFonts w:ascii="Arial" w:hAnsi="Arial" w:cs="Arial"/>
          <w:sz w:val="24"/>
          <w:szCs w:val="24"/>
        </w:rPr>
        <w:t xml:space="preserve">up to </w:t>
      </w:r>
      <w:r w:rsidRPr="007809AC">
        <w:rPr>
          <w:rFonts w:ascii="Arial" w:hAnsi="Arial" w:cs="Arial"/>
          <w:sz w:val="24"/>
          <w:szCs w:val="24"/>
        </w:rPr>
        <w:t>20% of these individuals subsequently seek treatment for these difficulties</w:t>
      </w:r>
      <w:r w:rsidR="00C6787A" w:rsidRPr="007809AC">
        <w:rPr>
          <w:rFonts w:ascii="Arial" w:hAnsi="Arial" w:cs="Arial"/>
          <w:sz w:val="24"/>
          <w:szCs w:val="24"/>
        </w:rPr>
        <w:fldChar w:fldCharType="begin"/>
      </w:r>
      <w:r w:rsidR="00C6787A" w:rsidRPr="007809AC">
        <w:rPr>
          <w:rFonts w:ascii="Arial" w:hAnsi="Arial" w:cs="Arial"/>
          <w:sz w:val="24"/>
          <w:szCs w:val="24"/>
        </w:rPr>
        <w:instrText xml:space="preserve"> ADDIN ZOTERO_ITEM CSL_CITATION {"citationID":"H7AdOgFA","properties":{"formattedCitation":"(5,7,9)","plainCitation":"(5,7,9)","noteIndex":0},"citationItems":[{"id":29,"uris":["http://zotero.org/users/local/nlzVUL7s/items/H5XAI326"],"uri":["http://zotero.org/users/local/nlzVUL7s/items/H5XAI326"],"itemData":{"id":29,"type":"article-journal","title":"Review of temporomandibular joint pathology. Part I: classification, epidemiology and risk factors","container-title":"Medicina Oral, Patologia Oral Y Cirugia Bucal","page":"E292-298","volume":"12","issue":"4","source":"PubMed","abstract":"Pathology of the temporomandibular joint (TMJ) affects an important part of the population, though it is not viewed as a public health problem. Between 3-7% of the population seeks treatment for pain and dysfunction of the ATM or related structures. The literature reports great variability in the prevalence of the clinical symptoms (6-93%) and signs (0-93%), probably as a result of the different clinical criteria used. In imaging studies it is common to observe alterations that have no clinical expression of any kind. Radiographic changes corresponding to osteoarthrosis are observed in 14-44% of the population. Age is a risk factor, though with some particularities. In elderly patients there is an increased prevalence of clinical and radiological signs, though also a lesser prevalence of symptoms and of treatment demands than in younger adults. Approximately 7% of the population between 12 and 18 years of age is diagnosed with mandibular pain-dysfunction. Temporomandibular dysfunction (TMD) is more frequent in females. No clear relationship has been established between occlusal alterations and TMJ disease. Only disharmony between centric relation and maximum intercuspidation, and unilateral crossbite, have demonstrated a certain TMJ disease-predictive potential. Both local and systemic hyperlaxity has been postulated as a possible cause of TMD. Parafunctional habits and bruxism are considered risk factors of TMD with odds ratios (ORs) of up to 4.8. Psychophysiological theory holds stress as a determinant factor in myofascial pain. Genetic factors and orthodontic treatment have not been shown to cause TMD.","ISSN":"1698-6946","note":"PMID: 17664915","shortTitle":"Review of temporomandibular joint pathology. Part I","journalAbbreviation":"Med Oral Patol Oral Cir Bucal","language":"eng","author":[{"family":"Poveda Roda","given":"Rafael"},{"family":"Bagan","given":"José V."},{"family":"Díaz Fernández","given":"José María"},{"family":"Hernández Bazán","given":"Sergio"},{"family":"Jiménez Soriano","given":"Yolanda"}],"issued":{"date-parts":[["2007",8,1]]}}},{"id":35,"uris":["http://zotero.org/users/local/nlzVUL7s/items/JL4Y4JII"],"uri":["http://zotero.org/users/local/nlzVUL7s/items/JL4Y4JII"],"itemData":{"id":35,"type":"article-journal","title":"Magnetic resonance imaging of temporomandibular joint dysfunction-correlation with clinical symptoms, age, and gender","container-title":"Oral Surgery, Oral Medicine, Oral Pathology and Oral Radiology","page":"258-263","volume":"116","issue":"2","source":"PubMed","abstract":"OBJECTIVE: To determine whether the morphological (magnetic resonance imaging) MRI manifestations correlate with the signs and symptoms of temporomandibular joint (TMJ) dysfunction according to gender and age of the patients.\nSTUDY DESIGN: One hundred and forty-four subjects with TMJ dysfunction underwent a MRI of both TMJ to establish the presence of disk displacement, osteoarthritis, and effusion. Chi-square test and logistic regression analysis were preformed. For the comparison of mean values between samples, we used T-test.\nRESULTS: A significant relationship between symptoms and morphological manifestations was found. In the group without reduction there were significant increases in the risk of experiencing symptoms (P = .002). Significant correlation between age and osteoarthritis (P = .001) and age and effusion (P = .022) was found. There was no correlation between gender and morphological manifestations.\nCONCLUSION: MRI morphological manifestations of the TMJ correlate with the presence of symptoms, therefore MRI has a crucial role in the diagnosis of TMJ dysfunction.","DOI":"10.1016/j.oooo.2013.04.019","ISSN":"2212-4411","note":"PMID: 23849379","journalAbbreviation":"Oral Surg Oral Med Oral Pathol Oral Radiol","language":"eng","author":[{"family":"Lamot","given":"Urška"},{"family":"Strojan","given":"Primož"},{"family":"Šurlan Popovič","given":"Katarina"}],"issued":{"date-parts":[["2013",8]]}}},{"id":21,"uris":["http://zotero.org/users/local/nlzVUL7s/items/3RFQ4IED"],"uri":["http://zotero.org/users/local/nlzVUL7s/items/3RFQ4IED"],"itemData":{"id":21,"type":"article-journal","title":"Prevalence study of signs and symptoms of temporomandibular disorders in university students","container-title":"Journal of Oral Rehabilitation","page":"283-289","volume":"30","issue":"3","source":"PubMed","abstract":"The aim of this study was to evaluate the prevalence of signs and symptoms of temporomandibular disorders (TMD) in university students from 19 to 25 years old, male and female, through the distribution of frequency of the data obtained from a questionnaire and physical examination. The results showed that 68% of the subjects exhibited some degree of TMD, and the women were the most affected. Signs and symptoms such as articular sounds, pain to palpation of the masticatory, cervical and scapular girdle musculature, subjective sensation of emotional stress, and postural and occlusal changes were more evident in the group with TMD, although they were also present in subjects classified as TMD-free. Limitations in the mandibular movements were not found. The association of the obtained data allowed identifying a high prevalence of signs and symptoms of TMD in the Brazilian university population.","ISSN":"0305-182X","note":"PMID: 12588501","journalAbbreviation":"J Oral Rehabil","language":"eng","author":[{"family":"Pedroni","given":"C. R."},{"family":"De Oliveira","given":"A. S."},{"family":"Guaratini","given":"M. I."}],"issued":{"date-parts":[["2003",3]]}}}],"schema":"https://github.com/citation-style-language/schema/raw/master/csl-citation.json"} </w:instrText>
      </w:r>
      <w:r w:rsidR="00C6787A" w:rsidRPr="007809AC">
        <w:rPr>
          <w:rFonts w:ascii="Arial" w:hAnsi="Arial" w:cs="Arial"/>
          <w:sz w:val="24"/>
          <w:szCs w:val="24"/>
        </w:rPr>
        <w:fldChar w:fldCharType="separate"/>
      </w:r>
      <w:r w:rsidR="00C6787A" w:rsidRPr="007809AC">
        <w:rPr>
          <w:rFonts w:ascii="Arial" w:hAnsi="Arial" w:cs="Arial"/>
          <w:sz w:val="24"/>
          <w:szCs w:val="24"/>
        </w:rPr>
        <w:t>(5,7,9)</w:t>
      </w:r>
      <w:r w:rsidR="00C6787A" w:rsidRPr="007809AC">
        <w:rPr>
          <w:rFonts w:ascii="Arial" w:hAnsi="Arial" w:cs="Arial"/>
          <w:sz w:val="24"/>
          <w:szCs w:val="24"/>
        </w:rPr>
        <w:fldChar w:fldCharType="end"/>
      </w:r>
      <w:r w:rsidRPr="007809AC">
        <w:rPr>
          <w:rFonts w:ascii="Arial" w:hAnsi="Arial" w:cs="Arial"/>
          <w:sz w:val="24"/>
          <w:szCs w:val="24"/>
        </w:rPr>
        <w:t xml:space="preserve">. </w:t>
      </w:r>
      <w:r w:rsidRPr="007809AC">
        <w:rPr>
          <w:rFonts w:ascii="Arial" w:eastAsia="SimSun" w:hAnsi="Arial" w:cs="Arial"/>
          <w:sz w:val="24"/>
          <w:szCs w:val="24"/>
        </w:rPr>
        <w:t>Commonly experienced TMD signs and symptoms include: pain and dysfunction of the TMJ and muscles of mastication, headaches and migraines, limitations of mandibular range of motion (ROM), joint sounds, and dental erosion</w:t>
      </w:r>
      <w:r w:rsidR="00C6787A" w:rsidRPr="007809AC">
        <w:rPr>
          <w:rFonts w:ascii="Arial" w:hAnsi="Arial" w:cs="Arial"/>
          <w:sz w:val="24"/>
          <w:szCs w:val="24"/>
        </w:rPr>
        <w:fldChar w:fldCharType="begin"/>
      </w:r>
      <w:r w:rsidR="00C6787A" w:rsidRPr="007809AC">
        <w:rPr>
          <w:rFonts w:ascii="Arial" w:hAnsi="Arial" w:cs="Arial"/>
          <w:sz w:val="24"/>
          <w:szCs w:val="24"/>
        </w:rPr>
        <w:instrText xml:space="preserve"> ADDIN ZOTERO_ITEM CSL_CITATION {"citationID":"evBKIpuz","properties":{"formattedCitation":"(1,2,10,11)","plainCitation":"(1,2,10,11)","noteIndex":0},"citationItems":[{"id":13,"uris":["http://zotero.org/users/local/nlzVUL7s/items/CBNGP3HG"],"uri":["http://zotero.org/users/local/nlzVUL7s/items/CBNGP3HG"],"itemData":{"id":13,"type":"article-journal","title":"Examination of a large patient population for the presence of symptoms and signs of temporomandibular disorders","container-title":"Cranio: The Journal of Craniomandibular Practice","page":"114-126","volume":"25","issue":"2","source":"PubMed","abstract":"Temporomandibular Disorder (TMD) is a term generally applied to a condition or conditions characterized by pain and/or dysfunction of the masticatory apparatus. Its characterization has been difficult because of the large number of symptoms and signs attributed to this disorder and to variation in the number and types manifested in any particular patient. For this study, data on 4,528 patients, presenting over a period of 25 years to a single examiner for TMD treatment, was made available for retrospective analysis and determination of whether the TMD care-seeking patient can be profiled, particularly pain difficulties. All patients in this database filled out a questionnaire and were examined for the prevalence of a range of symptoms and clinical examination findings (signs) commonly attributed to TMD. There was no attempt in this study to assign patients to TMD diagnostic subcategories. The data collected were analyzed to determine which of these symptoms and signs were sufficiently \"characteristic of the TMD condition\" that they might be used in diagnosis, research and treatment, especially in patients needing relief from pain and discomfort. All 4,528 patients reported symptoms and all but 190 of them also showed signs upon examination. Symptoms most commonly reported on the questionnaire included (i) pain (96.1%), (ii) headache (79.3%), (iii) temporomandibular joint discomfort or dysfunction (75.0%) and (iv) ear discomfort or dysfunction (82.4%). In the 4,338 patients who showed signs, the most prevalent was tenderness to palpation of the pterygoid muscles (85.1%), followed by tenderness to palpation of the temporomandibular joints (62.4%). Pain symptoms and signs were often accompanied by compromised mandibular movements, TMJ sounds and dental changes, such as incisal edge wear and excessive overbite. Clearly prevalence of pain disclosed by the symptoms and signs examinations was high. Patients showed variable prevalence and nonprevalence of eight categories of painful symptoms and seven categories of painful signs. Despite the variability, these might be developed in the future into TMD scores or indices for studying and unraveling the TMD conundrum.","DOI":"10.1179/crn.2007.018","ISSN":"0886-9634","note":"PMID: 17508632","journalAbbreviation":"Cranio","language":"eng","author":[{"family":"Cooper","given":"Barry C."},{"family":"Kleinberg","given":"Israel"}],"issued":{"date-parts":[["2007",4]]}}},{"id":5,"uris":["http://zotero.org/users/local/nlzVUL7s/items/M2IBXXJ8"],"uri":["http://zotero.org/users/local/nlzVUL7s/items/M2IBXXJ8"],"itemData":{"id":5,"type":"article-journal","title":"Imaging Approach to Temporomandibular Joint Disorders","container-title":"Clinical Neuroradiology","page":"5-22","volume":"26","issue":"1","source":"Web of Science","abstract":"Internal derangement is the most common temporomandibular joint disorder. Degenerative osteoarthritis and trauma are next in frequency. Less common pathology includes rheumatoid arthritis, synovial chondromatosis, calcium pyrophosphate dehydrate deposition disease, pigmented villonodular synovitis, tumors, infection, and osteonecrosis. We provide a systematic approach to facilitate interpretation based on major anatomic structures: disc-attachments, joint space, condyle, and lateral pterygoid muscle. Relevant graphic anatomy and state of the art imaging are discussed in correlation with current clinical and therapeutic highlights of pathologic entities affecting the joint.","DOI":"10.1007/s00062-015-0465-0","ISSN":"1869-1439","note":"WOS:000374375700002","journalAbbreviation":"Clin. Neuroradiol.","language":"English","author":[{"family":"Morales","given":"H."},{"family":"Cornelius","given":"R."}],"issued":{"date-parts":[["2016",3]]}}},{"id":47,"uris":["http://zotero.org/users/local/nlzVUL7s/items/4KFYRLWL"],"uri":["http://zotero.org/users/local/nlzVUL7s/items/4KFYRLWL"],"itemData":{"id":47,"type":"article-journal","title":"Classic symptoms in temporomandibular disorder patients: a comparative study","container-title":"Cranio: The Journal of Craniomandibular Practice","page":"33-41","volume":"19","issue":"1","source":"PubMed","abstract":"Numerous symptoms have been reported in the literature associated with temporomandibular disorders (TMD). However, it has not been stated what TMD symptoms are the most important and consistent and in turn, can be referred to as the gold standard or classic symptoms. The purpose of this study was: 1. To review the literature regarding TMD symptoms; 2. To compare so-called classic TMD symptoms with the symptoms of patients diagnosed as having TMD. Out of 52 consecutive patients, 40 were diagnosed as having TMD and were selected for this study. Forty non-TMD subjects served as a control group. A total range of subjective symptoms, from a self-administered TMD history form, was collected, but only so-called classic or the most common TMD symptoms were reported in this study. Results revealed that the major complaints of the TMD patients, including headaches, were similar to the suggested classic TMD symptoms derived from the literature.","ISSN":"0886-9634","note":"PMID: 11842839","shortTitle":"Classic symptoms in temporomandibular disorder patients","journalAbbreviation":"Cranio","language":"eng","author":[{"family":"Nassif","given":"N. J."},{"family":"Talic","given":"Y. F."}],"issued":{"date-parts":[["2001",1]]}}},{"id":180,"uris":["http://zotero.org/users/local/nlzVUL7s/items/IU38SQJQ"],"uri":["http://zotero.org/users/local/nlzVUL7s/items/IU38SQJQ"],"itemData":{"id":180,"type":"article-journal","title":"Gender Difference in Prevalence of Signs and Symptoms of Temporomandibular Joint Disorders: A Retrospective Study on 243 Consecutive Patients","container-title":"International Journal of Medical Sciences","page":"539-544","volume":"9","issue":"7","source":"PubMed Central","abstract":"Background: This study evaluated the prevalence of the signs and symptoms of temporomandibular joint disorder (TMD) among patients with TMD symptoms. Methods: Between September 2011 and December 2011, 243 consecutive patients (171 females, 72 males, mean age 41 years) who were referred to the Department of Prosthodontics, Faculty of Dentistry, Karadeniz Technical University, Trabzon were examined physically and completed a questionnaire regarding age, gender, social status, general health, antidepressant drug usage, dental status, limited mouth opening, temporomandibular joint (TMJ) sounds, and parafunctions (bruxism, clenching). The data were analyzed using the chi-square test and binary logistic regression model (alpha = 0.05). Results: With a frequency of 92%, pain in the temporal muscle was the most common symptom, followed by pain during mouth opening (89%) in both genders. TMJ pain at rest, pain in the masseter muscle, clicking, grinding, and anti-depressant use were significantly more frequent in females than males. Age (p=0.006; odds ratio 0.954; 95% CI 0.922-0.987) and missing teeth (p=0.003; odds ratio 3.753; 95% CI 1.589-8.863) had significant effects on the prevalence of TMD. Conclusion: Females had TMD signs and symptoms more frequently than males in the study population. The most common problem in both genders was pain.","DOI":"10.7150/ijms.4474","ISSN":"1449-1907","note":"PMID: 22991492\nPMCID: PMC3444974","shortTitle":"Gender Difference in Prevalence of Signs and Symptoms of Temporomandibular Joint Disorders","journalAbbreviation":"Int J Med Sci","author":[{"family":"Bagis","given":"Bora"},{"family":"Ayaz","given":"Elif Aydogan"},{"family":"Turgut","given":"Sedanur"},{"family":"Durkan","given":"Rukiye"},{"family":"Özcan","given":"Mutlu"}],"issued":{"date-parts":[["2012",8,30]]}}}],"schema":"https://github.com/citation-style-language/schema/raw/master/csl-citation.json"} </w:instrText>
      </w:r>
      <w:r w:rsidR="00C6787A" w:rsidRPr="007809AC">
        <w:rPr>
          <w:rFonts w:ascii="Arial" w:hAnsi="Arial" w:cs="Arial"/>
          <w:sz w:val="24"/>
          <w:szCs w:val="24"/>
        </w:rPr>
        <w:fldChar w:fldCharType="separate"/>
      </w:r>
      <w:r w:rsidR="00C6787A" w:rsidRPr="007809AC">
        <w:rPr>
          <w:rFonts w:ascii="Arial" w:hAnsi="Arial" w:cs="Arial"/>
          <w:sz w:val="24"/>
          <w:szCs w:val="24"/>
        </w:rPr>
        <w:t>(1,2,10,11)</w:t>
      </w:r>
      <w:r w:rsidR="00C6787A" w:rsidRPr="007809AC">
        <w:rPr>
          <w:rFonts w:ascii="Arial" w:hAnsi="Arial" w:cs="Arial"/>
          <w:sz w:val="24"/>
          <w:szCs w:val="24"/>
        </w:rPr>
        <w:fldChar w:fldCharType="end"/>
      </w:r>
      <w:r w:rsidRPr="007809AC">
        <w:rPr>
          <w:rFonts w:ascii="Arial" w:eastAsia="SimSun" w:hAnsi="Arial" w:cs="Arial"/>
          <w:sz w:val="24"/>
          <w:szCs w:val="24"/>
        </w:rPr>
        <w:t>.</w:t>
      </w:r>
    </w:p>
    <w:p w14:paraId="7BEE0DFA" w14:textId="21C6E80E" w:rsidR="00F71F78" w:rsidRPr="007809AC" w:rsidRDefault="00D13F0A">
      <w:pPr>
        <w:spacing w:line="360" w:lineRule="auto"/>
        <w:jc w:val="both"/>
        <w:rPr>
          <w:sz w:val="24"/>
          <w:szCs w:val="24"/>
        </w:rPr>
      </w:pPr>
      <w:r w:rsidRPr="007809AC">
        <w:rPr>
          <w:rFonts w:ascii="Arial" w:hAnsi="Arial"/>
          <w:bCs/>
          <w:sz w:val="24"/>
          <w:szCs w:val="24"/>
        </w:rPr>
        <w:t xml:space="preserve">In addition to these issues, adults with TMDs also frequently report </w:t>
      </w:r>
      <w:r w:rsidRPr="007809AC">
        <w:rPr>
          <w:rFonts w:ascii="Arial" w:hAnsi="Arial"/>
          <w:sz w:val="24"/>
          <w:szCs w:val="24"/>
        </w:rPr>
        <w:t>impaired mastication and masticatory pain and fatigue due to joint and/or muscular dysfunction</w:t>
      </w:r>
      <w:r w:rsidR="00C6787A" w:rsidRPr="007809AC">
        <w:rPr>
          <w:rFonts w:ascii="Arial" w:hAnsi="Arial"/>
          <w:sz w:val="24"/>
          <w:szCs w:val="24"/>
        </w:rPr>
        <w:fldChar w:fldCharType="begin"/>
      </w:r>
      <w:r w:rsidR="00C6787A" w:rsidRPr="007809AC">
        <w:rPr>
          <w:rFonts w:ascii="Arial" w:hAnsi="Arial"/>
          <w:sz w:val="24"/>
          <w:szCs w:val="24"/>
        </w:rPr>
        <w:instrText xml:space="preserve"> ADDIN ZOTERO_ITEM CSL_CITATION {"citationID":"l7meqLTA","properties":{"formattedCitation":"(5)","plainCitation":"(5)","noteIndex":0},"citationItems":[{"id":29,"uris":["http://zotero.org/users/local/nlzVUL7s/items/H5XAI326"],"uri":["http://zotero.org/users/local/nlzVUL7s/items/H5XAI326"],"itemData":{"id":29,"type":"article-journal","title":"Review of temporomandibular joint pathology. Part I: classification, epidemiology and risk factors","container-title":"Medicina Oral, Patologia Oral Y Cirugia Bucal","page":"E292-298","volume":"12","issue":"4","source":"PubMed","abstract":"Pathology of the temporomandibular joint (TMJ) affects an important part of the population, though it is not viewed as a public health problem. Between 3-7% of the population seeks treatment for pain and dysfunction of the ATM or related structures. The literature reports great variability in the prevalence of the clinical symptoms (6-93%) and signs (0-93%), probably as a result of the different clinical criteria used. In imaging studies it is common to observe alterations that have no clinical expression of any kind. Radiographic changes corresponding to osteoarthrosis are observed in 14-44% of the population. Age is a risk factor, though with some particularities. In elderly patients there is an increased prevalence of clinical and radiological signs, though also a lesser prevalence of symptoms and of treatment demands than in younger adults. Approximately 7% of the population between 12 and 18 years of age is diagnosed with mandibular pain-dysfunction. Temporomandibular dysfunction (TMD) is more frequent in females. No clear relationship has been established between occlusal alterations and TMJ disease. Only disharmony between centric relation and maximum intercuspidation, and unilateral crossbite, have demonstrated a certain TMJ disease-predictive potential. Both local and systemic hyperlaxity has been postulated as a possible cause of TMD. Parafunctional habits and bruxism are considered risk factors of TMD with odds ratios (ORs) of up to 4.8. Psychophysiological theory holds stress as a determinant factor in myofascial pain. Genetic factors and orthodontic treatment have not been shown to cause TMD.","ISSN":"1698-6946","note":"PMID: 17664915","shortTitle":"Review of temporomandibular joint pathology. Part I","journalAbbreviation":"Med Oral Patol Oral Cir Bucal","language":"eng","author":[{"family":"Poveda Roda","given":"Rafael"},{"family":"Bagan","given":"José V."},{"family":"Díaz Fernández","given":"José María"},{"family":"Hernández Bazán","given":"Sergio"},{"family":"Jiménez Soriano","given":"Yolanda"}],"issued":{"date-parts":[["2007",8,1]]}}}],"schema":"https://github.com/citation-style-language/schema/raw/master/csl-citation.json"} </w:instrText>
      </w:r>
      <w:r w:rsidR="00C6787A" w:rsidRPr="007809AC">
        <w:rPr>
          <w:rFonts w:ascii="Arial" w:hAnsi="Arial"/>
          <w:sz w:val="24"/>
          <w:szCs w:val="24"/>
        </w:rPr>
        <w:fldChar w:fldCharType="separate"/>
      </w:r>
      <w:r w:rsidR="00C6787A" w:rsidRPr="007809AC">
        <w:rPr>
          <w:rFonts w:ascii="Arial" w:hAnsi="Arial" w:cs="Arial"/>
          <w:sz w:val="24"/>
          <w:szCs w:val="24"/>
        </w:rPr>
        <w:t>(5)</w:t>
      </w:r>
      <w:r w:rsidR="00C6787A" w:rsidRPr="007809AC">
        <w:rPr>
          <w:rFonts w:ascii="Arial" w:hAnsi="Arial"/>
          <w:sz w:val="24"/>
          <w:szCs w:val="24"/>
        </w:rPr>
        <w:fldChar w:fldCharType="end"/>
      </w:r>
      <w:r w:rsidRPr="007809AC">
        <w:rPr>
          <w:rFonts w:ascii="Arial" w:hAnsi="Arial"/>
          <w:sz w:val="24"/>
          <w:szCs w:val="24"/>
        </w:rPr>
        <w:t>. These issues impact on chewing and bolus formation, and can result in patient</w:t>
      </w:r>
      <w:r w:rsidR="007102AA" w:rsidRPr="007809AC">
        <w:rPr>
          <w:rFonts w:ascii="Arial" w:hAnsi="Arial"/>
          <w:sz w:val="24"/>
          <w:szCs w:val="24"/>
        </w:rPr>
        <w:t>s</w:t>
      </w:r>
      <w:r w:rsidRPr="007809AC">
        <w:rPr>
          <w:rFonts w:ascii="Arial" w:hAnsi="Arial"/>
          <w:sz w:val="24"/>
          <w:szCs w:val="24"/>
        </w:rPr>
        <w:t xml:space="preserve"> modifying their diet to softer options.</w:t>
      </w:r>
      <w:r w:rsidR="002F7122" w:rsidRPr="007809AC">
        <w:rPr>
          <w:rFonts w:ascii="Arial" w:hAnsi="Arial"/>
          <w:sz w:val="24"/>
          <w:szCs w:val="24"/>
        </w:rPr>
        <w:t xml:space="preserve"> These difficulties may also be related to the dental difficulties such as tooth loss which may lead to the development of TMDs, thus compounding the masticatory difficulties.</w:t>
      </w:r>
      <w:r w:rsidRPr="007809AC">
        <w:rPr>
          <w:rFonts w:ascii="Arial" w:hAnsi="Arial"/>
          <w:sz w:val="24"/>
          <w:szCs w:val="24"/>
        </w:rPr>
        <w:t xml:space="preserve"> While it is established that oral preparatory difficulties are common among adults with TMDs, research has only recently investigated the potential ramifications of these issues on the overall eating and swallowing process, finding that up to a third of treatment-seeking patients report subsequent </w:t>
      </w:r>
      <w:r w:rsidRPr="007809AC">
        <w:rPr>
          <w:rFonts w:ascii="Arial" w:hAnsi="Arial" w:cs="Arial"/>
          <w:sz w:val="24"/>
          <w:szCs w:val="24"/>
          <w:shd w:val="clear" w:color="auto" w:fill="FFFFFF"/>
        </w:rPr>
        <w:t>difficulties swallowing solids (33%) and drinking liquids (28%), with resultant weight loss (26%)</w:t>
      </w:r>
      <w:r w:rsidR="00C6787A" w:rsidRPr="007809AC">
        <w:rPr>
          <w:rFonts w:ascii="Arial" w:hAnsi="Arial" w:cs="Arial"/>
          <w:sz w:val="24"/>
          <w:szCs w:val="24"/>
          <w:shd w:val="clear" w:color="auto" w:fill="FFFFFF"/>
        </w:rPr>
        <w:fldChar w:fldCharType="begin"/>
      </w:r>
      <w:r w:rsidR="00C6787A" w:rsidRPr="007809AC">
        <w:rPr>
          <w:rFonts w:ascii="Arial" w:hAnsi="Arial" w:cs="Arial"/>
          <w:sz w:val="24"/>
          <w:szCs w:val="24"/>
          <w:shd w:val="clear" w:color="auto" w:fill="FFFFFF"/>
        </w:rPr>
        <w:instrText xml:space="preserve"> ADDIN ZOTERO_ITEM CSL_CITATION {"citationID":"svGE0mT6","properties":{"formattedCitation":"(12)","plainCitation":"(12)","noteIndex":0},"citationItems":[{"id":1353,"uris":["http://zotero.org/users/local/nlzVUL7s/items/5I3U2PH6"],"uri":["http://zotero.org/users/local/nlzVUL7s/items/5I3U2PH6"],"itemData":{"id":1353,"type":"article-journal","title":"Prevalence, Nature, and Management of Oral Stage Dysphagia in Adults With Temporomandibular Joint Disorders: Findings From an Irish Cohort","container-title":"Journal of Oral and Maxillofacial Surgery: Official Journal of the American Association of Oral and Maxillofacial Surgeons","source":"PubMed","abstract":"PURPOSE: Temporomandibular disorders (TMDs) are caused by changes in the structure and/or function of the temporomandibular joint, masticatory muscles, and/or osseous components. TMDs can result in oral stage dysphagia (OD) with potential effects on function and patient well-being. Little is known about the prevalence, nature, and management of TMD-related OD. The aims of the present study were to estimate the prevalence and nature of OD in adult TMD patients and to identify the common management techniques used to manage the signs and symptoms of TMD-related OD.\nPATIENTS AND METHODS: An 18-item subjective questionnaire was adapted from existing tools and used to investigate TMD etiology, the symptoms and signs of TMD-related OD, and the intervention techniques used to manage these symptoms. This was disseminated to 178 TMD patients consecutively recruited over 6 months in 2016. Descriptive and statistical methods were used to analyze the data.\nRESULTS: Of the 178 TMD participants, 99% reported at least one symptom or sign of OD. Individuals presenting with subluxation of the jaw (80%), degenerative joint disorder (67%), and myofascial pain disorder (40%) reported OD most frequently. Common symptoms included painful mastication (90%), masticatory fatigue (78%), difficulties swallowing (33%), and difficulties drinking liquids (28%). The use of a broad range of management techniques was reported, with these including both OD-specific techniques (eg, diet modifications [81%]), and non-OD specific techniques (eg, analgesia [79%] and oral splints [75%]).\nCONCLUSIONS: OD is prevalent, and difficulties with mastication are common in those with TMDs. The interventions used were diverse, with varying objectives and disparate levels of evidence supporting their efficacy within this cohort. Further research should address the epidemiology of TMD-related OD, evidence-based interventions, and the promotion of collaboration across the disciplines responsible for managing TMD-related OD (eg, speech and language therapy, oral and maxillofacial surgery, dentistry, restorative dentistry, orthodontics, oral medicine).","DOI":"10.1016/j.joms.2018.01.036","ISSN":"1531-5053","note":"PMID: 29549021","shortTitle":"Prevalence, Nature, and Management of Oral Stage Dysphagia in Adults With Temporomandibular Joint Disorders","journalAbbreviation":"J. Oral Maxillofac. Surg.","language":"eng","author":[{"family":"Gilheaney","given":"Órla"},{"family":"Stassen","given":"Leo Fa"},{"family":"Walshe","given":"Margaret"}],"issued":{"date-parts":[["2018",2,20]]}}}],"schema":"https://github.com/citation-style-language/schema/raw/master/csl-citation.json"} </w:instrText>
      </w:r>
      <w:r w:rsidR="00C6787A" w:rsidRPr="007809AC">
        <w:rPr>
          <w:rFonts w:ascii="Arial" w:hAnsi="Arial" w:cs="Arial"/>
          <w:sz w:val="24"/>
          <w:szCs w:val="24"/>
          <w:shd w:val="clear" w:color="auto" w:fill="FFFFFF"/>
        </w:rPr>
        <w:fldChar w:fldCharType="separate"/>
      </w:r>
      <w:r w:rsidR="00C6787A" w:rsidRPr="007809AC">
        <w:rPr>
          <w:rFonts w:ascii="Arial" w:hAnsi="Arial" w:cs="Arial"/>
          <w:sz w:val="24"/>
          <w:szCs w:val="24"/>
        </w:rPr>
        <w:t>(12)</w:t>
      </w:r>
      <w:r w:rsidR="00C6787A" w:rsidRPr="007809AC">
        <w:rPr>
          <w:rFonts w:ascii="Arial" w:hAnsi="Arial" w:cs="Arial"/>
          <w:sz w:val="24"/>
          <w:szCs w:val="24"/>
          <w:shd w:val="clear" w:color="auto" w:fill="FFFFFF"/>
        </w:rPr>
        <w:fldChar w:fldCharType="end"/>
      </w:r>
      <w:r w:rsidRPr="007809AC">
        <w:rPr>
          <w:rFonts w:ascii="Arial" w:hAnsi="Arial"/>
          <w:sz w:val="24"/>
          <w:szCs w:val="24"/>
        </w:rPr>
        <w:t>. Yet, limited prospective research on the epidemiology or nature of eating and swallowing problems in this group is currently available</w:t>
      </w:r>
      <w:r w:rsidR="00C02072" w:rsidRPr="007809AC">
        <w:rPr>
          <w:rFonts w:ascii="Arial" w:hAnsi="Arial"/>
          <w:sz w:val="24"/>
          <w:szCs w:val="24"/>
        </w:rPr>
        <w:t>. This lack of research has resulted in</w:t>
      </w:r>
      <w:r w:rsidRPr="007809AC">
        <w:rPr>
          <w:rFonts w:ascii="Arial" w:hAnsi="Arial"/>
          <w:sz w:val="24"/>
          <w:szCs w:val="24"/>
        </w:rPr>
        <w:t xml:space="preserve"> a subsequent shortage of clinical resources or management guidelines to adequately support service delivery</w:t>
      </w:r>
      <w:r w:rsidR="00C02072" w:rsidRPr="007809AC">
        <w:rPr>
          <w:rFonts w:ascii="Arial" w:hAnsi="Arial"/>
          <w:sz w:val="24"/>
          <w:szCs w:val="24"/>
        </w:rPr>
        <w:t>, which</w:t>
      </w:r>
      <w:r w:rsidR="007102AA" w:rsidRPr="007809AC">
        <w:rPr>
          <w:rFonts w:ascii="Arial" w:hAnsi="Arial"/>
          <w:sz w:val="24"/>
          <w:szCs w:val="24"/>
        </w:rPr>
        <w:t xml:space="preserve"> has a</w:t>
      </w:r>
      <w:r w:rsidRPr="007809AC">
        <w:rPr>
          <w:rFonts w:ascii="Arial" w:hAnsi="Arial"/>
          <w:sz w:val="24"/>
          <w:szCs w:val="24"/>
        </w:rPr>
        <w:t xml:space="preserve"> potential impact on patient outcomes.</w:t>
      </w:r>
    </w:p>
    <w:p w14:paraId="769B3856" w14:textId="4CD08CC9" w:rsidR="00F71F78" w:rsidRPr="007809AC" w:rsidRDefault="00D13F0A">
      <w:pPr>
        <w:spacing w:line="360" w:lineRule="auto"/>
        <w:jc w:val="both"/>
        <w:rPr>
          <w:sz w:val="24"/>
          <w:szCs w:val="24"/>
        </w:rPr>
      </w:pPr>
      <w:r w:rsidRPr="007809AC">
        <w:rPr>
          <w:rFonts w:ascii="Arial" w:hAnsi="Arial" w:cs="Arial"/>
          <w:sz w:val="24"/>
          <w:szCs w:val="24"/>
        </w:rPr>
        <w:t>TMDs have an established impact on social, economic, and healthcare structures</w:t>
      </w:r>
      <w:r w:rsidR="00C6787A" w:rsidRPr="007809AC">
        <w:rPr>
          <w:rFonts w:ascii="Arial" w:hAnsi="Arial" w:cs="Arial"/>
          <w:sz w:val="24"/>
          <w:szCs w:val="24"/>
        </w:rPr>
        <w:fldChar w:fldCharType="begin"/>
      </w:r>
      <w:r w:rsidR="00C6787A" w:rsidRPr="007809AC">
        <w:rPr>
          <w:rFonts w:ascii="Arial" w:hAnsi="Arial" w:cs="Arial"/>
          <w:sz w:val="24"/>
          <w:szCs w:val="24"/>
        </w:rPr>
        <w:instrText xml:space="preserve"> ADDIN ZOTERO_ITEM CSL_CITATION {"citationID":"f1ktVR2Y","properties":{"formattedCitation":"(2)","plainCitation":"(2)","noteIndex":0},"citationItems":[{"id":5,"uris":["http://zotero.org/users/local/nlzVUL7s/items/M2IBXXJ8"],"uri":["http://zotero.org/users/local/nlzVUL7s/items/M2IBXXJ8"],"itemData":{"id":5,"type":"article-journal","title":"Imaging Approach to Temporomandibular Joint Disorders","container-title":"Clinical Neuroradiology","page":"5-22","volume":"26","issue":"1","source":"Web of Science","abstract":"Internal derangement is the most common temporomandibular joint disorder. Degenerative osteoarthritis and trauma are next in frequency. Less common pathology includes rheumatoid arthritis, synovial chondromatosis, calcium pyrophosphate dehydrate deposition disease, pigmented villonodular synovitis, tumors, infection, and osteonecrosis. We provide a systematic approach to facilitate interpretation based on major anatomic structures: disc-attachments, joint space, condyle, and lateral pterygoid muscle. Relevant graphic anatomy and state of the art imaging are discussed in correlation with current clinical and therapeutic highlights of pathologic entities affecting the joint.","DOI":"10.1007/s00062-015-0465-0","ISSN":"1869-1439","note":"WOS:000374375700002","journalAbbreviation":"Clin. Neuroradiol.","language":"English","author":[{"family":"Morales","given":"H."},{"family":"Cornelius","given":"R."}],"issued":{"date-parts":[["2016",3]]}}}],"schema":"https://github.com/citation-style-language/schema/raw/master/csl-citation.json"} </w:instrText>
      </w:r>
      <w:r w:rsidR="00C6787A" w:rsidRPr="007809AC">
        <w:rPr>
          <w:rFonts w:ascii="Arial" w:hAnsi="Arial" w:cs="Arial"/>
          <w:sz w:val="24"/>
          <w:szCs w:val="24"/>
        </w:rPr>
        <w:fldChar w:fldCharType="separate"/>
      </w:r>
      <w:r w:rsidR="00C6787A" w:rsidRPr="007809AC">
        <w:rPr>
          <w:rFonts w:ascii="Arial" w:hAnsi="Arial" w:cs="Arial"/>
          <w:sz w:val="24"/>
          <w:szCs w:val="24"/>
        </w:rPr>
        <w:t>(2)</w:t>
      </w:r>
      <w:r w:rsidR="00C6787A" w:rsidRPr="007809AC">
        <w:rPr>
          <w:rFonts w:ascii="Arial" w:hAnsi="Arial" w:cs="Arial"/>
          <w:sz w:val="24"/>
          <w:szCs w:val="24"/>
        </w:rPr>
        <w:fldChar w:fldCharType="end"/>
      </w:r>
      <w:r w:rsidRPr="007809AC">
        <w:rPr>
          <w:rFonts w:ascii="Arial" w:hAnsi="Arial" w:cs="Arial"/>
          <w:sz w:val="24"/>
          <w:szCs w:val="24"/>
        </w:rPr>
        <w:t xml:space="preserve">. Research has documented decreased levels of </w:t>
      </w:r>
      <w:r w:rsidR="0038428B" w:rsidRPr="007809AC">
        <w:rPr>
          <w:rFonts w:ascii="Arial" w:hAnsi="Arial" w:cs="Arial"/>
          <w:sz w:val="24"/>
          <w:szCs w:val="24"/>
        </w:rPr>
        <w:t>health-related quality of life (</w:t>
      </w:r>
      <w:r w:rsidRPr="007809AC">
        <w:rPr>
          <w:rFonts w:ascii="Arial" w:hAnsi="Arial" w:cs="Arial"/>
          <w:sz w:val="24"/>
          <w:szCs w:val="24"/>
        </w:rPr>
        <w:t>HRQOL</w:t>
      </w:r>
      <w:r w:rsidR="0038428B" w:rsidRPr="007809AC">
        <w:rPr>
          <w:rFonts w:ascii="Arial" w:hAnsi="Arial" w:cs="Arial"/>
          <w:sz w:val="24"/>
          <w:szCs w:val="24"/>
        </w:rPr>
        <w:t>)</w:t>
      </w:r>
      <w:r w:rsidRPr="007809AC">
        <w:rPr>
          <w:rFonts w:ascii="Arial" w:hAnsi="Arial" w:cs="Arial"/>
          <w:sz w:val="24"/>
          <w:szCs w:val="24"/>
        </w:rPr>
        <w:t>, socialisation, and social networks</w:t>
      </w:r>
      <w:r w:rsidR="00C6787A" w:rsidRPr="007809AC">
        <w:rPr>
          <w:rFonts w:ascii="Arial" w:hAnsi="Arial" w:cs="Arial"/>
          <w:sz w:val="24"/>
          <w:szCs w:val="24"/>
        </w:rPr>
        <w:fldChar w:fldCharType="begin"/>
      </w:r>
      <w:r w:rsidR="00C6787A" w:rsidRPr="007809AC">
        <w:rPr>
          <w:rFonts w:ascii="Arial" w:hAnsi="Arial" w:cs="Arial"/>
          <w:sz w:val="24"/>
          <w:szCs w:val="24"/>
        </w:rPr>
        <w:instrText xml:space="preserve"> ADDIN ZOTERO_ITEM CSL_CITATION {"citationID":"P5Ik363e","properties":{"formattedCitation":"(13,14)","plainCitation":"(13,14)","noteIndex":0},"citationItems":[{"id":190,"uris":["http://zotero.org/users/local/nlzVUL7s/items/LKF7A268"],"uri":["http://zotero.org/users/local/nlzVUL7s/items/LKF7A268"],"itemData":{"id":190,"type":"article-journal","title":"Oro-facial pain in the community: prevalence and associated impact","container-title":"Community Dentistry and Oral Epidemiology","page":"52-60","volume":"30","issue":"1","source":"PubMed","abstract":"STUDY OBJECTIVE: To determine the prevalence of oro-facial pain (OFP) in the population and within-population subgroups and to describe the associated disability.\nDESIGN: Cross-sectional population study.\nSETTING: General medical practice in South East Cheshire, United Kingdom.\nPARTICIPANTS: A random sample of 4000 adults aged 18-65 years of whom 2504 responded (adjusted participation rate 74%).\nMAIN RESULTS: The overall prevalence of OFP was 26% (95% Confidence Interval (CI) 24%, 28%). The prevalence of symptoms was higher in women (30%) than in men (21%) and in both sexes the highest (30%) prevalence was found in the 18-25 year age group and the lowest (22%) in the 56-65 age group. Of all the participants, 12% had pain in or around the eyes, 10% reported pain in and around the temples, 6% pain in front of the ears and 6% pain in the jaw joints. Only 46% of the participants with OFP had sought professional advice from a dentist or general medical practitioner and 17% had to take time off work or were unable to carry out normal activities because of pain.\nCONCLUSIONS: OFP is a common symptom experienced by a quarter of the adult population, of whom only 46% seek treatment. The prevalence is higher in women and younger age groups.","ISSN":"0301-5661","note":"PMID: 11918576","shortTitle":"Oro-facial pain in the community","journalAbbreviation":"Community Dent Oral Epidemiol","language":"eng","author":[{"family":"Macfarlane","given":"Tatiana V."},{"family":"Blinkhorn","given":"Anthony S."},{"family":"Davies","given":"Robin M."},{"family":"Kincey","given":"John"},{"family":"Worthington","given":"Helen V."}],"issued":{"date-parts":[["2002",2]]}}},{"id":192,"uris":["http://zotero.org/users/local/nlzVUL7s/items/MPLSSEDZ"],"uri":["http://zotero.org/users/local/nlzVUL7s/items/MPLSSEDZ"],"itemData":{"id":192,"type":"article-journal","title":"Chronic illness of the temporomandibular joints as experienced by support-group members","container-title":"Journal of General Internal Medicine","page":"372-378","volume":"9","issue":"7","source":"PubMed","abstract":"PURPOSE: For temporomandibular disorders, the clinical situation is one of considerable etiologic, diagnostic, and therapeutic uncertainty. Using interview data, this report describes this condition and the search for care from the perspective of sufferers who are support-group members.\nPARTICIPANTS AND METHODS: Thirty-two individuals participated; all were members of a support group for individuals with long-term problems attributed to the temporomandibular joints and/or the surrounding masticatory muscles. Using a structured, open-ended interview format, this study investigated how individuals understand and give meaning to their symptoms, their patterns of care seeking, and the consequences of the illness on their lives. The participants also completed several structured questionnaires.\nRESULTS: For these support-group members, symptoms extended beyond the jaw and surrounding area, with extensive musculoskeletal involvement and resulting dysfunctions that have far-reaching consequences for the sufferers' lives. Primary care physicians are often consulted, especially early in the illness history. They also provide ongoing care and are asked for guidance when patients seek specialized treatment. A striking aspect of the findings from the interviews is the complex and costly pattern of health care seeking. This extended search for effective treatment is examined with reference to culturally based understanding, shared by patients and clinicians, about the nature of illness.","ISSN":"0884-8734","note":"PMID: 7931746","journalAbbreviation":"J Gen Intern Med","language":"eng","author":[{"family":"Garro","given":"L. C."},{"family":"Stephenson","given":"K. A."},{"family":"Good","given":"B. J."}],"issued":{"date-parts":[["1994",7]]}}}],"schema":"https://github.com/citation-style-language/schema/raw/master/csl-citation.json"} </w:instrText>
      </w:r>
      <w:r w:rsidR="00C6787A" w:rsidRPr="007809AC">
        <w:rPr>
          <w:rFonts w:ascii="Arial" w:hAnsi="Arial" w:cs="Arial"/>
          <w:sz w:val="24"/>
          <w:szCs w:val="24"/>
        </w:rPr>
        <w:fldChar w:fldCharType="separate"/>
      </w:r>
      <w:r w:rsidR="00C6787A" w:rsidRPr="007809AC">
        <w:rPr>
          <w:rFonts w:ascii="Arial" w:hAnsi="Arial" w:cs="Arial"/>
          <w:sz w:val="24"/>
          <w:szCs w:val="24"/>
        </w:rPr>
        <w:t>(13,14)</w:t>
      </w:r>
      <w:r w:rsidR="00C6787A" w:rsidRPr="007809AC">
        <w:rPr>
          <w:rFonts w:ascii="Arial" w:hAnsi="Arial" w:cs="Arial"/>
          <w:sz w:val="24"/>
          <w:szCs w:val="24"/>
        </w:rPr>
        <w:fldChar w:fldCharType="end"/>
      </w:r>
      <w:r w:rsidRPr="007809AC">
        <w:rPr>
          <w:rFonts w:ascii="Arial" w:hAnsi="Arial" w:cs="Arial"/>
          <w:sz w:val="24"/>
          <w:szCs w:val="24"/>
        </w:rPr>
        <w:t>, in conjunction with increased depression among patients with TMDs</w:t>
      </w:r>
      <w:r w:rsidR="00C6787A" w:rsidRPr="007809AC">
        <w:rPr>
          <w:rFonts w:ascii="Arial" w:hAnsi="Arial" w:cs="Arial"/>
          <w:sz w:val="24"/>
          <w:szCs w:val="24"/>
        </w:rPr>
        <w:fldChar w:fldCharType="begin"/>
      </w:r>
      <w:r w:rsidR="00C6787A" w:rsidRPr="007809AC">
        <w:rPr>
          <w:rFonts w:ascii="Arial" w:hAnsi="Arial" w:cs="Arial"/>
          <w:sz w:val="24"/>
          <w:szCs w:val="24"/>
        </w:rPr>
        <w:instrText xml:space="preserve"> ADDIN ZOTERO_ITEM CSL_CITATION {"citationID":"IAMiWjXj","properties":{"formattedCitation":"(15,16)","plainCitation":"(15,16)","noteIndex":0},"citationItems":[{"id":202,"uris":["http://zotero.org/users/local/nlzVUL7s/items/IZG52JEK"],"uri":["http://zotero.org/users/local/nlzVUL7s/items/IZG52JEK"],"itemData":{"id":202,"type":"article-journal","title":"Pain and the quality of life in patients referred to a craniofacial pain unit","container-title":"Journal of Orofacial Pain","page":"316-323","volume":"10","issue":"4","source":"PubMed","abstract":"Although there are reasons to believe that temporomandibular disorders and other facial pain conditions would have a major impact on the quality of patients' lives, only a small number of studies have attempted to address this in a systematic way. In this study, data on pain and its consequences were assessed for 121 patients making their first visit to a craniofacial pain research unit. The extent to which musculoskeletal and neurologically based facial pain compromised the quality of life was measured using the Oral Health Impact Profile, a recently developed index of the functional and psychosocial outcomes of oral conditions. The data indicated that facial pain had a substantial impact on daily life and that its most common outcomes were psychologic. When compared with a nonpain population, the extent of this impact was striking. There was a four-fold increase in functional problems such as difficulty chewing foods and a nine-fold increase in reports of depression. As anticipated, scores on the Oral Health Impact Profile were associated with the characteristics of the pain and diagnostic subgroups.","ISSN":"1064-6655","note":"PMID: 9161236","journalAbbreviation":"J Orofac Pain","language":"eng","author":[{"family":"Murray","given":"H."},{"family":"Locker","given":"D."},{"family":"Mock","given":"D."},{"family":"Tenenbaum","given":"H. C."}],"issued":{"date-parts":[["1996"]]}}},{"id":204,"uris":["http://zotero.org/users/local/nlzVUL7s/items/L757TM9H"],"uri":["http://zotero.org/users/local/nlzVUL7s/items/L757TM9H"],"itemData":{"id":204,"type":"article-journal","title":"Impact of dental conditions on patients' quality of life","container-title":"Community Dentistry and Oral Epidemiology","page":"7-10","volume":"17","issue":"1","source":"PubMed","abstract":"Quality of life measures have rarely been used in dentistry to assess oral health status. The purpose of this paper is to assess the utility of using standard indicators to measure the impacts of dental conditions on patients' quality of life. Quality of life was conceptualized as a multidimensional construct including three major aspects: social functioning, measured by the Sickness Impact Profile; well-being, measured by the Gill Well-Being Scale, Spielberger State/Trait Anxiety Scale, and the Corah Dental Anxiety Scale; and symptoms, measured by the Kiyak Oral Functioning Scale, the McGill Pain Questionnaire, and the West Haven Multidimensional Pain Inventory. 152 patients were recruited from private dental practices consisting of 48 TMJ, 33 periodontal, 23 denture, and 48 recall patients. Patients in the first three groups reported numerous impacts on quality of life and the impacts were particularly severe for the TMJ patients. The indicators used were sensitive to differences among the four groups and hold promise for further development of quality of life indicators for use in epidemiologic surveys and clinical dental trials.","ISSN":"0301-5661","note":"PMID: 2645088","journalAbbreviation":"Community Dent Oral Epidemiol","language":"eng","author":[{"family":"Reisine","given":"S. T."},{"family":"Fertig","given":"J."},{"family":"Weber","given":"J."},{"family":"Leder","given":"S."}],"issued":{"date-parts":[["1989",2]]}}}],"schema":"https://github.com/citation-style-language/schema/raw/master/csl-citation.json"} </w:instrText>
      </w:r>
      <w:r w:rsidR="00C6787A" w:rsidRPr="007809AC">
        <w:rPr>
          <w:rFonts w:ascii="Arial" w:hAnsi="Arial" w:cs="Arial"/>
          <w:sz w:val="24"/>
          <w:szCs w:val="24"/>
        </w:rPr>
        <w:fldChar w:fldCharType="separate"/>
      </w:r>
      <w:r w:rsidR="00C6787A" w:rsidRPr="007809AC">
        <w:rPr>
          <w:rFonts w:ascii="Arial" w:hAnsi="Arial" w:cs="Arial"/>
          <w:sz w:val="24"/>
          <w:szCs w:val="24"/>
        </w:rPr>
        <w:t>(15,16)</w:t>
      </w:r>
      <w:r w:rsidR="00C6787A" w:rsidRPr="007809AC">
        <w:rPr>
          <w:rFonts w:ascii="Arial" w:hAnsi="Arial" w:cs="Arial"/>
          <w:sz w:val="24"/>
          <w:szCs w:val="24"/>
        </w:rPr>
        <w:fldChar w:fldCharType="end"/>
      </w:r>
      <w:r w:rsidRPr="007809AC">
        <w:rPr>
          <w:rFonts w:ascii="Arial" w:hAnsi="Arial" w:cs="Arial"/>
          <w:sz w:val="24"/>
          <w:szCs w:val="24"/>
        </w:rPr>
        <w:t xml:space="preserve">. With specific </w:t>
      </w:r>
      <w:r w:rsidR="007102AA" w:rsidRPr="007809AC">
        <w:rPr>
          <w:rFonts w:ascii="Arial" w:hAnsi="Arial" w:cs="Arial"/>
          <w:sz w:val="24"/>
          <w:szCs w:val="24"/>
        </w:rPr>
        <w:t xml:space="preserve">reference </w:t>
      </w:r>
      <w:r w:rsidRPr="007809AC">
        <w:rPr>
          <w:rFonts w:ascii="Arial" w:hAnsi="Arial" w:cs="Arial"/>
          <w:sz w:val="24"/>
          <w:szCs w:val="24"/>
        </w:rPr>
        <w:t>to eating and swallowing difficulties, r</w:t>
      </w:r>
      <w:r w:rsidRPr="007809AC">
        <w:rPr>
          <w:rFonts w:ascii="Arial" w:hAnsi="Arial"/>
          <w:sz w:val="24"/>
          <w:szCs w:val="24"/>
        </w:rPr>
        <w:t xml:space="preserve">esearch from other clinical groups </w:t>
      </w:r>
      <w:r w:rsidR="0038428B" w:rsidRPr="007809AC">
        <w:rPr>
          <w:rFonts w:ascii="Arial" w:hAnsi="Arial"/>
          <w:sz w:val="24"/>
          <w:szCs w:val="24"/>
        </w:rPr>
        <w:t xml:space="preserve">with dysphagia </w:t>
      </w:r>
      <w:r w:rsidRPr="007809AC">
        <w:rPr>
          <w:rFonts w:ascii="Arial" w:hAnsi="Arial"/>
          <w:sz w:val="24"/>
          <w:szCs w:val="24"/>
        </w:rPr>
        <w:t>has found that the</w:t>
      </w:r>
      <w:r w:rsidR="007102AA" w:rsidRPr="007809AC">
        <w:rPr>
          <w:rFonts w:ascii="Arial" w:hAnsi="Arial"/>
          <w:sz w:val="24"/>
          <w:szCs w:val="24"/>
        </w:rPr>
        <w:t>se difficulties</w:t>
      </w:r>
      <w:r w:rsidRPr="007809AC">
        <w:rPr>
          <w:rFonts w:ascii="Arial" w:hAnsi="Arial"/>
          <w:sz w:val="24"/>
          <w:szCs w:val="24"/>
        </w:rPr>
        <w:t xml:space="preserve"> impact on both physical functioning and emotional well-being</w:t>
      </w:r>
      <w:r w:rsidR="007102AA" w:rsidRPr="007809AC">
        <w:rPr>
          <w:rFonts w:ascii="Arial" w:hAnsi="Arial"/>
          <w:sz w:val="24"/>
          <w:szCs w:val="24"/>
        </w:rPr>
        <w:t xml:space="preserve">. This manifests as a reduction in </w:t>
      </w:r>
      <w:r w:rsidRPr="007809AC">
        <w:rPr>
          <w:rFonts w:ascii="Arial" w:hAnsi="Arial"/>
          <w:sz w:val="24"/>
          <w:szCs w:val="24"/>
        </w:rPr>
        <w:t xml:space="preserve"> the ability to consume typical diets, decreasing participation in social events</w:t>
      </w:r>
      <w:r w:rsidR="007102AA" w:rsidRPr="007809AC">
        <w:rPr>
          <w:rFonts w:ascii="Arial" w:hAnsi="Arial"/>
          <w:sz w:val="24"/>
          <w:szCs w:val="24"/>
        </w:rPr>
        <w:t xml:space="preserve"> thus</w:t>
      </w:r>
      <w:r w:rsidRPr="007809AC">
        <w:rPr>
          <w:rFonts w:ascii="Arial" w:hAnsi="Arial"/>
          <w:sz w:val="24"/>
          <w:szCs w:val="24"/>
        </w:rPr>
        <w:t xml:space="preserve"> eroding self-esteem, and creating a sense of diversity compared to peers</w:t>
      </w:r>
      <w:r w:rsidR="00C6787A" w:rsidRPr="007809AC">
        <w:rPr>
          <w:rFonts w:ascii="Arial" w:hAnsi="Arial"/>
          <w:sz w:val="24"/>
          <w:szCs w:val="24"/>
        </w:rPr>
        <w:fldChar w:fldCharType="begin"/>
      </w:r>
      <w:r w:rsidR="00C6787A" w:rsidRPr="007809AC">
        <w:rPr>
          <w:rFonts w:ascii="Arial" w:hAnsi="Arial"/>
          <w:sz w:val="24"/>
          <w:szCs w:val="24"/>
        </w:rPr>
        <w:instrText xml:space="preserve"> ADDIN ZOTERO_ITEM CSL_CITATION {"citationID":"0YD1sW2L","properties":{"formattedCitation":"(17,18)","plainCitation":"(17,18)","noteIndex":0},"citationItems":[{"id":677,"uris":["http://zotero.org/users/local/nlzVUL7s/items/VN8DWXG7"],"uri":["http://zotero.org/users/local/nlzVUL7s/items/VN8DWXG7"],"itemData":{"id":677,"type":"article-journal","title":"Social and psychological burden of dysphagia: its impact on diagnosis and treatment","container-title":"Dysphagia","page":"139-146","volume":"17","issue":"2","source":"PubMed","abstract":"The social and psychological impact of dysphagia has not been routinely reported in large studies. We sought to determine the effects of dysphagia on broad measures of the quality of life of patients and to explore the relationship between the psychological handicaps of the condition and the frequency of diagnosis and treatment. A total of 360 patients selected on the basis of known subjective dysphagia complaints, regardless of origin, in nursing homes and clinics in Germany, France, Spain, and the United Kingdom were interviewed using an established questionnaire. Qualitative interviews with a total of 28 health professionals were conducted to improve understanding of the patient data in the context of each country. Over 50% of patients claimed that they were \"eating less\" with 44% reporting weight loss during the preceding 12 months. Thirty-six percent of patients acknowledged receiving a confirmed diagnosis of dysphagia; only 32% acknowledged receiving professional treatment for it. Most people with dysphagia believe their condition to be untreatable; only 39% of the sufferers believed that their swallowing difficulties could be treated. Eighty-four percent of patients felt that eating should be an enjoyable experience but only 45% actually found it so. Moreover, 41% of patients stated that they experienced anxiety or panic during mealtimes. Over one-third (36%) of patients reported that they avoided eating with others because of their dysphagia. In a largely elderly population that might accept dysphagia as an untreatable part of the aging process, clinicians need to be aware of the adverse effects of dysphagia on self-esteem, socialization, and enjoyment of life. Careful questioning should assess the impact of the condition on each patient's life, and patients should be educated on their choices for treatment in the context of any coexisting illness. Awareness of the condition, diagnostic procedures, and treatment options must be increased in society and among the medical profession.","DOI":"10.1007/s00455-001-0113-5","ISSN":"0179-051X","note":"PMID: 11956839","shortTitle":"Social and psychological burden of dysphagia","journalAbbreviation":"Dysphagia","language":"eng","author":[{"family":"Ekberg","given":"Olle"},{"family":"Hamdy","given":"Shaheen"},{"family":"Woisard","given":"Virginie"},{"family":"Wuttge-Hannig","given":"Anita"},{"family":"Ortega","given":"Primitivo"}],"issued":{"date-parts":[["2002"]]}}},{"id":1401,"uris":["http://zotero.org/users/local/nlzVUL7s/items/GSAMSA98"],"uri":["http://zotero.org/users/local/nlzVUL7s/items/GSAMSA98"],"itemData":{"id":1401,"type":"article-journal","title":"Social importance of dysphagia: its impact on diagnosis and therapy","container-title":"Acta Otorhinolaryngologica Italica","page":"83-86","volume":"27","issue":"2","source":"PubMed Central","abstract":"Until now, a limited number of studies have been carried out on the social importance of dysphagia and its consequences on the quality of life. Dysphagia is considered a disabling disorder for the individual from the functional point of view of swallowing, as well as the emotional-relational viewpoint. Aim of the study was to detect both the social consequences and the emotional implications which lead the dysphagic patient to evaluate the worsening of the quality of life after the onset of the disorder and how speech therapy can improve it. A survey was carried out on 73 patients, aged between 40-80 years, who had undergone one of the following operations: ENT, maxillo-facial, neurological and presbiphagic. A questionnaire was prepared comprising 25 questions concerning: medical history, eating habits, personal feelings, information about dysphagia and state of health. Research was carried out on a sample of patients who were still actively working and enjoyed an intense social life; almost 50% were under 60 years of age. After the surgical operation, they were found to be more fragile, lacked self-confidence, with limited social relationships and consequently, a tendency to isolation. Most patients, who had previously considered mealtimes an opportunity to meet others and a social gathering, no longer believed them to be a pleasant aspect of their day on account of the difficulty in swallowing. As a result, food consistency had to be changed and strategies had to be invented in order to make the meal less embarrassing. All patients agree they received, initially, little information on dysphagia. They maintain they benefited from speech therapy re-education and placed their confidence in the doctors who were treating them. Dysphagia is a disorder which has a negative influence on the patient’s life, worsening it qualitatively from both a social and an emotional point of view. The patient tends to isolate him/herself, and experiences a sense of discomfort and diversity compared to his/her fellows, leading to a decrease in self-esteem. Research shows that patients are duly informed by doctors and health care professionals concerning the problems related to dysphagia and the rehabilitation therapy to be followed. Patients feel more safeguarded and there is an overall improvement in their lives.","ISSN":"0392-100X","note":"PMID: 17608136\nPMCID: PMC2640007","shortTitle":"Social importance of dysphagia","journalAbbreviation":"Acta Otorhinolaryngol Ital","author":[{"family":"Farri","given":"A"},{"family":"Accornero","given":"A"},{"family":"Burdese","given":"C"}],"issued":{"date-parts":[["2007",4]]}}}],"schema":"https://github.com/citation-style-language/schema/raw/master/csl-citation.json"} </w:instrText>
      </w:r>
      <w:r w:rsidR="00C6787A" w:rsidRPr="007809AC">
        <w:rPr>
          <w:rFonts w:ascii="Arial" w:hAnsi="Arial"/>
          <w:sz w:val="24"/>
          <w:szCs w:val="24"/>
        </w:rPr>
        <w:fldChar w:fldCharType="separate"/>
      </w:r>
      <w:r w:rsidR="00C6787A" w:rsidRPr="007809AC">
        <w:rPr>
          <w:rFonts w:ascii="Arial" w:hAnsi="Arial" w:cs="Arial"/>
          <w:sz w:val="24"/>
          <w:szCs w:val="24"/>
        </w:rPr>
        <w:t>(17,18)</w:t>
      </w:r>
      <w:r w:rsidR="00C6787A" w:rsidRPr="007809AC">
        <w:rPr>
          <w:rFonts w:ascii="Arial" w:hAnsi="Arial"/>
          <w:sz w:val="24"/>
          <w:szCs w:val="24"/>
        </w:rPr>
        <w:fldChar w:fldCharType="end"/>
      </w:r>
      <w:r w:rsidRPr="007809AC">
        <w:rPr>
          <w:rFonts w:ascii="Arial" w:hAnsi="Arial"/>
          <w:sz w:val="24"/>
          <w:szCs w:val="24"/>
        </w:rPr>
        <w:t>. Although little is currently known about the functional or psychosocial consequences of TMD-related eating and swallowing problems specifically, it is hypothesised that the impact of these difficulties may be similarly negative.</w:t>
      </w:r>
      <w:r w:rsidR="00D81840" w:rsidRPr="007809AC">
        <w:rPr>
          <w:rFonts w:ascii="Arial" w:hAnsi="Arial"/>
          <w:sz w:val="24"/>
          <w:szCs w:val="24"/>
        </w:rPr>
        <w:t xml:space="preserve"> </w:t>
      </w:r>
      <w:r w:rsidR="00726A48" w:rsidRPr="007809AC">
        <w:rPr>
          <w:rFonts w:ascii="Arial" w:hAnsi="Arial"/>
          <w:sz w:val="24"/>
          <w:szCs w:val="24"/>
        </w:rPr>
        <w:t xml:space="preserve">However, clinical management of these concerns remains </w:t>
      </w:r>
      <w:r w:rsidR="00D81840" w:rsidRPr="007809AC">
        <w:rPr>
          <w:rFonts w:ascii="Arial" w:hAnsi="Arial"/>
          <w:sz w:val="24"/>
          <w:szCs w:val="24"/>
        </w:rPr>
        <w:t xml:space="preserve">sporadic, </w:t>
      </w:r>
      <w:r w:rsidR="00D81840" w:rsidRPr="007809AC">
        <w:rPr>
          <w:rFonts w:ascii="Arial" w:hAnsi="Arial"/>
          <w:sz w:val="24"/>
          <w:szCs w:val="24"/>
        </w:rPr>
        <w:lastRenderedPageBreak/>
        <w:t>with potential ramifications for patient clinical outcomes and physical and psychosocial well-being.</w:t>
      </w:r>
    </w:p>
    <w:p w14:paraId="3BCD39A6" w14:textId="2A423796" w:rsidR="00F71F78" w:rsidRPr="007809AC" w:rsidRDefault="00D13F0A" w:rsidP="005964C8">
      <w:pPr>
        <w:spacing w:line="360" w:lineRule="auto"/>
        <w:jc w:val="both"/>
        <w:rPr>
          <w:rFonts w:ascii="Arial" w:hAnsi="Arial"/>
          <w:sz w:val="24"/>
          <w:szCs w:val="24"/>
        </w:rPr>
      </w:pPr>
      <w:r w:rsidRPr="007809AC">
        <w:rPr>
          <w:rFonts w:ascii="Arial" w:hAnsi="Arial"/>
          <w:sz w:val="24"/>
          <w:szCs w:val="24"/>
        </w:rPr>
        <w:t>The</w:t>
      </w:r>
      <w:r w:rsidR="005964C8" w:rsidRPr="007809AC">
        <w:rPr>
          <w:rFonts w:ascii="Arial" w:hAnsi="Arial"/>
          <w:sz w:val="24"/>
          <w:szCs w:val="24"/>
        </w:rPr>
        <w:t xml:space="preserve"> aim of this study was</w:t>
      </w:r>
      <w:r w:rsidR="00D81840" w:rsidRPr="007809AC">
        <w:rPr>
          <w:rFonts w:ascii="Arial" w:hAnsi="Arial"/>
          <w:sz w:val="24"/>
          <w:szCs w:val="24"/>
        </w:rPr>
        <w:t xml:space="preserve"> </w:t>
      </w:r>
      <w:r w:rsidR="005964C8" w:rsidRPr="007809AC">
        <w:rPr>
          <w:rFonts w:ascii="Arial" w:hAnsi="Arial"/>
          <w:sz w:val="24"/>
          <w:szCs w:val="24"/>
        </w:rPr>
        <w:t xml:space="preserve">to investigate </w:t>
      </w:r>
      <w:r w:rsidRPr="007809AC">
        <w:rPr>
          <w:rFonts w:ascii="Arial" w:hAnsi="Arial"/>
          <w:sz w:val="24"/>
          <w:szCs w:val="24"/>
        </w:rPr>
        <w:t>the epidemiology</w:t>
      </w:r>
      <w:r w:rsidR="005964C8" w:rsidRPr="007809AC">
        <w:rPr>
          <w:rFonts w:ascii="Arial" w:hAnsi="Arial"/>
          <w:sz w:val="24"/>
          <w:szCs w:val="24"/>
        </w:rPr>
        <w:t xml:space="preserve">, nature, </w:t>
      </w:r>
      <w:r w:rsidRPr="007809AC">
        <w:rPr>
          <w:rFonts w:ascii="Arial" w:hAnsi="Arial"/>
          <w:sz w:val="24"/>
          <w:szCs w:val="24"/>
        </w:rPr>
        <w:t xml:space="preserve">and impact of </w:t>
      </w:r>
      <w:r w:rsidR="005964C8" w:rsidRPr="007809AC">
        <w:rPr>
          <w:rFonts w:ascii="Arial" w:hAnsi="Arial"/>
          <w:sz w:val="24"/>
          <w:szCs w:val="24"/>
        </w:rPr>
        <w:t xml:space="preserve">TMD-related </w:t>
      </w:r>
      <w:r w:rsidRPr="007809AC">
        <w:rPr>
          <w:rFonts w:ascii="Arial" w:hAnsi="Arial"/>
          <w:sz w:val="24"/>
          <w:szCs w:val="24"/>
        </w:rPr>
        <w:t>eating and swallowing problems</w:t>
      </w:r>
      <w:r w:rsidR="007102AA" w:rsidRPr="007809AC">
        <w:rPr>
          <w:rFonts w:ascii="Arial" w:hAnsi="Arial"/>
          <w:sz w:val="24"/>
          <w:szCs w:val="24"/>
        </w:rPr>
        <w:t xml:space="preserve"> </w:t>
      </w:r>
      <w:r w:rsidR="007102AA" w:rsidRPr="007809AC">
        <w:rPr>
          <w:rFonts w:ascii="Arial" w:hAnsi="Arial" w:cs="Arial"/>
          <w:sz w:val="24"/>
          <w:szCs w:val="24"/>
        </w:rPr>
        <w:t>in adults with TMDs</w:t>
      </w:r>
      <w:r w:rsidR="007102AA" w:rsidRPr="007809AC">
        <w:rPr>
          <w:rFonts w:ascii="Arial" w:hAnsi="Arial"/>
          <w:sz w:val="24"/>
          <w:szCs w:val="24"/>
        </w:rPr>
        <w:t>.</w:t>
      </w:r>
      <w:r w:rsidRPr="007809AC">
        <w:rPr>
          <w:rFonts w:ascii="Arial" w:hAnsi="Arial"/>
          <w:sz w:val="24"/>
          <w:szCs w:val="24"/>
        </w:rPr>
        <w:t xml:space="preserve"> </w:t>
      </w:r>
      <w:r w:rsidR="007102AA" w:rsidRPr="007809AC">
        <w:rPr>
          <w:rFonts w:ascii="Arial" w:hAnsi="Arial"/>
          <w:sz w:val="24"/>
          <w:szCs w:val="24"/>
        </w:rPr>
        <w:t xml:space="preserve">The objective </w:t>
      </w:r>
      <w:r w:rsidR="00C65EA2" w:rsidRPr="007809AC">
        <w:rPr>
          <w:rFonts w:ascii="Arial" w:hAnsi="Arial"/>
          <w:sz w:val="24"/>
          <w:szCs w:val="24"/>
        </w:rPr>
        <w:t>wa</w:t>
      </w:r>
      <w:r w:rsidR="007102AA" w:rsidRPr="007809AC">
        <w:rPr>
          <w:rFonts w:ascii="Arial" w:hAnsi="Arial"/>
          <w:sz w:val="24"/>
          <w:szCs w:val="24"/>
        </w:rPr>
        <w:t xml:space="preserve">s </w:t>
      </w:r>
      <w:r w:rsidR="005964C8" w:rsidRPr="007809AC">
        <w:rPr>
          <w:rFonts w:ascii="Arial" w:hAnsi="Arial"/>
          <w:sz w:val="24"/>
          <w:szCs w:val="24"/>
        </w:rPr>
        <w:t>to</w:t>
      </w:r>
      <w:r w:rsidRPr="007809AC">
        <w:rPr>
          <w:rFonts w:ascii="Arial" w:hAnsi="Arial"/>
          <w:sz w:val="24"/>
          <w:szCs w:val="24"/>
        </w:rPr>
        <w:t xml:space="preserve"> inform future research and develop cohort-specific management techniques for use with this group.</w:t>
      </w:r>
    </w:p>
    <w:p w14:paraId="0C5255E1" w14:textId="370FE06D" w:rsidR="00F71F78" w:rsidRPr="007809AC" w:rsidRDefault="00947FA4">
      <w:pPr>
        <w:rPr>
          <w:rFonts w:ascii="Arial" w:hAnsi="Arial" w:cs="Arial"/>
          <w:b/>
          <w:sz w:val="24"/>
          <w:szCs w:val="24"/>
        </w:rPr>
      </w:pPr>
      <w:r w:rsidRPr="007809AC">
        <w:rPr>
          <w:rFonts w:ascii="Arial" w:hAnsi="Arial" w:cs="Arial"/>
          <w:b/>
          <w:sz w:val="24"/>
          <w:szCs w:val="24"/>
        </w:rPr>
        <w:t xml:space="preserve">MATERIALS AND </w:t>
      </w:r>
      <w:r w:rsidR="00D13F0A" w:rsidRPr="007809AC">
        <w:rPr>
          <w:rFonts w:ascii="Arial" w:hAnsi="Arial" w:cs="Arial"/>
          <w:b/>
          <w:sz w:val="24"/>
          <w:szCs w:val="24"/>
        </w:rPr>
        <w:t>METHODS</w:t>
      </w:r>
    </w:p>
    <w:p w14:paraId="4DB559DA" w14:textId="440D98C8" w:rsidR="00F71F78" w:rsidRPr="007809AC" w:rsidRDefault="00D13F0A" w:rsidP="005964C8">
      <w:pPr>
        <w:spacing w:before="240" w:line="360" w:lineRule="auto"/>
        <w:jc w:val="both"/>
        <w:rPr>
          <w:rFonts w:ascii="Arial" w:hAnsi="Arial" w:cs="Arial"/>
          <w:sz w:val="24"/>
          <w:szCs w:val="24"/>
        </w:rPr>
      </w:pPr>
      <w:r w:rsidRPr="007809AC">
        <w:rPr>
          <w:rFonts w:ascii="Arial" w:hAnsi="Arial" w:cs="Arial"/>
          <w:sz w:val="24"/>
          <w:szCs w:val="24"/>
        </w:rPr>
        <w:t>A cross-sectional study design was used</w:t>
      </w:r>
      <w:r w:rsidR="005964C8" w:rsidRPr="007809AC">
        <w:rPr>
          <w:rFonts w:ascii="Arial" w:hAnsi="Arial" w:cs="Arial"/>
          <w:sz w:val="24"/>
          <w:szCs w:val="24"/>
        </w:rPr>
        <w:t xml:space="preserve">. </w:t>
      </w:r>
      <w:r w:rsidR="003508C4" w:rsidRPr="007809AC">
        <w:rPr>
          <w:rFonts w:ascii="Arial" w:hAnsi="Arial" w:cs="Arial"/>
          <w:sz w:val="24"/>
          <w:szCs w:val="24"/>
        </w:rPr>
        <w:t xml:space="preserve">Ethical approval was received </w:t>
      </w:r>
      <w:r w:rsidR="00475D65" w:rsidRPr="007809AC">
        <w:rPr>
          <w:rFonts w:ascii="Arial" w:hAnsi="Arial" w:cs="Arial"/>
          <w:sz w:val="24"/>
          <w:szCs w:val="24"/>
        </w:rPr>
        <w:t xml:space="preserve">from </w:t>
      </w:r>
      <w:r w:rsidR="003508C4" w:rsidRPr="007809AC">
        <w:rPr>
          <w:rFonts w:ascii="Arial" w:hAnsi="Arial" w:cs="Arial"/>
          <w:sz w:val="24"/>
          <w:szCs w:val="24"/>
        </w:rPr>
        <w:t>Tallaght University Hospital/St. James’s Hospital Research Ethics Committee</w:t>
      </w:r>
      <w:r w:rsidR="00DC35C2" w:rsidRPr="007809AC">
        <w:rPr>
          <w:rFonts w:ascii="Arial" w:hAnsi="Arial" w:cs="Arial"/>
          <w:sz w:val="24"/>
          <w:szCs w:val="24"/>
        </w:rPr>
        <w:t xml:space="preserve"> (REC Reference: 2017-02 Chairman’s Action (2))</w:t>
      </w:r>
      <w:r w:rsidR="003508C4" w:rsidRPr="007809AC">
        <w:rPr>
          <w:rFonts w:ascii="Arial" w:hAnsi="Arial" w:cs="Arial"/>
          <w:sz w:val="24"/>
          <w:szCs w:val="24"/>
        </w:rPr>
        <w:t xml:space="preserve">. </w:t>
      </w:r>
      <w:r w:rsidR="005964C8" w:rsidRPr="007809AC">
        <w:rPr>
          <w:rFonts w:ascii="Arial" w:hAnsi="Arial" w:cs="Arial"/>
          <w:sz w:val="24"/>
          <w:szCs w:val="24"/>
        </w:rPr>
        <w:t xml:space="preserve">Consecutive patients presenting for TMD treatment to two research settings were recruited over a 12-month period </w:t>
      </w:r>
      <w:r w:rsidR="005964C8" w:rsidRPr="007809AC">
        <w:rPr>
          <w:rFonts w:ascii="Arial" w:eastAsia="SimSun" w:hAnsi="Arial" w:cs="Arial"/>
          <w:sz w:val="24"/>
          <w:szCs w:val="24"/>
        </w:rPr>
        <w:t xml:space="preserve">(March 2017 – March 2018). Research settings were the oral surgery and oral and maxillofacial surgery </w:t>
      </w:r>
      <w:r w:rsidR="00A32F1A" w:rsidRPr="007809AC">
        <w:rPr>
          <w:rFonts w:ascii="Arial" w:eastAsia="SimSun" w:hAnsi="Arial" w:cs="Arial"/>
          <w:sz w:val="24"/>
          <w:szCs w:val="24"/>
        </w:rPr>
        <w:t xml:space="preserve">(OMFS) </w:t>
      </w:r>
      <w:r w:rsidR="005964C8" w:rsidRPr="007809AC">
        <w:rPr>
          <w:rFonts w:ascii="Arial" w:eastAsia="SimSun" w:hAnsi="Arial" w:cs="Arial"/>
          <w:sz w:val="24"/>
          <w:szCs w:val="24"/>
        </w:rPr>
        <w:t>outpatient clinics of</w:t>
      </w:r>
      <w:r w:rsidR="005964C8" w:rsidRPr="007809AC">
        <w:rPr>
          <w:rFonts w:ascii="Arial" w:hAnsi="Arial" w:cs="Arial"/>
          <w:sz w:val="24"/>
          <w:szCs w:val="24"/>
        </w:rPr>
        <w:t xml:space="preserve"> two Irish national specialist centres of care. </w:t>
      </w:r>
      <w:r w:rsidR="004C3672" w:rsidRPr="007809AC">
        <w:rPr>
          <w:rFonts w:ascii="Arial" w:hAnsi="Arial" w:cs="Arial"/>
          <w:sz w:val="24"/>
          <w:szCs w:val="24"/>
        </w:rPr>
        <w:t>Information posters were present in clinical sites outlining eligibility criteria, procedures involved in assessment, and the process of self-selection for participation.</w:t>
      </w:r>
      <w:r w:rsidR="00947FA4" w:rsidRPr="007809AC">
        <w:rPr>
          <w:rFonts w:ascii="Arial" w:hAnsi="Arial" w:cs="Arial"/>
          <w:sz w:val="24"/>
          <w:szCs w:val="24"/>
        </w:rPr>
        <w:t xml:space="preserve"> Participants provided written informed consent prior to participation.</w:t>
      </w:r>
    </w:p>
    <w:p w14:paraId="4144D41E" w14:textId="54BF1586" w:rsidR="00E7543A" w:rsidRPr="007809AC" w:rsidRDefault="00D13F0A" w:rsidP="004C3672">
      <w:pPr>
        <w:spacing w:before="240" w:line="360" w:lineRule="auto"/>
        <w:jc w:val="both"/>
        <w:rPr>
          <w:rFonts w:ascii="Arial" w:eastAsia="SimSun" w:hAnsi="Arial" w:cs="Arial"/>
          <w:sz w:val="24"/>
          <w:szCs w:val="24"/>
        </w:rPr>
      </w:pPr>
      <w:r w:rsidRPr="007809AC">
        <w:rPr>
          <w:rFonts w:ascii="Arial" w:eastAsia="SimSun" w:hAnsi="Arial" w:cs="Arial"/>
          <w:sz w:val="24"/>
          <w:szCs w:val="24"/>
        </w:rPr>
        <w:t>Participants were eligible for incl</w:t>
      </w:r>
      <w:r w:rsidR="005964C8" w:rsidRPr="007809AC">
        <w:rPr>
          <w:rFonts w:ascii="Arial" w:eastAsia="SimSun" w:hAnsi="Arial" w:cs="Arial"/>
          <w:sz w:val="24"/>
          <w:szCs w:val="24"/>
        </w:rPr>
        <w:t>usion if they were adult</w:t>
      </w:r>
      <w:r w:rsidRPr="007809AC">
        <w:rPr>
          <w:rFonts w:ascii="Arial" w:eastAsia="SimSun" w:hAnsi="Arial" w:cs="Arial"/>
          <w:sz w:val="24"/>
          <w:szCs w:val="24"/>
        </w:rPr>
        <w:t xml:space="preserve">s (aged 18 years and older) of any </w:t>
      </w:r>
      <w:r w:rsidR="005964C8" w:rsidRPr="007809AC">
        <w:rPr>
          <w:rFonts w:ascii="Arial" w:eastAsia="SimSun" w:hAnsi="Arial" w:cs="Arial"/>
          <w:sz w:val="24"/>
          <w:szCs w:val="24"/>
        </w:rPr>
        <w:t>gender</w:t>
      </w:r>
      <w:r w:rsidRPr="007809AC">
        <w:rPr>
          <w:rFonts w:ascii="Arial" w:eastAsia="SimSun" w:hAnsi="Arial" w:cs="Arial"/>
          <w:sz w:val="24"/>
          <w:szCs w:val="24"/>
        </w:rPr>
        <w:t xml:space="preserve">, race, or TMD severity level seeking treatment </w:t>
      </w:r>
      <w:r w:rsidR="000311AE" w:rsidRPr="007809AC">
        <w:rPr>
          <w:rFonts w:ascii="Arial" w:eastAsia="SimSun" w:hAnsi="Arial" w:cs="Arial"/>
          <w:sz w:val="24"/>
          <w:szCs w:val="24"/>
        </w:rPr>
        <w:t xml:space="preserve">for TMDs </w:t>
      </w:r>
      <w:r w:rsidR="005964C8" w:rsidRPr="007809AC">
        <w:rPr>
          <w:rFonts w:ascii="Arial" w:eastAsia="SimSun" w:hAnsi="Arial" w:cs="Arial"/>
          <w:sz w:val="24"/>
          <w:szCs w:val="24"/>
        </w:rPr>
        <w:t>at the clinical sites where data collection took place</w:t>
      </w:r>
      <w:r w:rsidR="00475D65" w:rsidRPr="007809AC">
        <w:rPr>
          <w:rFonts w:ascii="Arial" w:eastAsia="SimSun" w:hAnsi="Arial" w:cs="Arial"/>
          <w:sz w:val="24"/>
          <w:szCs w:val="24"/>
        </w:rPr>
        <w:t xml:space="preserve">. Participants were </w:t>
      </w:r>
      <w:r w:rsidRPr="007809AC">
        <w:rPr>
          <w:rFonts w:ascii="Arial" w:eastAsia="SimSun" w:hAnsi="Arial" w:cs="Arial"/>
          <w:sz w:val="24"/>
          <w:szCs w:val="24"/>
        </w:rPr>
        <w:t xml:space="preserve">diagnosed </w:t>
      </w:r>
      <w:r w:rsidR="000311AE" w:rsidRPr="007809AC">
        <w:rPr>
          <w:rFonts w:ascii="Arial" w:eastAsia="SimSun" w:hAnsi="Arial" w:cs="Arial"/>
          <w:sz w:val="24"/>
          <w:szCs w:val="24"/>
        </w:rPr>
        <w:t xml:space="preserve">with TMDs </w:t>
      </w:r>
      <w:r w:rsidRPr="007809AC">
        <w:rPr>
          <w:rFonts w:ascii="Arial" w:eastAsia="SimSun" w:hAnsi="Arial" w:cs="Arial"/>
          <w:sz w:val="24"/>
          <w:szCs w:val="24"/>
        </w:rPr>
        <w:t>using the Diagnostic Criteria for Temporomandibular Disorders (</w:t>
      </w:r>
      <w:r w:rsidRPr="007809AC">
        <w:rPr>
          <w:rFonts w:ascii="Arial" w:hAnsi="Arial" w:cs="Arial"/>
          <w:sz w:val="24"/>
          <w:szCs w:val="24"/>
        </w:rPr>
        <w:t>DC/TMD)</w:t>
      </w:r>
      <w:r w:rsidR="00C6787A" w:rsidRPr="007809AC">
        <w:rPr>
          <w:rFonts w:ascii="Arial" w:hAnsi="Arial" w:cs="Arial"/>
          <w:sz w:val="24"/>
          <w:szCs w:val="24"/>
        </w:rPr>
        <w:fldChar w:fldCharType="begin"/>
      </w:r>
      <w:r w:rsidR="00C6787A" w:rsidRPr="007809AC">
        <w:rPr>
          <w:rFonts w:ascii="Arial" w:hAnsi="Arial" w:cs="Arial"/>
          <w:sz w:val="24"/>
          <w:szCs w:val="24"/>
        </w:rPr>
        <w:instrText xml:space="preserve"> ADDIN ZOTERO_ITEM CSL_CITATION {"citationID":"rjDwpqZQ","properties":{"formattedCitation":"(19)","plainCitation":"(19)","noteIndex":0},"citationItems":[{"id":55,"uris":["http://zotero.org/users/local/nlzVUL7s/items/VPK22XTF"],"uri":["http://zotero.org/users/local/nlzVUL7s/items/VPK22XTF"],"itemData":{"id":55,"type":"article-journal","title":"Diagnostic Criteria for Temporomandibular Disorders (DC/TMD) for Clinical and Research Applications: recommendations of the International RDC/TMD Consortium Network* and Orofacial Pain Special Interest Group†","container-title":"Journal of Oral &amp; Facial Pain and Headache","page":"6-27","volume":"28","issue":"1","source":"PubMed","abstract":"AIMS: The original Research Diagnostic Criteria for Temporomandibular Disorders (RDC/TMD) Axis I diagnostic algorithms have been demonstrated to be reliable. However, the Validation Project determined that the RDC/TMD Axis I validity was below the target sensitivity of ≥ 0.70 and specificity of ≥ 0.95. Consequently, these empirical results supported the development of revised RDC/TMD Axis I diagnostic algorithms that were subsequently demonstrated to be valid for the most common pain-related TMD and for one temporomandibular joint (TMJ) intra-articular disorder. The original RDC/TMD Axis II instruments were shown to be both reliable and valid. Working from these findings and revisions, two international consensus workshops were convened, from which recommendations were obtained for the finalization of new Axis I diagnostic algorithms and new Axis II instruments.\nMETHODS: Through a series of workshops and symposia, a panel of clinical and basic science pain experts modified the revised RDC/TMD Axis I algorithms by using comprehensive searches of published TMD diagnostic literature followed by review and consensus via a formal structured process. The panel's recommendations for further revision of the Axis I diagnostic algorithms were assessed for validity by using the Validation Project's data set, and for reliability by using newly collected data from the ongoing TMJ Impact Project-the follow-up study to the Validation Project. New Axis II instruments were identified through a comprehensive search of the literature providing valid instruments that, relative to the RDC/TMD, are shorter in length, are available in the public domain, and currently are being used in medical settings.\nRESULTS: The newly recommended Diagnostic Criteria for TMD (DC/TMD) Axis I protocol includes both a valid screener for detecting any pain-related TMD as well as valid diagnostic criteria for differentiating the most common pain-related TMD (sensitivity ≥ 0.86, specificity ≥ 0.98) and for one intra-articular disorder (sensitivity of 0.80 and specificity of 0.97). Diagnostic criteria for other common intra-articular disorders lack adequate validity for clinical diagnoses but can be used for screening purposes. Inter-examiner reliability for the clinical assessment associated with the validated DC/TMD criteria for pain-related TMD is excellent (kappa ≥ 0.85). Finally, a comprehensive classification system that includes both the common and less common TMD is also presented. The Axis II protocol retains selected original RDC/TMD screening instruments augmented with new instruments to assess jaw function as well as behavioral and additional psychosocial factors. The Axis II protocol is divided into screening and comprehensive self report instrument sets. The screening instruments' 41 questions assess pain intensity, pain-related disability, psychological distress, jaw functional limitations, and parafunctional behaviors, and a pain drawing is used to assess locations of pain. The comprehensive instruments, composed of 81 questions, assess in further detail jaw functional limitations and psychological distress as well as additional constructs of anxiety and presence of comorbid pain conditions.\nCONCLUSION: The recommended evidence-based new DC/TMD protocol is appropriate for use in both clinical and research settings. More comprehensive instruments augment short and simple screening instruments for Axis I and Axis II. These validated instruments allow for identification of patients with a range of simple to complex TMD presentations.","ISSN":"2333-0384","note":"PMID: 24482784\nPMCID: PMC4478082","shortTitle":"Diagnostic Criteria for Temporomandibular Disorders (DC/TMD) for Clinical and Research Applications","journalAbbreviation":"J Oral Facial Pain Headache","language":"eng","author":[{"family":"Schiffman","given":"Eric"},{"family":"Ohrbach","given":"Richard"},{"family":"Truelove","given":"Edmond"},{"family":"Look","given":"John"},{"family":"Anderson","given":"Gary"},{"family":"Goulet","given":"Jean-Paul"},{"family":"List","given":"Thomas"},{"family":"Svensson","given":"Peter"},{"family":"Gonzalez","given":"Yoly"},{"family":"Lobbezoo","given":"Frank"},{"family":"Michelotti","given":"Ambra"},{"family":"Brooks","given":"Sharon L."},{"family":"Ceusters","given":"Werner"},{"family":"Drangsholt","given":"Mark"},{"family":"Ettlin","given":"Dominik"},{"family":"Gaul","given":"Charly"},{"family":"Goldberg","given":"Louis J."},{"family":"Haythornthwaite","given":"Jennifer A."},{"family":"Hollender","given":"Lars"},{"family":"Jensen","given":"Rigmor"},{"family":"John","given":"Mike T."},{"family":"De Laat","given":"Antoon"},{"family":"Leeuw","given":"Reny","non-dropping-particle":"de"},{"family":"Maixner","given":"William"},{"family":"Meulen","given":"Marylee","non-dropping-particle":"van der"},{"family":"Murray","given":"Greg M."},{"family":"Nixdorf","given":"Donald R."},{"family":"Palla","given":"Sandro"},{"family":"Petersson","given":"Arne"},{"family":"Pionchon","given":"Paul"},{"family":"Smith","given":"Barry"},{"family":"Visscher","given":"Corine M."},{"family":"Zakrzewska","given":"Joanna"},{"family":"Dworkin","given":"Samuel F."},{"literal":"International RDC/TMD Consortium Network, International association for Dental Research"},{"literal":"Orofacial Pain Special Interest Group, International Association for the Study of Pain"}],"issued":{"date-parts":[["2014"]]}}}],"schema":"https://github.com/citation-style-language/schema/raw/master/csl-citation.json"} </w:instrText>
      </w:r>
      <w:r w:rsidR="00C6787A" w:rsidRPr="007809AC">
        <w:rPr>
          <w:rFonts w:ascii="Arial" w:hAnsi="Arial" w:cs="Arial"/>
          <w:sz w:val="24"/>
          <w:szCs w:val="24"/>
        </w:rPr>
        <w:fldChar w:fldCharType="separate"/>
      </w:r>
      <w:r w:rsidR="00C6787A" w:rsidRPr="007809AC">
        <w:rPr>
          <w:rFonts w:ascii="Arial" w:hAnsi="Arial" w:cs="Arial"/>
          <w:sz w:val="24"/>
          <w:szCs w:val="24"/>
        </w:rPr>
        <w:t>(19)</w:t>
      </w:r>
      <w:r w:rsidR="00C6787A" w:rsidRPr="007809AC">
        <w:rPr>
          <w:rFonts w:ascii="Arial" w:hAnsi="Arial" w:cs="Arial"/>
          <w:sz w:val="24"/>
          <w:szCs w:val="24"/>
        </w:rPr>
        <w:fldChar w:fldCharType="end"/>
      </w:r>
      <w:r w:rsidRPr="007809AC">
        <w:rPr>
          <w:rFonts w:ascii="Arial" w:hAnsi="Arial" w:cs="Arial"/>
          <w:sz w:val="24"/>
          <w:szCs w:val="24"/>
        </w:rPr>
        <w:t xml:space="preserve"> or the Research Diagnostic Criteria for Temporomandibular Disorders classification systems</w:t>
      </w:r>
      <w:r w:rsidR="00C6787A" w:rsidRPr="007809AC">
        <w:rPr>
          <w:rFonts w:ascii="Arial" w:hAnsi="Arial" w:cs="Arial"/>
          <w:sz w:val="24"/>
          <w:szCs w:val="24"/>
        </w:rPr>
        <w:fldChar w:fldCharType="begin"/>
      </w:r>
      <w:r w:rsidR="00C6787A" w:rsidRPr="007809AC">
        <w:rPr>
          <w:rFonts w:ascii="Arial" w:hAnsi="Arial" w:cs="Arial"/>
          <w:sz w:val="24"/>
          <w:szCs w:val="24"/>
        </w:rPr>
        <w:instrText xml:space="preserve"> ADDIN ZOTERO_ITEM CSL_CITATION {"citationID":"zbg7HpQm","properties":{"formattedCitation":"(20)","plainCitation":"(20)","noteIndex":0},"citationItems":[{"id":390,"uris":["http://zotero.org/users/local/nlzVUL7s/items/PBDAXZIS"],"uri":["http://zotero.org/users/local/nlzVUL7s/items/PBDAXZIS"],"itemData":{"id":390,"type":"article-journal","title":"Research diagnostic criteria for temporomandibular disorders: review, criteria, examinations and specifications, critique","container-title":"Journal of Craniomandibular Disorders: Facial &amp; Oral Pain","page":"301-355","volume":"6","issue":"4","source":"PubMed","ISSN":"0890-2739","note":"PMID: 1298767","shortTitle":"Research diagnostic criteria for temporomandibular disorders","journalAbbreviation":"J Craniomandib Disord","language":"eng","author":[{"family":"Dworkin","given":"S. F."},{"family":"LeResche","given":"L."}],"issued":{"date-parts":[["1992"]]}}}],"schema":"https://github.com/citation-style-language/schema/raw/master/csl-citation.json"} </w:instrText>
      </w:r>
      <w:r w:rsidR="00C6787A" w:rsidRPr="007809AC">
        <w:rPr>
          <w:rFonts w:ascii="Arial" w:hAnsi="Arial" w:cs="Arial"/>
          <w:sz w:val="24"/>
          <w:szCs w:val="24"/>
        </w:rPr>
        <w:fldChar w:fldCharType="separate"/>
      </w:r>
      <w:r w:rsidR="00C6787A" w:rsidRPr="007809AC">
        <w:rPr>
          <w:rFonts w:ascii="Arial" w:hAnsi="Arial" w:cs="Arial"/>
          <w:sz w:val="24"/>
          <w:szCs w:val="24"/>
        </w:rPr>
        <w:t>(20)</w:t>
      </w:r>
      <w:r w:rsidR="00C6787A" w:rsidRPr="007809AC">
        <w:rPr>
          <w:rFonts w:ascii="Arial" w:hAnsi="Arial" w:cs="Arial"/>
          <w:sz w:val="24"/>
          <w:szCs w:val="24"/>
        </w:rPr>
        <w:fldChar w:fldCharType="end"/>
      </w:r>
      <w:r w:rsidR="00475D65" w:rsidRPr="007809AC">
        <w:rPr>
          <w:rFonts w:ascii="Arial" w:hAnsi="Arial" w:cs="Arial"/>
          <w:sz w:val="24"/>
          <w:szCs w:val="24"/>
        </w:rPr>
        <w:t xml:space="preserve">. People </w:t>
      </w:r>
      <w:r w:rsidRPr="007809AC">
        <w:rPr>
          <w:rFonts w:ascii="Arial" w:eastAsia="SimSun" w:hAnsi="Arial" w:cs="Arial"/>
          <w:sz w:val="24"/>
          <w:szCs w:val="24"/>
        </w:rPr>
        <w:t>were excluded if they presented with a history of relevant</w:t>
      </w:r>
      <w:r w:rsidR="000311AE" w:rsidRPr="007809AC">
        <w:rPr>
          <w:rFonts w:ascii="Arial" w:eastAsia="SimSun" w:hAnsi="Arial" w:cs="Arial"/>
          <w:sz w:val="24"/>
          <w:szCs w:val="24"/>
        </w:rPr>
        <w:t xml:space="preserve"> organic, structural, functional, or neurological</w:t>
      </w:r>
      <w:r w:rsidRPr="007809AC">
        <w:rPr>
          <w:rFonts w:ascii="Arial" w:eastAsia="SimSun" w:hAnsi="Arial" w:cs="Arial"/>
          <w:sz w:val="24"/>
          <w:szCs w:val="24"/>
        </w:rPr>
        <w:t xml:space="preserve"> comorbid conditions affecting mandibular functioning (e.g.: facial trauma, head and neck cancer, neurological pathology, or congenital orofacial conditions)</w:t>
      </w:r>
      <w:r w:rsidR="00C6787A" w:rsidRPr="007809AC">
        <w:rPr>
          <w:rFonts w:ascii="Arial" w:eastAsia="SimSun" w:hAnsi="Arial" w:cs="Arial"/>
          <w:sz w:val="24"/>
          <w:szCs w:val="24"/>
        </w:rPr>
        <w:fldChar w:fldCharType="begin"/>
      </w:r>
      <w:r w:rsidR="00C6787A" w:rsidRPr="007809AC">
        <w:rPr>
          <w:rFonts w:ascii="Arial" w:eastAsia="SimSun" w:hAnsi="Arial" w:cs="Arial"/>
          <w:sz w:val="24"/>
          <w:szCs w:val="24"/>
        </w:rPr>
        <w:instrText xml:space="preserve"> ADDIN ZOTERO_ITEM CSL_CITATION {"citationID":"1EYRIgf4","properties":{"formattedCitation":"(21,22)","plainCitation":"(21,22)","noteIndex":0},"citationItems":[{"id":1162,"uris":["http://zotero.org/users/local/nlzVUL7s/items/5N78YDD3"],"uri":["http://zotero.org/users/local/nlzVUL7s/items/5N78YDD3"],"itemData":{"id":1162,"type":"article-journal","title":"A systematic review of the effectiveness of physical therapy interventions for temporomandibular disorders","container-title":"Physical Therapy","page":"710-725","volume":"86","issue":"5","source":"PubMed","abstract":"BACKGROUND AND PURPOSE: The purpose of this qualitative systematic review was to assess the evidence concerning the effectiveness of physical therapy interventions in the management of temporomandibular disorders.\nMETHODS: A literature search of published and unpublished articles resulted in the retrieval of 36 potential articles.\nRESULTS: Twelve studies met all selection criteria for inclusion in the review: 4 studies addressed the use of therapeutic exercise interventions, 2 studies examined the use of acupuncture, and 6 studies examined electrophysical modalities. Two studies provided evidence in support of postural exercises to reduce pain and to improve function and oral opening. One study provided evidence for the use of manual therapy in combination with active exercises to reduce pain and to improve oral opening. One study provided evidence in support of acupuncture to reduce pain when compared with no treatment; however, in another study no significant differences in pain outcomes were found between acupuncture and sham acupuncture. Significant improvements in oral opening were found with muscular awareness relaxation therapy, biofeedback training, and low-level laser therapy treatment.\nDISCUSSION AND CONCLUSION: Most of the studies included in this review were of very poor methodological quality; therefore, the findings should be interpreted with caution.","ISSN":"0031-9023","note":"PMID: 16649894","journalAbbreviation":"Phys Ther","language":"eng","author":[{"family":"McNeely","given":"Margaret L."},{"family":"Armijo Olivo","given":"Susan"},{"family":"Magee","given":"David J."}],"issued":{"date-parts":[["2006",5]]}}},{"id":1164,"uris":["http://zotero.org/users/local/nlzVUL7s/items/ZB3MM9EI"],"uri":["http://zotero.org/users/local/nlzVUL7s/items/ZB3MM9EI"],"itemData":{"id":1164,"type":"article-journal","title":"Congenital mandibular hypoplasia: analysis and classification","container-title":"The Journal of Craniofacial Surgery","page":"291-300","volume":"16","issue":"2","source":"PubMed","abstract":"Mandibular hypoplasia is a frequently encountered craniofacial difference and can be classified into three groups: congenital, developmental, and acquired. The focus of this article is on the congenital group, the majority of which is associated with syndromes. There have been numerous publications on patients with syndromic congenital mandibular hypoplasia; however, there has been no investigation and differentiation of the \"nonsyndromic\" patients. The purpose of this study was to analyze this subgroup of patients with nonsyndromic congenital mandibular hypoplasia to determine incidence, clinical presentation, and treatment.A retrospective analysis of all children treated for congenital mandibular hypoplasia at the Children's Hospital of Philadelphia between 1975 and 2003 was performed. Two hundred sixty-six patients were identified during this 27-year period. Of these 266 patients, 148 presented with oculo-auriculo-vertebral (OAV) spectrum, 52 with mandibulofacial dysostosis, 31 with Pierre Robin sequence, and 17 with miscellaneous syndromes. The remaining 18 patients were identified as having congenital mandibular hypoplasia without any known syndrome. Of the 18 patients with nonsyndromic congenital mandibular hypoplasia, 17 had primary bilateral growth anomalies and 1 had a primary unilateral growth disturbance resulting in bilateral deformity. Seven patients were products of a complicated pregnancy, 10 patients required tracheotomy or prolonged intubations, and 7 required gastric tube feedings. Associated anomalies included temporomandibular joint ankylosis in five patients, aglossia/microglossia in three patients, and rare craniofacial clefts in three patients. The average number of procedures required to treat the mandibular deformity for each patient was six. Although mandibular hypoplasia is a common craniofacial anomaly, patients manifesting nonsyndromic congenital mandibular hypoplasia are a rare subgroup. Case reports illustrating the range of mandibular deformities are presented.","ISSN":"1049-2275","note":"PMID: 15750428","shortTitle":"Congenital mandibular hypoplasia","journalAbbreviation":"J Craniofac Surg","language":"eng","author":[{"family":"Singh","given":"Davinder J."},{"family":"Bartlett","given":"Scott P."}],"issued":{"date-parts":[["2005",3]]}}}],"schema":"https://github.com/citation-style-language/schema/raw/master/csl-citation.json"} </w:instrText>
      </w:r>
      <w:r w:rsidR="00C6787A" w:rsidRPr="007809AC">
        <w:rPr>
          <w:rFonts w:ascii="Arial" w:eastAsia="SimSun" w:hAnsi="Arial" w:cs="Arial"/>
          <w:sz w:val="24"/>
          <w:szCs w:val="24"/>
        </w:rPr>
        <w:fldChar w:fldCharType="separate"/>
      </w:r>
      <w:r w:rsidR="00C6787A" w:rsidRPr="007809AC">
        <w:rPr>
          <w:rFonts w:ascii="Arial" w:hAnsi="Arial" w:cs="Arial"/>
          <w:sz w:val="24"/>
          <w:szCs w:val="24"/>
        </w:rPr>
        <w:t>(21,22)</w:t>
      </w:r>
      <w:r w:rsidR="00C6787A" w:rsidRPr="007809AC">
        <w:rPr>
          <w:rFonts w:ascii="Arial" w:eastAsia="SimSun" w:hAnsi="Arial" w:cs="Arial"/>
          <w:sz w:val="24"/>
          <w:szCs w:val="24"/>
        </w:rPr>
        <w:fldChar w:fldCharType="end"/>
      </w:r>
      <w:r w:rsidR="00A328A4" w:rsidRPr="007809AC">
        <w:rPr>
          <w:rFonts w:ascii="Arial" w:eastAsia="SimSun" w:hAnsi="Arial" w:cs="Arial"/>
          <w:sz w:val="24"/>
          <w:szCs w:val="24"/>
        </w:rPr>
        <w:t xml:space="preserve">, or </w:t>
      </w:r>
      <w:r w:rsidRPr="007809AC">
        <w:rPr>
          <w:rFonts w:ascii="Arial" w:eastAsia="SimSun" w:hAnsi="Arial" w:cs="Arial"/>
          <w:sz w:val="24"/>
          <w:szCs w:val="24"/>
        </w:rPr>
        <w:t xml:space="preserve">if they presented with coeliac disease as participation involved mastication of a </w:t>
      </w:r>
      <w:r w:rsidR="00475D65" w:rsidRPr="007809AC">
        <w:rPr>
          <w:rFonts w:ascii="Arial" w:eastAsia="SimSun" w:hAnsi="Arial" w:cs="Arial"/>
          <w:sz w:val="24"/>
          <w:szCs w:val="24"/>
        </w:rPr>
        <w:t xml:space="preserve">food </w:t>
      </w:r>
      <w:r w:rsidRPr="007809AC">
        <w:rPr>
          <w:rFonts w:ascii="Arial" w:eastAsia="SimSun" w:hAnsi="Arial" w:cs="Arial"/>
          <w:sz w:val="24"/>
          <w:szCs w:val="24"/>
        </w:rPr>
        <w:t xml:space="preserve">cracker containing gluten. </w:t>
      </w:r>
    </w:p>
    <w:p w14:paraId="088A4729" w14:textId="02171F8B" w:rsidR="004C3672" w:rsidRPr="007809AC" w:rsidRDefault="00475D65" w:rsidP="00B94B49">
      <w:pPr>
        <w:spacing w:before="240" w:line="360" w:lineRule="auto"/>
        <w:jc w:val="both"/>
        <w:rPr>
          <w:rFonts w:ascii="Arial" w:eastAsia="SimSun" w:hAnsi="Arial" w:cs="Arial"/>
          <w:sz w:val="24"/>
          <w:szCs w:val="24"/>
        </w:rPr>
      </w:pPr>
      <w:r w:rsidRPr="007809AC">
        <w:rPr>
          <w:rFonts w:ascii="Arial" w:eastAsia="SimSun" w:hAnsi="Arial" w:cs="Arial"/>
          <w:sz w:val="24"/>
          <w:szCs w:val="24"/>
        </w:rPr>
        <w:t xml:space="preserve">Data was collected </w:t>
      </w:r>
      <w:r w:rsidR="00D13F0A" w:rsidRPr="007809AC">
        <w:rPr>
          <w:rFonts w:ascii="Arial" w:eastAsia="SimSun" w:hAnsi="Arial" w:cs="Arial"/>
          <w:sz w:val="24"/>
          <w:szCs w:val="24"/>
        </w:rPr>
        <w:t>using a new assessment protocol</w:t>
      </w:r>
      <w:r w:rsidR="00A32F1A" w:rsidRPr="007809AC">
        <w:rPr>
          <w:rFonts w:ascii="Arial" w:eastAsia="SimSun" w:hAnsi="Arial" w:cs="Arial"/>
          <w:sz w:val="24"/>
          <w:szCs w:val="24"/>
        </w:rPr>
        <w:t xml:space="preserve"> composed of existing evaluation tools from the disciplines of OMFS, dentistry, psychology, and </w:t>
      </w:r>
      <w:r w:rsidR="00C6787A" w:rsidRPr="007809AC">
        <w:rPr>
          <w:rFonts w:ascii="Arial" w:eastAsia="SimSun" w:hAnsi="Arial" w:cs="Arial"/>
          <w:sz w:val="24"/>
          <w:szCs w:val="24"/>
        </w:rPr>
        <w:t xml:space="preserve">speech and language therapy (SLT) </w:t>
      </w:r>
      <w:r w:rsidR="00A32F1A" w:rsidRPr="007809AC">
        <w:rPr>
          <w:rFonts w:ascii="Arial" w:eastAsia="SimSun" w:hAnsi="Arial" w:cs="Arial"/>
          <w:sz w:val="24"/>
          <w:szCs w:val="24"/>
        </w:rPr>
        <w:t xml:space="preserve">(Table 1). This protocol </w:t>
      </w:r>
      <w:r w:rsidRPr="007809AC">
        <w:rPr>
          <w:rFonts w:ascii="Arial" w:eastAsia="SimSun" w:hAnsi="Arial" w:cs="Arial"/>
          <w:sz w:val="24"/>
          <w:szCs w:val="24"/>
        </w:rPr>
        <w:t xml:space="preserve">facilitated </w:t>
      </w:r>
      <w:r w:rsidR="00A32F1A" w:rsidRPr="007809AC">
        <w:rPr>
          <w:rFonts w:ascii="Arial" w:eastAsia="SimSun" w:hAnsi="Arial" w:cs="Arial"/>
          <w:sz w:val="24"/>
          <w:szCs w:val="24"/>
        </w:rPr>
        <w:t xml:space="preserve">data </w:t>
      </w:r>
      <w:r w:rsidRPr="007809AC">
        <w:rPr>
          <w:rFonts w:ascii="Arial" w:eastAsia="SimSun" w:hAnsi="Arial" w:cs="Arial"/>
          <w:sz w:val="24"/>
          <w:szCs w:val="24"/>
        </w:rPr>
        <w:t xml:space="preserve">collection </w:t>
      </w:r>
      <w:r w:rsidR="00A32F1A" w:rsidRPr="007809AC">
        <w:rPr>
          <w:rFonts w:ascii="Arial" w:eastAsia="SimSun" w:hAnsi="Arial" w:cs="Arial"/>
          <w:sz w:val="24"/>
          <w:szCs w:val="24"/>
        </w:rPr>
        <w:t xml:space="preserve">on epidemiology and nature using  a range of </w:t>
      </w:r>
      <w:r w:rsidR="007C322C" w:rsidRPr="007809AC">
        <w:rPr>
          <w:rFonts w:ascii="Arial" w:eastAsia="SimSun" w:hAnsi="Arial" w:cs="Arial"/>
          <w:sz w:val="24"/>
          <w:szCs w:val="24"/>
        </w:rPr>
        <w:t xml:space="preserve">investigator reported </w:t>
      </w:r>
      <w:r w:rsidR="00A32F1A" w:rsidRPr="007809AC">
        <w:rPr>
          <w:rFonts w:ascii="Arial" w:eastAsia="SimSun" w:hAnsi="Arial" w:cs="Arial"/>
          <w:sz w:val="24"/>
          <w:szCs w:val="24"/>
        </w:rPr>
        <w:t>tools, which examined stomatognathic structure and functioning</w:t>
      </w:r>
      <w:r w:rsidR="00256DF4" w:rsidRPr="007809AC">
        <w:rPr>
          <w:rFonts w:ascii="Arial" w:eastAsia="SimSun" w:hAnsi="Arial" w:cs="Arial"/>
          <w:sz w:val="24"/>
          <w:szCs w:val="24"/>
        </w:rPr>
        <w:t xml:space="preserve">, parafunctional behaviours, subjective masticatory difficulties </w:t>
      </w:r>
      <w:r w:rsidR="00256DF4" w:rsidRPr="007809AC">
        <w:rPr>
          <w:rFonts w:ascii="Arial" w:eastAsia="SimSun" w:hAnsi="Arial" w:cs="Arial"/>
          <w:sz w:val="24"/>
          <w:szCs w:val="24"/>
        </w:rPr>
        <w:lastRenderedPageBreak/>
        <w:t xml:space="preserve">across a range of textures, and </w:t>
      </w:r>
      <w:r w:rsidR="007C322C" w:rsidRPr="007809AC">
        <w:rPr>
          <w:rFonts w:ascii="Arial" w:eastAsia="SimSun" w:hAnsi="Arial" w:cs="Arial"/>
          <w:sz w:val="24"/>
          <w:szCs w:val="24"/>
        </w:rPr>
        <w:t>functional</w:t>
      </w:r>
      <w:r w:rsidR="00256DF4" w:rsidRPr="007809AC">
        <w:rPr>
          <w:rFonts w:ascii="Arial" w:eastAsia="SimSun" w:hAnsi="Arial" w:cs="Arial"/>
          <w:sz w:val="24"/>
          <w:szCs w:val="24"/>
        </w:rPr>
        <w:t xml:space="preserve"> eating and swallowing performance</w:t>
      </w:r>
      <w:r w:rsidRPr="007809AC">
        <w:rPr>
          <w:rFonts w:ascii="Arial" w:eastAsia="SimSun" w:hAnsi="Arial" w:cs="Arial"/>
          <w:sz w:val="24"/>
          <w:szCs w:val="24"/>
        </w:rPr>
        <w:t>. These included</w:t>
      </w:r>
      <w:r w:rsidR="00256DF4" w:rsidRPr="007809AC">
        <w:rPr>
          <w:rFonts w:ascii="Arial" w:eastAsia="SimSun" w:hAnsi="Arial" w:cs="Arial"/>
          <w:sz w:val="24"/>
          <w:szCs w:val="24"/>
        </w:rPr>
        <w:t>: the DC/TMD</w:t>
      </w:r>
      <w:r w:rsidR="00C6787A" w:rsidRPr="007809AC">
        <w:rPr>
          <w:rFonts w:ascii="Arial" w:eastAsia="SimSun" w:hAnsi="Arial" w:cs="Arial"/>
          <w:sz w:val="24"/>
          <w:szCs w:val="24"/>
        </w:rPr>
        <w:t xml:space="preserve"> Symptom Questionnaire</w:t>
      </w:r>
      <w:r w:rsidR="00C6787A" w:rsidRPr="007809AC">
        <w:rPr>
          <w:rFonts w:ascii="Arial" w:eastAsia="SimSun" w:hAnsi="Arial" w:cs="Arial"/>
          <w:sz w:val="24"/>
          <w:szCs w:val="24"/>
        </w:rPr>
        <w:fldChar w:fldCharType="begin"/>
      </w:r>
      <w:r w:rsidR="00C6787A" w:rsidRPr="007809AC">
        <w:rPr>
          <w:rFonts w:ascii="Arial" w:eastAsia="SimSun" w:hAnsi="Arial" w:cs="Arial"/>
          <w:sz w:val="24"/>
          <w:szCs w:val="24"/>
        </w:rPr>
        <w:instrText xml:space="preserve"> ADDIN ZOTERO_ITEM CSL_CITATION {"citationID":"7UPSdq7F","properties":{"formattedCitation":"(19)","plainCitation":"(19)","noteIndex":0},"citationItems":[{"id":55,"uris":["http://zotero.org/users/local/nlzVUL7s/items/VPK22XTF"],"uri":["http://zotero.org/users/local/nlzVUL7s/items/VPK22XTF"],"itemData":{"id":55,"type":"article-journal","title":"Diagnostic Criteria for Temporomandibular Disorders (DC/TMD) for Clinical and Research Applications: recommendations of the International RDC/TMD Consortium Network* and Orofacial Pain Special Interest Group†","container-title":"Journal of Oral &amp; Facial Pain and Headache","page":"6-27","volume":"28","issue":"1","source":"PubMed","abstract":"AIMS: The original Research Diagnostic Criteria for Temporomandibular Disorde</w:instrText>
      </w:r>
      <w:r w:rsidR="00C6787A" w:rsidRPr="007809AC">
        <w:rPr>
          <w:rFonts w:ascii="Arial" w:eastAsia="SimSun" w:hAnsi="Arial" w:cs="Arial" w:hint="eastAsia"/>
          <w:sz w:val="24"/>
          <w:szCs w:val="24"/>
        </w:rPr>
        <w:instrText xml:space="preserve">rs (RDC/TMD) Axis I diagnostic algorithms have been demonstrated to be reliable. However, the Validation Project determined that the RDC/TMD Axis I validity was below the target sensitivity of </w:instrText>
      </w:r>
      <w:r w:rsidR="00C6787A" w:rsidRPr="007809AC">
        <w:rPr>
          <w:rFonts w:ascii="Arial" w:eastAsia="SimSun" w:hAnsi="Arial" w:cs="Arial" w:hint="eastAsia"/>
          <w:sz w:val="24"/>
          <w:szCs w:val="24"/>
        </w:rPr>
        <w:instrText>≥</w:instrText>
      </w:r>
      <w:r w:rsidR="00C6787A" w:rsidRPr="007809AC">
        <w:rPr>
          <w:rFonts w:ascii="Arial" w:eastAsia="SimSun" w:hAnsi="Arial" w:cs="Arial" w:hint="eastAsia"/>
          <w:sz w:val="24"/>
          <w:szCs w:val="24"/>
        </w:rPr>
        <w:instrText xml:space="preserve"> 0.70 and specificity of </w:instrText>
      </w:r>
      <w:r w:rsidR="00C6787A" w:rsidRPr="007809AC">
        <w:rPr>
          <w:rFonts w:ascii="Arial" w:eastAsia="SimSun" w:hAnsi="Arial" w:cs="Arial" w:hint="eastAsia"/>
          <w:sz w:val="24"/>
          <w:szCs w:val="24"/>
        </w:rPr>
        <w:instrText>≥</w:instrText>
      </w:r>
      <w:r w:rsidR="00C6787A" w:rsidRPr="007809AC">
        <w:rPr>
          <w:rFonts w:ascii="Arial" w:eastAsia="SimSun" w:hAnsi="Arial" w:cs="Arial" w:hint="eastAsia"/>
          <w:sz w:val="24"/>
          <w:szCs w:val="24"/>
        </w:rPr>
        <w:instrText xml:space="preserve"> 0.95. Consequently, these empirica</w:instrText>
      </w:r>
      <w:r w:rsidR="00C6787A" w:rsidRPr="007809AC">
        <w:rPr>
          <w:rFonts w:ascii="Arial" w:eastAsia="SimSun" w:hAnsi="Arial" w:cs="Arial"/>
          <w:sz w:val="24"/>
          <w:szCs w:val="24"/>
        </w:rPr>
        <w:instrText>l results supported the development of revised RDC/TMD Axis I diagnostic algorithms that were subsequently demonstrated to be valid for the most common pain-related TMD and for one temporomandibular joint (TMJ) intra-articular disorder. The original RDC/TMD Axis II instruments were shown to be both reliable and valid. Working from these findings and revisions, two international consensus workshops were convened, from which recommendations were obtained for the finalization of new Axis I diagnostic algorithms and new Axis II instruments.\nMETHODS: Through a series of workshops and symposia, a panel of clinical and basic science pain experts modified the revised RDC/TMD Axis I algorithms by using comprehensive searches of published TMD diagnostic literature followed by review and consensus via a formal structured process. The panel's recommendations for further revision of the Axis I diagnostic algorithms were assessed for validity by using the Validation Project's data set, and for reliability by using newly collected data from the ongoing TMJ Impact Project-the follow-up study to the Validation Project. New Axis II instruments were identified through a comprehensive search of the literature providing valid instruments that, relative to the RDC/TMD, are shorter in length, are available in the public domain, and currently are being used in medical settings.\nRESULTS: The newly recommended Diagnostic Criteria for TMD (DC/TMD) Axis I protocol includes both a valid screener for detecting any pain-related TMD a</w:instrText>
      </w:r>
      <w:r w:rsidR="00C6787A" w:rsidRPr="007809AC">
        <w:rPr>
          <w:rFonts w:ascii="Arial" w:eastAsia="SimSun" w:hAnsi="Arial" w:cs="Arial" w:hint="eastAsia"/>
          <w:sz w:val="24"/>
          <w:szCs w:val="24"/>
        </w:rPr>
        <w:instrText xml:space="preserve">s well as valid diagnostic criteria for differentiating the most common pain-related TMD (sensitivity </w:instrText>
      </w:r>
      <w:r w:rsidR="00C6787A" w:rsidRPr="007809AC">
        <w:rPr>
          <w:rFonts w:ascii="Arial" w:eastAsia="SimSun" w:hAnsi="Arial" w:cs="Arial" w:hint="eastAsia"/>
          <w:sz w:val="24"/>
          <w:szCs w:val="24"/>
        </w:rPr>
        <w:instrText>≥</w:instrText>
      </w:r>
      <w:r w:rsidR="00C6787A" w:rsidRPr="007809AC">
        <w:rPr>
          <w:rFonts w:ascii="Arial" w:eastAsia="SimSun" w:hAnsi="Arial" w:cs="Arial" w:hint="eastAsia"/>
          <w:sz w:val="24"/>
          <w:szCs w:val="24"/>
        </w:rPr>
        <w:instrText xml:space="preserve"> 0.86, specificity </w:instrText>
      </w:r>
      <w:r w:rsidR="00C6787A" w:rsidRPr="007809AC">
        <w:rPr>
          <w:rFonts w:ascii="Arial" w:eastAsia="SimSun" w:hAnsi="Arial" w:cs="Arial" w:hint="eastAsia"/>
          <w:sz w:val="24"/>
          <w:szCs w:val="24"/>
        </w:rPr>
        <w:instrText>≥</w:instrText>
      </w:r>
      <w:r w:rsidR="00C6787A" w:rsidRPr="007809AC">
        <w:rPr>
          <w:rFonts w:ascii="Arial" w:eastAsia="SimSun" w:hAnsi="Arial" w:cs="Arial" w:hint="eastAsia"/>
          <w:sz w:val="24"/>
          <w:szCs w:val="24"/>
        </w:rPr>
        <w:instrText xml:space="preserve"> 0.98) and for one intra-articular disorder (sensitivity of 0.80 and specificity of 0.97). Diagnostic criteria for other common intra-articular disorders lack adequate validity for clinical diagnoses but can be used for screening purposes. Inter-examiner reliability for the clinical assessment associated with the validated DC/TMD criteria for pain-related TMD is excellent (kappa </w:instrText>
      </w:r>
      <w:r w:rsidR="00C6787A" w:rsidRPr="007809AC">
        <w:rPr>
          <w:rFonts w:ascii="Arial" w:eastAsia="SimSun" w:hAnsi="Arial" w:cs="Arial" w:hint="eastAsia"/>
          <w:sz w:val="24"/>
          <w:szCs w:val="24"/>
        </w:rPr>
        <w:instrText>≥</w:instrText>
      </w:r>
      <w:r w:rsidR="00C6787A" w:rsidRPr="007809AC">
        <w:rPr>
          <w:rFonts w:ascii="Arial" w:eastAsia="SimSun" w:hAnsi="Arial" w:cs="Arial" w:hint="eastAsia"/>
          <w:sz w:val="24"/>
          <w:szCs w:val="24"/>
        </w:rPr>
        <w:instrText xml:space="preserve"> 0.8</w:instrText>
      </w:r>
      <w:r w:rsidR="00C6787A" w:rsidRPr="007809AC">
        <w:rPr>
          <w:rFonts w:ascii="Arial" w:eastAsia="SimSun" w:hAnsi="Arial" w:cs="Arial"/>
          <w:sz w:val="24"/>
          <w:szCs w:val="24"/>
        </w:rPr>
        <w:instrText xml:space="preserve">5). Finally, a comprehensive classification system that includes both the common and less common TMD is also presented. The Axis II protocol retains selected original RDC/TMD screening instruments augmented with new instruments to assess jaw function as well as behavioral and additional psychosocial factors. The Axis II protocol is divided into screening and comprehensive self report instrument sets. The screening instruments' 41 questions assess pain intensity, pain-related disability, psychological distress, jaw functional limitations, and parafunctional behaviors, and a pain drawing is used to assess locations of pain. The comprehensive instruments, composed of 81 questions, assess in further detail jaw functional limitations and psychological distress as well as additional constructs of anxiety and presence of comorbid pain conditions.\nCONCLUSION: The recommended evidence-based new DC/TMD protocol is appropriate for use in both clinical and research settings. More comprehensive instruments augment short and simple screening instruments for Axis I and Axis II. These validated instruments allow for identification of patients with a range of simple to complex TMD presentations.","ISSN":"2333-0384","note":"PMID: 24482784\nPMCID: PMC4478082","shortTitle":"Diagnostic Criteria for Temporomandibular Disorders (DC/TMD) for Clinical and Research Applications","journalAbbreviation":"J Oral Facial Pain Headache","language":"eng","author":[{"family":"Schiffman","given":"Eric"},{"family":"Ohrbach","given":"Richard"},{"family":"Truelove","given":"Edmond"},{"family":"Look","given":"John"},{"family":"Anderson","given":"Gary"},{"family":"Goulet","given":"Jean-Paul"},{"family":"List","given":"Thomas"},{"family":"Svensson","given":"Peter"},{"family":"Gonzalez","given":"Yoly"},{"family":"Lobbezoo","given":"Frank"},{"family":"Michelotti","given":"Ambra"},{"family":"Brooks","given":"Sharon L."},{"family":"Ceusters","given":"Werner"},{"family":"Drangsholt","given":"Mark"},{"family":"Ettlin","given":"Dominik"},{"family":"Gaul","given":"Charly"},{"family":"Goldberg","given":"Louis J."},{"family":"Haythornthwaite","given":"Jennifer A."},{"family":"Hollender","given":"Lars"},{"family":"Jensen","given":"Rigmor"},{"family":"John","given":"Mike T."},{"family":"De Laat","given":"Antoon"},{"family":"Leeuw","given":"Reny","non-dropping-particle":"de"},{"family":"Maixner","given":"William"},{"family":"Meulen","given":"Marylee","non-dropping-particle":"van der"},{"family":"Murray","given":"Greg M."},{"family":"Nixdorf","given":"Donald R."},{"family":"Palla","given":"Sandro"},{"family":"Petersson","given":"Arne"},{"family":"Pionchon","given":"Paul"},{"family":"Smith","given":"Barry"},{"family":"Visscher","given":"Corine M."},{"family":"Zakrzewska","given":"Joanna"},{"family":"Dworkin","given":"Samuel F."},{"literal":"International RDC/TMD Consortium Network, International association for Dental Research"},{"literal":"Orofacial Pain Special Interest Group, International Association for the Study of Pain"}],"issued":{"date-parts":[["2014"]]}}}],"schema":"https://github.com/citation-style-language/schema/raw/master/csl-citation.json"} </w:instrText>
      </w:r>
      <w:r w:rsidR="00C6787A" w:rsidRPr="007809AC">
        <w:rPr>
          <w:rFonts w:ascii="Arial" w:eastAsia="SimSun" w:hAnsi="Arial" w:cs="Arial"/>
          <w:sz w:val="24"/>
          <w:szCs w:val="24"/>
        </w:rPr>
        <w:fldChar w:fldCharType="separate"/>
      </w:r>
      <w:r w:rsidR="00C6787A" w:rsidRPr="007809AC">
        <w:rPr>
          <w:rFonts w:ascii="Arial" w:hAnsi="Arial" w:cs="Arial"/>
          <w:sz w:val="24"/>
          <w:szCs w:val="24"/>
        </w:rPr>
        <w:t>(19)</w:t>
      </w:r>
      <w:r w:rsidR="00C6787A" w:rsidRPr="007809AC">
        <w:rPr>
          <w:rFonts w:ascii="Arial" w:eastAsia="SimSun" w:hAnsi="Arial" w:cs="Arial"/>
          <w:sz w:val="24"/>
          <w:szCs w:val="24"/>
        </w:rPr>
        <w:fldChar w:fldCharType="end"/>
      </w:r>
      <w:r w:rsidR="00256DF4" w:rsidRPr="007809AC">
        <w:rPr>
          <w:rFonts w:ascii="Arial" w:eastAsia="SimSun" w:hAnsi="Arial" w:cs="Arial"/>
          <w:sz w:val="24"/>
          <w:szCs w:val="24"/>
        </w:rPr>
        <w:t>, The Jaw Functional</w:t>
      </w:r>
      <w:r w:rsidR="00C6787A" w:rsidRPr="007809AC">
        <w:rPr>
          <w:rFonts w:ascii="Arial" w:eastAsia="SimSun" w:hAnsi="Arial" w:cs="Arial"/>
          <w:sz w:val="24"/>
          <w:szCs w:val="24"/>
        </w:rPr>
        <w:t xml:space="preserve"> Limitation Scale-8 (JFLS-8)</w:t>
      </w:r>
      <w:r w:rsidR="00C6787A" w:rsidRPr="007809AC">
        <w:rPr>
          <w:rFonts w:ascii="Arial" w:eastAsia="SimSun" w:hAnsi="Arial" w:cs="Arial"/>
          <w:sz w:val="24"/>
          <w:szCs w:val="24"/>
        </w:rPr>
        <w:fldChar w:fldCharType="begin"/>
      </w:r>
      <w:r w:rsidR="00C6787A" w:rsidRPr="007809AC">
        <w:rPr>
          <w:rFonts w:ascii="Arial" w:eastAsia="SimSun" w:hAnsi="Arial" w:cs="Arial"/>
          <w:sz w:val="24"/>
          <w:szCs w:val="24"/>
        </w:rPr>
        <w:instrText xml:space="preserve"> ADDIN ZOTERO_ITEM CSL_CITATION {"citationID":"bmEFOFwC","properties":{"formattedCitation":"(23)","plainCitation":"(23)","noteIndex":0},"citationItems":[{"id":861,"uris":["http://zotero.org/users/local/nlzVUL7s/items/L3JB5HAJ"],"uri":["http://zotero.org/users/local/nlzVUL7s/items/L3JB5HAJ"],"itemData":{"id":861,"type":"article-journal","title":"The jaw functional limitation scale: development, reliability, and validity of 8-item and 20-item versions","container-title":"Journal of Orofacial Pain","page":"219-230","volume":"22","issue":"3","source":"PubMed","abstract":"AIMS: To develop the Jaw Functional Limitation Scale (JFLS), comprising 3 constructs and a global scale, based on a preliminary instrument, and to investigate content validity of the overall functional limitation construct, reliability, and generalizability. A temporomandibular disorders (TMD) patient group, compared to other diagnostic groups, was hypothesized to report further limitation in each of the 3 new proposed constructs.\nMETHODS: One hundred thirty-two consecutive patients from 5 diagnostic groups (TMD, primary Sjogren syndrome, burning mouth syndrome, skeletal malocclusion, and healthy controls) participated in a known-groups validity design. Fifty-two jaw functional limitation items were identified by an expert panel for content validity. Rasch methodology was used for item reduction and assessment of model fit. The instrument was retested 1 to 2 weeks later.\nRESULTS: Three constructs (mastication, vertical jaw mobility, and emotional and verbal expression) comprising a total of 20 items were identified along with a global scale (the JFLS-20), and each exhibited excellent psychometric properties with respect to modeled variance, item fit, reliability, and internal consistency. The psychometric properties of each construct remained satisfactory when analyzed separately among the 5 diagnostic groups. Temporal stability was satisfactory. A shorter 8-item form (JFLS-8) also proved useful for assessing global functional jaw limitation.\nCONCLUSION: The JFLS-20 is an organ-specific instrument comprising 3 constructs for assessing functional status of the masticatory system; the 3 scales exhibit properties that are ideal for both research and patient evaluation in patient groups with a range of functional limitations of the jaw. The JFLS-8 emerged as a short form for measuring global functional limitation of the jaw.","ISSN":"1064-6655","note":"PMID: 18780535","shortTitle":"The jaw functional limitation scale","journalAbbreviation":"J Orofac Pain","language":"eng","author":[{"family":"Ohrbach","given":"Richard"},{"family":"Larsson","given":"Pernilla"},{"family":"List","given":"Thomas"}],"issued":{"date-parts":[["2008"]]}}}],"schema":"https://github.com/citation-style-language/schema/raw/master/csl-citation.json"} </w:instrText>
      </w:r>
      <w:r w:rsidR="00C6787A" w:rsidRPr="007809AC">
        <w:rPr>
          <w:rFonts w:ascii="Arial" w:eastAsia="SimSun" w:hAnsi="Arial" w:cs="Arial"/>
          <w:sz w:val="24"/>
          <w:szCs w:val="24"/>
        </w:rPr>
        <w:fldChar w:fldCharType="separate"/>
      </w:r>
      <w:r w:rsidR="00C6787A" w:rsidRPr="007809AC">
        <w:rPr>
          <w:rFonts w:ascii="Arial" w:hAnsi="Arial" w:cs="Arial"/>
          <w:sz w:val="24"/>
          <w:szCs w:val="24"/>
        </w:rPr>
        <w:t>(23)</w:t>
      </w:r>
      <w:r w:rsidR="00C6787A" w:rsidRPr="007809AC">
        <w:rPr>
          <w:rFonts w:ascii="Arial" w:eastAsia="SimSun" w:hAnsi="Arial" w:cs="Arial"/>
          <w:sz w:val="24"/>
          <w:szCs w:val="24"/>
        </w:rPr>
        <w:fldChar w:fldCharType="end"/>
      </w:r>
      <w:r w:rsidR="00256DF4" w:rsidRPr="007809AC">
        <w:rPr>
          <w:rFonts w:ascii="Arial" w:eastAsia="SimSun" w:hAnsi="Arial" w:cs="Arial"/>
          <w:sz w:val="24"/>
          <w:szCs w:val="24"/>
        </w:rPr>
        <w:t>, T</w:t>
      </w:r>
      <w:r w:rsidR="00C6787A" w:rsidRPr="007809AC">
        <w:rPr>
          <w:rFonts w:ascii="Arial" w:eastAsia="SimSun" w:hAnsi="Arial" w:cs="Arial"/>
          <w:sz w:val="24"/>
          <w:szCs w:val="24"/>
        </w:rPr>
        <w:t>he Oral Behaviours Checklist</w:t>
      </w:r>
      <w:r w:rsidR="00C6787A" w:rsidRPr="007809AC">
        <w:rPr>
          <w:rFonts w:ascii="Arial" w:eastAsia="SimSun" w:hAnsi="Arial" w:cs="Arial"/>
          <w:sz w:val="24"/>
          <w:szCs w:val="24"/>
        </w:rPr>
        <w:fldChar w:fldCharType="begin"/>
      </w:r>
      <w:r w:rsidR="00C6787A" w:rsidRPr="007809AC">
        <w:rPr>
          <w:rFonts w:ascii="Arial" w:eastAsia="SimSun" w:hAnsi="Arial" w:cs="Arial"/>
          <w:sz w:val="24"/>
          <w:szCs w:val="24"/>
        </w:rPr>
        <w:instrText xml:space="preserve"> ADDIN ZOTERO_ITEM CSL_CITATION {"citationID":"cx9xfecv","properties":{"formattedCitation":"(24)","plainCitation":"(24)","noteIndex":0},"citationItems":[{"id":350,"uris":["http://zotero.org/users/local/nlzVUL7s/items/V7DCA3Z9"],"uri":["http://zotero.org/users/local/nlzVUL7s/items/V7DCA3Z9"],"itemData":{"id":350,"type":"article-journal","title":"Psychometric properties of the Oral Behaviors Checklist: Preliminary findings.  IADR, Honolulu Hawaii, March 2004.","container-title":"Journal of dental research","page":"1194","volume":"83","issue":"Special Issue A","author":[{"family":"Ohrbach, R., Beneduce, C., Markiewicz, M., McCall, W.D. Jr.","given":""}],"issued":{"date-parts":[["2004"]]}}}],"schema":"https://github.com/citation-style-language/schema/raw/master/csl-citation.json"} </w:instrText>
      </w:r>
      <w:r w:rsidR="00C6787A" w:rsidRPr="007809AC">
        <w:rPr>
          <w:rFonts w:ascii="Arial" w:eastAsia="SimSun" w:hAnsi="Arial" w:cs="Arial"/>
          <w:sz w:val="24"/>
          <w:szCs w:val="24"/>
        </w:rPr>
        <w:fldChar w:fldCharType="separate"/>
      </w:r>
      <w:r w:rsidR="00C6787A" w:rsidRPr="007809AC">
        <w:rPr>
          <w:rFonts w:ascii="Arial" w:hAnsi="Arial" w:cs="Arial"/>
          <w:sz w:val="24"/>
          <w:szCs w:val="24"/>
        </w:rPr>
        <w:t>(24)</w:t>
      </w:r>
      <w:r w:rsidR="00C6787A" w:rsidRPr="007809AC">
        <w:rPr>
          <w:rFonts w:ascii="Arial" w:eastAsia="SimSun" w:hAnsi="Arial" w:cs="Arial"/>
          <w:sz w:val="24"/>
          <w:szCs w:val="24"/>
        </w:rPr>
        <w:fldChar w:fldCharType="end"/>
      </w:r>
      <w:r w:rsidR="00256DF4" w:rsidRPr="007809AC">
        <w:rPr>
          <w:rFonts w:ascii="Arial" w:eastAsia="SimSun" w:hAnsi="Arial" w:cs="Arial"/>
          <w:sz w:val="24"/>
          <w:szCs w:val="24"/>
        </w:rPr>
        <w:t xml:space="preserve">, </w:t>
      </w:r>
      <w:r w:rsidR="00C6787A" w:rsidRPr="007809AC">
        <w:rPr>
          <w:rFonts w:ascii="Arial" w:eastAsia="SimSun" w:hAnsi="Arial" w:cs="Arial"/>
          <w:sz w:val="24"/>
          <w:szCs w:val="24"/>
        </w:rPr>
        <w:t>The DC/TMD Examination Tool</w:t>
      </w:r>
      <w:r w:rsidR="00C6787A" w:rsidRPr="007809AC">
        <w:rPr>
          <w:rFonts w:ascii="Arial" w:eastAsia="SimSun" w:hAnsi="Arial" w:cs="Arial"/>
          <w:sz w:val="24"/>
          <w:szCs w:val="24"/>
        </w:rPr>
        <w:fldChar w:fldCharType="begin"/>
      </w:r>
      <w:r w:rsidR="00C6787A" w:rsidRPr="007809AC">
        <w:rPr>
          <w:rFonts w:ascii="Arial" w:eastAsia="SimSun" w:hAnsi="Arial" w:cs="Arial"/>
          <w:sz w:val="24"/>
          <w:szCs w:val="24"/>
        </w:rPr>
        <w:instrText xml:space="preserve"> ADDIN ZOTERO_ITEM CSL_CITATION {"citationID":"iQmVpIOR","properties":{"formattedCitation":"(19)","plainCitation":"(19)","noteIndex":0},"citationItems":[{"id":55,"uris":["http://zotero.org/users/local/nlzVUL7s/items/VPK22XTF"],"uri":["http://zotero.org/users/local/nlzVUL7s/items/VPK22XTF"],"itemData":{"id":55,"type":"article-journal","title":"Diagnostic Criteria for Temporomandibular Disorders (DC/TMD) for Clinical and Research Applications: recommendations of the International RDC/TMD Consortium Network* and Orofacial Pain Special Interest Group†","container-title":"Journal of Oral &amp; Facial Pain and Headache","page":"6-27","volume":"28","issue":"1","source":"PubMed","abstract":"AIMS: The original Research Diagnostic Criteria for Temporomandibular Disorde</w:instrText>
      </w:r>
      <w:r w:rsidR="00C6787A" w:rsidRPr="007809AC">
        <w:rPr>
          <w:rFonts w:ascii="Arial" w:eastAsia="SimSun" w:hAnsi="Arial" w:cs="Arial" w:hint="eastAsia"/>
          <w:sz w:val="24"/>
          <w:szCs w:val="24"/>
        </w:rPr>
        <w:instrText xml:space="preserve">rs (RDC/TMD) Axis I diagnostic algorithms have been demonstrated to be reliable. However, the Validation Project determined that the RDC/TMD Axis I validity was below the target sensitivity of </w:instrText>
      </w:r>
      <w:r w:rsidR="00C6787A" w:rsidRPr="007809AC">
        <w:rPr>
          <w:rFonts w:ascii="Arial" w:eastAsia="SimSun" w:hAnsi="Arial" w:cs="Arial" w:hint="eastAsia"/>
          <w:sz w:val="24"/>
          <w:szCs w:val="24"/>
        </w:rPr>
        <w:instrText>≥</w:instrText>
      </w:r>
      <w:r w:rsidR="00C6787A" w:rsidRPr="007809AC">
        <w:rPr>
          <w:rFonts w:ascii="Arial" w:eastAsia="SimSun" w:hAnsi="Arial" w:cs="Arial" w:hint="eastAsia"/>
          <w:sz w:val="24"/>
          <w:szCs w:val="24"/>
        </w:rPr>
        <w:instrText xml:space="preserve"> 0.70 and specificity of </w:instrText>
      </w:r>
      <w:r w:rsidR="00C6787A" w:rsidRPr="007809AC">
        <w:rPr>
          <w:rFonts w:ascii="Arial" w:eastAsia="SimSun" w:hAnsi="Arial" w:cs="Arial" w:hint="eastAsia"/>
          <w:sz w:val="24"/>
          <w:szCs w:val="24"/>
        </w:rPr>
        <w:instrText>≥</w:instrText>
      </w:r>
      <w:r w:rsidR="00C6787A" w:rsidRPr="007809AC">
        <w:rPr>
          <w:rFonts w:ascii="Arial" w:eastAsia="SimSun" w:hAnsi="Arial" w:cs="Arial" w:hint="eastAsia"/>
          <w:sz w:val="24"/>
          <w:szCs w:val="24"/>
        </w:rPr>
        <w:instrText xml:space="preserve"> 0.95. Consequently, these empirica</w:instrText>
      </w:r>
      <w:r w:rsidR="00C6787A" w:rsidRPr="007809AC">
        <w:rPr>
          <w:rFonts w:ascii="Arial" w:eastAsia="SimSun" w:hAnsi="Arial" w:cs="Arial"/>
          <w:sz w:val="24"/>
          <w:szCs w:val="24"/>
        </w:rPr>
        <w:instrText>l results supported the development of revised RDC/TMD Axis I diagnostic algorithms that were subsequently demonstrated to be valid for the most common pain-related TMD and for one temporomandibular joint (TMJ) intra-articular disorder. The original RDC/TMD Axis II instruments were shown to be both reliable and valid. Working from these findings and revisions, two international consensus workshops were convened, from which recommendations were obtained for the finalization of new Axis I diagnostic algorithms and new Axis II instruments.\nMETHODS: Through a series of workshops and symposia, a panel of clinical and basic science pain experts modified the revised RDC/TMD Axis I algorithms by using comprehensive searches of published TMD diagnostic literature followed by review and consensus via a formal structured process. The panel's recommendations for further revision of the Axis I diagnostic algorithms were assessed for validity by using the Validation Project's data set, and for reliability by using newly collected data from the ongoing TMJ Impact Project-the follow-up study to the Validation Project. New Axis II instruments were identified through a comprehensive search of the literature providing valid instruments that, relative to the RDC/TMD, are shorter in length, are available in the public domain, and currently are being used in medical settings.\nRESULTS: The newly recommended Diagnostic Criteria for TMD (DC/TMD) Axis I protocol includes both a valid screener for detecting any pain-related TMD a</w:instrText>
      </w:r>
      <w:r w:rsidR="00C6787A" w:rsidRPr="007809AC">
        <w:rPr>
          <w:rFonts w:ascii="Arial" w:eastAsia="SimSun" w:hAnsi="Arial" w:cs="Arial" w:hint="eastAsia"/>
          <w:sz w:val="24"/>
          <w:szCs w:val="24"/>
        </w:rPr>
        <w:instrText xml:space="preserve">s well as valid diagnostic criteria for differentiating the most common pain-related TMD (sensitivity </w:instrText>
      </w:r>
      <w:r w:rsidR="00C6787A" w:rsidRPr="007809AC">
        <w:rPr>
          <w:rFonts w:ascii="Arial" w:eastAsia="SimSun" w:hAnsi="Arial" w:cs="Arial" w:hint="eastAsia"/>
          <w:sz w:val="24"/>
          <w:szCs w:val="24"/>
        </w:rPr>
        <w:instrText>≥</w:instrText>
      </w:r>
      <w:r w:rsidR="00C6787A" w:rsidRPr="007809AC">
        <w:rPr>
          <w:rFonts w:ascii="Arial" w:eastAsia="SimSun" w:hAnsi="Arial" w:cs="Arial" w:hint="eastAsia"/>
          <w:sz w:val="24"/>
          <w:szCs w:val="24"/>
        </w:rPr>
        <w:instrText xml:space="preserve"> 0.86, specificity </w:instrText>
      </w:r>
      <w:r w:rsidR="00C6787A" w:rsidRPr="007809AC">
        <w:rPr>
          <w:rFonts w:ascii="Arial" w:eastAsia="SimSun" w:hAnsi="Arial" w:cs="Arial" w:hint="eastAsia"/>
          <w:sz w:val="24"/>
          <w:szCs w:val="24"/>
        </w:rPr>
        <w:instrText>≥</w:instrText>
      </w:r>
      <w:r w:rsidR="00C6787A" w:rsidRPr="007809AC">
        <w:rPr>
          <w:rFonts w:ascii="Arial" w:eastAsia="SimSun" w:hAnsi="Arial" w:cs="Arial" w:hint="eastAsia"/>
          <w:sz w:val="24"/>
          <w:szCs w:val="24"/>
        </w:rPr>
        <w:instrText xml:space="preserve"> 0.98) and for one intra-articular disorder (sensitivity of 0.80 and specificity of 0.97). Diagnostic criteria for other common intra-articular disorders lack adequate validity for clinical diagnoses but can be used for screening purposes. Inter-examiner reliability for the clinical assessment associated with the validated DC/TMD criteria for pain-related TMD is excellent (kappa </w:instrText>
      </w:r>
      <w:r w:rsidR="00C6787A" w:rsidRPr="007809AC">
        <w:rPr>
          <w:rFonts w:ascii="Arial" w:eastAsia="SimSun" w:hAnsi="Arial" w:cs="Arial" w:hint="eastAsia"/>
          <w:sz w:val="24"/>
          <w:szCs w:val="24"/>
        </w:rPr>
        <w:instrText>≥</w:instrText>
      </w:r>
      <w:r w:rsidR="00C6787A" w:rsidRPr="007809AC">
        <w:rPr>
          <w:rFonts w:ascii="Arial" w:eastAsia="SimSun" w:hAnsi="Arial" w:cs="Arial" w:hint="eastAsia"/>
          <w:sz w:val="24"/>
          <w:szCs w:val="24"/>
        </w:rPr>
        <w:instrText xml:space="preserve"> 0.8</w:instrText>
      </w:r>
      <w:r w:rsidR="00C6787A" w:rsidRPr="007809AC">
        <w:rPr>
          <w:rFonts w:ascii="Arial" w:eastAsia="SimSun" w:hAnsi="Arial" w:cs="Arial"/>
          <w:sz w:val="24"/>
          <w:szCs w:val="24"/>
        </w:rPr>
        <w:instrText xml:space="preserve">5). Finally, a comprehensive classification system that includes both the common and less common TMD is also presented. The Axis II protocol retains selected original RDC/TMD screening instruments augmented with new instruments to assess jaw function as well as behavioral and additional psychosocial factors. The Axis II protocol is divided into screening and comprehensive self report instrument sets. The screening instruments' 41 questions assess pain intensity, pain-related disability, psychological distress, jaw functional limitations, and parafunctional behaviors, and a pain drawing is used to assess locations of pain. The comprehensive instruments, composed of 81 questions, assess in further detail jaw functional limitations and psychological distress as well as additional constructs of anxiety and presence of comorbid pain conditions.\nCONCLUSION: The recommended evidence-based new DC/TMD protocol is appropriate for use in both clinical and research settings. More comprehensive instruments augment short and simple screening instruments for Axis I and Axis II. These validated instruments allow for identification of patients with a range of simple to complex TMD presentations.","ISSN":"2333-0384","note":"PMID: 24482784\nPMCID: PMC4478082","shortTitle":"Diagnostic Criteria for Temporomandibular Disorders (DC/TMD) for Clinical and Research Applications","journalAbbreviation":"J Oral Facial Pain Headache","language":"eng","author":[{"family":"Schiffman","given":"Eric"},{"family":"Ohrbach","given":"Richard"},{"family":"Truelove","given":"Edmond"},{"family":"Look","given":"John"},{"family":"Anderson","given":"Gary"},{"family":"Goulet","given":"Jean-Paul"},{"family":"List","given":"Thomas"},{"family":"Svensson","given":"Peter"},{"family":"Gonzalez","given":"Yoly"},{"family":"Lobbezoo","given":"Frank"},{"family":"Michelotti","given":"Ambra"},{"family":"Brooks","given":"Sharon L."},{"family":"Ceusters","given":"Werner"},{"family":"Drangsholt","given":"Mark"},{"family":"Ettlin","given":"Dominik"},{"family":"Gaul","given":"Charly"},{"family":"Goldberg","given":"Louis J."},{"family":"Haythornthwaite","given":"Jennifer A."},{"family":"Hollender","given":"Lars"},{"family":"Jensen","given":"Rigmor"},{"family":"John","given":"Mike T."},{"family":"De Laat","given":"Antoon"},{"family":"Leeuw","given":"Reny","non-dropping-particle":"de"},{"family":"Maixner","given":"William"},{"family":"Meulen","given":"Marylee","non-dropping-particle":"van der"},{"family":"Murray","given":"Greg M."},{"family":"Nixdorf","given":"Donald R."},{"family":"Palla","given":"Sandro"},{"family":"Petersson","given":"Arne"},{"family":"Pionchon","given":"Paul"},{"family":"Smith","given":"Barry"},{"family":"Visscher","given":"Corine M."},{"family":"Zakrzewska","given":"Joanna"},{"family":"Dworkin","given":"Samuel F."},{"literal":"International RDC/TMD Consortium Network, International association for Dental Research"},{"literal":"Orofacial Pain Special Interest Group, International Association for the Study of Pain"}],"issued":{"date-parts":[["2014"]]}}}],"schema":"https://github.com/citation-style-language/schema/raw/master/csl-citation.json"} </w:instrText>
      </w:r>
      <w:r w:rsidR="00C6787A" w:rsidRPr="007809AC">
        <w:rPr>
          <w:rFonts w:ascii="Arial" w:eastAsia="SimSun" w:hAnsi="Arial" w:cs="Arial"/>
          <w:sz w:val="24"/>
          <w:szCs w:val="24"/>
        </w:rPr>
        <w:fldChar w:fldCharType="separate"/>
      </w:r>
      <w:r w:rsidR="00C6787A" w:rsidRPr="007809AC">
        <w:rPr>
          <w:rFonts w:ascii="Arial" w:hAnsi="Arial" w:cs="Arial"/>
          <w:sz w:val="24"/>
          <w:szCs w:val="24"/>
        </w:rPr>
        <w:t>(19)</w:t>
      </w:r>
      <w:r w:rsidR="00C6787A" w:rsidRPr="007809AC">
        <w:rPr>
          <w:rFonts w:ascii="Arial" w:eastAsia="SimSun" w:hAnsi="Arial" w:cs="Arial"/>
          <w:sz w:val="24"/>
          <w:szCs w:val="24"/>
        </w:rPr>
        <w:fldChar w:fldCharType="end"/>
      </w:r>
      <w:r w:rsidR="00256DF4" w:rsidRPr="007809AC">
        <w:rPr>
          <w:rFonts w:ascii="Arial" w:eastAsia="SimSun" w:hAnsi="Arial" w:cs="Arial"/>
          <w:sz w:val="24"/>
          <w:szCs w:val="24"/>
        </w:rPr>
        <w:t>, the</w:t>
      </w:r>
      <w:r w:rsidR="00C6787A" w:rsidRPr="007809AC">
        <w:rPr>
          <w:rFonts w:ascii="Arial" w:eastAsia="SimSun" w:hAnsi="Arial" w:cs="Arial"/>
          <w:sz w:val="24"/>
          <w:szCs w:val="24"/>
        </w:rPr>
        <w:t xml:space="preserve"> Orofacial Examination Tool</w:t>
      </w:r>
      <w:r w:rsidR="00C6787A" w:rsidRPr="007809AC">
        <w:rPr>
          <w:rFonts w:ascii="Arial" w:eastAsia="SimSun" w:hAnsi="Arial" w:cs="Arial"/>
          <w:sz w:val="24"/>
          <w:szCs w:val="24"/>
        </w:rPr>
        <w:fldChar w:fldCharType="begin"/>
      </w:r>
      <w:r w:rsidR="00C6787A" w:rsidRPr="007809AC">
        <w:rPr>
          <w:rFonts w:ascii="Arial" w:eastAsia="SimSun" w:hAnsi="Arial" w:cs="Arial"/>
          <w:sz w:val="24"/>
          <w:szCs w:val="24"/>
        </w:rPr>
        <w:instrText xml:space="preserve"> ADDIN ZOTERO_ITEM CSL_CITATION {"citationID":"ro6p06tm","properties":{"formattedCitation":"(25)","plainCitation":"(25)","noteIndex":0},"citationItems":[{"id":1180,"uris":["http://zotero.org/users/local/nlzVUL7s/items/EBJJA6H7"],"uri":["http://zotero.org/users/local/nlzVUL7s/items/EBJJA6H7"],"itemData":{"id":1180,"type":"report","title":"Demographics and history.","URL":"http://www.asha.org/uploadedFiles/slp/healthcare/AATDemographicsandHistory.pdf","author":[{"literal":"American Speech-Language-Hearing Association’s Ad Hoc Committee on Documentation"}],"issued":{"date-parts":[["2008"]]},"accessed":{"date-parts":[["2015",12,23]]}}}],"schema":"https://github.com/citation-style-language/schema/raw/master/csl-citation.json"} </w:instrText>
      </w:r>
      <w:r w:rsidR="00C6787A" w:rsidRPr="007809AC">
        <w:rPr>
          <w:rFonts w:ascii="Arial" w:eastAsia="SimSun" w:hAnsi="Arial" w:cs="Arial"/>
          <w:sz w:val="24"/>
          <w:szCs w:val="24"/>
        </w:rPr>
        <w:fldChar w:fldCharType="separate"/>
      </w:r>
      <w:r w:rsidR="00C6787A" w:rsidRPr="007809AC">
        <w:rPr>
          <w:rFonts w:ascii="Arial" w:hAnsi="Arial" w:cs="Arial"/>
          <w:sz w:val="24"/>
          <w:szCs w:val="24"/>
        </w:rPr>
        <w:t>(25)</w:t>
      </w:r>
      <w:r w:rsidR="00C6787A" w:rsidRPr="007809AC">
        <w:rPr>
          <w:rFonts w:ascii="Arial" w:eastAsia="SimSun" w:hAnsi="Arial" w:cs="Arial"/>
          <w:sz w:val="24"/>
          <w:szCs w:val="24"/>
        </w:rPr>
        <w:fldChar w:fldCharType="end"/>
      </w:r>
      <w:r w:rsidR="00256DF4" w:rsidRPr="007809AC">
        <w:rPr>
          <w:rFonts w:ascii="Arial" w:eastAsia="SimSun" w:hAnsi="Arial" w:cs="Arial"/>
          <w:sz w:val="24"/>
          <w:szCs w:val="24"/>
        </w:rPr>
        <w:t>, and The Test of Masticating an</w:t>
      </w:r>
      <w:r w:rsidR="00C6787A" w:rsidRPr="007809AC">
        <w:rPr>
          <w:rFonts w:ascii="Arial" w:eastAsia="SimSun" w:hAnsi="Arial" w:cs="Arial"/>
          <w:sz w:val="24"/>
          <w:szCs w:val="24"/>
        </w:rPr>
        <w:t>d Swallowing Solids (TOMASS)</w:t>
      </w:r>
      <w:r w:rsidR="00C6787A" w:rsidRPr="007809AC">
        <w:rPr>
          <w:rFonts w:ascii="Arial" w:eastAsia="SimSun" w:hAnsi="Arial" w:cs="Arial"/>
          <w:sz w:val="24"/>
          <w:szCs w:val="24"/>
        </w:rPr>
        <w:fldChar w:fldCharType="begin"/>
      </w:r>
      <w:r w:rsidR="00C6787A" w:rsidRPr="007809AC">
        <w:rPr>
          <w:rFonts w:ascii="Arial" w:eastAsia="SimSun" w:hAnsi="Arial" w:cs="Arial"/>
          <w:sz w:val="24"/>
          <w:szCs w:val="24"/>
        </w:rPr>
        <w:instrText xml:space="preserve"> ADDIN ZOTERO_ITEM CSL_CITATION {"citationID":"7LrXWr0t","properties":{"formattedCitation":"(26)","plainCitation":"(26)","noteIndex":0},"citationItems":[{"id":867,"uris":["http://zotero.org/users/local/nlzVUL7s/items/YP5QVRX4"],"uri":["http://zotero.org/users/local/nlzVUL7s/items/YP5QVRX4"],"itemData":{"id":867,"type":"article-journal","title":"The Test of Masticating and Swallowing Solids (TOMASS): reliability, validity and international normative data","container-title":"International Journal of Language &amp; Communication Disorders","page":"144-156","volume":"53","issue":"1","source":"PubMed","abstract":"BACKGROUND: Clinical swallowing assessment is largely limited to qualitative assessment of behavioural observations. There are limited quantitative data that can be compared with a healthy population for identification of impairment. The Test of Masticating and Swallowing Solids (TOMASS) was developed as a quantitative assessment of solid bolus ingestion.\nAIMS: This research programme investigated test development indices and established normative data for the TOMASS to support translation to clinical dysphagia assessment.\nMETHODS &amp; PROCEDURES: A total of 228 healthy adults (ages 20-80+ years) stratified by age and sex participated in one or more of four consecutive studies evaluating test-retest and interrater reliability and validity to instrumental assessment. For each study the test required participants to ingest a commercially available cracker with instructions to 'eat this as quickly as is comfortably possible'. Further averaged measures were derived including the number of masticatory cycles and swallows per bite, and time per bite, masticatory cycle and swallow. Initial analyses identified significant differences on salient measures between two commercially available crackers that are nearly identical in shape, size and ingredients, suggesting the need for separate normative samples for specific regional products. Additional analyses on a single cracker identified that the TOMASS was sensitive at detecting changes in performance based on age and sex. Test-retest reliability across days and interrater reliability between clinicians was high, as was validation of observational measures to instrumental correlates of the same behaviours. Therefore, normative data are provided for the TOMASS from a minimum of 80 healthy controls, stratified by age and sex, for each of seven commercially available crackers from broad regions worldwide.\nOUTCOMES &amp; RESULTS: Analyses on a single cracker identified Arnott's Salada, and that TOMASS measures were sensitive for detecting changes in performance based on age and sex. Interrater and test-retest reliability across days were high, as was validation of observational measures to instrumental correlates of the same behaviours. Significant differences were identified between two commercially available crackers, nearly identical in shape, size and ingredients, thus normative samples for specific regional products were required. Normative data were then acquired for the TOMASS from a minimum of 80 healthy controls, stratified by age and sex, for each of seven commercially available crackers from broad regions worldwide.\nCONCLUSIONS &amp; IMPLICATIONS: The TOMASS is presented as a valid, reliable and broadly normed clinical assessment of solid bolus ingestion. Clinical application may help identify dysphagic patients at bedside and provide a non-invasive, but sensitive, measure of functional change in swallowing.","DOI":"10.1111/1460-6984.12332","ISSN":"1460-6984","note":"PMID: 28677236","shortTitle":"The Test of Masticating and Swallowing Solids (TOMASS)","journalAbbreviation":"Int J Lang Commun Disord","language":"eng","author":[{"family":"Huckabee","given":"Maggie-Lee"},{"family":"McIntosh","given":"Theresa"},{"family":"Fuller","given":"Laura"},{"family":"Curry","given":"Morgan"},{"family":"Thomas","given":"Paige"},{"family":"Walshe","given":"Margaret"},{"family":"McCague","given":"Ellen"},{"family":"Battel","given":"Irene"},{"family":"Nogueira","given":"Dalia"},{"family":"Frank","given":"Ulrike"},{"family":"Engel-Hoek","given":"Lenie","non-dropping-particle":"van den"},{"family":"Sella-Weiss","given":"Oshrat"}],"issued":{"date-parts":[["2018",1]]}}}],"schema":"https://github.com/citation-style-language/schema/raw/master/csl-citation.json"} </w:instrText>
      </w:r>
      <w:r w:rsidR="00C6787A" w:rsidRPr="007809AC">
        <w:rPr>
          <w:rFonts w:ascii="Arial" w:eastAsia="SimSun" w:hAnsi="Arial" w:cs="Arial"/>
          <w:sz w:val="24"/>
          <w:szCs w:val="24"/>
        </w:rPr>
        <w:fldChar w:fldCharType="separate"/>
      </w:r>
      <w:r w:rsidR="00C6787A" w:rsidRPr="007809AC">
        <w:rPr>
          <w:rFonts w:ascii="Arial" w:hAnsi="Arial" w:cs="Arial"/>
          <w:sz w:val="24"/>
          <w:szCs w:val="24"/>
        </w:rPr>
        <w:t>(26)</w:t>
      </w:r>
      <w:r w:rsidR="00C6787A" w:rsidRPr="007809AC">
        <w:rPr>
          <w:rFonts w:ascii="Arial" w:eastAsia="SimSun" w:hAnsi="Arial" w:cs="Arial"/>
          <w:sz w:val="24"/>
          <w:szCs w:val="24"/>
        </w:rPr>
        <w:fldChar w:fldCharType="end"/>
      </w:r>
      <w:r w:rsidR="00256DF4" w:rsidRPr="007809AC">
        <w:rPr>
          <w:rFonts w:ascii="Arial" w:eastAsia="SimSun" w:hAnsi="Arial" w:cs="Arial"/>
          <w:sz w:val="24"/>
          <w:szCs w:val="24"/>
        </w:rPr>
        <w:t xml:space="preserve">. This assessment protocol was also used to collect data on the impact of TMD-related eating and swallowing problems, with </w:t>
      </w:r>
      <w:r w:rsidRPr="007809AC">
        <w:rPr>
          <w:rFonts w:ascii="Arial" w:eastAsia="SimSun" w:hAnsi="Arial" w:cs="Arial"/>
          <w:sz w:val="24"/>
          <w:szCs w:val="24"/>
        </w:rPr>
        <w:t xml:space="preserve">a </w:t>
      </w:r>
      <w:r w:rsidR="00256DF4" w:rsidRPr="007809AC">
        <w:rPr>
          <w:rFonts w:ascii="Arial" w:eastAsia="SimSun" w:hAnsi="Arial" w:cs="Arial"/>
          <w:sz w:val="24"/>
          <w:szCs w:val="24"/>
        </w:rPr>
        <w:t xml:space="preserve">focus on levels of activity, participation, and pain-related disability, using: the Graded Chronic </w:t>
      </w:r>
      <w:r w:rsidR="00C6787A" w:rsidRPr="007809AC">
        <w:rPr>
          <w:rFonts w:ascii="Arial" w:eastAsia="SimSun" w:hAnsi="Arial" w:cs="Arial"/>
          <w:sz w:val="24"/>
          <w:szCs w:val="24"/>
        </w:rPr>
        <w:t>Pain Scale (GCPS)</w:t>
      </w:r>
      <w:r w:rsidR="00C6787A" w:rsidRPr="007809AC">
        <w:rPr>
          <w:rFonts w:ascii="Arial" w:eastAsia="SimSun" w:hAnsi="Arial" w:cs="Arial"/>
          <w:sz w:val="24"/>
          <w:szCs w:val="24"/>
        </w:rPr>
        <w:fldChar w:fldCharType="begin"/>
      </w:r>
      <w:r w:rsidR="00C6787A" w:rsidRPr="007809AC">
        <w:rPr>
          <w:rFonts w:ascii="Arial" w:eastAsia="SimSun" w:hAnsi="Arial" w:cs="Arial"/>
          <w:sz w:val="24"/>
          <w:szCs w:val="24"/>
        </w:rPr>
        <w:instrText xml:space="preserve"> ADDIN ZOTERO_ITEM CSL_CITATION {"citationID":"7T7nT9u1","properties":{"formattedCitation":"(27)","plainCitation":"(27)","noteIndex":0},"citationItems":[{"id":1174,"uris":["http://zotero.org/users/local/nlzVUL7s/items/9SXBADMP"],"uri":["http://zotero.org/users/local/nlzVUL7s/items/9SXBADMP"],"itemData":{"id":1174,"type":"article-journal","title":"Grading the severity of chronic pain","container-title":"Pain","page":"133-149","volume":"50","issue":"2","source":"PubMed","abstract":"This research develops and evaluates a simple method of grading the severity of chronic pain for use in general population surveys and studies of primary care pain patients. Measures of pain intensity, disability, persistence and recency of onset were tested for their ability to grade chronic pain severity in a longitudinal study of primary care back pain (n = 1213), headache (n = 779) and temporomandibular disorder pain (n = 397) patients. A Guttman scale analysis showed that pain intensity and disability measures formed a reliable hierarchical scale. Pain intensity measures appeared to scale the lower range of global severity while disability measures appeared to scale the upper range of global severity. Recency of onset and days in pain in the prior 6 months did not scale with pain intensity or disability. Using simple scoring rules, pain severity was graded into 4 hierarchical classes: Grade I, low disability--low intensity; Grade II, low disability--high intensity; Grade III, high disability--moderately limiting; and Grade IV, high disability--severely limiting. For each pain site, Chronic Pain Grade measured at baseline showed a highly statistically significant and monotonically increasing relationship with unemployment rate, pain-related functional limitations, depression, fair to poor self-rated health, frequent use of opioid analgesics, and frequent pain-related doctor visits both at baseline and at 1-year follow-up. Days in Pain was related to these variables, but not as strongly as Chronic Pain Grade. Recent onset cases (first onset within the prior 3 months) did not show differences in psychological and behavioral dysfunction when compared to persons with less recent onset. Using longitudinal data from a population-based study (n = 803), Chronic Pain Grade at baseline predicted the presence of pain in the prior 2 weeks. Chronic Pain Grade and pain-related functional limitations at 3-year follow-up. Grading chronic pain as a function of pain intensity and pain-related disability may be useful when a brief ordinal measure of global pain severity is required. Pain persistence, measured by days in pain in a fixed time period, provides useful additional information.","ISSN":"0304-3959","note":"PMID: 1408309","journalAbbreviation":"Pain","language":"eng","author":[{"family":"Von Korff","given":"M."},{"family":"Ormel","given":"J."},{"family":"Keefe","given":"F. J."},{"family":"Dworkin","given":"S. F."}],"issued":{"date-parts":[["1992",8]]}}}],"schema":"https://github.com/citation-style-language/schema/raw/master/csl-citation.json"} </w:instrText>
      </w:r>
      <w:r w:rsidR="00C6787A" w:rsidRPr="007809AC">
        <w:rPr>
          <w:rFonts w:ascii="Arial" w:eastAsia="SimSun" w:hAnsi="Arial" w:cs="Arial"/>
          <w:sz w:val="24"/>
          <w:szCs w:val="24"/>
        </w:rPr>
        <w:fldChar w:fldCharType="separate"/>
      </w:r>
      <w:r w:rsidR="00C6787A" w:rsidRPr="007809AC">
        <w:rPr>
          <w:rFonts w:ascii="Arial" w:hAnsi="Arial" w:cs="Arial"/>
          <w:sz w:val="24"/>
          <w:szCs w:val="24"/>
        </w:rPr>
        <w:t>(27)</w:t>
      </w:r>
      <w:r w:rsidR="00C6787A" w:rsidRPr="007809AC">
        <w:rPr>
          <w:rFonts w:ascii="Arial" w:eastAsia="SimSun" w:hAnsi="Arial" w:cs="Arial"/>
          <w:sz w:val="24"/>
          <w:szCs w:val="24"/>
        </w:rPr>
        <w:fldChar w:fldCharType="end"/>
      </w:r>
      <w:r w:rsidR="00256DF4" w:rsidRPr="007809AC">
        <w:rPr>
          <w:rFonts w:ascii="Arial" w:eastAsia="SimSun" w:hAnsi="Arial" w:cs="Arial"/>
          <w:sz w:val="24"/>
          <w:szCs w:val="24"/>
        </w:rPr>
        <w:t>, the Patient Hea</w:t>
      </w:r>
      <w:r w:rsidR="003E75F0" w:rsidRPr="007809AC">
        <w:rPr>
          <w:rFonts w:ascii="Arial" w:eastAsia="SimSun" w:hAnsi="Arial" w:cs="Arial"/>
          <w:sz w:val="24"/>
          <w:szCs w:val="24"/>
        </w:rPr>
        <w:t>lth Questionna</w:t>
      </w:r>
      <w:r w:rsidR="00C6787A" w:rsidRPr="007809AC">
        <w:rPr>
          <w:rFonts w:ascii="Arial" w:eastAsia="SimSun" w:hAnsi="Arial" w:cs="Arial"/>
          <w:sz w:val="24"/>
          <w:szCs w:val="24"/>
        </w:rPr>
        <w:t>ire-4 (PHQ-4)</w:t>
      </w:r>
      <w:r w:rsidR="00C6787A" w:rsidRPr="007809AC">
        <w:rPr>
          <w:rFonts w:ascii="Arial" w:eastAsia="SimSun" w:hAnsi="Arial" w:cs="Arial"/>
          <w:sz w:val="24"/>
          <w:szCs w:val="24"/>
        </w:rPr>
        <w:fldChar w:fldCharType="begin"/>
      </w:r>
      <w:r w:rsidR="00C6787A" w:rsidRPr="007809AC">
        <w:rPr>
          <w:rFonts w:ascii="Arial" w:eastAsia="SimSun" w:hAnsi="Arial" w:cs="Arial"/>
          <w:sz w:val="24"/>
          <w:szCs w:val="24"/>
        </w:rPr>
        <w:instrText xml:space="preserve"> ADDIN ZOTERO_ITEM CSL_CITATION {"citationID":"JqzFiI3r","properties":{"formattedCitation":"(28)","plainCitation":"(28)","noteIndex":0},"citationItems":[{"id":1176,"uris":["http://zotero.org/users/local/nlzVUL7s/items/MDM3R3H2"],"uri":["http://zotero.org/users/local/nlzVUL7s/items/MDM3R3H2"],"itemData":{"id":1176,"type":"article-journal","title":"An ultra-brief screening scale for anxiety and depression: the PHQ-4","container-title":"Psychosomatics","page":"613-621","volume":"50","issue":"6","source":"PubMed","abstract":"BACKGROUND: The most common mental disorders in both outpatient settings and the general population are depression and anxiety, which frequently coexist. Both of these disorders are associated with considerable disability.\nOBJECTIVE: When the disorders co-occur, the disability is even greater. Authors sought to test an ultra-brief screening tool for both.\nMETHOD: Validated two-item ultra-brief screeners for depression and anxiety were combined to constitute the Patient Health Questionnaire for Depression and Anxiety (the PHQ-4). Data were analyzed from 2,149 patients drawn from 15 primary-care clinics in the United States.\nRESULTS: Factor analysis confirmed two discrete factors (Depression and Anxiety) that explained 84% of the total variance. Increasing PHQ-4 scores were strongly associated with functional impairment, disability days, and healthcare use. Anxiety had a substantial effect on functional status that was independent of depression.\nCONCLUSION: The PHQ-4 is a valid ultra-brief tool for detecting both anxiety and depressive disorders.","DOI":"10.1176/appi.psy.50.6.613","ISSN":"1545-7206","note":"PMID: 19996233","shortTitle":"An ultra-brief screening scale for anxiety and depression","journalAbbreviation":"Psychosomatics","language":"eng","author":[{"family":"Kroenke","given":"Kurt"},{"family":"Spitzer","given":"Robert L."},{"family":"Williams","given":"Janet B. W."},{"family":"Löwe","given":"Bernd"}],"issued":{"date-parts":[["2009",12]]}}}],"schema":"https://github.com/citation-style-language/schema/raw/master/csl-citation.json"} </w:instrText>
      </w:r>
      <w:r w:rsidR="00C6787A" w:rsidRPr="007809AC">
        <w:rPr>
          <w:rFonts w:ascii="Arial" w:eastAsia="SimSun" w:hAnsi="Arial" w:cs="Arial"/>
          <w:sz w:val="24"/>
          <w:szCs w:val="24"/>
        </w:rPr>
        <w:fldChar w:fldCharType="separate"/>
      </w:r>
      <w:r w:rsidR="00C6787A" w:rsidRPr="007809AC">
        <w:rPr>
          <w:rFonts w:ascii="Arial" w:hAnsi="Arial" w:cs="Arial"/>
          <w:sz w:val="24"/>
          <w:szCs w:val="24"/>
        </w:rPr>
        <w:t>(28)</w:t>
      </w:r>
      <w:r w:rsidR="00C6787A" w:rsidRPr="007809AC">
        <w:rPr>
          <w:rFonts w:ascii="Arial" w:eastAsia="SimSun" w:hAnsi="Arial" w:cs="Arial"/>
          <w:sz w:val="24"/>
          <w:szCs w:val="24"/>
        </w:rPr>
        <w:fldChar w:fldCharType="end"/>
      </w:r>
      <w:r w:rsidR="00256DF4" w:rsidRPr="007809AC">
        <w:rPr>
          <w:rFonts w:ascii="Arial" w:eastAsia="SimSun" w:hAnsi="Arial" w:cs="Arial"/>
          <w:sz w:val="24"/>
          <w:szCs w:val="24"/>
        </w:rPr>
        <w:t>, and the Dy</w:t>
      </w:r>
      <w:r w:rsidR="00C6787A" w:rsidRPr="007809AC">
        <w:rPr>
          <w:rFonts w:ascii="Arial" w:eastAsia="SimSun" w:hAnsi="Arial" w:cs="Arial"/>
          <w:sz w:val="24"/>
          <w:szCs w:val="24"/>
        </w:rPr>
        <w:t>sphagia Handicap Index (DHI)</w:t>
      </w:r>
      <w:r w:rsidR="00C6787A" w:rsidRPr="007809AC">
        <w:rPr>
          <w:rFonts w:ascii="Arial" w:eastAsia="SimSun" w:hAnsi="Arial" w:cs="Arial"/>
          <w:sz w:val="24"/>
          <w:szCs w:val="24"/>
        </w:rPr>
        <w:fldChar w:fldCharType="begin"/>
      </w:r>
      <w:r w:rsidR="00C6787A" w:rsidRPr="007809AC">
        <w:rPr>
          <w:rFonts w:ascii="Arial" w:eastAsia="SimSun" w:hAnsi="Arial" w:cs="Arial"/>
          <w:sz w:val="24"/>
          <w:szCs w:val="24"/>
        </w:rPr>
        <w:instrText xml:space="preserve"> ADDIN ZOTERO_ITEM CSL_CITATION {"citationID":"OP3Tgi8a","properties":{"formattedCitation":"(29)","plainCitation":"(29)","noteIndex":0},"citationItems":[{"id":1178,"uris":["http://zotero.org/users/local/nlzVUL7s/items/MKHPRY3C"],"uri":["http://zotero.org/users/local/nlzVUL7s/items/MKHPRY3C"],"itemData":{"id":1178,"type":"article-journal","title":"The Dysphagia handicap index: development and validation","container-title":"Dysphagia","page":"46-52","volume":"27","issue":"1","source":"PubMed","abstract":"Quality-of-life indicators for dysphagia provide invaluable information to the treating clinician regarding the success or failure of swallowing therapy. The purpose of this study was to develop a clinically efficient, statistically robust patient-reported outcomes tool that measures the handicapping effect of dysphagia on emotional, functional, and physical aspects of individual's lives. 60 statements describing the handicapping effect of dysphagia were collected from patient reports and divided into subscales of physical, emotional, and functional problems. The statements were presented to 77 individuals with dysphagia. Respondents replied never, sometimes, or always to each statement and rated their self-perceived dysphagia severity on a 7-point equal-appearing interval scale. Cronbach's α was performed to assess the internal consistency validation of the items within the questionnaire. The final questionnaire was reduced to 25 items and administered to 214 individuals with dysphagia and 74 controls. Test-retest was performed on 63 individuals with dysphagia. Cronbach's α for the initial and final versions was strong at r = 0.96 and r = 0.94, respectively. Significant differences occurred between the dysphagia and control groups. Test-retest reliability was strong. We present a new, easy-to-complete, statistically robust, patient-reported outcomes measure for assessing the handicapping effect of dysphagia.","DOI":"10.1007/s00455-011-9336-2","ISSN":"1432-0460","note":"PMID: 21424584","shortTitle":"The Dysphagia handicap index","journalAbbreviation":"Dysphagia","language":"eng","author":[{"family":"Silbergleit","given":"Alice K."},{"family":"Schultz","given":"Lonni"},{"family":"Jacobson","given":"Barbara H."},{"family":"Beardsley","given":"Tausha"},{"family":"Johnson","given":"Alex F."}],"issued":{"date-parts":[["2012",3]]}}}],"schema":"https://github.com/citation-style-language/schema/raw/master/csl-citation.json"} </w:instrText>
      </w:r>
      <w:r w:rsidR="00C6787A" w:rsidRPr="007809AC">
        <w:rPr>
          <w:rFonts w:ascii="Arial" w:eastAsia="SimSun" w:hAnsi="Arial" w:cs="Arial"/>
          <w:sz w:val="24"/>
          <w:szCs w:val="24"/>
        </w:rPr>
        <w:fldChar w:fldCharType="separate"/>
      </w:r>
      <w:r w:rsidR="00C6787A" w:rsidRPr="007809AC">
        <w:rPr>
          <w:rFonts w:ascii="Arial" w:hAnsi="Arial" w:cs="Arial"/>
          <w:sz w:val="24"/>
          <w:szCs w:val="24"/>
        </w:rPr>
        <w:t>(29)</w:t>
      </w:r>
      <w:r w:rsidR="00C6787A" w:rsidRPr="007809AC">
        <w:rPr>
          <w:rFonts w:ascii="Arial" w:eastAsia="SimSun" w:hAnsi="Arial" w:cs="Arial"/>
          <w:sz w:val="24"/>
          <w:szCs w:val="24"/>
        </w:rPr>
        <w:fldChar w:fldCharType="end"/>
      </w:r>
      <w:r w:rsidR="00DC35C2" w:rsidRPr="007809AC">
        <w:rPr>
          <w:rFonts w:ascii="Arial" w:eastAsia="SimSun" w:hAnsi="Arial" w:cs="Arial"/>
          <w:sz w:val="24"/>
          <w:szCs w:val="24"/>
        </w:rPr>
        <w:t xml:space="preserve"> (Table 1)</w:t>
      </w:r>
      <w:r w:rsidR="00256DF4" w:rsidRPr="007809AC">
        <w:rPr>
          <w:rFonts w:ascii="Arial" w:eastAsia="SimSun" w:hAnsi="Arial" w:cs="Arial"/>
          <w:sz w:val="24"/>
          <w:szCs w:val="24"/>
        </w:rPr>
        <w:t>.</w:t>
      </w:r>
      <w:r w:rsidR="002A1F37" w:rsidRPr="007809AC">
        <w:rPr>
          <w:rFonts w:ascii="Arial" w:eastAsia="SimSun" w:hAnsi="Arial" w:cs="Arial"/>
          <w:sz w:val="24"/>
          <w:szCs w:val="24"/>
        </w:rPr>
        <w:t xml:space="preserve"> Due to the time restraints within this busy clinic, and the level of inp</w:t>
      </w:r>
      <w:r w:rsidR="001A0959" w:rsidRPr="007809AC">
        <w:rPr>
          <w:rFonts w:ascii="Arial" w:eastAsia="SimSun" w:hAnsi="Arial" w:cs="Arial"/>
          <w:sz w:val="24"/>
          <w:szCs w:val="24"/>
        </w:rPr>
        <w:t>ut required to administer this assessment protocol to each patient, dental status was not formally assessed during examinations, although the collection of this data may have enriched findings as dental abnormalities can independently impact eating and drinking status.</w:t>
      </w:r>
    </w:p>
    <w:p w14:paraId="7B372AA8" w14:textId="6E05E45F" w:rsidR="00845E20" w:rsidRPr="007809AC" w:rsidRDefault="00D13F0A" w:rsidP="00845E20">
      <w:pPr>
        <w:spacing w:before="240" w:line="360" w:lineRule="auto"/>
        <w:jc w:val="both"/>
        <w:rPr>
          <w:rFonts w:ascii="Arial" w:hAnsi="Arial" w:cs="Arial"/>
          <w:sz w:val="24"/>
          <w:szCs w:val="24"/>
        </w:rPr>
      </w:pPr>
      <w:r w:rsidRPr="007809AC">
        <w:rPr>
          <w:rFonts w:ascii="Arial" w:hAnsi="Arial" w:cs="Arial"/>
          <w:sz w:val="24"/>
          <w:szCs w:val="24"/>
        </w:rPr>
        <w:t>Descriptive statistics were reported for all demographic data. In addition, statistical analysis was conducted using both parametric and non-parametric tests. Chi-squared tests were performed at the 5% significance level to determine associations between categorical variables. T-tests, Mann-Whitney U, Kruskal-Wallis, and Spearman’s rho non</w:t>
      </w:r>
      <w:r w:rsidR="009C7F00" w:rsidRPr="007809AC">
        <w:rPr>
          <w:rFonts w:ascii="Arial" w:hAnsi="Arial" w:cs="Arial"/>
          <w:sz w:val="24"/>
          <w:szCs w:val="24"/>
        </w:rPr>
        <w:t>-</w:t>
      </w:r>
      <w:r w:rsidRPr="007809AC">
        <w:rPr>
          <w:rFonts w:ascii="Arial" w:hAnsi="Arial" w:cs="Arial"/>
          <w:sz w:val="24"/>
          <w:szCs w:val="24"/>
        </w:rPr>
        <w:t>parametric correlation tests were also used to identify significant differences between the distributions of groups, and to identify associations between continuous variables.</w:t>
      </w:r>
    </w:p>
    <w:p w14:paraId="33510F68" w14:textId="0E6C5BAE" w:rsidR="00F71F78" w:rsidRPr="007809AC" w:rsidRDefault="00D13F0A" w:rsidP="00845E20">
      <w:pPr>
        <w:spacing w:before="240" w:line="360" w:lineRule="auto"/>
        <w:jc w:val="both"/>
        <w:rPr>
          <w:rFonts w:ascii="Arial" w:hAnsi="Arial" w:cs="Arial"/>
          <w:b/>
          <w:sz w:val="24"/>
          <w:szCs w:val="24"/>
        </w:rPr>
      </w:pPr>
      <w:r w:rsidRPr="007809AC">
        <w:rPr>
          <w:rFonts w:ascii="Arial" w:hAnsi="Arial" w:cs="Arial"/>
          <w:b/>
          <w:sz w:val="24"/>
          <w:szCs w:val="24"/>
        </w:rPr>
        <w:t>RESULTS</w:t>
      </w:r>
    </w:p>
    <w:p w14:paraId="7D77844A" w14:textId="5D682882" w:rsidR="00D74A95" w:rsidRPr="007809AC" w:rsidRDefault="00D13F0A" w:rsidP="00845E20">
      <w:pPr>
        <w:spacing w:line="360" w:lineRule="auto"/>
        <w:jc w:val="both"/>
        <w:rPr>
          <w:rFonts w:ascii="Arial" w:hAnsi="Arial" w:cs="Arial"/>
          <w:i/>
          <w:iCs/>
          <w:sz w:val="24"/>
          <w:szCs w:val="24"/>
        </w:rPr>
      </w:pPr>
      <w:r w:rsidRPr="007809AC">
        <w:rPr>
          <w:rFonts w:ascii="Arial" w:hAnsi="Arial"/>
          <w:sz w:val="24"/>
          <w:szCs w:val="24"/>
        </w:rPr>
        <w:t xml:space="preserve">Over </w:t>
      </w:r>
      <w:r w:rsidR="00D74A95" w:rsidRPr="007809AC">
        <w:rPr>
          <w:rFonts w:ascii="Arial" w:hAnsi="Arial"/>
          <w:sz w:val="24"/>
          <w:szCs w:val="24"/>
        </w:rPr>
        <w:t>the 12-month period, 128 individual</w:t>
      </w:r>
      <w:r w:rsidRPr="007809AC">
        <w:rPr>
          <w:rFonts w:ascii="Arial" w:hAnsi="Arial"/>
          <w:sz w:val="24"/>
          <w:szCs w:val="24"/>
        </w:rPr>
        <w:t xml:space="preserve">s were eligible for inclusion, with 126 ultimately </w:t>
      </w:r>
      <w:r w:rsidR="00475D65" w:rsidRPr="007809AC">
        <w:rPr>
          <w:rFonts w:ascii="Arial" w:hAnsi="Arial"/>
          <w:sz w:val="24"/>
          <w:szCs w:val="24"/>
        </w:rPr>
        <w:t xml:space="preserve">agreeing </w:t>
      </w:r>
      <w:r w:rsidR="00E9103A" w:rsidRPr="007809AC">
        <w:rPr>
          <w:rFonts w:ascii="Arial" w:hAnsi="Arial"/>
          <w:sz w:val="24"/>
          <w:szCs w:val="24"/>
        </w:rPr>
        <w:t xml:space="preserve">to </w:t>
      </w:r>
      <w:r w:rsidRPr="007809AC">
        <w:rPr>
          <w:rFonts w:ascii="Arial" w:hAnsi="Arial"/>
          <w:sz w:val="24"/>
          <w:szCs w:val="24"/>
        </w:rPr>
        <w:t>participat</w:t>
      </w:r>
      <w:r w:rsidR="00E9103A" w:rsidRPr="007809AC">
        <w:rPr>
          <w:rFonts w:ascii="Arial" w:hAnsi="Arial"/>
          <w:sz w:val="24"/>
          <w:szCs w:val="24"/>
        </w:rPr>
        <w:t>e</w:t>
      </w:r>
      <w:r w:rsidR="00475D65" w:rsidRPr="007809AC">
        <w:rPr>
          <w:rFonts w:ascii="Arial" w:hAnsi="Arial"/>
          <w:sz w:val="24"/>
          <w:szCs w:val="24"/>
        </w:rPr>
        <w:t>. This</w:t>
      </w:r>
      <w:r w:rsidRPr="007809AC">
        <w:rPr>
          <w:rFonts w:ascii="Arial" w:hAnsi="Arial"/>
          <w:sz w:val="24"/>
          <w:szCs w:val="24"/>
        </w:rPr>
        <w:t xml:space="preserve"> yield</w:t>
      </w:r>
      <w:r w:rsidR="00475D65" w:rsidRPr="007809AC">
        <w:rPr>
          <w:rFonts w:ascii="Arial" w:hAnsi="Arial"/>
          <w:sz w:val="24"/>
          <w:szCs w:val="24"/>
        </w:rPr>
        <w:t>ed</w:t>
      </w:r>
      <w:r w:rsidRPr="007809AC">
        <w:rPr>
          <w:rFonts w:ascii="Arial" w:hAnsi="Arial"/>
          <w:sz w:val="24"/>
          <w:szCs w:val="24"/>
        </w:rPr>
        <w:t xml:space="preserve"> a 98.4% response rate (Table 2). </w:t>
      </w:r>
      <w:r w:rsidRPr="007809AC">
        <w:rPr>
          <w:rFonts w:ascii="Arial" w:eastAsia="Arial" w:hAnsi="Arial" w:cs="Arial"/>
          <w:sz w:val="24"/>
          <w:szCs w:val="24"/>
          <w:lang w:eastAsia="en-IE"/>
        </w:rPr>
        <w:t xml:space="preserve"> </w:t>
      </w:r>
      <w:r w:rsidR="00475D65" w:rsidRPr="007809AC">
        <w:rPr>
          <w:rFonts w:ascii="Arial" w:eastAsia="Arial" w:hAnsi="Arial" w:cs="Arial"/>
          <w:sz w:val="24"/>
          <w:szCs w:val="24"/>
          <w:lang w:eastAsia="en-IE"/>
        </w:rPr>
        <w:t>M</w:t>
      </w:r>
      <w:r w:rsidRPr="007809AC">
        <w:rPr>
          <w:rFonts w:ascii="Arial" w:eastAsia="Arial" w:hAnsi="Arial" w:cs="Arial"/>
          <w:sz w:val="24"/>
          <w:szCs w:val="24"/>
          <w:lang w:eastAsia="en-IE"/>
        </w:rPr>
        <w:t>ean age of the sample was 40.32 years (SD: 16.01 / range: 18-78), with a female: male repres</w:t>
      </w:r>
      <w:r w:rsidR="00544300" w:rsidRPr="007809AC">
        <w:rPr>
          <w:rFonts w:ascii="Arial" w:eastAsia="Arial" w:hAnsi="Arial" w:cs="Arial"/>
          <w:sz w:val="24"/>
          <w:szCs w:val="24"/>
          <w:lang w:eastAsia="en-IE"/>
        </w:rPr>
        <w:t xml:space="preserve">entation ratio of 5.3:1. </w:t>
      </w:r>
      <w:r w:rsidR="0050610C" w:rsidRPr="007809AC">
        <w:rPr>
          <w:rFonts w:ascii="Arial" w:eastAsia="Arial" w:hAnsi="Arial" w:cs="Arial"/>
          <w:sz w:val="24"/>
          <w:szCs w:val="24"/>
          <w:lang w:eastAsia="en-IE"/>
        </w:rPr>
        <w:t xml:space="preserve">Overall, </w:t>
      </w:r>
      <w:r w:rsidRPr="007809AC">
        <w:rPr>
          <w:rFonts w:ascii="Arial" w:eastAsia="Arial" w:hAnsi="Arial" w:cs="Arial"/>
          <w:sz w:val="24"/>
          <w:szCs w:val="24"/>
          <w:lang w:eastAsia="en-IE"/>
        </w:rPr>
        <w:t xml:space="preserve">TMJ disorders were </w:t>
      </w:r>
      <w:r w:rsidR="0050610C" w:rsidRPr="007809AC">
        <w:rPr>
          <w:rFonts w:ascii="Arial" w:eastAsia="Arial" w:hAnsi="Arial" w:cs="Arial"/>
          <w:sz w:val="24"/>
          <w:szCs w:val="24"/>
          <w:lang w:eastAsia="en-IE"/>
        </w:rPr>
        <w:t xml:space="preserve">the </w:t>
      </w:r>
      <w:r w:rsidRPr="007809AC">
        <w:rPr>
          <w:rFonts w:ascii="Arial" w:eastAsia="Arial" w:hAnsi="Arial" w:cs="Arial"/>
          <w:sz w:val="24"/>
          <w:szCs w:val="24"/>
          <w:lang w:eastAsia="en-IE"/>
        </w:rPr>
        <w:t>most commonly diagnosed</w:t>
      </w:r>
      <w:r w:rsidR="0050610C" w:rsidRPr="007809AC">
        <w:rPr>
          <w:rFonts w:ascii="Arial" w:eastAsia="Arial" w:hAnsi="Arial" w:cs="Arial"/>
          <w:sz w:val="24"/>
          <w:szCs w:val="24"/>
          <w:lang w:eastAsia="en-IE"/>
        </w:rPr>
        <w:t xml:space="preserve"> problems </w:t>
      </w:r>
      <w:r w:rsidRPr="007809AC">
        <w:rPr>
          <w:rFonts w:ascii="Arial" w:eastAsia="Arial" w:hAnsi="Arial" w:cs="Arial"/>
          <w:sz w:val="24"/>
          <w:szCs w:val="24"/>
          <w:lang w:eastAsia="en-IE"/>
        </w:rPr>
        <w:t>(right</w:t>
      </w:r>
      <w:r w:rsidR="0050610C" w:rsidRPr="007809AC">
        <w:rPr>
          <w:rFonts w:ascii="Arial" w:eastAsia="Arial" w:hAnsi="Arial" w:cs="Arial"/>
          <w:sz w:val="24"/>
          <w:szCs w:val="24"/>
          <w:lang w:eastAsia="en-IE"/>
        </w:rPr>
        <w:t xml:space="preserve"> TMJ</w:t>
      </w:r>
      <w:r w:rsidRPr="007809AC">
        <w:rPr>
          <w:rFonts w:ascii="Arial" w:eastAsia="Arial" w:hAnsi="Arial" w:cs="Arial"/>
          <w:sz w:val="24"/>
          <w:szCs w:val="24"/>
          <w:lang w:eastAsia="en-IE"/>
        </w:rPr>
        <w:t>: n=8/64.28% / left</w:t>
      </w:r>
      <w:r w:rsidR="0050610C" w:rsidRPr="007809AC">
        <w:rPr>
          <w:rFonts w:ascii="Arial" w:eastAsia="Arial" w:hAnsi="Arial" w:cs="Arial"/>
          <w:sz w:val="24"/>
          <w:szCs w:val="24"/>
          <w:lang w:eastAsia="en-IE"/>
        </w:rPr>
        <w:t xml:space="preserve"> TMJ</w:t>
      </w:r>
      <w:r w:rsidRPr="007809AC">
        <w:rPr>
          <w:rFonts w:ascii="Arial" w:eastAsia="Arial" w:hAnsi="Arial" w:cs="Arial"/>
          <w:sz w:val="24"/>
          <w:szCs w:val="24"/>
          <w:lang w:eastAsia="en-IE"/>
        </w:rPr>
        <w:t xml:space="preserve">: n=83/65.83%). </w:t>
      </w:r>
      <w:r w:rsidR="00475D65" w:rsidRPr="007809AC">
        <w:rPr>
          <w:rFonts w:ascii="Arial" w:eastAsia="Arial" w:hAnsi="Arial" w:cs="Arial"/>
          <w:sz w:val="24"/>
          <w:szCs w:val="24"/>
          <w:lang w:eastAsia="en-IE"/>
        </w:rPr>
        <w:t xml:space="preserve"> </w:t>
      </w:r>
      <w:r w:rsidRPr="007809AC">
        <w:rPr>
          <w:rFonts w:ascii="Arial" w:eastAsia="Arial" w:hAnsi="Arial" w:cs="Arial"/>
          <w:sz w:val="24"/>
          <w:szCs w:val="24"/>
          <w:lang w:eastAsia="en-IE"/>
        </w:rPr>
        <w:t>With reference to specific diagnoses, disc displacement without reduction with limited opening (DDWORWLO) was the most common TMJ disorder, regardless of TMJ side. Myofascial pain with referral (MFPWR) was the most frequent masticatory muscle disorder. The mean time since the onset of eating and swallowing problems was 60 months/5 years (SD: 60.9/ range: 2-360 months), with females and males reporting similar mean time since onset (60 months and 58 months, respectively)</w:t>
      </w:r>
      <w:r w:rsidR="00DC35C2" w:rsidRPr="007809AC">
        <w:rPr>
          <w:rFonts w:ascii="Arial" w:eastAsia="Arial" w:hAnsi="Arial" w:cs="Arial"/>
          <w:sz w:val="24"/>
          <w:szCs w:val="24"/>
          <w:lang w:eastAsia="en-IE"/>
        </w:rPr>
        <w:t xml:space="preserve"> (Table 2)</w:t>
      </w:r>
      <w:r w:rsidRPr="007809AC">
        <w:rPr>
          <w:rFonts w:ascii="Arial" w:eastAsia="Arial" w:hAnsi="Arial" w:cs="Arial"/>
          <w:sz w:val="24"/>
          <w:szCs w:val="24"/>
          <w:lang w:eastAsia="en-IE"/>
        </w:rPr>
        <w:t xml:space="preserve">. </w:t>
      </w:r>
    </w:p>
    <w:p w14:paraId="3865C3E9" w14:textId="77777777" w:rsidR="00F71F78" w:rsidRPr="007809AC" w:rsidRDefault="00B60011">
      <w:pPr>
        <w:spacing w:before="240" w:line="360" w:lineRule="auto"/>
        <w:jc w:val="both"/>
        <w:rPr>
          <w:rFonts w:ascii="Arial" w:hAnsi="Arial" w:cs="Arial"/>
          <w:i/>
          <w:sz w:val="24"/>
          <w:szCs w:val="24"/>
        </w:rPr>
      </w:pPr>
      <w:r w:rsidRPr="007809AC">
        <w:rPr>
          <w:rFonts w:ascii="Arial" w:hAnsi="Arial" w:cs="Arial"/>
          <w:i/>
          <w:sz w:val="24"/>
          <w:szCs w:val="24"/>
        </w:rPr>
        <w:t>Patient Reported</w:t>
      </w:r>
      <w:r w:rsidR="00D13F0A" w:rsidRPr="007809AC">
        <w:rPr>
          <w:rFonts w:ascii="Arial" w:hAnsi="Arial" w:cs="Arial"/>
          <w:i/>
          <w:sz w:val="24"/>
          <w:szCs w:val="24"/>
        </w:rPr>
        <w:t xml:space="preserve"> Masticatory, Eating, and Swallowing Problems</w:t>
      </w:r>
    </w:p>
    <w:p w14:paraId="33199BDC" w14:textId="3E2F44BF" w:rsidR="00F71F78" w:rsidRPr="007809AC" w:rsidRDefault="00544300">
      <w:pPr>
        <w:spacing w:line="360" w:lineRule="auto"/>
        <w:jc w:val="both"/>
        <w:rPr>
          <w:rFonts w:ascii="Arial" w:eastAsia="Arial" w:hAnsi="Arial" w:cs="Arial"/>
          <w:sz w:val="24"/>
          <w:szCs w:val="24"/>
        </w:rPr>
      </w:pPr>
      <w:r w:rsidRPr="007809AC">
        <w:rPr>
          <w:rFonts w:ascii="Arial" w:eastAsia="Arial" w:hAnsi="Arial" w:cs="Arial"/>
          <w:sz w:val="24"/>
          <w:szCs w:val="24"/>
        </w:rPr>
        <w:t>Usin</w:t>
      </w:r>
      <w:r w:rsidR="00C6787A" w:rsidRPr="007809AC">
        <w:rPr>
          <w:rFonts w:ascii="Arial" w:eastAsia="Arial" w:hAnsi="Arial" w:cs="Arial"/>
          <w:sz w:val="24"/>
          <w:szCs w:val="24"/>
        </w:rPr>
        <w:t>g the DHI</w:t>
      </w:r>
      <w:r w:rsidR="00C6787A" w:rsidRPr="007809AC">
        <w:rPr>
          <w:rFonts w:ascii="Arial" w:eastAsia="Arial" w:hAnsi="Arial" w:cs="Arial"/>
          <w:sz w:val="24"/>
          <w:szCs w:val="24"/>
        </w:rPr>
        <w:fldChar w:fldCharType="begin"/>
      </w:r>
      <w:r w:rsidR="00C6787A" w:rsidRPr="007809AC">
        <w:rPr>
          <w:rFonts w:ascii="Arial" w:eastAsia="Arial" w:hAnsi="Arial" w:cs="Arial"/>
          <w:sz w:val="24"/>
          <w:szCs w:val="24"/>
        </w:rPr>
        <w:instrText xml:space="preserve"> ADDIN ZOTERO_ITEM CSL_CITATION {"citationID":"ZWEIzjRK","properties":{"formattedCitation":"(29)","plainCitation":"(29)","noteIndex":0},"citationItems":[{"id":1178,"uris":["http://zotero.org/users/local/nlzVUL7s/items/MKHPRY3C"],"uri":["http://zotero.org/users/local/nlzVUL7s/items/MKHPRY3C"],"itemData":{"id":1178,"type":"article-journal","title":"The Dysphagia handicap index: development and validation","container-title":"Dysphagia","page":"46-52","volume":"27","issue":"1","source":"PubMed","abstract":"Quality-of-life indicators for dysphagia provide invaluable information to the treating clinician regarding the success or failure of swallowing therapy. The purpose of this study was to develop a clinically efficient, statistically robust patient-reported outcomes tool that measures the handicapping effect of dysphagia on emotional, functional, and physical aspects of individual's lives. 60 statements describing the handicapping effect of dysphagia were collected from patient reports and divided into subscales of physical, emotional, and functional problems. The statements were presented to 77 individuals with dysphagia. Respondents replied never, sometimes, or always to each statement and rated their self-perceived dysphagia severity on a 7-point equal-appearing interval scale. Cronbach's α was performed to assess the internal consistency validation of the items within the questionnaire. The final questionnaire was reduced to 25 items and administered to 214 individuals with dysphagia and 74 controls. Test-retest was performed on 63 individuals with dysphagia. Cronbach's α for the initial and final versions was strong at r = 0.96 and r = 0.94, respectively. Significant differences occurred between the dysphagia and control groups. Test-retest reliability was strong. We present a new, easy-to-complete, statistically robust, patient-reported outcomes measure for assessing the handicapping effect of dysphagia.","DOI":"10.1007/s00455-011-9336-2","ISSN":"1432-0460","note":"PMID: 21424584","shortTitle":"The Dysphagia handicap index","journalAbbreviation":"Dysphagia","language":"eng","author":[{"family":"Silbergleit","given":"Alice K."},{"family":"Schultz","given":"Lonni"},{"family":"Jacobson","given":"Barbara H."},{"family":"Beardsley","given":"Tausha"},{"family":"Johnson","given":"Alex F."}],"issued":{"date-parts":[["2012",3]]}}}],"schema":"https://github.com/citation-style-language/schema/raw/master/csl-citation.json"} </w:instrText>
      </w:r>
      <w:r w:rsidR="00C6787A" w:rsidRPr="007809AC">
        <w:rPr>
          <w:rFonts w:ascii="Arial" w:eastAsia="Arial" w:hAnsi="Arial" w:cs="Arial"/>
          <w:sz w:val="24"/>
          <w:szCs w:val="24"/>
        </w:rPr>
        <w:fldChar w:fldCharType="separate"/>
      </w:r>
      <w:r w:rsidR="00C6787A" w:rsidRPr="007809AC">
        <w:rPr>
          <w:rFonts w:ascii="Arial" w:hAnsi="Arial" w:cs="Arial"/>
          <w:sz w:val="24"/>
          <w:szCs w:val="24"/>
        </w:rPr>
        <w:t>(29)</w:t>
      </w:r>
      <w:r w:rsidR="00C6787A" w:rsidRPr="007809AC">
        <w:rPr>
          <w:rFonts w:ascii="Arial" w:eastAsia="Arial" w:hAnsi="Arial" w:cs="Arial"/>
          <w:sz w:val="24"/>
          <w:szCs w:val="24"/>
        </w:rPr>
        <w:fldChar w:fldCharType="end"/>
      </w:r>
      <w:r w:rsidR="00C6787A" w:rsidRPr="007809AC">
        <w:rPr>
          <w:rFonts w:ascii="Arial" w:eastAsia="Arial" w:hAnsi="Arial" w:cs="Arial"/>
          <w:sz w:val="24"/>
          <w:szCs w:val="24"/>
        </w:rPr>
        <w:t>,</w:t>
      </w:r>
      <w:r w:rsidR="00D13F0A" w:rsidRPr="007809AC">
        <w:rPr>
          <w:rFonts w:ascii="Arial" w:eastAsia="Arial" w:hAnsi="Arial" w:cs="Arial"/>
          <w:sz w:val="24"/>
          <w:szCs w:val="24"/>
        </w:rPr>
        <w:t xml:space="preserve"> the composite severity of masticatory, eating, and swallowing problems were rated on a scale of 0-7. Almost half of the 126 respondents rated their eating and swallowing problems a</w:t>
      </w:r>
      <w:r w:rsidR="00475D65" w:rsidRPr="007809AC">
        <w:rPr>
          <w:rFonts w:ascii="Arial" w:eastAsia="Arial" w:hAnsi="Arial" w:cs="Arial"/>
          <w:sz w:val="24"/>
          <w:szCs w:val="24"/>
        </w:rPr>
        <w:t>t</w:t>
      </w:r>
      <w:r w:rsidR="00D13F0A" w:rsidRPr="007809AC">
        <w:rPr>
          <w:rFonts w:ascii="Arial" w:eastAsia="Arial" w:hAnsi="Arial" w:cs="Arial"/>
          <w:sz w:val="24"/>
          <w:szCs w:val="24"/>
        </w:rPr>
        <w:t xml:space="preserve"> the most severe rating (7) (n=55/ 43.7%), followed by 15.1% (n=19) and 14.3% (n=18) who had respective moderate scores of 4 and 5, and 15 (11.9%) with a mild score of 1. The median overall severity score was 5.5 (moderate severity). </w:t>
      </w:r>
    </w:p>
    <w:p w14:paraId="49553784" w14:textId="4666BA05" w:rsidR="00947FA4" w:rsidRPr="007809AC" w:rsidRDefault="00F62AF9" w:rsidP="00947FA4">
      <w:pPr>
        <w:spacing w:line="360" w:lineRule="auto"/>
        <w:jc w:val="both"/>
        <w:rPr>
          <w:rFonts w:ascii="Arial" w:eastAsia="Arial" w:hAnsi="Arial" w:cs="Arial"/>
          <w:sz w:val="24"/>
          <w:szCs w:val="24"/>
        </w:rPr>
      </w:pPr>
      <w:r w:rsidRPr="007809AC">
        <w:rPr>
          <w:rFonts w:ascii="Arial" w:eastAsia="Arial" w:hAnsi="Arial" w:cs="Arial"/>
          <w:sz w:val="24"/>
          <w:szCs w:val="24"/>
        </w:rPr>
        <w:t>T</w:t>
      </w:r>
      <w:r w:rsidR="00D13F0A" w:rsidRPr="007809AC">
        <w:rPr>
          <w:rFonts w:ascii="Arial" w:eastAsia="Arial" w:hAnsi="Arial" w:cs="Arial"/>
          <w:sz w:val="24"/>
          <w:szCs w:val="24"/>
        </w:rPr>
        <w:t xml:space="preserve">he majority of participants </w:t>
      </w:r>
      <w:r w:rsidR="00327947" w:rsidRPr="007809AC">
        <w:rPr>
          <w:rFonts w:ascii="Arial" w:eastAsia="Arial" w:hAnsi="Arial" w:cs="Arial"/>
          <w:sz w:val="24"/>
          <w:szCs w:val="24"/>
        </w:rPr>
        <w:t xml:space="preserve">experience </w:t>
      </w:r>
      <w:r w:rsidR="00D13F0A" w:rsidRPr="007809AC">
        <w:rPr>
          <w:rFonts w:ascii="Arial" w:eastAsia="Arial" w:hAnsi="Arial" w:cs="Arial"/>
          <w:sz w:val="24"/>
          <w:szCs w:val="24"/>
        </w:rPr>
        <w:t xml:space="preserve">the most severe </w:t>
      </w:r>
      <w:r w:rsidR="00327947" w:rsidRPr="007809AC">
        <w:rPr>
          <w:rFonts w:ascii="Arial" w:eastAsia="Arial" w:hAnsi="Arial" w:cs="Arial"/>
          <w:sz w:val="24"/>
          <w:szCs w:val="24"/>
        </w:rPr>
        <w:t xml:space="preserve">eating </w:t>
      </w:r>
      <w:r w:rsidR="00D13F0A" w:rsidRPr="007809AC">
        <w:rPr>
          <w:rFonts w:ascii="Arial" w:eastAsia="Arial" w:hAnsi="Arial" w:cs="Arial"/>
          <w:sz w:val="24"/>
          <w:szCs w:val="24"/>
        </w:rPr>
        <w:t xml:space="preserve">difficulties when chewing </w:t>
      </w:r>
      <w:r w:rsidR="00475D65" w:rsidRPr="007809AC">
        <w:rPr>
          <w:rFonts w:ascii="Arial" w:eastAsia="Arial" w:hAnsi="Arial" w:cs="Arial"/>
          <w:sz w:val="24"/>
          <w:szCs w:val="24"/>
        </w:rPr>
        <w:t>‘</w:t>
      </w:r>
      <w:r w:rsidR="00D13F0A" w:rsidRPr="007809AC">
        <w:rPr>
          <w:rFonts w:ascii="Arial" w:eastAsia="Arial" w:hAnsi="Arial" w:cs="Arial"/>
          <w:sz w:val="24"/>
          <w:szCs w:val="24"/>
        </w:rPr>
        <w:t>tough</w:t>
      </w:r>
      <w:r w:rsidR="00475D65" w:rsidRPr="007809AC">
        <w:rPr>
          <w:rFonts w:ascii="Arial" w:eastAsia="Arial" w:hAnsi="Arial" w:cs="Arial"/>
          <w:sz w:val="24"/>
          <w:szCs w:val="24"/>
        </w:rPr>
        <w:t>’</w:t>
      </w:r>
      <w:r w:rsidR="00D13F0A" w:rsidRPr="007809AC">
        <w:rPr>
          <w:rFonts w:ascii="Arial" w:eastAsia="Arial" w:hAnsi="Arial" w:cs="Arial"/>
          <w:sz w:val="24"/>
          <w:szCs w:val="24"/>
        </w:rPr>
        <w:t xml:space="preserve"> food (n=65/ 51.6%), while a quarter</w:t>
      </w:r>
      <w:r w:rsidR="00327947" w:rsidRPr="007809AC">
        <w:rPr>
          <w:rFonts w:ascii="Arial" w:eastAsia="Arial" w:hAnsi="Arial" w:cs="Arial"/>
          <w:sz w:val="24"/>
          <w:szCs w:val="24"/>
        </w:rPr>
        <w:t xml:space="preserve"> reported that even chewing softer foods such as chicken elicits severe discomfort (n=33/ 26.2%). Notably, a quarter of participants reported severe difficulties when swallowing any foods or fluids, regardless of texture (n=32/ 25.4%), with a subsection experiencing discomfort even when</w:t>
      </w:r>
      <w:r w:rsidR="00D13F0A" w:rsidRPr="007809AC">
        <w:rPr>
          <w:rFonts w:ascii="Arial" w:eastAsia="Arial" w:hAnsi="Arial" w:cs="Arial"/>
          <w:sz w:val="24"/>
          <w:szCs w:val="24"/>
        </w:rPr>
        <w:t xml:space="preserve"> </w:t>
      </w:r>
      <w:r w:rsidR="00327947" w:rsidRPr="007809AC">
        <w:rPr>
          <w:rFonts w:ascii="Arial" w:eastAsia="Arial" w:hAnsi="Arial" w:cs="Arial"/>
          <w:sz w:val="24"/>
          <w:szCs w:val="24"/>
        </w:rPr>
        <w:t xml:space="preserve">simply </w:t>
      </w:r>
      <w:r w:rsidR="00D13F0A" w:rsidRPr="007809AC">
        <w:rPr>
          <w:rFonts w:ascii="Arial" w:eastAsia="Arial" w:hAnsi="Arial" w:cs="Arial"/>
          <w:sz w:val="24"/>
          <w:szCs w:val="24"/>
        </w:rPr>
        <w:t xml:space="preserve">opening their mouth wide enough to adequately drink from a cup (n=29/ 23%) (Table 3). </w:t>
      </w:r>
    </w:p>
    <w:p w14:paraId="1E23102F" w14:textId="3D8CCE23" w:rsidR="00F71F78" w:rsidRPr="007809AC" w:rsidRDefault="007069A0">
      <w:pPr>
        <w:spacing w:before="240" w:line="360" w:lineRule="auto"/>
        <w:jc w:val="both"/>
        <w:rPr>
          <w:sz w:val="24"/>
          <w:szCs w:val="24"/>
        </w:rPr>
      </w:pPr>
      <w:r w:rsidRPr="007809AC">
        <w:rPr>
          <w:rFonts w:ascii="Arial" w:eastAsia="Arial" w:hAnsi="Arial" w:cs="Arial"/>
          <w:sz w:val="24"/>
          <w:szCs w:val="24"/>
        </w:rPr>
        <w:t>These findings were supplemented by information collected using the</w:t>
      </w:r>
      <w:r w:rsidR="00D13F0A" w:rsidRPr="007809AC">
        <w:rPr>
          <w:rFonts w:ascii="Arial" w:eastAsia="Arial" w:hAnsi="Arial" w:cs="Arial"/>
          <w:sz w:val="24"/>
          <w:szCs w:val="24"/>
        </w:rPr>
        <w:t xml:space="preserve"> DHI. The most common difficulties </w:t>
      </w:r>
      <w:r w:rsidRPr="007809AC">
        <w:rPr>
          <w:rFonts w:ascii="Arial" w:eastAsia="Arial" w:hAnsi="Arial" w:cs="Arial"/>
          <w:sz w:val="24"/>
          <w:szCs w:val="24"/>
        </w:rPr>
        <w:t xml:space="preserve">reported using this tool </w:t>
      </w:r>
      <w:r w:rsidR="00D13F0A" w:rsidRPr="007809AC">
        <w:rPr>
          <w:rFonts w:ascii="Arial" w:eastAsia="Arial" w:hAnsi="Arial" w:cs="Arial"/>
          <w:sz w:val="24"/>
          <w:szCs w:val="24"/>
        </w:rPr>
        <w:t xml:space="preserve">were the need to clear oral residue </w:t>
      </w:r>
      <w:r w:rsidRPr="007809AC">
        <w:rPr>
          <w:rFonts w:ascii="Arial" w:eastAsia="Arial" w:hAnsi="Arial" w:cs="Arial"/>
          <w:sz w:val="24"/>
          <w:szCs w:val="24"/>
        </w:rPr>
        <w:t>using</w:t>
      </w:r>
      <w:r w:rsidR="00D13F0A" w:rsidRPr="007809AC">
        <w:rPr>
          <w:rFonts w:ascii="Arial" w:eastAsia="Arial" w:hAnsi="Arial" w:cs="Arial"/>
          <w:sz w:val="24"/>
          <w:szCs w:val="24"/>
        </w:rPr>
        <w:t xml:space="preserve"> liquid washdowns (n=86/ 68.3%) and multiple swallows (n=73/ 57.9%) (Table 4). Half (n=63) of participants reported weight lo</w:t>
      </w:r>
      <w:r w:rsidR="003C7F3D" w:rsidRPr="007809AC">
        <w:rPr>
          <w:rFonts w:ascii="Arial" w:eastAsia="Arial" w:hAnsi="Arial" w:cs="Arial"/>
          <w:sz w:val="24"/>
          <w:szCs w:val="24"/>
        </w:rPr>
        <w:t>ss, while 46.5% (n=60) report</w:t>
      </w:r>
      <w:r w:rsidR="00D13F0A" w:rsidRPr="007809AC">
        <w:rPr>
          <w:rFonts w:ascii="Arial" w:eastAsia="Arial" w:hAnsi="Arial" w:cs="Arial"/>
          <w:sz w:val="24"/>
          <w:szCs w:val="24"/>
        </w:rPr>
        <w:t xml:space="preserve">ed a </w:t>
      </w:r>
      <w:r w:rsidR="003C7F3D" w:rsidRPr="007809AC">
        <w:rPr>
          <w:rFonts w:ascii="Arial" w:eastAsia="Arial" w:hAnsi="Arial" w:cs="Arial"/>
          <w:sz w:val="24"/>
          <w:szCs w:val="24"/>
        </w:rPr>
        <w:t>‘</w:t>
      </w:r>
      <w:r w:rsidR="00D13F0A" w:rsidRPr="007809AC">
        <w:rPr>
          <w:rFonts w:ascii="Arial" w:eastAsia="Arial" w:hAnsi="Arial" w:cs="Arial"/>
          <w:sz w:val="24"/>
          <w:szCs w:val="24"/>
        </w:rPr>
        <w:t>strangling sensation</w:t>
      </w:r>
      <w:r w:rsidR="003C7F3D" w:rsidRPr="007809AC">
        <w:rPr>
          <w:rFonts w:ascii="Arial" w:eastAsia="Arial" w:hAnsi="Arial" w:cs="Arial"/>
          <w:sz w:val="24"/>
          <w:szCs w:val="24"/>
        </w:rPr>
        <w:t>’</w:t>
      </w:r>
      <w:r w:rsidR="00D13F0A" w:rsidRPr="007809AC">
        <w:rPr>
          <w:rFonts w:ascii="Arial" w:eastAsia="Arial" w:hAnsi="Arial" w:cs="Arial"/>
          <w:sz w:val="24"/>
          <w:szCs w:val="24"/>
        </w:rPr>
        <w:t xml:space="preserve"> while swallowing, 45.2% (n=57) </w:t>
      </w:r>
      <w:r w:rsidR="00E47217" w:rsidRPr="007809AC">
        <w:rPr>
          <w:rFonts w:ascii="Arial" w:eastAsia="Arial" w:hAnsi="Arial" w:cs="Arial"/>
          <w:sz w:val="24"/>
          <w:szCs w:val="24"/>
        </w:rPr>
        <w:t xml:space="preserve">reported that they </w:t>
      </w:r>
      <w:r w:rsidR="00D13F0A" w:rsidRPr="007809AC">
        <w:rPr>
          <w:rFonts w:ascii="Arial" w:eastAsia="Arial" w:hAnsi="Arial" w:cs="Arial"/>
          <w:sz w:val="24"/>
          <w:szCs w:val="24"/>
        </w:rPr>
        <w:t xml:space="preserve">had previously choked on medications, and 40.5% (n=51) </w:t>
      </w:r>
      <w:r w:rsidR="00E47217" w:rsidRPr="007809AC">
        <w:rPr>
          <w:rFonts w:ascii="Arial" w:eastAsia="Arial" w:hAnsi="Arial" w:cs="Arial"/>
          <w:sz w:val="24"/>
          <w:szCs w:val="24"/>
        </w:rPr>
        <w:t xml:space="preserve">reported that they </w:t>
      </w:r>
      <w:r w:rsidR="00D13F0A" w:rsidRPr="007809AC">
        <w:rPr>
          <w:rFonts w:ascii="Arial" w:eastAsia="Arial" w:hAnsi="Arial" w:cs="Arial"/>
          <w:sz w:val="24"/>
          <w:szCs w:val="24"/>
        </w:rPr>
        <w:t xml:space="preserve">had to cough up solid boluses after swallowing due </w:t>
      </w:r>
      <w:r w:rsidRPr="007809AC">
        <w:rPr>
          <w:rFonts w:ascii="Arial" w:eastAsia="Arial" w:hAnsi="Arial" w:cs="Arial"/>
          <w:sz w:val="24"/>
          <w:szCs w:val="24"/>
        </w:rPr>
        <w:t>to oropharyngeal transit issues</w:t>
      </w:r>
      <w:r w:rsidR="00E47217" w:rsidRPr="007809AC">
        <w:rPr>
          <w:rFonts w:ascii="Arial" w:eastAsia="Arial" w:hAnsi="Arial" w:cs="Arial"/>
          <w:sz w:val="24"/>
          <w:szCs w:val="24"/>
        </w:rPr>
        <w:t>. These findings indicate</w:t>
      </w:r>
      <w:r w:rsidRPr="007809AC">
        <w:rPr>
          <w:rFonts w:ascii="Arial" w:eastAsia="Arial" w:hAnsi="Arial" w:cs="Arial"/>
          <w:sz w:val="24"/>
          <w:szCs w:val="24"/>
        </w:rPr>
        <w:t xml:space="preserve"> potentially serious safety issues</w:t>
      </w:r>
      <w:r w:rsidR="00E47217" w:rsidRPr="007809AC">
        <w:rPr>
          <w:rFonts w:ascii="Arial" w:eastAsia="Arial" w:hAnsi="Arial" w:cs="Arial"/>
          <w:sz w:val="24"/>
          <w:szCs w:val="24"/>
        </w:rPr>
        <w:t xml:space="preserve"> with regard to eating and drinking</w:t>
      </w:r>
      <w:r w:rsidR="00DC35C2" w:rsidRPr="007809AC">
        <w:rPr>
          <w:rFonts w:ascii="Arial" w:eastAsia="Arial" w:hAnsi="Arial" w:cs="Arial"/>
          <w:sz w:val="24"/>
          <w:szCs w:val="24"/>
        </w:rPr>
        <w:t xml:space="preserve"> (Table 4)</w:t>
      </w:r>
      <w:r w:rsidRPr="007809AC">
        <w:rPr>
          <w:rFonts w:ascii="Arial" w:eastAsia="Arial" w:hAnsi="Arial" w:cs="Arial"/>
          <w:sz w:val="24"/>
          <w:szCs w:val="24"/>
        </w:rPr>
        <w:t>.</w:t>
      </w:r>
    </w:p>
    <w:p w14:paraId="160A4EDE" w14:textId="77777777" w:rsidR="00F71F78" w:rsidRPr="007809AC" w:rsidRDefault="00D13F0A">
      <w:pPr>
        <w:spacing w:before="240" w:line="360" w:lineRule="auto"/>
        <w:jc w:val="both"/>
        <w:rPr>
          <w:sz w:val="24"/>
          <w:szCs w:val="24"/>
        </w:rPr>
      </w:pPr>
      <w:r w:rsidRPr="007809AC">
        <w:rPr>
          <w:rFonts w:ascii="Arial" w:hAnsi="Arial" w:cs="Arial"/>
          <w:i/>
          <w:sz w:val="24"/>
          <w:szCs w:val="24"/>
        </w:rPr>
        <w:t>Movement within Discrete Tasks</w:t>
      </w:r>
    </w:p>
    <w:p w14:paraId="248049EE" w14:textId="5B290A7D" w:rsidR="00F71F78" w:rsidRPr="007809AC" w:rsidRDefault="00D13F0A" w:rsidP="00D13F0A">
      <w:pPr>
        <w:spacing w:before="240" w:line="360" w:lineRule="auto"/>
        <w:jc w:val="both"/>
        <w:rPr>
          <w:sz w:val="24"/>
          <w:szCs w:val="24"/>
        </w:rPr>
      </w:pPr>
      <w:r w:rsidRPr="007809AC">
        <w:rPr>
          <w:rFonts w:ascii="Arial" w:hAnsi="Arial" w:cs="Arial"/>
          <w:sz w:val="24"/>
          <w:szCs w:val="24"/>
        </w:rPr>
        <w:t>While participants demonstrated</w:t>
      </w:r>
      <w:r w:rsidR="003C7F3D" w:rsidRPr="007809AC">
        <w:rPr>
          <w:rFonts w:ascii="Arial" w:hAnsi="Arial" w:cs="Arial"/>
          <w:sz w:val="24"/>
          <w:szCs w:val="24"/>
        </w:rPr>
        <w:t xml:space="preserve"> normal</w:t>
      </w:r>
      <w:r w:rsidRPr="007809AC">
        <w:rPr>
          <w:rFonts w:ascii="Arial" w:hAnsi="Arial" w:cs="Arial"/>
          <w:sz w:val="24"/>
          <w:szCs w:val="24"/>
        </w:rPr>
        <w:t xml:space="preserve"> lip, to</w:t>
      </w:r>
      <w:r w:rsidR="003C7F3D" w:rsidRPr="007809AC">
        <w:rPr>
          <w:rFonts w:ascii="Arial" w:hAnsi="Arial" w:cs="Arial"/>
          <w:sz w:val="24"/>
          <w:szCs w:val="24"/>
        </w:rPr>
        <w:t>ngue, and soft palate movements</w:t>
      </w:r>
      <w:r w:rsidRPr="007809AC">
        <w:rPr>
          <w:rFonts w:ascii="Arial" w:hAnsi="Arial" w:cs="Arial"/>
          <w:sz w:val="24"/>
          <w:szCs w:val="24"/>
        </w:rPr>
        <w:t xml:space="preserve"> during the orofacial exam</w:t>
      </w:r>
      <w:r w:rsidR="00E47217" w:rsidRPr="007809AC">
        <w:rPr>
          <w:rFonts w:ascii="Arial" w:hAnsi="Arial" w:cs="Arial"/>
          <w:sz w:val="24"/>
          <w:szCs w:val="24"/>
        </w:rPr>
        <w:t>ination</w:t>
      </w:r>
      <w:r w:rsidRPr="007809AC">
        <w:rPr>
          <w:rFonts w:ascii="Arial" w:hAnsi="Arial" w:cs="Arial"/>
          <w:sz w:val="24"/>
          <w:szCs w:val="24"/>
        </w:rPr>
        <w:t>, findings regarding TMJ p</w:t>
      </w:r>
      <w:r w:rsidR="003C7F3D" w:rsidRPr="007809AC">
        <w:rPr>
          <w:rFonts w:ascii="Arial" w:hAnsi="Arial" w:cs="Arial"/>
          <w:sz w:val="24"/>
          <w:szCs w:val="24"/>
        </w:rPr>
        <w:t>arameters indicated limited ROM</w:t>
      </w:r>
      <w:r w:rsidRPr="007809AC">
        <w:rPr>
          <w:rFonts w:ascii="Arial" w:hAnsi="Arial" w:cs="Arial"/>
          <w:sz w:val="24"/>
          <w:szCs w:val="24"/>
        </w:rPr>
        <w:t xml:space="preserve"> (Table 5). There was a </w:t>
      </w:r>
      <w:r w:rsidR="00E47217" w:rsidRPr="007809AC">
        <w:rPr>
          <w:rFonts w:ascii="Arial" w:hAnsi="Arial" w:cs="Arial"/>
          <w:sz w:val="24"/>
          <w:szCs w:val="24"/>
        </w:rPr>
        <w:t xml:space="preserve">statistically </w:t>
      </w:r>
      <w:r w:rsidRPr="007809AC">
        <w:rPr>
          <w:rFonts w:ascii="Arial" w:hAnsi="Arial" w:cs="Arial"/>
          <w:sz w:val="24"/>
          <w:szCs w:val="24"/>
        </w:rPr>
        <w:t>significant difference in responses for the “TMJ ROM” parameter by</w:t>
      </w:r>
      <w:r w:rsidR="00580526" w:rsidRPr="007809AC">
        <w:rPr>
          <w:rFonts w:ascii="Arial" w:hAnsi="Arial" w:cs="Arial"/>
          <w:sz w:val="24"/>
          <w:szCs w:val="24"/>
        </w:rPr>
        <w:t xml:space="preserve"> gender (chi-squared = 10.387, P</w:t>
      </w:r>
      <w:r w:rsidRPr="007809AC">
        <w:rPr>
          <w:rFonts w:ascii="Arial" w:hAnsi="Arial" w:cs="Arial"/>
          <w:sz w:val="24"/>
          <w:szCs w:val="24"/>
        </w:rPr>
        <w:t xml:space="preserve"> = 0.016). Fourteen (70%) of the 20 men had a ROM within normal limits, whereas </w:t>
      </w:r>
      <w:r w:rsidR="003C7F3D" w:rsidRPr="007809AC">
        <w:rPr>
          <w:rFonts w:ascii="Arial" w:hAnsi="Arial" w:cs="Arial"/>
          <w:sz w:val="24"/>
          <w:szCs w:val="24"/>
        </w:rPr>
        <w:t>o</w:t>
      </w:r>
      <w:r w:rsidRPr="007809AC">
        <w:rPr>
          <w:rFonts w:ascii="Arial" w:hAnsi="Arial" w:cs="Arial"/>
          <w:sz w:val="24"/>
          <w:szCs w:val="24"/>
        </w:rPr>
        <w:t>f the 106</w:t>
      </w:r>
      <w:r w:rsidR="003C7F3D" w:rsidRPr="007809AC">
        <w:rPr>
          <w:rFonts w:ascii="Arial" w:hAnsi="Arial" w:cs="Arial"/>
          <w:sz w:val="24"/>
          <w:szCs w:val="24"/>
        </w:rPr>
        <w:t xml:space="preserve"> women, 34 (32%) had TMJ ROM</w:t>
      </w:r>
      <w:r w:rsidRPr="007809AC">
        <w:rPr>
          <w:rFonts w:ascii="Arial" w:hAnsi="Arial" w:cs="Arial"/>
          <w:sz w:val="24"/>
          <w:szCs w:val="24"/>
        </w:rPr>
        <w:t xml:space="preserve"> with</w:t>
      </w:r>
      <w:r w:rsidR="003C7F3D" w:rsidRPr="007809AC">
        <w:rPr>
          <w:rFonts w:ascii="Arial" w:hAnsi="Arial" w:cs="Arial"/>
          <w:sz w:val="24"/>
          <w:szCs w:val="24"/>
        </w:rPr>
        <w:t xml:space="preserve">in normal limits, 31 (29%) had subjectively </w:t>
      </w:r>
      <w:r w:rsidRPr="007809AC">
        <w:rPr>
          <w:rFonts w:ascii="Arial" w:hAnsi="Arial" w:cs="Arial"/>
          <w:sz w:val="24"/>
          <w:szCs w:val="24"/>
        </w:rPr>
        <w:t>mild</w:t>
      </w:r>
      <w:r w:rsidR="003C7F3D" w:rsidRPr="007809AC">
        <w:rPr>
          <w:rFonts w:ascii="Arial" w:hAnsi="Arial" w:cs="Arial"/>
          <w:sz w:val="24"/>
          <w:szCs w:val="24"/>
        </w:rPr>
        <w:t xml:space="preserve"> difficulties, 22 (21%) had </w:t>
      </w:r>
      <w:r w:rsidRPr="007809AC">
        <w:rPr>
          <w:rFonts w:ascii="Arial" w:hAnsi="Arial" w:cs="Arial"/>
          <w:sz w:val="24"/>
          <w:szCs w:val="24"/>
        </w:rPr>
        <w:t>moderate</w:t>
      </w:r>
      <w:r w:rsidR="003C7F3D" w:rsidRPr="007809AC">
        <w:rPr>
          <w:rFonts w:ascii="Arial" w:hAnsi="Arial" w:cs="Arial"/>
          <w:sz w:val="24"/>
          <w:szCs w:val="24"/>
        </w:rPr>
        <w:t xml:space="preserve"> difficulties, and 19 (18%) had</w:t>
      </w:r>
      <w:r w:rsidRPr="007809AC">
        <w:rPr>
          <w:rFonts w:ascii="Arial" w:hAnsi="Arial" w:cs="Arial"/>
          <w:sz w:val="24"/>
          <w:szCs w:val="24"/>
        </w:rPr>
        <w:t xml:space="preserve"> severe</w:t>
      </w:r>
      <w:r w:rsidR="003C7F3D" w:rsidRPr="007809AC">
        <w:rPr>
          <w:rFonts w:ascii="Arial" w:hAnsi="Arial" w:cs="Arial"/>
          <w:sz w:val="24"/>
          <w:szCs w:val="24"/>
        </w:rPr>
        <w:t xml:space="preserve"> difficulties</w:t>
      </w:r>
      <w:r w:rsidR="00DC35C2" w:rsidRPr="007809AC">
        <w:rPr>
          <w:rFonts w:ascii="Arial" w:hAnsi="Arial" w:cs="Arial"/>
          <w:sz w:val="24"/>
          <w:szCs w:val="24"/>
        </w:rPr>
        <w:t xml:space="preserve"> (Table 5)</w:t>
      </w:r>
      <w:r w:rsidRPr="007809AC">
        <w:rPr>
          <w:rFonts w:ascii="Arial" w:hAnsi="Arial" w:cs="Arial"/>
          <w:sz w:val="24"/>
          <w:szCs w:val="24"/>
        </w:rPr>
        <w:t xml:space="preserve">. </w:t>
      </w:r>
    </w:p>
    <w:p w14:paraId="56EF78A4" w14:textId="77777777" w:rsidR="00F71F78" w:rsidRPr="007809AC" w:rsidRDefault="00D13F0A">
      <w:pPr>
        <w:spacing w:before="240" w:line="360" w:lineRule="auto"/>
        <w:jc w:val="both"/>
        <w:rPr>
          <w:rFonts w:ascii="Arial" w:eastAsia="Arial" w:hAnsi="Arial" w:cs="Arial"/>
          <w:sz w:val="24"/>
          <w:szCs w:val="24"/>
        </w:rPr>
      </w:pPr>
      <w:r w:rsidRPr="007809AC">
        <w:rPr>
          <w:rFonts w:ascii="Arial" w:eastAsia="Arial" w:hAnsi="Arial" w:cs="Arial"/>
          <w:sz w:val="24"/>
          <w:szCs w:val="24"/>
        </w:rPr>
        <w:t>A range of findings</w:t>
      </w:r>
      <w:r w:rsidR="007C322C" w:rsidRPr="007809AC">
        <w:rPr>
          <w:rFonts w:ascii="Arial" w:eastAsia="Arial" w:hAnsi="Arial" w:cs="Arial"/>
          <w:sz w:val="24"/>
          <w:szCs w:val="24"/>
        </w:rPr>
        <w:t xml:space="preserve"> regarding</w:t>
      </w:r>
      <w:r w:rsidRPr="007809AC">
        <w:rPr>
          <w:rFonts w:ascii="Arial" w:eastAsia="Arial" w:hAnsi="Arial" w:cs="Arial"/>
          <w:sz w:val="24"/>
          <w:szCs w:val="24"/>
        </w:rPr>
        <w:t xml:space="preserve"> TMJ ROM were also documented using the DC/TMD</w:t>
      </w:r>
      <w:r w:rsidR="0046030F" w:rsidRPr="007809AC">
        <w:rPr>
          <w:rFonts w:ascii="Arial" w:eastAsia="Arial" w:hAnsi="Arial" w:cs="Arial"/>
          <w:sz w:val="24"/>
          <w:szCs w:val="24"/>
        </w:rPr>
        <w:fldChar w:fldCharType="begin"/>
      </w:r>
      <w:r w:rsidR="0046030F" w:rsidRPr="007809AC">
        <w:rPr>
          <w:rFonts w:ascii="Arial" w:eastAsia="Arial" w:hAnsi="Arial" w:cs="Arial"/>
          <w:sz w:val="24"/>
          <w:szCs w:val="24"/>
        </w:rPr>
        <w:instrText xml:space="preserve"> ADDIN ZOTERO_ITEM CSL_CITATION {"citationID":"P0klFdCH","properties":{"formattedCitation":"(19)","plainCitation":"(19)","noteIndex":0},"citationItems":[{"id":55,"uris":["http://zotero.org/users/local/nlzVUL7s/items/VPK22XTF"],"uri":["http://zotero.org/users/local/nlzVUL7s/items/VPK22XTF"],"itemData":{"id":55,"type":"article-journal","title":"Diagnostic Criteria for Temporomandibular Disorders (DC/TMD) for Clinical and Research Applications: recommendations of the International RDC/TMD Consortium Network* and Orofacial Pain Special Interest Group†","container-title":"Journal of Oral &amp; Facial Pain and Headache","page":"6-27","volume":"28","issue":"1","source":"PubMed","abstract":"AIMS: The original Research Diagnostic Criteria for Temporomandibular Disorders (RDC/TMD) Axis I diagnostic algorithms have been demonstrated to be reliable. However, the Validation Project determined that the RDC/TMD Axis I validity was below the target sensitivity of ≥ 0.70 and specificity of ≥ 0.95. Consequently, these empirical results supported the development of revised RDC/TMD Axis I diagnostic algorithms that were subsequently demonstrated to be valid for the most common pain-related TMD and for one temporomandibular joint (TMJ) intra-articular disorder. The original RDC/TMD Axis II instruments were shown to be both reliable and valid. Working from these findings and revisions, two international consensus workshops were convened, from which recommendations were obtained for the finalization of new Axis I diagnostic algorithms and new Axis II instruments.\nMETHODS: Through a series of workshops and symposia, a panel of clinical and basic science pain experts modified the revised RDC/TMD Axis I algorithms by using comprehensive searches of published TMD diagnostic literature followed by review and consensus via a formal structured process. The panel's recommendations for further revision of the Axis I diagnostic algorithms were assessed for validity by using the Validation Project's data set, and for reliability by using newly collected data from the ongoing TMJ Impact Project-the follow-up study to the Validation Project. New Axis II instruments were identified through a comprehensive search of the literature providing valid instruments that, relative to the RDC/TMD, are shorter in length, are available in the public domain, and currently are being used in medical settings.\nRESULTS: The newly recommended Diagnostic Criteria for TMD (DC/TMD) Axis I protocol includes both a valid screener for detecting any pain-related TMD as well as valid diagnostic criteria for differentiating the most common pain-related TMD (sensitivity ≥ 0.86, specificity ≥ 0.98) and for one intra-articular disorder (sensitivity of 0.80 and specificity of 0.97). Diagnostic criteria for other common intra-articular disorders lack adequate validity for clinical diagnoses but can be used for screening purposes. Inter-examiner reliability for the clinical assessment associated with the validated DC/TMD criteria for pain-related TMD is excellent (kappa ≥ 0.85). Finally, a comprehensive classification system that includes both the common and less common TMD is also presented. The Axis II protocol retains selected original RDC/TMD screening instruments augmented with new instruments to assess jaw function as well as behavioral and additional psychosocial factors. The Axis II protocol is divided into screening and comprehensive self report instrument sets. The screening instruments' 41 questions assess pain intensity, pain-related disability, psychological distress, jaw functional limitations, and parafunctional behaviors, and a pain drawing is used to assess locations of pain. The comprehensive instruments, composed of 81 questions, assess in further detail jaw functional limitations and psychological distress as well as additional constructs of anxiety and presence of comorbid pain conditions.\nCONCLUSION: The recommended evidence-based new DC/TMD protocol is appropriate for use in both clinical and research settings. More comprehensive instruments augment short and simple screening instruments for Axis I and Axis II. These validated instruments allow for identification of patients with a range of simple to complex TMD presentations.","ISSN":"2333-0384","note":"PMID: 24482784\nPMCID: PMC4478082","shortTitle":"Diagnostic Criteria for Temporomandibular Disorders (DC/TMD) for Clinical and Research Applications","journalAbbreviation":"J Oral Facial Pain Headache","language":"eng","author":[{"family":"Schiffman","given":"Eric"},{"family":"Ohrbach","given":"Richard"},{"family":"Truelove","given":"Edmond"},{"family":"Look","given":"John"},{"family":"Anderson","given":"Gary"},{"family":"Goulet","given":"Jean-Paul"},{"family":"List","given":"Thomas"},{"family":"Svensson","given":"Peter"},{"family":"Gonzalez","given":"Yoly"},{"family":"Lobbezoo","given":"Frank"},{"family":"Michelotti","given":"Ambra"},{"family":"Brooks","given":"Sharon L."},{"family":"Ceusters","given":"Werner"},{"family":"Drangsholt","given":"Mark"},{"family":"Ettlin","given":"Dominik"},{"family":"Gaul","given":"Charly"},{"family":"Goldberg","given":"Louis J."},{"family":"Haythornthwaite","given":"Jennifer A."},{"family":"Hollender","given":"Lars"},{"family":"Jensen","given":"Rigmor"},{"family":"John","given":"Mike T."},{"family":"De Laat","given":"Antoon"},{"family":"Leeuw","given":"Reny","non-dropping-particle":"de"},{"family":"Maixner","given":"William"},{"family":"Meulen","given":"Marylee","non-dropping-particle":"van der"},{"family":"Murray","given":"Greg M."},{"family":"Nixdorf","given":"Donald R."},{"family":"Palla","given":"Sandro"},{"family":"Petersson","given":"Arne"},{"family":"Pionchon","given":"Paul"},{"family":"Smith","given":"Barry"},{"family":"Visscher","given":"Corine M."},{"family":"Zakrzewska","given":"Joanna"},{"family":"Dworkin","given":"Samuel F."},{"literal":"International RDC/TMD Consortium Network, International association for Dental Research"},{"literal":"Orofacial Pain Special Interest Group, International Association for the Study of Pain"}],"issued":{"date-parts":[["2014"]]}}}],"schema":"https://github.com/citation-style-language/schema/raw/master/csl-citation.json"} </w:instrText>
      </w:r>
      <w:r w:rsidR="0046030F" w:rsidRPr="007809AC">
        <w:rPr>
          <w:rFonts w:ascii="Arial" w:eastAsia="Arial" w:hAnsi="Arial" w:cs="Arial"/>
          <w:sz w:val="24"/>
          <w:szCs w:val="24"/>
        </w:rPr>
        <w:fldChar w:fldCharType="separate"/>
      </w:r>
      <w:r w:rsidR="0046030F" w:rsidRPr="007809AC">
        <w:rPr>
          <w:rFonts w:ascii="Arial" w:hAnsi="Arial" w:cs="Arial"/>
          <w:sz w:val="24"/>
          <w:szCs w:val="24"/>
        </w:rPr>
        <w:t>(19)</w:t>
      </w:r>
      <w:r w:rsidR="0046030F" w:rsidRPr="007809AC">
        <w:rPr>
          <w:rFonts w:ascii="Arial" w:eastAsia="Arial" w:hAnsi="Arial" w:cs="Arial"/>
          <w:sz w:val="24"/>
          <w:szCs w:val="24"/>
        </w:rPr>
        <w:fldChar w:fldCharType="end"/>
      </w:r>
      <w:r w:rsidRPr="007809AC">
        <w:rPr>
          <w:rFonts w:ascii="Arial" w:eastAsia="Arial" w:hAnsi="Arial" w:cs="Arial"/>
          <w:sz w:val="24"/>
          <w:szCs w:val="24"/>
        </w:rPr>
        <w:t>:</w:t>
      </w:r>
    </w:p>
    <w:p w14:paraId="3BF40844" w14:textId="77777777" w:rsidR="00F71F78" w:rsidRPr="007809AC" w:rsidRDefault="00D13F0A">
      <w:pPr>
        <w:numPr>
          <w:ilvl w:val="0"/>
          <w:numId w:val="2"/>
        </w:numPr>
        <w:spacing w:before="240" w:line="360" w:lineRule="auto"/>
        <w:jc w:val="both"/>
        <w:rPr>
          <w:rFonts w:ascii="Arial" w:eastAsia="Arial" w:hAnsi="Arial" w:cs="Arial"/>
          <w:sz w:val="24"/>
          <w:szCs w:val="24"/>
        </w:rPr>
      </w:pPr>
      <w:r w:rsidRPr="007809AC">
        <w:rPr>
          <w:rFonts w:ascii="Arial" w:eastAsia="Arial" w:hAnsi="Arial" w:cs="Arial"/>
          <w:sz w:val="24"/>
          <w:szCs w:val="24"/>
        </w:rPr>
        <w:t>The mean pain free mouth opening was 26.9 mm (SD: 9.9mm / range: 0-50 mm), which is below normal values. Those with TMJ disorders, regardless of unilateral side, showed the average lowest pain free mouth opening measurements (right: mean= 25.23mm, range= 2-45mm / left: mean= 25.9mm, range= 2-45mm).</w:t>
      </w:r>
    </w:p>
    <w:p w14:paraId="1BEDE6A2" w14:textId="77777777" w:rsidR="00F71F78" w:rsidRPr="007809AC" w:rsidRDefault="00D13F0A">
      <w:pPr>
        <w:numPr>
          <w:ilvl w:val="0"/>
          <w:numId w:val="2"/>
        </w:numPr>
        <w:spacing w:before="240" w:line="360" w:lineRule="auto"/>
        <w:jc w:val="both"/>
        <w:rPr>
          <w:rFonts w:ascii="Arial" w:eastAsia="Arial" w:hAnsi="Arial" w:cs="Arial"/>
          <w:sz w:val="24"/>
          <w:szCs w:val="24"/>
        </w:rPr>
      </w:pPr>
      <w:r w:rsidRPr="007809AC">
        <w:rPr>
          <w:rFonts w:ascii="Arial" w:eastAsia="Arial" w:hAnsi="Arial" w:cs="Arial"/>
          <w:sz w:val="24"/>
          <w:szCs w:val="24"/>
        </w:rPr>
        <w:t>The mean overall maximal unassisted mouth opening was 33.89 mm (SD: 11.58 mm / range: 0-60 mm). Participants with TMJ disorders, regardless of TMJ side, reported the lowest values (right: mean= 33.02mm, range= 3-57mm / left: mean= 33.02mm, range= 3-57mm), while those with masticatory muscle disorders reported the highest levels of maximal mouth opening (right: mean= 39.47mm, range= 0-60mm / left: mean= 39.4mm, range= 0-60mm).</w:t>
      </w:r>
    </w:p>
    <w:p w14:paraId="10B584BC" w14:textId="4A0E024A" w:rsidR="00F71F78" w:rsidRPr="007809AC" w:rsidRDefault="00D13F0A">
      <w:pPr>
        <w:spacing w:line="360" w:lineRule="auto"/>
        <w:jc w:val="both"/>
        <w:rPr>
          <w:rFonts w:ascii="Arial" w:eastAsia="Arial" w:hAnsi="Arial" w:cs="Arial"/>
          <w:sz w:val="24"/>
          <w:szCs w:val="24"/>
        </w:rPr>
      </w:pPr>
      <w:r w:rsidRPr="007809AC">
        <w:rPr>
          <w:rFonts w:ascii="Arial" w:eastAsia="Arial" w:hAnsi="Arial" w:cs="Arial"/>
          <w:sz w:val="24"/>
          <w:szCs w:val="24"/>
        </w:rPr>
        <w:t xml:space="preserve">Reflecting the high representation of TMJ disorders in this sample, 38% (n=48) of all participants reported </w:t>
      </w:r>
      <w:r w:rsidR="00E47217" w:rsidRPr="007809AC">
        <w:rPr>
          <w:rFonts w:ascii="Arial" w:eastAsia="Arial" w:hAnsi="Arial" w:cs="Arial"/>
          <w:sz w:val="24"/>
          <w:szCs w:val="24"/>
        </w:rPr>
        <w:t>‘</w:t>
      </w:r>
      <w:r w:rsidRPr="007809AC">
        <w:rPr>
          <w:rFonts w:ascii="Arial" w:eastAsia="Arial" w:hAnsi="Arial" w:cs="Arial"/>
          <w:sz w:val="24"/>
          <w:szCs w:val="24"/>
        </w:rPr>
        <w:t>jaw locking</w:t>
      </w:r>
      <w:r w:rsidR="00E47217" w:rsidRPr="007809AC">
        <w:rPr>
          <w:rFonts w:ascii="Arial" w:eastAsia="Arial" w:hAnsi="Arial" w:cs="Arial"/>
          <w:sz w:val="24"/>
          <w:szCs w:val="24"/>
        </w:rPr>
        <w:t>’</w:t>
      </w:r>
      <w:r w:rsidRPr="007809AC">
        <w:rPr>
          <w:rFonts w:ascii="Arial" w:eastAsia="Arial" w:hAnsi="Arial" w:cs="Arial"/>
          <w:sz w:val="24"/>
          <w:szCs w:val="24"/>
        </w:rPr>
        <w:t xml:space="preserve"> on one or more occasion, with 32.5% (n=41) </w:t>
      </w:r>
      <w:r w:rsidR="00E47217" w:rsidRPr="007809AC">
        <w:rPr>
          <w:rFonts w:ascii="Arial" w:eastAsia="Arial" w:hAnsi="Arial" w:cs="Arial"/>
          <w:sz w:val="24"/>
          <w:szCs w:val="24"/>
        </w:rPr>
        <w:t>described</w:t>
      </w:r>
      <w:r w:rsidR="00D53D85" w:rsidRPr="007809AC">
        <w:rPr>
          <w:rFonts w:ascii="Arial" w:eastAsia="Arial" w:hAnsi="Arial" w:cs="Arial"/>
          <w:sz w:val="24"/>
          <w:szCs w:val="24"/>
        </w:rPr>
        <w:t xml:space="preserve"> </w:t>
      </w:r>
      <w:r w:rsidRPr="007809AC">
        <w:rPr>
          <w:rFonts w:ascii="Arial" w:eastAsia="Arial" w:hAnsi="Arial" w:cs="Arial"/>
          <w:sz w:val="24"/>
          <w:szCs w:val="24"/>
        </w:rPr>
        <w:t xml:space="preserve">their jaw </w:t>
      </w:r>
      <w:r w:rsidR="00E47217" w:rsidRPr="007809AC">
        <w:rPr>
          <w:rFonts w:ascii="Arial" w:eastAsia="Arial" w:hAnsi="Arial" w:cs="Arial"/>
          <w:sz w:val="24"/>
          <w:szCs w:val="24"/>
        </w:rPr>
        <w:t xml:space="preserve">as </w:t>
      </w:r>
      <w:r w:rsidRPr="007809AC">
        <w:rPr>
          <w:rFonts w:ascii="Arial" w:eastAsia="Arial" w:hAnsi="Arial" w:cs="Arial"/>
          <w:sz w:val="24"/>
          <w:szCs w:val="24"/>
        </w:rPr>
        <w:t>being currently locked</w:t>
      </w:r>
      <w:r w:rsidR="00E47217" w:rsidRPr="007809AC">
        <w:rPr>
          <w:rFonts w:ascii="Arial" w:eastAsia="Arial" w:hAnsi="Arial" w:cs="Arial"/>
          <w:sz w:val="24"/>
          <w:szCs w:val="24"/>
        </w:rPr>
        <w:t xml:space="preserve">. This </w:t>
      </w:r>
      <w:r w:rsidRPr="007809AC">
        <w:rPr>
          <w:rFonts w:ascii="Arial" w:eastAsia="Arial" w:hAnsi="Arial" w:cs="Arial"/>
          <w:sz w:val="24"/>
          <w:szCs w:val="24"/>
        </w:rPr>
        <w:t xml:space="preserve">may cause difficulties in acceptance, mastication, and formation of a solid bolus, with the potential for the development of subsequent eating and swallowing difficulties. Closed locking was significantly more common than open locking (n=48/ 38% and n=23/18.25%, respectively). In addition, significantly more females </w:t>
      </w:r>
      <w:r w:rsidR="003C7F3D" w:rsidRPr="007809AC">
        <w:rPr>
          <w:rFonts w:ascii="Arial" w:eastAsia="Arial" w:hAnsi="Arial" w:cs="Arial"/>
          <w:sz w:val="24"/>
          <w:szCs w:val="24"/>
        </w:rPr>
        <w:t xml:space="preserve">than males </w:t>
      </w:r>
      <w:r w:rsidRPr="007809AC">
        <w:rPr>
          <w:rFonts w:ascii="Arial" w:eastAsia="Arial" w:hAnsi="Arial" w:cs="Arial"/>
          <w:sz w:val="24"/>
          <w:szCs w:val="24"/>
        </w:rPr>
        <w:t>experience</w:t>
      </w:r>
      <w:r w:rsidR="003C7F3D" w:rsidRPr="007809AC">
        <w:rPr>
          <w:rFonts w:ascii="Arial" w:eastAsia="Arial" w:hAnsi="Arial" w:cs="Arial"/>
          <w:sz w:val="24"/>
          <w:szCs w:val="24"/>
        </w:rPr>
        <w:t>d</w:t>
      </w:r>
      <w:r w:rsidRPr="007809AC">
        <w:rPr>
          <w:rFonts w:ascii="Arial" w:eastAsia="Arial" w:hAnsi="Arial" w:cs="Arial"/>
          <w:sz w:val="24"/>
          <w:szCs w:val="24"/>
        </w:rPr>
        <w:t xml:space="preserve"> closed</w:t>
      </w:r>
      <w:r w:rsidR="00580526" w:rsidRPr="007809AC">
        <w:rPr>
          <w:rFonts w:ascii="Arial" w:eastAsia="Arial" w:hAnsi="Arial" w:cs="Arial"/>
          <w:sz w:val="24"/>
          <w:szCs w:val="24"/>
        </w:rPr>
        <w:t xml:space="preserve"> locking (chi-squared = 13.25, P</w:t>
      </w:r>
      <w:r w:rsidRPr="007809AC">
        <w:rPr>
          <w:rFonts w:ascii="Arial" w:eastAsia="Arial" w:hAnsi="Arial" w:cs="Arial"/>
          <w:sz w:val="24"/>
          <w:szCs w:val="24"/>
        </w:rPr>
        <w:t xml:space="preserve"> = 0.021). </w:t>
      </w:r>
    </w:p>
    <w:p w14:paraId="1EB1D666" w14:textId="77777777" w:rsidR="00F71F78" w:rsidRPr="007809AC" w:rsidRDefault="00D13F0A">
      <w:pPr>
        <w:spacing w:before="240" w:line="360" w:lineRule="auto"/>
        <w:jc w:val="both"/>
        <w:rPr>
          <w:rFonts w:ascii="Arial" w:hAnsi="Arial" w:cs="Arial"/>
          <w:i/>
          <w:sz w:val="24"/>
          <w:szCs w:val="24"/>
        </w:rPr>
      </w:pPr>
      <w:r w:rsidRPr="007809AC">
        <w:rPr>
          <w:rFonts w:ascii="Arial" w:hAnsi="Arial" w:cs="Arial"/>
          <w:i/>
          <w:sz w:val="24"/>
          <w:szCs w:val="24"/>
        </w:rPr>
        <w:t>Parameters of Mastication, Eating, and Swallowing within Functional Tasks</w:t>
      </w:r>
    </w:p>
    <w:p w14:paraId="50102E15" w14:textId="3B7A7043" w:rsidR="00F71F78" w:rsidRPr="007809AC" w:rsidRDefault="008F6BD8" w:rsidP="00DC35C2">
      <w:pPr>
        <w:keepNext/>
        <w:spacing w:after="200" w:line="360" w:lineRule="auto"/>
        <w:jc w:val="both"/>
        <w:rPr>
          <w:rFonts w:ascii="Arial" w:hAnsi="Arial" w:cs="Arial"/>
          <w:iCs/>
          <w:sz w:val="24"/>
          <w:szCs w:val="24"/>
        </w:rPr>
      </w:pPr>
      <w:r w:rsidRPr="007809AC">
        <w:rPr>
          <w:rFonts w:ascii="Arial" w:hAnsi="Arial" w:cs="Arial"/>
          <w:iCs/>
          <w:sz w:val="24"/>
          <w:szCs w:val="24"/>
        </w:rPr>
        <w:t>Only 51 of the</w:t>
      </w:r>
      <w:r w:rsidR="00D13F0A" w:rsidRPr="007809AC">
        <w:rPr>
          <w:rFonts w:ascii="Arial" w:hAnsi="Arial" w:cs="Arial"/>
          <w:iCs/>
          <w:sz w:val="24"/>
          <w:szCs w:val="24"/>
        </w:rPr>
        <w:t xml:space="preserve"> 126 </w:t>
      </w:r>
      <w:r w:rsidRPr="007809AC">
        <w:rPr>
          <w:rFonts w:ascii="Arial" w:hAnsi="Arial" w:cs="Arial"/>
          <w:iCs/>
          <w:sz w:val="24"/>
          <w:szCs w:val="24"/>
        </w:rPr>
        <w:t>participant</w:t>
      </w:r>
      <w:r w:rsidR="00D13F0A" w:rsidRPr="007809AC">
        <w:rPr>
          <w:rFonts w:ascii="Arial" w:hAnsi="Arial" w:cs="Arial"/>
          <w:iCs/>
          <w:sz w:val="24"/>
          <w:szCs w:val="24"/>
        </w:rPr>
        <w:t>s (40%) completed the TOMASS</w:t>
      </w:r>
      <w:r w:rsidR="00E47217" w:rsidRPr="007809AC">
        <w:rPr>
          <w:rFonts w:ascii="Arial" w:hAnsi="Arial" w:cs="Arial"/>
          <w:iCs/>
          <w:sz w:val="24"/>
          <w:szCs w:val="24"/>
        </w:rPr>
        <w:t xml:space="preserve"> which involved </w:t>
      </w:r>
      <w:r w:rsidR="00D53D85" w:rsidRPr="007809AC">
        <w:rPr>
          <w:rFonts w:ascii="Arial" w:hAnsi="Arial" w:cs="Arial"/>
          <w:iCs/>
          <w:sz w:val="24"/>
          <w:szCs w:val="24"/>
        </w:rPr>
        <w:t>ingestion of a standardised food cracker as quickly as is comfortable, with data collected regarding number of bites taken and number of masticatory cycles and swallows per bite while eating the cracker</w:t>
      </w:r>
      <w:r w:rsidR="00D53D85" w:rsidRPr="007809AC">
        <w:rPr>
          <w:rFonts w:ascii="Arial" w:hAnsi="Arial" w:cs="Arial"/>
          <w:iCs/>
          <w:sz w:val="24"/>
          <w:szCs w:val="24"/>
        </w:rPr>
        <w:fldChar w:fldCharType="begin"/>
      </w:r>
      <w:r w:rsidR="00D53D85" w:rsidRPr="007809AC">
        <w:rPr>
          <w:rFonts w:ascii="Arial" w:hAnsi="Arial" w:cs="Arial"/>
          <w:iCs/>
          <w:sz w:val="24"/>
          <w:szCs w:val="24"/>
        </w:rPr>
        <w:instrText xml:space="preserve"> ADDIN ZOTERO_ITEM CSL_CITATION {"citationID":"Z1g1ORWB","properties":{"formattedCitation":"(26)","plainCitation":"(26)","noteIndex":0},"citationItems":[{"id":867,"uris":["http://zotero.org/users/local/nlzVUL7s/items/YP5QVRX4"],"uri":["http://zotero.org/users/local/nlzVUL7s/items/YP5QVRX4"],"itemData":{"id":867,"type":"article-journal","title":"The Test of Masticating and Swallowing Solids (TOMASS): reliability, validity and international normative data","container-title":"International Journal of Language &amp; Communication Disorders","page":"144-156","volume":"53","issue":"1","source":"PubMed","abstract":"BACKGROUND: Clinical swallowing assessment is largely limited to qualitative assessment of behavioural observations. There are limited quantitative data that can be compared with a healthy population for identification of impairment. The Test of Masticating and Swallowing Solids (TOMASS) was developed as a quantitative assessment of solid bolus ingestion.\nAIMS: This research programme investigated test development indices and established normative data for the TOMASS to support translation to clinical dysphagia assessment.\nMETHODS &amp; PROCEDURES: A total of 228 healthy adults (ages 20-80+ years) stratified by age and sex participated in one or more of four consecutive studies evaluating test-retest and interrater reliability and validity to instrumental assessment. For each study the test required participants to ingest a commercially available cracker with instructions to 'eat this as quickly as is comfortably possible'. Further averaged measures were derived including the number of masticatory cycles and swallows per bite, and time per bite, masticatory cycle and swallow. Initial analyses identified significant differences on salient measures between two commercially available crackers that are nearly identical in shape, size and ingredients, suggesting the need for separate normative samples for specific regional products. Additional analyses on a single cracker identified that the TOMASS was sensitive at detecting changes in performance based on age and sex. Test-retest reliability across days and interrater reliability between clinicians was high, as was validation of observational measures to instrumental correlates of the same behaviours. Therefore, normative data are provided for the TOMASS from a minimum of 80 healthy controls, stratified by age and sex, for each of seven commercially available crackers from broad regions worldwide.\nOUTCOMES &amp; RESULTS: Analyses on a single cracker identified Arnott's Salada, and that TOMASS measures were sensitive for detecting changes in performance based on age and sex. Interrater and test-retest reliability across days were high, as was validation of observational measures to instrumental correlates of the same behaviours. Significant differences were identified between two commercially available crackers, nearly identical in shape, size and ingredients, thus normative samples for specific regional products were required. Normative data were then acquired for the TOMASS from a minimum of 80 healthy controls, stratified by age and sex, for each of seven commercially available crackers from broad regions worldwide.\nCONCLUSIONS &amp; IMPLICATIONS: The TOMASS is presented as a valid, reliable and broadly normed clinical assessment of solid bolus ingestion. Clinical application may help identify dysphagic patients at bedside and provide a non-invasive, but sensitive, measure of functional change in swallowing.","DOI":"10.1111/1460-6984.12332","ISSN":"1460-6984","note":"PMID: 28677236","shortTitle":"The Test of Masticating and Swallowing Solids (TOMASS)","journalAbbreviation":"Int J Lang Commun Disord","language":"eng","author":[{"family":"Huckabee","given":"Maggie-Lee"},{"family":"McIntosh","given":"Theresa"},{"family":"Fuller","given":"Laura"},{"family":"Curry","given":"Morgan"},{"family":"Thomas","given":"Paige"},{"family":"Walshe","given":"Margaret"},{"family":"McCague","given":"Ellen"},{"family":"Battel","given":"Irene"},{"family":"Nogueira","given":"Dalia"},{"family":"Frank","given":"Ulrike"},{"family":"Engel-Hoek","given":"Lenie","non-dropping-particle":"van den"},{"family":"Sella-Weiss","given":"Oshrat"}],"issued":{"date-parts":[["2018",1]]}}}],"schema":"https://github.com/citation-style-language/schema/raw/master/csl-citation.json"} </w:instrText>
      </w:r>
      <w:r w:rsidR="00D53D85" w:rsidRPr="007809AC">
        <w:rPr>
          <w:rFonts w:ascii="Arial" w:hAnsi="Arial" w:cs="Arial"/>
          <w:iCs/>
          <w:sz w:val="24"/>
          <w:szCs w:val="24"/>
        </w:rPr>
        <w:fldChar w:fldCharType="separate"/>
      </w:r>
      <w:r w:rsidR="00D53D85" w:rsidRPr="007809AC">
        <w:rPr>
          <w:rFonts w:ascii="Arial" w:hAnsi="Arial" w:cs="Arial"/>
          <w:sz w:val="24"/>
          <w:szCs w:val="24"/>
        </w:rPr>
        <w:t>(26)</w:t>
      </w:r>
      <w:r w:rsidR="00D53D85" w:rsidRPr="007809AC">
        <w:rPr>
          <w:rFonts w:ascii="Arial" w:hAnsi="Arial" w:cs="Arial"/>
          <w:iCs/>
          <w:sz w:val="24"/>
          <w:szCs w:val="24"/>
        </w:rPr>
        <w:fldChar w:fldCharType="end"/>
      </w:r>
      <w:r w:rsidR="00D53D85" w:rsidRPr="007809AC">
        <w:rPr>
          <w:rFonts w:ascii="Arial" w:hAnsi="Arial" w:cs="Arial"/>
          <w:iCs/>
          <w:sz w:val="24"/>
          <w:szCs w:val="24"/>
        </w:rPr>
        <w:t>. Due to high levels of reported masticatory impairments, pain, fatigue, and modified diet consumption among these patients, many declined to participate in this specific task (Table 6).</w:t>
      </w:r>
      <w:r w:rsidR="00DC35C2" w:rsidRPr="007809AC">
        <w:rPr>
          <w:rFonts w:ascii="Arial" w:hAnsi="Arial" w:cs="Arial"/>
          <w:iCs/>
          <w:sz w:val="24"/>
          <w:szCs w:val="24"/>
        </w:rPr>
        <w:br/>
      </w:r>
      <w:r w:rsidR="001863CA" w:rsidRPr="007809AC">
        <w:rPr>
          <w:rFonts w:ascii="Arial" w:hAnsi="Arial" w:cs="Arial"/>
          <w:iCs/>
          <w:sz w:val="24"/>
          <w:szCs w:val="24"/>
        </w:rPr>
        <w:br/>
      </w:r>
      <w:r w:rsidR="00D13F0A" w:rsidRPr="007809AC">
        <w:rPr>
          <w:rFonts w:ascii="Arial" w:hAnsi="Arial" w:cs="Arial"/>
          <w:iCs/>
          <w:sz w:val="24"/>
          <w:szCs w:val="24"/>
        </w:rPr>
        <w:t>When these findings are compared to normative TOMASS data</w:t>
      </w:r>
      <w:r w:rsidR="0046030F" w:rsidRPr="007809AC">
        <w:rPr>
          <w:rFonts w:ascii="Arial" w:hAnsi="Arial" w:cs="Arial"/>
          <w:iCs/>
          <w:sz w:val="24"/>
          <w:szCs w:val="24"/>
        </w:rPr>
        <w:fldChar w:fldCharType="begin"/>
      </w:r>
      <w:r w:rsidR="0046030F" w:rsidRPr="007809AC">
        <w:rPr>
          <w:rFonts w:ascii="Arial" w:hAnsi="Arial" w:cs="Arial"/>
          <w:iCs/>
          <w:sz w:val="24"/>
          <w:szCs w:val="24"/>
        </w:rPr>
        <w:instrText xml:space="preserve"> ADDIN ZOTERO_ITEM CSL_CITATION {"citationID":"EhSHpLux","properties":{"formattedCitation":"(26)","plainCitation":"(26)","noteIndex":0},"citationItems":[{"id":867,"uris":["http://zotero.org/users/local/nlzVUL7s/items/YP5QVRX4"],"uri":["http://zotero.org/users/local/nlzVUL7s/items/YP5QVRX4"],"itemData":{"id":867,"type":"article-journal","title":"The Test of Masticating and Swallowing Solids (TOMASS): reliability, validity and international normative data","container-title":"International Journal of Language &amp; Communication Disorders","page":"144-156","volume":"53","issue":"1","source":"PubMed","abstract":"BACKGROUND: Clinical swallowing assessment is largely limited to qualitative assessment of behavioural observations. There are limited quantitative data that can be compared with a healthy population for identification of impairment. The Test of Masticating and Swallowing Solids (TOMASS) was developed as a quantitative assessment of solid bolus ingestion.\nAIMS: This research programme investigated test development indices and established normative data for the TOMASS to support translation to clinical dysphagia assessment.\nMETHODS &amp; PROCEDURES: A total of 228 healthy adults (ages 20-80+ years) stratified by age and sex participated in one or more of four consecutive studies evaluating test-retest and interrater reliability and validity to instrumental assessment. For each study the test required participants to ingest a commercially available cracker with instructions to 'eat this as quickly as is comfortably possible'. Further averaged measures were derived including the number of masticatory cycles and swallows per bite, and time per bite, masticatory cycle and swallow. Initial analyses identified significant differences on salient measures between two commercially available crackers that are nearly identical in shape, size and ingredients, suggesting the need for separate normative samples for specific regional products. Additional analyses on a single cracker identified that the TOMASS was sensitive at detecting changes in performance based on age and sex. Test-retest reliability across days and interrater reliability between clinicians was high, as was validation of observational measures to instrumental correlates of the same behaviours. Therefore, normative data are provided for the TOMASS from a minimum of 80 healthy controls, stratified by age and sex, for each of seven commercially available crackers from broad regions worldwide.\nOUTCOMES &amp; RESULTS: Analyses on a single cracker identified Arnott's Salada, and that TOMASS measures were sensitive for detecting changes in performance based on age and sex. Interrater and test-retest reliability across days were high, as was validation of observational measures to instrumental correlates of the same behaviours. Significant differences were identified between two commercially available crackers, nearly identical in shape, size and ingredients, thus normative samples for specific regional products were required. Normative data were then acquired for the TOMASS from a minimum of 80 healthy controls, stratified by age and sex, for each of seven commercially available crackers from broad regions worldwide.\nCONCLUSIONS &amp; IMPLICATIONS: The TOMASS is presented as a valid, reliable and broadly normed clinical assessment of solid bolus ingestion. Clinical application may help identify dysphagic patients at bedside and provide a non-invasive, but sensitive, measure of functional change in swallowing.","DOI":"10.1111/1460-6984.12332","ISSN":"1460-6984","note":"PMID: 28677236","shortTitle":"The Test of Masticating and Swallowing Solids (TOMASS)","journalAbbreviation":"Int J Lang Commun Disord","language":"eng","author":[{"family":"Huckabee","given":"Maggie-Lee"},{"family":"McIntosh","given":"Theresa"},{"family":"Fuller","given":"Laura"},{"family":"Curry","given":"Morgan"},{"family":"Thomas","given":"Paige"},{"family":"Walshe","given":"Margaret"},{"family":"McCague","given":"Ellen"},{"family":"Battel","given":"Irene"},{"family":"Nogueira","given":"Dalia"},{"family":"Frank","given":"Ulrike"},{"family":"Engel-Hoek","given":"Lenie","non-dropping-particle":"van den"},{"family":"Sella-Weiss","given":"Oshrat"}],"issued":{"date-parts":[["2018",1]]}}}],"schema":"https://github.com/citation-style-language/schema/raw/master/csl-citation.json"} </w:instrText>
      </w:r>
      <w:r w:rsidR="0046030F" w:rsidRPr="007809AC">
        <w:rPr>
          <w:rFonts w:ascii="Arial" w:hAnsi="Arial" w:cs="Arial"/>
          <w:iCs/>
          <w:sz w:val="24"/>
          <w:szCs w:val="24"/>
        </w:rPr>
        <w:fldChar w:fldCharType="separate"/>
      </w:r>
      <w:r w:rsidR="0046030F" w:rsidRPr="007809AC">
        <w:rPr>
          <w:rFonts w:ascii="Arial" w:hAnsi="Arial" w:cs="Arial"/>
          <w:sz w:val="24"/>
          <w:szCs w:val="24"/>
        </w:rPr>
        <w:t>(26)</w:t>
      </w:r>
      <w:r w:rsidR="0046030F" w:rsidRPr="007809AC">
        <w:rPr>
          <w:rFonts w:ascii="Arial" w:hAnsi="Arial" w:cs="Arial"/>
          <w:iCs/>
          <w:sz w:val="24"/>
          <w:szCs w:val="24"/>
        </w:rPr>
        <w:fldChar w:fldCharType="end"/>
      </w:r>
      <w:r w:rsidR="00D13F0A" w:rsidRPr="007809AC">
        <w:rPr>
          <w:rFonts w:ascii="Arial" w:hAnsi="Arial" w:cs="Arial"/>
          <w:iCs/>
          <w:sz w:val="24"/>
          <w:szCs w:val="24"/>
        </w:rPr>
        <w:t xml:space="preserve"> for patients aged 40-60 years (mean age in the current study: 40.32</w:t>
      </w:r>
      <w:r w:rsidRPr="007809AC">
        <w:rPr>
          <w:rFonts w:ascii="Arial" w:hAnsi="Arial" w:cs="Arial"/>
          <w:iCs/>
          <w:sz w:val="24"/>
          <w:szCs w:val="24"/>
        </w:rPr>
        <w:t xml:space="preserve"> years</w:t>
      </w:r>
      <w:r w:rsidR="00D13F0A" w:rsidRPr="007809AC">
        <w:rPr>
          <w:rFonts w:ascii="Arial" w:hAnsi="Arial" w:cs="Arial"/>
          <w:iCs/>
          <w:sz w:val="24"/>
          <w:szCs w:val="24"/>
        </w:rPr>
        <w:t>), results are incongruent. For example: mean masticatory cycles per bite reported here (15.78) were higher than the published normative values (males: 11.69-14.09/ females: 9.41-13.23)</w:t>
      </w:r>
      <w:r w:rsidR="0046030F" w:rsidRPr="007809AC">
        <w:rPr>
          <w:rFonts w:ascii="Arial" w:hAnsi="Arial" w:cs="Arial"/>
          <w:iCs/>
          <w:sz w:val="24"/>
          <w:szCs w:val="24"/>
        </w:rPr>
        <w:fldChar w:fldCharType="begin"/>
      </w:r>
      <w:r w:rsidR="0046030F" w:rsidRPr="007809AC">
        <w:rPr>
          <w:rFonts w:ascii="Arial" w:hAnsi="Arial" w:cs="Arial"/>
          <w:iCs/>
          <w:sz w:val="24"/>
          <w:szCs w:val="24"/>
        </w:rPr>
        <w:instrText xml:space="preserve"> ADDIN ZOTERO_ITEM CSL_CITATION {"citationID":"JnTmw7Gu","properties":{"formattedCitation":"(26)","plainCitation":"(26)","noteIndex":0},"citationItems":[{"id":867,"uris":["http://zotero.org/users/local/nlzVUL7s/items/YP5QVRX4"],"uri":["http://zotero.org/users/local/nlzVUL7s/items/YP5QVRX4"],"itemData":{"id":867,"type":"article-journal","title":"The Test of Masticating and Swallowing Solids (TOMASS): reliability, validity and international normative data","container-title":"International Journal of Language &amp; Communication Disorders","page":"144-156","volume":"53","issue":"1","source":"PubMed","abstract":"BACKGROUND: Clinical swallowing assessment is largely limited to qualitative assessment of behavioural observations. There are limited quantitative data that can be compared with a healthy population for identification of impairment. The Test of Masticating and Swallowing Solids (TOMASS) was developed as a quantitative assessment of solid bolus ingestion.\nAIMS: This research programme investigated test development indices and established normative data for the TOMASS to support translation to clinical dysphagia assessment.\nMETHODS &amp; PROCEDURES: A total of 228 healthy adults (ages 20-80+ years) stratified by age and sex participated in one or more of four consecutive studies evaluating test-retest and interrater reliability and validity to instrumental assessment. For each study the test required participants to ingest a commercially available cracker with instructions to 'eat this as quickly as is comfortably possible'. Further averaged measures were derived including the number of masticatory cycles and swallows per bite, and time per bite, masticatory cycle and swallow. Initial analyses identified significant differences on salient measures between two commercially available crackers that are nearly identical in shape, size and ingredients, suggesting the need for separate normative samples for specific regional products. Additional analyses on a single cracker identified that the TOMASS was sensitive at detecting changes in performance based on age and sex. Test-retest reliability across days and interrater reliability between clinicians was high, as was validation of observational measures to instrumental correlates of the same behaviours. Therefore, normative data are provided for the TOMASS from a minimum of 80 healthy controls, stratified by age and sex, for each of seven commercially available crackers from broad regions worldwide.\nOUTCOMES &amp; RESULTS: Analyses on a single cracker identified Arnott's Salada, and that TOMASS measures were sensitive for detecting changes in performance based on age and sex. Interrater and test-retest reliability across days were high, as was validation of observational measures to instrumental correlates of the same behaviours. Significant differences were identified between two commercially available crackers, nearly identical in shape, size and ingredients, thus normative samples for specific regional products were required. Normative data were then acquired for the TOMASS from a minimum of 80 healthy controls, stratified by age and sex, for each of seven commercially available crackers from broad regions worldwide.\nCONCLUSIONS &amp; IMPLICATIONS: The TOMASS is presented as a valid, reliable and broadly normed clinical assessment of solid bolus ingestion. Clinical application may help identify dysphagic patients at bedside and provide a non-invasive, but sensitive, measure of functional change in swallowing.","DOI":"10.1111/1460-6984.12332","ISSN":"1460-6984","note":"PMID: 28677236","shortTitle":"The Test of Masticating and Swallowing Solids (TOMASS)","journalAbbreviation":"Int J Lang Commun Disord","language":"eng","author":[{"family":"Huckabee","given":"Maggie-Lee"},{"family":"McIntosh","given":"Theresa"},{"family":"Fuller","given":"Laura"},{"family":"Curry","given":"Morgan"},{"family":"Thomas","given":"Paige"},{"family":"Walshe","given":"Margaret"},{"family":"McCague","given":"Ellen"},{"family":"Battel","given":"Irene"},{"family":"Nogueira","given":"Dalia"},{"family":"Frank","given":"Ulrike"},{"family":"Engel-Hoek","given":"Lenie","non-dropping-particle":"van den"},{"family":"Sella-Weiss","given":"Oshrat"}],"issued":{"date-parts":[["2018",1]]}}}],"schema":"https://github.com/citation-style-language/schema/raw/master/csl-citation.json"} </w:instrText>
      </w:r>
      <w:r w:rsidR="0046030F" w:rsidRPr="007809AC">
        <w:rPr>
          <w:rFonts w:ascii="Arial" w:hAnsi="Arial" w:cs="Arial"/>
          <w:iCs/>
          <w:sz w:val="24"/>
          <w:szCs w:val="24"/>
        </w:rPr>
        <w:fldChar w:fldCharType="separate"/>
      </w:r>
      <w:r w:rsidR="0046030F" w:rsidRPr="007809AC">
        <w:rPr>
          <w:rFonts w:ascii="Arial" w:hAnsi="Arial" w:cs="Arial"/>
          <w:sz w:val="24"/>
          <w:szCs w:val="24"/>
        </w:rPr>
        <w:t>(26)</w:t>
      </w:r>
      <w:r w:rsidR="0046030F" w:rsidRPr="007809AC">
        <w:rPr>
          <w:rFonts w:ascii="Arial" w:hAnsi="Arial" w:cs="Arial"/>
          <w:iCs/>
          <w:sz w:val="24"/>
          <w:szCs w:val="24"/>
        </w:rPr>
        <w:fldChar w:fldCharType="end"/>
      </w:r>
      <w:r w:rsidR="00D13F0A" w:rsidRPr="007809AC">
        <w:rPr>
          <w:rFonts w:ascii="Arial" w:hAnsi="Arial" w:cs="Arial"/>
          <w:iCs/>
          <w:sz w:val="24"/>
          <w:szCs w:val="24"/>
        </w:rPr>
        <w:t xml:space="preserve">. In addition, the mean swallows per bite (2.08) were higher than previous normative results (males: </w:t>
      </w:r>
      <w:r w:rsidRPr="007809AC">
        <w:rPr>
          <w:rFonts w:ascii="Arial" w:hAnsi="Arial" w:cs="Arial"/>
          <w:iCs/>
          <w:sz w:val="24"/>
          <w:szCs w:val="24"/>
        </w:rPr>
        <w:t>0</w:t>
      </w:r>
      <w:r w:rsidR="00D13F0A" w:rsidRPr="007809AC">
        <w:rPr>
          <w:rFonts w:ascii="Arial" w:hAnsi="Arial" w:cs="Arial"/>
          <w:iCs/>
          <w:sz w:val="24"/>
          <w:szCs w:val="24"/>
        </w:rPr>
        <w:t>.44-1.14/ females: .</w:t>
      </w:r>
      <w:r w:rsidRPr="007809AC">
        <w:rPr>
          <w:rFonts w:ascii="Arial" w:hAnsi="Arial" w:cs="Arial"/>
          <w:iCs/>
          <w:sz w:val="24"/>
          <w:szCs w:val="24"/>
        </w:rPr>
        <w:t>0</w:t>
      </w:r>
      <w:r w:rsidR="00D13F0A" w:rsidRPr="007809AC">
        <w:rPr>
          <w:rFonts w:ascii="Arial" w:hAnsi="Arial" w:cs="Arial"/>
          <w:iCs/>
          <w:sz w:val="24"/>
          <w:szCs w:val="24"/>
        </w:rPr>
        <w:t>46-.</w:t>
      </w:r>
      <w:r w:rsidRPr="007809AC">
        <w:rPr>
          <w:rFonts w:ascii="Arial" w:hAnsi="Arial" w:cs="Arial"/>
          <w:iCs/>
          <w:sz w:val="24"/>
          <w:szCs w:val="24"/>
        </w:rPr>
        <w:t>0</w:t>
      </w:r>
      <w:r w:rsidR="00D13F0A" w:rsidRPr="007809AC">
        <w:rPr>
          <w:rFonts w:ascii="Arial" w:hAnsi="Arial" w:cs="Arial"/>
          <w:iCs/>
          <w:sz w:val="24"/>
          <w:szCs w:val="24"/>
        </w:rPr>
        <w:t>89)</w:t>
      </w:r>
      <w:r w:rsidR="0046030F" w:rsidRPr="007809AC">
        <w:rPr>
          <w:rFonts w:ascii="Arial" w:hAnsi="Arial" w:cs="Arial"/>
          <w:iCs/>
          <w:sz w:val="24"/>
          <w:szCs w:val="24"/>
        </w:rPr>
        <w:fldChar w:fldCharType="begin"/>
      </w:r>
      <w:r w:rsidR="0046030F" w:rsidRPr="007809AC">
        <w:rPr>
          <w:rFonts w:ascii="Arial" w:hAnsi="Arial" w:cs="Arial"/>
          <w:iCs/>
          <w:sz w:val="24"/>
          <w:szCs w:val="24"/>
        </w:rPr>
        <w:instrText xml:space="preserve"> ADDIN ZOTERO_ITEM CSL_CITATION {"citationID":"xW6PKXPZ","properties":{"formattedCitation":"(26)","plainCitation":"(26)","noteIndex":0},"citationItems":[{"id":867,"uris":["http://zotero.org/users/local/nlzVUL7s/items/YP5QVRX4"],"uri":["http://zotero.org/users/local/nlzVUL7s/items/YP5QVRX4"],"itemData":{"id":867,"type":"article-journal","title":"The Test of Masticating and Swallowing Solids (TOMASS): reliability, validity and international normative data","container-title":"International Journal of Language &amp; Communication Disorders","page":"144-156","volume":"53","issue":"1","source":"PubMed","abstract":"BACKGROUND: Clinical swallowing assessment is largely limited to qualitative assessment of behavioural observations. There are limited quantitative data that can be compared with a healthy population for identification of impairment. The Test of Masticating and Swallowing Solids (TOMASS) was developed as a quantitative assessment of solid bolus ingestion.\nAIMS: This research programme investigated test development indices and established normative data for the TOMASS to support translation to clinical dysphagia assessment.\nMETHODS &amp; PROCEDURES: A total of 228 healthy adults (ages 20-80+ years) stratified by age and sex participated in one or more of four consecutive studies evaluating test-retest and interrater reliability and validity to instrumental assessment. For each study the test required participants to ingest a commercially available cracker with instructions to 'eat this as quickly as is comfortably possible'. Further averaged measures were derived including the number of masticatory cycles and swallows per bite, and time per bite, masticatory cycle and swallow. Initial analyses identified significant differences on salient measures between two commercially available crackers that are nearly identical in shape, size and ingredients, suggesting the need for separate normative samples for specific regional products. Additional analyses on a single cracker identified that the TOMASS was sensitive at detecting changes in performance based on age and sex. Test-retest reliability across days and interrater reliability between clinicians was high, as was validation of observational measures to instrumental correlates of the same behaviours. Therefore, normative data are provided for the TOMASS from a minimum of 80 healthy controls, stratified by age and sex, for each of seven commercially available crackers from broad regions worldwide.\nOUTCOMES &amp; RESULTS: Analyses on a single cracker identified Arnott's Salada, and that TOMASS measures were sensitive for detecting changes in performance based on age and sex. Interrater and test-retest reliability across days were high, as was validation of observational measures to instrumental correlates of the same behaviours. Significant differences were identified between two commercially available crackers, nearly identical in shape, size and ingredients, thus normative samples for specific regional products were required. Normative data were then acquired for the TOMASS from a minimum of 80 healthy controls, stratified by age and sex, for each of seven commercially available crackers from broad regions worldwide.\nCONCLUSIONS &amp; IMPLICATIONS: The TOMASS is presented as a valid, reliable and broadly normed clinical assessment of solid bolus ingestion. Clinical application may help identify dysphagic patients at bedside and provide a non-invasive, but sensitive, measure of functional change in swallowing.","DOI":"10.1111/1460-6984.12332","ISSN":"1460-6984","note":"PMID: 28677236","shortTitle":"The Test of Masticating and Swallowing Solids (TOMASS)","journalAbbreviation":"Int J Lang Commun Disord","language":"eng","author":[{"family":"Huckabee","given":"Maggie-Lee"},{"family":"McIntosh","given":"Theresa"},{"family":"Fuller","given":"Laura"},{"family":"Curry","given":"Morgan"},{"family":"Thomas","given":"Paige"},{"family":"Walshe","given":"Margaret"},{"family":"McCague","given":"Ellen"},{"family":"Battel","given":"Irene"},{"family":"Nogueira","given":"Dalia"},{"family":"Frank","given":"Ulrike"},{"family":"Engel-Hoek","given":"Lenie","non-dropping-particle":"van den"},{"family":"Sella-Weiss","given":"Oshrat"}],"issued":{"date-parts":[["2018",1]]}}}],"schema":"https://github.com/citation-style-language/schema/raw/master/csl-citation.json"} </w:instrText>
      </w:r>
      <w:r w:rsidR="0046030F" w:rsidRPr="007809AC">
        <w:rPr>
          <w:rFonts w:ascii="Arial" w:hAnsi="Arial" w:cs="Arial"/>
          <w:iCs/>
          <w:sz w:val="24"/>
          <w:szCs w:val="24"/>
        </w:rPr>
        <w:fldChar w:fldCharType="separate"/>
      </w:r>
      <w:r w:rsidR="0046030F" w:rsidRPr="007809AC">
        <w:rPr>
          <w:rFonts w:ascii="Arial" w:hAnsi="Arial" w:cs="Arial"/>
          <w:sz w:val="24"/>
          <w:szCs w:val="24"/>
        </w:rPr>
        <w:t>(26)</w:t>
      </w:r>
      <w:r w:rsidR="0046030F" w:rsidRPr="007809AC">
        <w:rPr>
          <w:rFonts w:ascii="Arial" w:hAnsi="Arial" w:cs="Arial"/>
          <w:iCs/>
          <w:sz w:val="24"/>
          <w:szCs w:val="24"/>
        </w:rPr>
        <w:fldChar w:fldCharType="end"/>
      </w:r>
      <w:r w:rsidR="00D13F0A" w:rsidRPr="007809AC">
        <w:rPr>
          <w:rFonts w:ascii="Arial" w:hAnsi="Arial"/>
          <w:iCs/>
          <w:sz w:val="24"/>
          <w:szCs w:val="24"/>
        </w:rPr>
        <w:t>.</w:t>
      </w:r>
      <w:r w:rsidR="00D13F0A" w:rsidRPr="007809AC">
        <w:rPr>
          <w:rFonts w:ascii="Arial" w:hAnsi="Arial" w:cs="Arial"/>
          <w:iCs/>
          <w:sz w:val="24"/>
          <w:szCs w:val="24"/>
        </w:rPr>
        <w:t xml:space="preserve"> Mean time per swallow was lower here (8.36) than normative values (males: 13.33-27.75/ females: 13.93-24.28). While the mean time per masticatory cycles here (1.43) was higher than previously reported female results (</w:t>
      </w:r>
      <w:r w:rsidRPr="007809AC">
        <w:rPr>
          <w:rFonts w:ascii="Arial" w:hAnsi="Arial" w:cs="Arial"/>
          <w:iCs/>
          <w:sz w:val="24"/>
          <w:szCs w:val="24"/>
        </w:rPr>
        <w:t>0</w:t>
      </w:r>
      <w:r w:rsidR="00D13F0A" w:rsidRPr="007809AC">
        <w:rPr>
          <w:rFonts w:ascii="Arial" w:hAnsi="Arial" w:cs="Arial"/>
          <w:iCs/>
          <w:sz w:val="24"/>
          <w:szCs w:val="24"/>
        </w:rPr>
        <w:t>.81-1.10), this figure fell within the 95% CI of normative male results (</w:t>
      </w:r>
      <w:r w:rsidRPr="007809AC">
        <w:rPr>
          <w:rFonts w:ascii="Arial" w:hAnsi="Arial" w:cs="Arial"/>
          <w:iCs/>
          <w:sz w:val="24"/>
          <w:szCs w:val="24"/>
        </w:rPr>
        <w:t>0</w:t>
      </w:r>
      <w:r w:rsidR="00D13F0A" w:rsidRPr="007809AC">
        <w:rPr>
          <w:rFonts w:ascii="Arial" w:hAnsi="Arial" w:cs="Arial"/>
          <w:iCs/>
          <w:sz w:val="24"/>
          <w:szCs w:val="24"/>
        </w:rPr>
        <w:t>.82-10.2)</w:t>
      </w:r>
      <w:r w:rsidR="0046030F" w:rsidRPr="007809AC">
        <w:rPr>
          <w:rFonts w:ascii="Arial" w:hAnsi="Arial" w:cs="Arial"/>
          <w:iCs/>
          <w:sz w:val="24"/>
          <w:szCs w:val="24"/>
        </w:rPr>
        <w:fldChar w:fldCharType="begin"/>
      </w:r>
      <w:r w:rsidR="0046030F" w:rsidRPr="007809AC">
        <w:rPr>
          <w:rFonts w:ascii="Arial" w:hAnsi="Arial" w:cs="Arial"/>
          <w:iCs/>
          <w:sz w:val="24"/>
          <w:szCs w:val="24"/>
        </w:rPr>
        <w:instrText xml:space="preserve"> ADDIN ZOTERO_ITEM CSL_CITATION {"citationID":"NeApCvdG","properties":{"formattedCitation":"(26)","plainCitation":"(26)","noteIndex":0},"citationItems":[{"id":867,"uris":["http://zotero.org/users/local/nlzVUL7s/items/YP5QVRX4"],"uri":["http://zotero.org/users/local/nlzVUL7s/items/YP5QVRX4"],"itemData":{"id":867,"type":"article-journal","title":"The Test of Masticating and Swallowing Solids (TOMASS): reliability, validity and international normative data","container-title":"International Journal of Language &amp; Communication Disorders","page":"144-156","volume":"53","issue":"1","source":"PubMed","abstract":"BACKGROUND: Clinical swallowing assessment is largely limited to qualitative assessment of behavioural observations. There are limited quantitative data that can be compared with a healthy population for identification of impairment. The Test of Masticating and Swallowing Solids (TOMASS) was developed as a quantitative assessment of solid bolus ingestion.\nAIMS: This research programme investigated test development indices and established normative data for the TOMASS to support translation to clinical dysphagia assessment.\nMETHODS &amp; PROCEDURES: A total of 228 healthy adults (ages 20-80+ years) stratified by age and sex participated in one or more of four consecutive studies evaluating test-retest and interrater reliability and validity to instrumental assessment. For each study the test required participants to ingest a commercially available cracker with instructions to 'eat this as quickly as is comfortably possible'. Further averaged measures were derived including the number of masticatory cycles and swallows per bite, and time per bite, masticatory cycle and swallow. Initial analyses identified significant differences on salient measures between two commercially available crackers that are nearly identical in shape, size and ingredients, suggesting the need for separate normative samples for specific regional products. Additional analyses on a single cracker identified that the TOMASS was sensitive at detecting changes in performance based on age and sex. Test-retest reliability across days and interrater reliability between clinicians was high, as was validation of observational measures to instrumental correlates of the same behaviours. Therefore, normative data are provided for the TOMASS from a minimum of 80 healthy controls, stratified by age and sex, for each of seven commercially available crackers from broad regions worldwide.\nOUTCOMES &amp; RESULTS: Analyses on a single cracker identified Arnott's Salada, and that TOMASS measures were sensitive for detecting changes in performance based on age and sex. Interrater and test-retest reliability across days were high, as was validation of observational measures to instrumental correlates of the same behaviours. Significant differences were identified between two commercially available crackers, nearly identical in shape, size and ingredients, thus normative samples for specific regional products were required. Normative data were then acquired for the TOMASS from a minimum of 80 healthy controls, stratified by age and sex, for each of seven commercially available crackers from broad regions worldwide.\nCONCLUSIONS &amp; IMPLICATIONS: The TOMASS is presented as a valid, reliable and broadly normed clinical assessment of solid bolus ingestion. Clinical application may help identify dysphagic patients at bedside and provide a non-invasive, but sensitive, measure of functional change in swallowing.","DOI":"10.1111/1460-6984.12332","ISSN":"1460-6984","note":"PMID: 28677236","shortTitle":"The Test of Masticating and Swallowing Solids (TOMASS)","journalAbbreviation":"Int J Lang Commun Disord","language":"eng","author":[{"family":"Huckabee","given":"Maggie-Lee"},{"family":"McIntosh","given":"Theresa"},{"family":"Fuller","given":"Laura"},{"family":"Curry","given":"Morgan"},{"family":"Thomas","given":"Paige"},{"family":"Walshe","given":"Margaret"},{"family":"McCague","given":"Ellen"},{"family":"Battel","given":"Irene"},{"family":"Nogueira","given":"Dalia"},{"family":"Frank","given":"Ulrike"},{"family":"Engel-Hoek","given":"Lenie","non-dropping-particle":"van den"},{"family":"Sella-Weiss","given":"Oshrat"}],"issued":{"date-parts":[["2018",1]]}}}],"schema":"https://github.com/citation-style-language/schema/raw/master/csl-citation.json"} </w:instrText>
      </w:r>
      <w:r w:rsidR="0046030F" w:rsidRPr="007809AC">
        <w:rPr>
          <w:rFonts w:ascii="Arial" w:hAnsi="Arial" w:cs="Arial"/>
          <w:iCs/>
          <w:sz w:val="24"/>
          <w:szCs w:val="24"/>
        </w:rPr>
        <w:fldChar w:fldCharType="separate"/>
      </w:r>
      <w:r w:rsidR="0046030F" w:rsidRPr="007809AC">
        <w:rPr>
          <w:rFonts w:ascii="Arial" w:hAnsi="Arial" w:cs="Arial"/>
          <w:sz w:val="24"/>
          <w:szCs w:val="24"/>
        </w:rPr>
        <w:t>(26)</w:t>
      </w:r>
      <w:r w:rsidR="0046030F" w:rsidRPr="007809AC">
        <w:rPr>
          <w:rFonts w:ascii="Arial" w:hAnsi="Arial" w:cs="Arial"/>
          <w:iCs/>
          <w:sz w:val="24"/>
          <w:szCs w:val="24"/>
        </w:rPr>
        <w:fldChar w:fldCharType="end"/>
      </w:r>
      <w:r w:rsidR="00D13F0A" w:rsidRPr="007809AC">
        <w:rPr>
          <w:rFonts w:ascii="Arial" w:hAnsi="Arial"/>
          <w:iCs/>
          <w:sz w:val="24"/>
          <w:szCs w:val="24"/>
        </w:rPr>
        <w:t>.</w:t>
      </w:r>
      <w:r w:rsidR="00D13F0A" w:rsidRPr="007809AC">
        <w:rPr>
          <w:rFonts w:ascii="Arial" w:hAnsi="Arial" w:cs="Arial"/>
          <w:iCs/>
          <w:sz w:val="24"/>
          <w:szCs w:val="24"/>
        </w:rPr>
        <w:t xml:space="preserve"> No significant age, gender, or diagnostic differences were found between the 5 composite TOMASS variables</w:t>
      </w:r>
      <w:r w:rsidRPr="007809AC">
        <w:rPr>
          <w:rFonts w:ascii="Arial" w:hAnsi="Arial" w:cs="Arial"/>
          <w:iCs/>
          <w:sz w:val="24"/>
          <w:szCs w:val="24"/>
        </w:rPr>
        <w:t xml:space="preserve"> (Table 6)</w:t>
      </w:r>
      <w:r w:rsidR="00D13F0A" w:rsidRPr="007809AC">
        <w:rPr>
          <w:rFonts w:ascii="Arial" w:hAnsi="Arial" w:cs="Arial"/>
          <w:iCs/>
          <w:sz w:val="24"/>
          <w:szCs w:val="24"/>
        </w:rPr>
        <w:t>.</w:t>
      </w:r>
    </w:p>
    <w:p w14:paraId="17C4CB0D" w14:textId="77777777" w:rsidR="00F71F78" w:rsidRPr="007809AC" w:rsidRDefault="00D13F0A">
      <w:pPr>
        <w:spacing w:before="240" w:line="360" w:lineRule="auto"/>
        <w:jc w:val="both"/>
        <w:rPr>
          <w:rFonts w:ascii="Arial" w:hAnsi="Arial"/>
          <w:i/>
          <w:sz w:val="24"/>
          <w:szCs w:val="24"/>
        </w:rPr>
      </w:pPr>
      <w:r w:rsidRPr="007809AC">
        <w:rPr>
          <w:rFonts w:ascii="Arial" w:hAnsi="Arial"/>
          <w:i/>
          <w:sz w:val="24"/>
          <w:szCs w:val="24"/>
        </w:rPr>
        <w:t>The Functional Impact of TMD-related Eating and Swallowing Problems</w:t>
      </w:r>
    </w:p>
    <w:p w14:paraId="73AE6904" w14:textId="0C5F963E" w:rsidR="00F71F78" w:rsidRPr="007809AC" w:rsidRDefault="00C77975">
      <w:pPr>
        <w:spacing w:line="360" w:lineRule="auto"/>
        <w:jc w:val="both"/>
        <w:rPr>
          <w:rFonts w:ascii="Arial" w:eastAsia="Arial" w:hAnsi="Arial" w:cs="Arial"/>
          <w:sz w:val="24"/>
          <w:szCs w:val="24"/>
        </w:rPr>
      </w:pPr>
      <w:r w:rsidRPr="007809AC">
        <w:rPr>
          <w:rFonts w:ascii="Arial" w:eastAsia="Arial" w:hAnsi="Arial" w:cs="Arial"/>
          <w:sz w:val="24"/>
          <w:szCs w:val="24"/>
        </w:rPr>
        <w:t xml:space="preserve">Using the </w:t>
      </w:r>
      <w:r w:rsidR="0046030F" w:rsidRPr="007809AC">
        <w:rPr>
          <w:rFonts w:ascii="Arial" w:eastAsia="Arial" w:hAnsi="Arial" w:cs="Arial"/>
          <w:sz w:val="24"/>
          <w:szCs w:val="24"/>
        </w:rPr>
        <w:t>GCPS</w:t>
      </w:r>
      <w:r w:rsidR="0046030F" w:rsidRPr="007809AC">
        <w:rPr>
          <w:rFonts w:ascii="Arial" w:eastAsia="Arial" w:hAnsi="Arial" w:cs="Arial"/>
          <w:sz w:val="24"/>
          <w:szCs w:val="24"/>
        </w:rPr>
        <w:fldChar w:fldCharType="begin"/>
      </w:r>
      <w:r w:rsidR="0046030F" w:rsidRPr="007809AC">
        <w:rPr>
          <w:rFonts w:ascii="Arial" w:eastAsia="Arial" w:hAnsi="Arial" w:cs="Arial"/>
          <w:sz w:val="24"/>
          <w:szCs w:val="24"/>
        </w:rPr>
        <w:instrText xml:space="preserve"> ADDIN ZOTERO_ITEM CSL_CITATION {"citationID":"srs7Lh6L","properties":{"formattedCitation":"(27)","plainCitation":"(27)","noteIndex":0},"citationItems":[{"id":1174,"uris":["http://zotero.org/users/local/nlzVUL7s/items/9SXBADMP"],"uri":["http://zotero.org/users/local/nlzVUL7s/items/9SXBADMP"],"itemData":{"id":1174,"type":"article-journal","title":"Grading the severity of chronic pain","container-title":"Pain","page":"133-149","volume":"50","issue":"2","source":"PubMed","abstract":"This research develops and evaluates a simple method of grading the severity of chronic pain for use in general population surveys and studies of primary care pain patients. Measures of pain intensity, disability, persistence and recency of onset were tested for their ability to grade chronic pain severity in a longitudinal study of primary care back pain (n = 1213), headache (n = 779) and temporomandibular disorder pain (n = 397) patients. A Guttman scale analysis showed that pain intensity and disability measures formed a reliable hierarchical scale. Pain intensity measures appeared to scale the lower range of global severity while disability measures appeared to scale the upper range of global severity. Recency of onset and days in pain in the prior 6 months did not scale with pain intensity or disability. Using simple scoring rules, pain severity was graded into 4 hierarchical classes: Grade I, low disability--low intensity; Grade II, low disability--high intensity; Grade III, high disability--moderately limiting; and Grade IV, high disability--severely limiting. For each pain site, Chronic Pain Grade measured at baseline showed a highly statistically significant and monotonically increasing relationship with unemployment rate, pain-related functional limitations, depression, fair to poor self-rated health, frequent use of opioid analgesics, and frequent pain-related doctor visits both at baseline and at 1-year follow-up. Days in Pain was related to these variables, but not as strongly as Chronic Pain Grade. Recent onset cases (first onset within the prior 3 months) did not show differences in psychological and behavioral dysfunction when compared to persons with less recent onset. Using longitudinal data from a population-based study (n = 803), Chronic Pain Grade at baseline predicted the presence of pain in the prior 2 weeks. Chronic Pain Grade and pain-related functional limitations at 3-year follow-up. Grading chronic pain as a function of pain intensity and pain-related disability may be useful when a brief ordinal measure of global pain severity is required. Pain persistence, measured by days in pain in a fixed time period, provides useful additional information.","ISSN":"0304-3959","note":"PMID: 1408309","journalAbbreviation":"Pain","language":"eng","author":[{"family":"Von Korff","given":"M."},{"family":"Ormel","given":"J."},{"family":"Keefe","given":"F. J."},{"family":"Dworkin","given":"S. F."}],"issued":{"date-parts":[["1992",8]]}}}],"schema":"https://github.com/citation-style-language/schema/raw/master/csl-citation.json"} </w:instrText>
      </w:r>
      <w:r w:rsidR="0046030F" w:rsidRPr="007809AC">
        <w:rPr>
          <w:rFonts w:ascii="Arial" w:eastAsia="Arial" w:hAnsi="Arial" w:cs="Arial"/>
          <w:sz w:val="24"/>
          <w:szCs w:val="24"/>
        </w:rPr>
        <w:fldChar w:fldCharType="separate"/>
      </w:r>
      <w:r w:rsidR="0046030F" w:rsidRPr="007809AC">
        <w:rPr>
          <w:rFonts w:ascii="Arial" w:hAnsi="Arial" w:cs="Arial"/>
          <w:sz w:val="24"/>
          <w:szCs w:val="24"/>
        </w:rPr>
        <w:t>(27)</w:t>
      </w:r>
      <w:r w:rsidR="0046030F" w:rsidRPr="007809AC">
        <w:rPr>
          <w:rFonts w:ascii="Arial" w:eastAsia="Arial" w:hAnsi="Arial" w:cs="Arial"/>
          <w:sz w:val="24"/>
          <w:szCs w:val="24"/>
        </w:rPr>
        <w:fldChar w:fldCharType="end"/>
      </w:r>
      <w:r w:rsidRPr="007809AC">
        <w:rPr>
          <w:rFonts w:ascii="Arial" w:eastAsia="Arial" w:hAnsi="Arial" w:cs="Arial"/>
          <w:sz w:val="24"/>
          <w:szCs w:val="24"/>
        </w:rPr>
        <w:t>, p</w:t>
      </w:r>
      <w:r w:rsidR="00D13F0A" w:rsidRPr="007809AC">
        <w:rPr>
          <w:rFonts w:ascii="Arial" w:eastAsia="Arial" w:hAnsi="Arial" w:cs="Arial"/>
          <w:sz w:val="24"/>
          <w:szCs w:val="24"/>
        </w:rPr>
        <w:t>articipants with TMDs reported that pain associated with eating, and swallowing interferes with daily activities (e.g.: work, school, or housework) on a median of 7 out of the previous 30 days (Table 7). These issues were reported to have a median moderate impact on the completion of daily activities (</w:t>
      </w:r>
      <w:r w:rsidRPr="007809AC">
        <w:rPr>
          <w:rFonts w:ascii="Arial" w:eastAsia="Arial" w:hAnsi="Arial" w:cs="Arial"/>
          <w:sz w:val="24"/>
          <w:szCs w:val="24"/>
        </w:rPr>
        <w:t xml:space="preserve">score of </w:t>
      </w:r>
      <w:r w:rsidR="00D13F0A" w:rsidRPr="007809AC">
        <w:rPr>
          <w:rFonts w:ascii="Arial" w:eastAsia="Arial" w:hAnsi="Arial" w:cs="Arial"/>
          <w:sz w:val="24"/>
          <w:szCs w:val="24"/>
        </w:rPr>
        <w:t>4). The median impact on recreational, social, and family activities in the last 30 days was also moderate (</w:t>
      </w:r>
      <w:r w:rsidRPr="007809AC">
        <w:rPr>
          <w:rFonts w:ascii="Arial" w:eastAsia="Arial" w:hAnsi="Arial" w:cs="Arial"/>
          <w:sz w:val="24"/>
          <w:szCs w:val="24"/>
        </w:rPr>
        <w:t xml:space="preserve">score of </w:t>
      </w:r>
      <w:r w:rsidR="00D13F0A" w:rsidRPr="007809AC">
        <w:rPr>
          <w:rFonts w:ascii="Arial" w:eastAsia="Arial" w:hAnsi="Arial" w:cs="Arial"/>
          <w:sz w:val="24"/>
          <w:szCs w:val="24"/>
        </w:rPr>
        <w:t>4), while there was a mild median interference with occupational activities (</w:t>
      </w:r>
      <w:r w:rsidRPr="007809AC">
        <w:rPr>
          <w:rFonts w:ascii="Arial" w:eastAsia="Arial" w:hAnsi="Arial" w:cs="Arial"/>
          <w:sz w:val="24"/>
          <w:szCs w:val="24"/>
        </w:rPr>
        <w:t xml:space="preserve">score of </w:t>
      </w:r>
      <w:r w:rsidR="00D13F0A" w:rsidRPr="007809AC">
        <w:rPr>
          <w:rFonts w:ascii="Arial" w:eastAsia="Arial" w:hAnsi="Arial" w:cs="Arial"/>
          <w:sz w:val="24"/>
          <w:szCs w:val="24"/>
        </w:rPr>
        <w:t>3), with no significant differences found between gender, age, or overall or specific diagnoses</w:t>
      </w:r>
      <w:r w:rsidR="00DC35C2" w:rsidRPr="007809AC">
        <w:rPr>
          <w:rFonts w:ascii="Arial" w:eastAsia="Arial" w:hAnsi="Arial" w:cs="Arial"/>
          <w:sz w:val="24"/>
          <w:szCs w:val="24"/>
        </w:rPr>
        <w:t xml:space="preserve"> (Table 7)</w:t>
      </w:r>
      <w:r w:rsidR="00D13F0A" w:rsidRPr="007809AC">
        <w:rPr>
          <w:rFonts w:ascii="Arial" w:eastAsia="Arial" w:hAnsi="Arial" w:cs="Arial"/>
          <w:sz w:val="24"/>
          <w:szCs w:val="24"/>
        </w:rPr>
        <w:t>.</w:t>
      </w:r>
    </w:p>
    <w:p w14:paraId="03BD67B5" w14:textId="78A2F8DE" w:rsidR="00D00999" w:rsidRPr="007809AC" w:rsidRDefault="00D13F0A">
      <w:pPr>
        <w:keepNext/>
        <w:spacing w:before="240" w:after="200" w:line="360" w:lineRule="auto"/>
        <w:jc w:val="both"/>
        <w:rPr>
          <w:rFonts w:ascii="Arial" w:hAnsi="Arial"/>
          <w:iCs/>
          <w:sz w:val="24"/>
          <w:szCs w:val="24"/>
        </w:rPr>
      </w:pPr>
      <w:r w:rsidRPr="007809AC">
        <w:rPr>
          <w:rFonts w:ascii="Arial" w:hAnsi="Arial"/>
          <w:iCs/>
          <w:sz w:val="24"/>
          <w:szCs w:val="24"/>
        </w:rPr>
        <w:t xml:space="preserve">The most common functional </w:t>
      </w:r>
      <w:r w:rsidR="00D00999" w:rsidRPr="007809AC">
        <w:rPr>
          <w:rFonts w:ascii="Arial" w:hAnsi="Arial"/>
          <w:iCs/>
          <w:sz w:val="24"/>
          <w:szCs w:val="24"/>
        </w:rPr>
        <w:t xml:space="preserve">consequence </w:t>
      </w:r>
      <w:r w:rsidRPr="007809AC">
        <w:rPr>
          <w:rFonts w:ascii="Arial" w:hAnsi="Arial"/>
          <w:iCs/>
          <w:sz w:val="24"/>
          <w:szCs w:val="24"/>
        </w:rPr>
        <w:t>of TMD-related eating and swallowing problems included: 1) meals taking longer to eat (n=91/ 72.2%); 2) avoidance of certain foods (n= 89/ 70.6%); and 3) participants changing their typical manner of swallowing (n=85/ 67.5%) (Table 8).  In addition, participants reported</w:t>
      </w:r>
      <w:r w:rsidR="00731394" w:rsidRPr="007809AC">
        <w:rPr>
          <w:rFonts w:ascii="Arial" w:hAnsi="Arial"/>
          <w:iCs/>
          <w:sz w:val="24"/>
          <w:szCs w:val="24"/>
        </w:rPr>
        <w:t>: 1) modifying their diets (n=80 / 63.5%); 2) eating smaller meals (n=75 / 60.3%); 3) eating less (n=68 / 54%); and 4) avoiding eating (n=65 / 51.6%)</w:t>
      </w:r>
      <w:r w:rsidR="00D00999" w:rsidRPr="007809AC">
        <w:rPr>
          <w:rFonts w:ascii="Arial" w:hAnsi="Arial"/>
          <w:iCs/>
          <w:sz w:val="24"/>
          <w:szCs w:val="24"/>
        </w:rPr>
        <w:t xml:space="preserve">. It is hypothesised that these behaviours may help explain the 50% of individuals who reported unintentional weight loss (n=63. </w:t>
      </w:r>
      <w:r w:rsidRPr="007809AC">
        <w:rPr>
          <w:rFonts w:ascii="Arial" w:hAnsi="Arial"/>
          <w:iCs/>
          <w:sz w:val="24"/>
          <w:szCs w:val="24"/>
        </w:rPr>
        <w:t>There was a significant gender difference regarding the parameter of eating smal</w:t>
      </w:r>
      <w:r w:rsidR="00C77975" w:rsidRPr="007809AC">
        <w:rPr>
          <w:rFonts w:ascii="Arial" w:hAnsi="Arial"/>
          <w:iCs/>
          <w:sz w:val="24"/>
          <w:szCs w:val="24"/>
        </w:rPr>
        <w:t>ler meals (chi-squared = 9.36, P</w:t>
      </w:r>
      <w:r w:rsidRPr="007809AC">
        <w:rPr>
          <w:rFonts w:ascii="Arial" w:hAnsi="Arial"/>
          <w:iCs/>
          <w:sz w:val="24"/>
          <w:szCs w:val="24"/>
        </w:rPr>
        <w:t xml:space="preserve"> = 0.009). Whereas most men (n=14 / 70%) never had smaller meals, the 106 females were equally split between ‘never’, ‘sometimes’ and ‘always’ having smaller meals. In addition, there was a significant gender difference in responses for changing their diet due to TMD-related eating and swallowing problems (chi-squared </w:t>
      </w:r>
      <w:r w:rsidR="00C77975" w:rsidRPr="007809AC">
        <w:rPr>
          <w:rFonts w:ascii="Arial" w:hAnsi="Arial"/>
          <w:iCs/>
          <w:sz w:val="24"/>
          <w:szCs w:val="24"/>
        </w:rPr>
        <w:t>= 8.35, P = 0.015). Again, whereas more than half of males</w:t>
      </w:r>
      <w:r w:rsidRPr="007809AC">
        <w:rPr>
          <w:rFonts w:ascii="Arial" w:hAnsi="Arial"/>
          <w:iCs/>
          <w:sz w:val="24"/>
          <w:szCs w:val="24"/>
        </w:rPr>
        <w:t xml:space="preserve"> (n=12 / 65%) reported never changing their diet, the 106 females were equally split about dietary changes</w:t>
      </w:r>
      <w:r w:rsidR="00DC35C2" w:rsidRPr="007809AC">
        <w:rPr>
          <w:rFonts w:ascii="Arial" w:hAnsi="Arial"/>
          <w:iCs/>
          <w:sz w:val="24"/>
          <w:szCs w:val="24"/>
        </w:rPr>
        <w:t xml:space="preserve"> (Table 8)</w:t>
      </w:r>
      <w:r w:rsidRPr="007809AC">
        <w:rPr>
          <w:rFonts w:ascii="Arial" w:hAnsi="Arial"/>
          <w:iCs/>
          <w:sz w:val="24"/>
          <w:szCs w:val="24"/>
        </w:rPr>
        <w:t>.</w:t>
      </w:r>
    </w:p>
    <w:p w14:paraId="2599AF7B" w14:textId="77777777" w:rsidR="00F71F78" w:rsidRPr="007809AC" w:rsidRDefault="00D13F0A">
      <w:pPr>
        <w:spacing w:before="240" w:line="360" w:lineRule="auto"/>
        <w:jc w:val="both"/>
        <w:rPr>
          <w:rFonts w:ascii="Arial" w:hAnsi="Arial"/>
          <w:i/>
          <w:sz w:val="24"/>
          <w:szCs w:val="24"/>
        </w:rPr>
      </w:pPr>
      <w:r w:rsidRPr="007809AC">
        <w:rPr>
          <w:rFonts w:ascii="Arial" w:hAnsi="Arial"/>
          <w:i/>
          <w:sz w:val="24"/>
          <w:szCs w:val="24"/>
        </w:rPr>
        <w:t>The Psychosocial Impact of TMD-related Eating and Swallowing Problems</w:t>
      </w:r>
    </w:p>
    <w:p w14:paraId="13EDBFE1" w14:textId="2602A481" w:rsidR="00891752" w:rsidRPr="007809AC" w:rsidRDefault="00D13F0A">
      <w:pPr>
        <w:spacing w:before="240" w:line="360" w:lineRule="auto"/>
        <w:jc w:val="both"/>
        <w:rPr>
          <w:rFonts w:ascii="Arial" w:eastAsia="Arial" w:hAnsi="Arial" w:cs="Arial"/>
          <w:sz w:val="24"/>
          <w:szCs w:val="24"/>
        </w:rPr>
      </w:pPr>
      <w:r w:rsidRPr="007809AC">
        <w:rPr>
          <w:rFonts w:ascii="Arial" w:eastAsia="Arial" w:hAnsi="Arial" w:cs="Arial"/>
          <w:sz w:val="24"/>
          <w:szCs w:val="24"/>
        </w:rPr>
        <w:t>TMD-related eating and swallowing problems were reported to cause psychosocial distress (Table 9). A quarter of all participants reported on average severe distress (n=32/ 25.4%). Demonstrating this impact, 70.7% of participants in total reported ongoing nervousness, 65% reported experiencing worry, 62.7% reported losing pleasure in previously enjoyable tasks, while 59.5% reported ongoing feelings of depression</w:t>
      </w:r>
      <w:r w:rsidR="00580526" w:rsidRPr="007809AC">
        <w:rPr>
          <w:rFonts w:ascii="Arial" w:eastAsia="Arial" w:hAnsi="Arial" w:cs="Arial"/>
          <w:sz w:val="24"/>
          <w:szCs w:val="24"/>
        </w:rPr>
        <w:t>,</w:t>
      </w:r>
      <w:r w:rsidRPr="007809AC">
        <w:rPr>
          <w:rFonts w:ascii="Arial" w:eastAsia="Arial" w:hAnsi="Arial" w:cs="Arial"/>
          <w:sz w:val="24"/>
          <w:szCs w:val="24"/>
        </w:rPr>
        <w:t xml:space="preserve"> which they linked to their eating and swallowing problems. Using Spearman’s rho nonparametric correlation, a mild but significant negative inverse correlation</w:t>
      </w:r>
      <w:r w:rsidR="00AB5EAD" w:rsidRPr="007809AC">
        <w:rPr>
          <w:rFonts w:ascii="Arial" w:eastAsia="Arial" w:hAnsi="Arial" w:cs="Arial"/>
          <w:sz w:val="24"/>
          <w:szCs w:val="24"/>
        </w:rPr>
        <w:t xml:space="preserve"> was found</w:t>
      </w:r>
      <w:r w:rsidR="00891752" w:rsidRPr="007809AC">
        <w:rPr>
          <w:rFonts w:ascii="Arial" w:eastAsia="Arial" w:hAnsi="Arial" w:cs="Arial"/>
          <w:sz w:val="24"/>
          <w:szCs w:val="24"/>
        </w:rPr>
        <w:t>, with</w:t>
      </w:r>
      <w:r w:rsidR="00931171" w:rsidRPr="007809AC">
        <w:rPr>
          <w:rFonts w:ascii="Arial" w:eastAsia="Arial" w:hAnsi="Arial" w:cs="Arial"/>
          <w:sz w:val="24"/>
          <w:szCs w:val="24"/>
        </w:rPr>
        <w:t xml:space="preserve"> younger participants reporting significantly higher levels of overall distress (rho = -0.223, P = 0.012), nervousness (rho = -0.255, P = 0.004), and worry (rho = -0.187, P = 0.036)</w:t>
      </w:r>
      <w:r w:rsidR="00AB5EAD" w:rsidRPr="007809AC">
        <w:rPr>
          <w:rFonts w:ascii="Arial" w:eastAsia="Arial" w:hAnsi="Arial" w:cs="Arial"/>
          <w:sz w:val="24"/>
          <w:szCs w:val="24"/>
        </w:rPr>
        <w:t xml:space="preserve"> than older participants</w:t>
      </w:r>
      <w:r w:rsidR="00DC35C2" w:rsidRPr="007809AC">
        <w:rPr>
          <w:rFonts w:ascii="Arial" w:eastAsia="Arial" w:hAnsi="Arial" w:cs="Arial"/>
          <w:sz w:val="24"/>
          <w:szCs w:val="24"/>
        </w:rPr>
        <w:t xml:space="preserve"> (Table 9)</w:t>
      </w:r>
      <w:r w:rsidR="00AB5EAD" w:rsidRPr="007809AC">
        <w:rPr>
          <w:rFonts w:ascii="Arial" w:eastAsia="Arial" w:hAnsi="Arial" w:cs="Arial"/>
          <w:sz w:val="24"/>
          <w:szCs w:val="24"/>
        </w:rPr>
        <w:t>.</w:t>
      </w:r>
    </w:p>
    <w:p w14:paraId="02C19522" w14:textId="02C6EF7B" w:rsidR="00B55D6D" w:rsidRPr="007809AC" w:rsidRDefault="00D13F0A" w:rsidP="00B55D6D">
      <w:pPr>
        <w:spacing w:before="240" w:line="360" w:lineRule="auto"/>
        <w:jc w:val="both"/>
        <w:rPr>
          <w:rFonts w:ascii="Arial" w:hAnsi="Arial"/>
          <w:i/>
          <w:iCs/>
          <w:sz w:val="24"/>
          <w:szCs w:val="24"/>
        </w:rPr>
      </w:pPr>
      <w:r w:rsidRPr="007809AC">
        <w:rPr>
          <w:rFonts w:ascii="Arial" w:eastAsia="Arial" w:hAnsi="Arial" w:cs="Arial"/>
          <w:sz w:val="24"/>
          <w:szCs w:val="24"/>
        </w:rPr>
        <w:t>The most frequent emotional impact of eating and swallowing problems included: embarrassment about potential social exposure of these difficulties (sometimes: n=31/ 24.6% / always: n=43/ 34.1%), fear of choking (sometimes: n=29/ 23% / always: n=27/ 21.4%), and a loss of interest/pleasure in eating (somet</w:t>
      </w:r>
      <w:r w:rsidR="00580526" w:rsidRPr="007809AC">
        <w:rPr>
          <w:rFonts w:ascii="Arial" w:eastAsia="Arial" w:hAnsi="Arial" w:cs="Arial"/>
          <w:sz w:val="24"/>
          <w:szCs w:val="24"/>
        </w:rPr>
        <w:t xml:space="preserve">imes: n=29/ 23% / always: n=42/ </w:t>
      </w:r>
      <w:r w:rsidRPr="007809AC">
        <w:rPr>
          <w:rFonts w:ascii="Arial" w:eastAsia="Arial" w:hAnsi="Arial" w:cs="Arial"/>
          <w:sz w:val="24"/>
          <w:szCs w:val="24"/>
        </w:rPr>
        <w:t>33.3%) (Table 10). In addition, challenges to participants’ sense of self were reported, with feelings of “handicap” (sometimes: n=27/ 21.6% / always: n=36/ 28.6%), and depression caused by not being able to eat what they want (sometimes: n=35/ 27.8% / always: n=33/ 26.2%). Finally, half of participants experienced anger about their eating and swallowing problems (sometimes: n=29/ 23% / always: n=36/ 28.6%)</w:t>
      </w:r>
      <w:r w:rsidR="00DC35C2" w:rsidRPr="007809AC">
        <w:rPr>
          <w:rFonts w:ascii="Arial" w:eastAsia="Arial" w:hAnsi="Arial" w:cs="Arial"/>
          <w:sz w:val="24"/>
          <w:szCs w:val="24"/>
        </w:rPr>
        <w:t xml:space="preserve"> (Table 10)</w:t>
      </w:r>
      <w:r w:rsidRPr="007809AC">
        <w:rPr>
          <w:rFonts w:ascii="Arial" w:eastAsia="Arial" w:hAnsi="Arial" w:cs="Arial"/>
          <w:sz w:val="24"/>
          <w:szCs w:val="24"/>
        </w:rPr>
        <w:t>.</w:t>
      </w:r>
      <w:bookmarkStart w:id="1" w:name="_Toc516665423"/>
    </w:p>
    <w:bookmarkEnd w:id="1"/>
    <w:p w14:paraId="3773D8F0" w14:textId="77777777" w:rsidR="00F71F78" w:rsidRPr="007809AC" w:rsidRDefault="00D13F0A">
      <w:pPr>
        <w:spacing w:before="240" w:line="360" w:lineRule="auto"/>
        <w:jc w:val="both"/>
        <w:rPr>
          <w:rFonts w:ascii="Arial" w:hAnsi="Arial" w:cs="Arial"/>
          <w:b/>
          <w:sz w:val="24"/>
          <w:szCs w:val="24"/>
        </w:rPr>
      </w:pPr>
      <w:r w:rsidRPr="007809AC">
        <w:rPr>
          <w:rFonts w:ascii="Arial" w:hAnsi="Arial" w:cs="Arial"/>
          <w:b/>
          <w:sz w:val="24"/>
          <w:szCs w:val="24"/>
        </w:rPr>
        <w:t>DISCUSSION</w:t>
      </w:r>
    </w:p>
    <w:p w14:paraId="725636E4" w14:textId="00BD23E0" w:rsidR="00F71F78" w:rsidRPr="007809AC" w:rsidRDefault="00D13F0A">
      <w:pPr>
        <w:spacing w:line="360" w:lineRule="auto"/>
        <w:jc w:val="both"/>
        <w:rPr>
          <w:sz w:val="24"/>
          <w:szCs w:val="24"/>
        </w:rPr>
      </w:pPr>
      <w:r w:rsidRPr="007809AC">
        <w:rPr>
          <w:rFonts w:ascii="Arial" w:hAnsi="Arial"/>
          <w:sz w:val="24"/>
          <w:szCs w:val="24"/>
        </w:rPr>
        <w:t xml:space="preserve">This cross-sectional study investigated the epidemiology, nature, and impact of TMD-related eating and swallowing problems in treatment-seeking adults presenting to </w:t>
      </w:r>
      <w:r w:rsidR="00293D04" w:rsidRPr="007809AC">
        <w:rPr>
          <w:rFonts w:ascii="Arial" w:hAnsi="Arial"/>
          <w:sz w:val="24"/>
          <w:szCs w:val="24"/>
        </w:rPr>
        <w:t xml:space="preserve">two </w:t>
      </w:r>
      <w:r w:rsidR="00032E24" w:rsidRPr="007809AC">
        <w:rPr>
          <w:rFonts w:ascii="Arial" w:hAnsi="Arial"/>
          <w:sz w:val="24"/>
          <w:szCs w:val="24"/>
        </w:rPr>
        <w:t xml:space="preserve">Irish </w:t>
      </w:r>
      <w:r w:rsidRPr="007809AC">
        <w:rPr>
          <w:rFonts w:ascii="Arial" w:hAnsi="Arial"/>
          <w:sz w:val="24"/>
          <w:szCs w:val="24"/>
        </w:rPr>
        <w:t xml:space="preserve">national specialist centres of care. This research found that secondary to </w:t>
      </w:r>
      <w:r w:rsidR="003A563F" w:rsidRPr="007809AC">
        <w:rPr>
          <w:rFonts w:ascii="Arial" w:hAnsi="Arial"/>
          <w:sz w:val="24"/>
          <w:szCs w:val="24"/>
        </w:rPr>
        <w:t>oral preparatory stage difficulties</w:t>
      </w:r>
      <w:r w:rsidRPr="007809AC">
        <w:rPr>
          <w:rFonts w:ascii="Arial" w:hAnsi="Arial"/>
          <w:sz w:val="24"/>
          <w:szCs w:val="24"/>
        </w:rPr>
        <w:t>,</w:t>
      </w:r>
      <w:r w:rsidR="003A563F" w:rsidRPr="007809AC">
        <w:rPr>
          <w:rFonts w:ascii="Arial" w:hAnsi="Arial"/>
          <w:sz w:val="24"/>
          <w:szCs w:val="24"/>
        </w:rPr>
        <w:t xml:space="preserve"> overall</w:t>
      </w:r>
      <w:r w:rsidRPr="007809AC">
        <w:rPr>
          <w:rFonts w:ascii="Arial" w:hAnsi="Arial"/>
          <w:sz w:val="24"/>
          <w:szCs w:val="24"/>
        </w:rPr>
        <w:t xml:space="preserve"> eating and swallowing problems are commonly experienced by this group. Findings here also suggest that </w:t>
      </w:r>
      <w:r w:rsidRPr="007809AC">
        <w:rPr>
          <w:rFonts w:ascii="Arial" w:hAnsi="Arial" w:cs="Arial"/>
          <w:sz w:val="24"/>
          <w:szCs w:val="24"/>
        </w:rPr>
        <w:t xml:space="preserve">participants perceive their eating and swallowing difficulties to </w:t>
      </w:r>
      <w:r w:rsidRPr="007809AC">
        <w:rPr>
          <w:rFonts w:ascii="Arial" w:hAnsi="Arial"/>
          <w:sz w:val="24"/>
          <w:szCs w:val="24"/>
        </w:rPr>
        <w:t>impact on their</w:t>
      </w:r>
      <w:r w:rsidR="003A563F" w:rsidRPr="007809AC">
        <w:rPr>
          <w:rFonts w:ascii="Arial" w:hAnsi="Arial"/>
          <w:sz w:val="24"/>
          <w:szCs w:val="24"/>
        </w:rPr>
        <w:t xml:space="preserve"> well-being </w:t>
      </w:r>
      <w:r w:rsidR="00D754B3" w:rsidRPr="007809AC">
        <w:rPr>
          <w:rFonts w:ascii="Arial" w:hAnsi="Arial"/>
          <w:sz w:val="24"/>
          <w:szCs w:val="24"/>
        </w:rPr>
        <w:t xml:space="preserve">as well as </w:t>
      </w:r>
      <w:r w:rsidRPr="007809AC">
        <w:rPr>
          <w:rFonts w:ascii="Arial" w:hAnsi="Arial"/>
          <w:sz w:val="24"/>
          <w:szCs w:val="24"/>
        </w:rPr>
        <w:t>daily social, family, and occupational activities.</w:t>
      </w:r>
    </w:p>
    <w:p w14:paraId="7EF9238D" w14:textId="36D5D7AD" w:rsidR="00D00999" w:rsidRPr="007809AC" w:rsidRDefault="00D13F0A">
      <w:pPr>
        <w:spacing w:line="360" w:lineRule="auto"/>
        <w:jc w:val="both"/>
        <w:rPr>
          <w:sz w:val="24"/>
          <w:szCs w:val="24"/>
          <w:highlight w:val="magenta"/>
        </w:rPr>
      </w:pPr>
      <w:r w:rsidRPr="007809AC">
        <w:rPr>
          <w:rFonts w:ascii="Arial" w:hAnsi="Arial"/>
          <w:sz w:val="24"/>
          <w:szCs w:val="24"/>
        </w:rPr>
        <w:t xml:space="preserve">Primary masticatory impairments were commonly reported by participants, with </w:t>
      </w:r>
      <w:r w:rsidR="00293D04" w:rsidRPr="007809AC">
        <w:rPr>
          <w:rFonts w:ascii="Arial" w:hAnsi="Arial"/>
          <w:sz w:val="24"/>
          <w:szCs w:val="24"/>
        </w:rPr>
        <w:t>those</w:t>
      </w:r>
      <w:r w:rsidRPr="007809AC">
        <w:rPr>
          <w:rFonts w:ascii="Arial" w:hAnsi="Arial"/>
          <w:sz w:val="24"/>
          <w:szCs w:val="24"/>
        </w:rPr>
        <w:t xml:space="preserve"> who were able to complete the TOMASS</w:t>
      </w:r>
      <w:r w:rsidR="00293D04" w:rsidRPr="007809AC">
        <w:rPr>
          <w:rFonts w:ascii="Arial" w:hAnsi="Arial"/>
          <w:sz w:val="24"/>
          <w:szCs w:val="24"/>
        </w:rPr>
        <w:t xml:space="preserve"> requiring</w:t>
      </w:r>
      <w:r w:rsidRPr="007809AC">
        <w:rPr>
          <w:rFonts w:ascii="Arial" w:hAnsi="Arial"/>
          <w:sz w:val="24"/>
          <w:szCs w:val="24"/>
        </w:rPr>
        <w:t xml:space="preserve"> more masticatory cycles per bite than healthy normal individuals</w:t>
      </w:r>
      <w:r w:rsidR="0046030F" w:rsidRPr="007809AC">
        <w:rPr>
          <w:rFonts w:ascii="Arial" w:hAnsi="Arial"/>
          <w:sz w:val="24"/>
          <w:szCs w:val="24"/>
        </w:rPr>
        <w:fldChar w:fldCharType="begin"/>
      </w:r>
      <w:r w:rsidR="0046030F" w:rsidRPr="007809AC">
        <w:rPr>
          <w:rFonts w:ascii="Arial" w:hAnsi="Arial"/>
          <w:sz w:val="24"/>
          <w:szCs w:val="24"/>
        </w:rPr>
        <w:instrText xml:space="preserve"> ADDIN ZOTERO_ITEM CSL_CITATION {"citationID":"wuEbV7f4","properties":{"formattedCitation":"(26)","plainCitation":"(26)","noteIndex":0},"citationItems":[{"id":867,"uris":["http://zotero.org/users/local/nlzVUL7s/items/YP5QVRX4"],"uri":["http://zotero.org/users/local/nlzVUL7s/items/YP5QVRX4"],"itemData":{"id":867,"type":"article-journal","title":"The Test of Masticating and Swallowing Solids (TOMASS): reliability, validity and international normative data","container-title":"International Journal of Language &amp; Communication Disorders","page":"144-156","volume":"53","issue":"1","source":"PubMed","abstract":"BACKGROUND: Clinical swallowing assessment is largely limited to qualitative assessment of behavioural observations. There are limited quantitative data that can be compared with a healthy population for identification of impairment. The Test of Masticating and Swallowing Solids (TOMASS) was developed as a quantitative assessment of solid bolus ingestion.\nAIMS: This research programme investigated test development indices and established normative data for the TOMASS to support translation to clinical dysphagia assessment.\nMETHODS &amp; PROCEDURES: A total of 228 healthy adults (ages 20-80+ years) stratified by age and sex participated in one or more of four consecutive studies evaluating test-retest and interrater reliability and validity to instrumental assessment. For each study the test required participants to ingest a commercially available cracker with instructions to 'eat this as quickly as is comfortably possible'. Further averaged measures were derived including the number of masticatory cycles and swallows per bite, and time per bite, masticatory cycle and swallow. Initial analyses identified significant differences on salient measures between two commercially available crackers that are nearly identical in shape, size and ingredients, suggesting the need for separate normative samples for specific regional products. Additional analyses on a single cracker identified that the TOMASS was sensitive at detecting changes in performance based on age and sex. Test-retest reliability across days and interrater reliability between clinicians was high, as was validation of observational measures to instrumental correlates of the same behaviours. Therefore, normative data are provided for the TOMASS from a minimum of 80 healthy controls, stratified by age and sex, for each of seven commercially available crackers from broad regions worldwide.\nOUTCOMES &amp; RESULTS: Analyses on a single cracker identified Arnott's Salada, and that TOMASS measures were sensitive for detecting changes in performance based on age and sex. Interrater and test-retest reliability across days were high, as was validation of observational measures to instrumental correlates of the same behaviours. Significant differences were identified between two commercially available crackers, nearly identical in shape, size and ingredients, thus normative samples for specific regional products were required. Normative data were then acquired for the TOMASS from a minimum of 80 healthy controls, stratified by age and sex, for each of seven commercially available crackers from broad regions worldwide.\nCONCLUSIONS &amp; IMPLICATIONS: The TOMASS is presented as a valid, reliable and broadly normed clinical assessment of solid bolus ingestion. Clinical application may help identify dysphagic patients at bedside and provide a non-invasive, but sensitive, measure of functional change in swallowing.","DOI":"10.1111/1460-6984.12332","ISSN":"1460-6984","note":"PMID: 28677236","shortTitle":"The Test of Masticating and Swallowing Solids (TOMASS)","journalAbbreviation":"Int J Lang Commun Disord","language":"eng","author":[{"family":"Huckabee","given":"Maggie-Lee"},{"family":"McIntosh","given":"Theresa"},{"family":"Fuller","given":"Laura"},{"family":"Curry","given":"Morgan"},{"family":"Thomas","given":"Paige"},{"family":"Walshe","given":"Margaret"},{"family":"McCague","given":"Ellen"},{"family":"Battel","given":"Irene"},{"family":"Nogueira","given":"Dalia"},{"family":"Frank","given":"Ulrike"},{"family":"Engel-Hoek","given":"Lenie","non-dropping-particle":"van den"},{"family":"Sella-Weiss","given":"Oshrat"}],"issued":{"date-parts":[["2018",1]]}}}],"schema":"https://github.com/citation-style-language/schema/raw/master/csl-citation.json"} </w:instrText>
      </w:r>
      <w:r w:rsidR="0046030F" w:rsidRPr="007809AC">
        <w:rPr>
          <w:rFonts w:ascii="Arial" w:hAnsi="Arial"/>
          <w:sz w:val="24"/>
          <w:szCs w:val="24"/>
        </w:rPr>
        <w:fldChar w:fldCharType="separate"/>
      </w:r>
      <w:r w:rsidR="0046030F" w:rsidRPr="007809AC">
        <w:rPr>
          <w:rFonts w:ascii="Arial" w:hAnsi="Arial" w:cs="Arial"/>
          <w:sz w:val="24"/>
          <w:szCs w:val="24"/>
        </w:rPr>
        <w:t>(26)</w:t>
      </w:r>
      <w:r w:rsidR="0046030F" w:rsidRPr="007809AC">
        <w:rPr>
          <w:rFonts w:ascii="Arial" w:hAnsi="Arial"/>
          <w:sz w:val="24"/>
          <w:szCs w:val="24"/>
        </w:rPr>
        <w:fldChar w:fldCharType="end"/>
      </w:r>
      <w:r w:rsidRPr="007809AC">
        <w:rPr>
          <w:rFonts w:ascii="Arial" w:hAnsi="Arial"/>
          <w:sz w:val="24"/>
          <w:szCs w:val="24"/>
        </w:rPr>
        <w:t>. It is hypothesized that this may be associated with reduced force and effectiveness of masticatory cycles secondary to limited TMJ ROM, pain, and</w:t>
      </w:r>
      <w:r w:rsidR="002D05DD" w:rsidRPr="007809AC">
        <w:rPr>
          <w:rFonts w:ascii="Arial" w:hAnsi="Arial"/>
          <w:sz w:val="24"/>
          <w:szCs w:val="24"/>
        </w:rPr>
        <w:t>/or</w:t>
      </w:r>
      <w:r w:rsidRPr="007809AC">
        <w:rPr>
          <w:rFonts w:ascii="Arial" w:hAnsi="Arial"/>
          <w:sz w:val="24"/>
          <w:szCs w:val="24"/>
        </w:rPr>
        <w:t xml:space="preserve"> fatigue. However, in addition, participants also required more swallows than </w:t>
      </w:r>
      <w:r w:rsidR="00D754B3" w:rsidRPr="007809AC">
        <w:rPr>
          <w:rFonts w:ascii="Arial" w:hAnsi="Arial"/>
          <w:sz w:val="24"/>
          <w:szCs w:val="24"/>
        </w:rPr>
        <w:t>people without TMD</w:t>
      </w:r>
      <w:r w:rsidR="008367B7" w:rsidRPr="007809AC">
        <w:rPr>
          <w:rFonts w:ascii="Arial" w:hAnsi="Arial"/>
          <w:sz w:val="24"/>
          <w:szCs w:val="24"/>
        </w:rPr>
        <w:t>s</w:t>
      </w:r>
      <w:r w:rsidR="00D754B3" w:rsidRPr="007809AC">
        <w:rPr>
          <w:rFonts w:ascii="Arial" w:hAnsi="Arial"/>
          <w:sz w:val="24"/>
          <w:szCs w:val="24"/>
        </w:rPr>
        <w:t xml:space="preserve"> </w:t>
      </w:r>
      <w:r w:rsidRPr="007809AC">
        <w:rPr>
          <w:rFonts w:ascii="Arial" w:hAnsi="Arial"/>
          <w:sz w:val="24"/>
          <w:szCs w:val="24"/>
        </w:rPr>
        <w:t>to clear solid boluses from the oropharyngeal cavity, potentially due to boluses not being adequately masticated and causing subsequent transit difficulties. These findings may also be associated with subjective reports</w:t>
      </w:r>
      <w:r w:rsidR="00D754B3" w:rsidRPr="007809AC">
        <w:rPr>
          <w:rFonts w:ascii="Arial" w:hAnsi="Arial"/>
          <w:sz w:val="24"/>
          <w:szCs w:val="24"/>
        </w:rPr>
        <w:t xml:space="preserve"> by</w:t>
      </w:r>
      <w:r w:rsidRPr="007809AC">
        <w:rPr>
          <w:rFonts w:ascii="Arial" w:hAnsi="Arial"/>
          <w:sz w:val="24"/>
          <w:szCs w:val="24"/>
        </w:rPr>
        <w:t xml:space="preserve"> participants </w:t>
      </w:r>
      <w:r w:rsidR="008367B7" w:rsidRPr="007809AC">
        <w:rPr>
          <w:rFonts w:ascii="Arial" w:hAnsi="Arial"/>
          <w:sz w:val="24"/>
          <w:szCs w:val="24"/>
        </w:rPr>
        <w:t>about</w:t>
      </w:r>
      <w:r w:rsidR="00D754B3" w:rsidRPr="007809AC">
        <w:rPr>
          <w:rFonts w:ascii="Arial" w:hAnsi="Arial"/>
          <w:sz w:val="24"/>
          <w:szCs w:val="24"/>
        </w:rPr>
        <w:t xml:space="preserve"> </w:t>
      </w:r>
      <w:r w:rsidRPr="007809AC">
        <w:rPr>
          <w:rFonts w:ascii="Arial" w:hAnsi="Arial"/>
          <w:sz w:val="24"/>
          <w:szCs w:val="24"/>
        </w:rPr>
        <w:t>requiring multiple swallows (n=73/ 58%), liquid washdowns (n=86/ 68%), and altered swallow movemen</w:t>
      </w:r>
      <w:r w:rsidR="00293D04" w:rsidRPr="007809AC">
        <w:rPr>
          <w:rFonts w:ascii="Arial" w:hAnsi="Arial"/>
          <w:sz w:val="24"/>
          <w:szCs w:val="24"/>
        </w:rPr>
        <w:t>ts (n=85/ 67%) to clear boluses. Y</w:t>
      </w:r>
      <w:r w:rsidRPr="007809AC">
        <w:rPr>
          <w:rFonts w:ascii="Arial" w:hAnsi="Arial"/>
          <w:sz w:val="24"/>
          <w:szCs w:val="24"/>
        </w:rPr>
        <w:t>et</w:t>
      </w:r>
      <w:r w:rsidR="00293D04" w:rsidRPr="007809AC">
        <w:rPr>
          <w:rFonts w:ascii="Arial" w:hAnsi="Arial"/>
          <w:sz w:val="24"/>
          <w:szCs w:val="24"/>
        </w:rPr>
        <w:t xml:space="preserve">, </w:t>
      </w:r>
      <w:r w:rsidRPr="007809AC">
        <w:rPr>
          <w:rFonts w:ascii="Arial" w:hAnsi="Arial"/>
          <w:sz w:val="24"/>
          <w:szCs w:val="24"/>
        </w:rPr>
        <w:t>even with th</w:t>
      </w:r>
      <w:r w:rsidR="00293D04" w:rsidRPr="007809AC">
        <w:rPr>
          <w:rFonts w:ascii="Arial" w:hAnsi="Arial"/>
          <w:sz w:val="24"/>
          <w:szCs w:val="24"/>
        </w:rPr>
        <w:t>ese alterations, almost half</w:t>
      </w:r>
      <w:r w:rsidRPr="007809AC">
        <w:rPr>
          <w:rFonts w:ascii="Arial" w:hAnsi="Arial"/>
          <w:sz w:val="24"/>
          <w:szCs w:val="24"/>
        </w:rPr>
        <w:t xml:space="preserve"> </w:t>
      </w:r>
      <w:r w:rsidR="00D754B3" w:rsidRPr="007809AC">
        <w:rPr>
          <w:rFonts w:ascii="Arial" w:hAnsi="Arial"/>
          <w:sz w:val="24"/>
          <w:szCs w:val="24"/>
        </w:rPr>
        <w:t xml:space="preserve">reported a </w:t>
      </w:r>
      <w:r w:rsidRPr="007809AC">
        <w:rPr>
          <w:rFonts w:ascii="Arial" w:hAnsi="Arial"/>
          <w:sz w:val="24"/>
          <w:szCs w:val="24"/>
        </w:rPr>
        <w:t>strangling sensation during swallowing (n=60/ 48%) and up to 31% (n=39) report</w:t>
      </w:r>
      <w:r w:rsidR="00D754B3" w:rsidRPr="007809AC">
        <w:rPr>
          <w:rFonts w:ascii="Arial" w:hAnsi="Arial"/>
          <w:sz w:val="24"/>
          <w:szCs w:val="24"/>
        </w:rPr>
        <w:t>ed</w:t>
      </w:r>
      <w:r w:rsidRPr="007809AC">
        <w:rPr>
          <w:rFonts w:ascii="Arial" w:hAnsi="Arial"/>
          <w:sz w:val="24"/>
          <w:szCs w:val="24"/>
        </w:rPr>
        <w:t xml:space="preserve"> coughing on solid boluses. This suggests the </w:t>
      </w:r>
      <w:r w:rsidR="00D754B3" w:rsidRPr="007809AC">
        <w:rPr>
          <w:rFonts w:ascii="Arial" w:hAnsi="Arial"/>
          <w:sz w:val="24"/>
          <w:szCs w:val="24"/>
        </w:rPr>
        <w:t xml:space="preserve">possible </w:t>
      </w:r>
      <w:r w:rsidRPr="007809AC">
        <w:rPr>
          <w:rFonts w:ascii="Arial" w:hAnsi="Arial"/>
          <w:sz w:val="24"/>
          <w:szCs w:val="24"/>
        </w:rPr>
        <w:t xml:space="preserve">use of objective functional assessments of eating and swallowing in future research and practice in order to </w:t>
      </w:r>
      <w:r w:rsidR="00D754B3" w:rsidRPr="007809AC">
        <w:rPr>
          <w:rFonts w:ascii="Arial" w:hAnsi="Arial"/>
          <w:sz w:val="24"/>
          <w:szCs w:val="24"/>
        </w:rPr>
        <w:t xml:space="preserve">increase </w:t>
      </w:r>
      <w:r w:rsidRPr="007809AC">
        <w:rPr>
          <w:rFonts w:ascii="Arial" w:hAnsi="Arial"/>
          <w:sz w:val="24"/>
          <w:szCs w:val="24"/>
        </w:rPr>
        <w:t>accuracy of assessment</w:t>
      </w:r>
      <w:r w:rsidR="00841AB0" w:rsidRPr="007809AC">
        <w:rPr>
          <w:rFonts w:ascii="Arial" w:hAnsi="Arial"/>
          <w:sz w:val="24"/>
          <w:szCs w:val="24"/>
        </w:rPr>
        <w:t xml:space="preserve">, and reduce the potential for </w:t>
      </w:r>
      <w:r w:rsidR="00D754B3" w:rsidRPr="007809AC">
        <w:rPr>
          <w:rFonts w:ascii="Arial" w:hAnsi="Arial"/>
          <w:sz w:val="24"/>
          <w:szCs w:val="24"/>
        </w:rPr>
        <w:t xml:space="preserve">adverse events </w:t>
      </w:r>
      <w:r w:rsidR="00841AB0" w:rsidRPr="007809AC">
        <w:rPr>
          <w:rFonts w:ascii="Arial" w:hAnsi="Arial"/>
          <w:sz w:val="24"/>
          <w:szCs w:val="24"/>
        </w:rPr>
        <w:t>such as choking</w:t>
      </w:r>
      <w:r w:rsidRPr="007809AC">
        <w:rPr>
          <w:rFonts w:ascii="Arial" w:hAnsi="Arial"/>
          <w:sz w:val="24"/>
          <w:szCs w:val="24"/>
        </w:rPr>
        <w:t xml:space="preserve">. In addition, </w:t>
      </w:r>
      <w:r w:rsidR="00D754B3" w:rsidRPr="007809AC">
        <w:rPr>
          <w:rFonts w:ascii="Arial" w:hAnsi="Arial"/>
          <w:sz w:val="24"/>
          <w:szCs w:val="24"/>
        </w:rPr>
        <w:t xml:space="preserve">further studies should </w:t>
      </w:r>
      <w:r w:rsidRPr="007809AC">
        <w:rPr>
          <w:rFonts w:ascii="Arial" w:hAnsi="Arial"/>
          <w:sz w:val="24"/>
          <w:szCs w:val="24"/>
        </w:rPr>
        <w:t>to determine the need to integrate</w:t>
      </w:r>
      <w:r w:rsidR="001D714E" w:rsidRPr="007809AC">
        <w:rPr>
          <w:rFonts w:ascii="Arial" w:hAnsi="Arial"/>
          <w:sz w:val="24"/>
          <w:szCs w:val="24"/>
        </w:rPr>
        <w:t xml:space="preserve"> clinical specialists such as</w:t>
      </w:r>
      <w:r w:rsidRPr="007809AC">
        <w:rPr>
          <w:rFonts w:ascii="Arial" w:hAnsi="Arial"/>
          <w:sz w:val="24"/>
          <w:szCs w:val="24"/>
        </w:rPr>
        <w:t xml:space="preserve"> </w:t>
      </w:r>
      <w:r w:rsidR="00C6787A" w:rsidRPr="007809AC">
        <w:rPr>
          <w:rFonts w:ascii="Arial" w:hAnsi="Arial"/>
          <w:sz w:val="24"/>
          <w:szCs w:val="24"/>
        </w:rPr>
        <w:t>SLTs</w:t>
      </w:r>
      <w:r w:rsidRPr="007809AC">
        <w:rPr>
          <w:rFonts w:ascii="Arial" w:hAnsi="Arial"/>
          <w:sz w:val="24"/>
          <w:szCs w:val="24"/>
        </w:rPr>
        <w:t xml:space="preserve"> into future TMD </w:t>
      </w:r>
      <w:r w:rsidR="001D714E" w:rsidRPr="007809AC">
        <w:rPr>
          <w:rFonts w:ascii="Arial" w:hAnsi="Arial"/>
          <w:sz w:val="24"/>
          <w:szCs w:val="24"/>
        </w:rPr>
        <w:t>multi-disciplinary teams (</w:t>
      </w:r>
      <w:r w:rsidRPr="007809AC">
        <w:rPr>
          <w:rFonts w:ascii="Arial" w:hAnsi="Arial"/>
          <w:sz w:val="24"/>
          <w:szCs w:val="24"/>
        </w:rPr>
        <w:t>MDTs</w:t>
      </w:r>
      <w:r w:rsidR="001D714E" w:rsidRPr="007809AC">
        <w:rPr>
          <w:rFonts w:ascii="Arial" w:hAnsi="Arial"/>
          <w:sz w:val="24"/>
          <w:szCs w:val="24"/>
        </w:rPr>
        <w:t>)</w:t>
      </w:r>
      <w:r w:rsidRPr="007809AC">
        <w:rPr>
          <w:rFonts w:ascii="Arial" w:hAnsi="Arial"/>
          <w:sz w:val="24"/>
          <w:szCs w:val="24"/>
        </w:rPr>
        <w:t xml:space="preserve"> in order to appropriately manage </w:t>
      </w:r>
      <w:r w:rsidR="00D754B3" w:rsidRPr="007809AC">
        <w:rPr>
          <w:rFonts w:ascii="Arial" w:hAnsi="Arial"/>
          <w:sz w:val="24"/>
          <w:szCs w:val="24"/>
        </w:rPr>
        <w:t xml:space="preserve">eating and swallowing </w:t>
      </w:r>
      <w:r w:rsidRPr="007809AC">
        <w:rPr>
          <w:rFonts w:ascii="Arial" w:hAnsi="Arial"/>
          <w:sz w:val="24"/>
          <w:szCs w:val="24"/>
        </w:rPr>
        <w:t>difficulties.</w:t>
      </w:r>
    </w:p>
    <w:p w14:paraId="618B4FBE" w14:textId="21B92529" w:rsidR="00F71F78" w:rsidRPr="007809AC" w:rsidRDefault="00D13F0A">
      <w:pPr>
        <w:spacing w:line="360" w:lineRule="auto"/>
        <w:jc w:val="both"/>
        <w:rPr>
          <w:sz w:val="24"/>
          <w:szCs w:val="24"/>
        </w:rPr>
      </w:pPr>
      <w:r w:rsidRPr="007809AC">
        <w:rPr>
          <w:rFonts w:ascii="Arial" w:hAnsi="Arial"/>
          <w:sz w:val="24"/>
          <w:szCs w:val="24"/>
        </w:rPr>
        <w:t>This research provide</w:t>
      </w:r>
      <w:r w:rsidR="00D754B3" w:rsidRPr="007809AC">
        <w:rPr>
          <w:rFonts w:ascii="Arial" w:hAnsi="Arial"/>
          <w:sz w:val="24"/>
          <w:szCs w:val="24"/>
        </w:rPr>
        <w:t>s</w:t>
      </w:r>
      <w:r w:rsidRPr="007809AC">
        <w:rPr>
          <w:rFonts w:ascii="Arial" w:hAnsi="Arial"/>
          <w:sz w:val="24"/>
          <w:szCs w:val="24"/>
        </w:rPr>
        <w:t xml:space="preserve"> new information on the impact of TMD-related eating and swallowing problems on physical functioning and psychosocial well-being. </w:t>
      </w:r>
      <w:r w:rsidR="00293D04" w:rsidRPr="007809AC">
        <w:rPr>
          <w:rFonts w:ascii="Arial" w:hAnsi="Arial"/>
          <w:sz w:val="24"/>
          <w:szCs w:val="24"/>
        </w:rPr>
        <w:t>T</w:t>
      </w:r>
      <w:r w:rsidRPr="007809AC">
        <w:rPr>
          <w:rFonts w:ascii="Arial" w:hAnsi="Arial"/>
          <w:sz w:val="24"/>
          <w:szCs w:val="24"/>
        </w:rPr>
        <w:t>hese eating and swallowing problems have the potential to reduce an individual’s opportunities for activity and participation in social and professional contexts, which may subsequently impact on their self-construct, identity, and self-esteem. As chronic pain conditions and psychosocial well-being are established to be symbiotic entities</w:t>
      </w:r>
      <w:r w:rsidR="0046030F" w:rsidRPr="007809AC">
        <w:rPr>
          <w:rFonts w:ascii="Arial" w:hAnsi="Arial"/>
          <w:sz w:val="24"/>
          <w:szCs w:val="24"/>
        </w:rPr>
        <w:fldChar w:fldCharType="begin"/>
      </w:r>
      <w:r w:rsidR="0046030F" w:rsidRPr="007809AC">
        <w:rPr>
          <w:rFonts w:ascii="Arial" w:hAnsi="Arial"/>
          <w:sz w:val="24"/>
          <w:szCs w:val="24"/>
        </w:rPr>
        <w:instrText xml:space="preserve"> ADDIN ZOTERO_ITEM CSL_CITATION {"citationID":"5O9dcSrc","properties":{"formattedCitation":"(30,31)","plainCitation":"(30,31)","noteIndex":0},"citationItems":[{"id":1170,"uris":["http://zotero.org/users/local/nlzVUL7s/items/GSGBWH5V"],"uri":["http://zotero.org/users/local/nlzVUL7s/items/GSGBWH5V"],"itemData":{"id":1170,"type":"article-journal","title":"The impact of pain on quality of life. A decade of research","container-title":"The Nursing Clinics of North America","page":"609-624","volume":"30","issue":"4","source":"PubMed","abstract":"Pain and the quality of life are closely related. This article summarizes a series of studies conducted over the last decade contributing to the understanding of the pain and quality of life relationship. Details about the meaning of pain, the experience of pain in children, and the impact of pain on the family are presented. Information obtained from research studies led to the development of pain education programs that strengthen direct nursing care of patients and families experiencing cancer pain.","ISSN":"0029-6465","note":"PMID: 7501531","journalAbbreviation":"Nurs. Clin. North Am.","language":"eng","author":[{"family":"Ferrell","given":"B. R."}],"issued":{"date-parts":[["1995",12]]}}},{"id":1172,"uris":["http://zotero.org/users/local/nlzVUL7s/items/UFL5R6GW"],"uri":["http://zotero.org/users/local/nlzVUL7s/items/UFL5R6GW"],"itemData":{"id":1172,"type":"article-journal","title":"The impact of dental and facial pain","container-title":"Journal of Dental Research","page":"1414-1417","volume":"66","issue":"9","source":"PubMed","abstract":"This paper presents data from a mail survey on dental and facial pain. The survey was conducted in the City of Toronto in 1986. The aim of the study was to obtain estimates of the prevalence of such pain and its impact on daily life. A random sample of 1014 names was drawn from the voters' list, and, as a result of four mailings, information was obtained on 71.6% of the eligible sample. Of those returning questionnaires, 39.7% reported dental or facial pain in the previous four weeks. A psychological impact in the form of worry or concern was reported by 70.3% of those experiencing pain, while 58.0% reported one or more behavioral impacts. The most common behavioral impacts were consulting a dentist or doctor, avoiding certain foods, taking medication, and disturbance of sleep. Severe behavioral impacts such as work disability, need for bed rest, and reduced social contacts were also reported by some of those having pain. The results suggest that dental and facial pain imposes a significant burden on the community. Further research is indicated, with more sensitive impact measures being used.","DOI":"10.1177/00220345870660090101","ISSN":"0022-0345","note":"PMID: 3476612","journalAbbreviation":"J. Dent. Res.","language":"eng","author":[{"family":"Locker","given":"D."},{"family":"Grushka","given":"M."}],"issued":{"date-parts":[["1987",9]]}}}],"schema":"https://github.com/citation-style-language/schema/raw/master/csl-citation.json"} </w:instrText>
      </w:r>
      <w:r w:rsidR="0046030F" w:rsidRPr="007809AC">
        <w:rPr>
          <w:rFonts w:ascii="Arial" w:hAnsi="Arial"/>
          <w:sz w:val="24"/>
          <w:szCs w:val="24"/>
        </w:rPr>
        <w:fldChar w:fldCharType="separate"/>
      </w:r>
      <w:r w:rsidR="0046030F" w:rsidRPr="007809AC">
        <w:rPr>
          <w:rFonts w:ascii="Arial" w:hAnsi="Arial" w:cs="Arial"/>
          <w:sz w:val="24"/>
          <w:szCs w:val="24"/>
        </w:rPr>
        <w:t>(30,31)</w:t>
      </w:r>
      <w:r w:rsidR="0046030F" w:rsidRPr="007809AC">
        <w:rPr>
          <w:rFonts w:ascii="Arial" w:hAnsi="Arial"/>
          <w:sz w:val="24"/>
          <w:szCs w:val="24"/>
        </w:rPr>
        <w:fldChar w:fldCharType="end"/>
      </w:r>
      <w:r w:rsidRPr="007809AC">
        <w:rPr>
          <w:rFonts w:ascii="Arial" w:hAnsi="Arial"/>
          <w:sz w:val="24"/>
          <w:szCs w:val="24"/>
        </w:rPr>
        <w:t>, this data may inform the need for future research into the impact of these problems and investigations of potential management techniques.</w:t>
      </w:r>
    </w:p>
    <w:p w14:paraId="387F06FD" w14:textId="77777777" w:rsidR="00F71F78" w:rsidRPr="007809AC" w:rsidRDefault="00D13F0A">
      <w:pPr>
        <w:spacing w:before="240" w:line="360" w:lineRule="auto"/>
        <w:jc w:val="both"/>
        <w:rPr>
          <w:rFonts w:ascii="Arial" w:hAnsi="Arial" w:cs="Arial"/>
          <w:i/>
          <w:sz w:val="24"/>
          <w:szCs w:val="24"/>
        </w:rPr>
      </w:pPr>
      <w:r w:rsidRPr="007809AC">
        <w:rPr>
          <w:rFonts w:ascii="Arial" w:hAnsi="Arial" w:cs="Arial"/>
          <w:i/>
          <w:sz w:val="24"/>
          <w:szCs w:val="24"/>
        </w:rPr>
        <w:t>Limitations</w:t>
      </w:r>
    </w:p>
    <w:p w14:paraId="7C3BDF04" w14:textId="188D6297" w:rsidR="00F71F78" w:rsidRPr="007809AC" w:rsidRDefault="007068B3">
      <w:pPr>
        <w:spacing w:before="240" w:line="360" w:lineRule="auto"/>
        <w:jc w:val="both"/>
        <w:rPr>
          <w:rFonts w:ascii="Arial" w:hAnsi="Arial" w:cs="Arial"/>
          <w:sz w:val="24"/>
          <w:szCs w:val="24"/>
        </w:rPr>
      </w:pPr>
      <w:r w:rsidRPr="007809AC">
        <w:rPr>
          <w:rFonts w:ascii="Arial" w:hAnsi="Arial" w:cs="Arial"/>
          <w:sz w:val="24"/>
          <w:szCs w:val="24"/>
        </w:rPr>
        <w:t>To begin, while broad eligibility criteria aimed to allow for the recruitment of a representative sample, there is the potential that certain other co-morbidities which were not investigated while taking the case history or conducting the orofacial examinations did not cause participants to be excluded (e.g.: psychological disorders, dental abnormalities,</w:t>
      </w:r>
      <w:r w:rsidR="002A1F37" w:rsidRPr="007809AC">
        <w:rPr>
          <w:rFonts w:ascii="Arial" w:hAnsi="Arial" w:cs="Arial"/>
          <w:sz w:val="24"/>
          <w:szCs w:val="24"/>
        </w:rPr>
        <w:t xml:space="preserve"> macroglossia,</w:t>
      </w:r>
      <w:r w:rsidRPr="007809AC">
        <w:rPr>
          <w:rFonts w:ascii="Arial" w:hAnsi="Arial" w:cs="Arial"/>
          <w:sz w:val="24"/>
          <w:szCs w:val="24"/>
        </w:rPr>
        <w:t xml:space="preserve"> tooth loss, use of dental prostheses</w:t>
      </w:r>
      <w:r w:rsidR="002A1F37" w:rsidRPr="007809AC">
        <w:rPr>
          <w:rFonts w:ascii="Arial" w:hAnsi="Arial" w:cs="Arial"/>
          <w:sz w:val="24"/>
          <w:szCs w:val="24"/>
        </w:rPr>
        <w:t>/dentures</w:t>
      </w:r>
      <w:r w:rsidRPr="007809AC">
        <w:rPr>
          <w:rFonts w:ascii="Arial" w:hAnsi="Arial" w:cs="Arial"/>
          <w:sz w:val="24"/>
          <w:szCs w:val="24"/>
        </w:rPr>
        <w:t>, oropharyngeal inflammation etc) may also cause eating and drinking difficulties, thus skewing results. In addition, it</w:t>
      </w:r>
      <w:r w:rsidR="00D754B3" w:rsidRPr="007809AC">
        <w:rPr>
          <w:rFonts w:ascii="Arial" w:hAnsi="Arial" w:cs="Arial"/>
          <w:sz w:val="24"/>
          <w:szCs w:val="24"/>
        </w:rPr>
        <w:t xml:space="preserve"> must be recognised that f</w:t>
      </w:r>
      <w:r w:rsidR="00D13F0A" w:rsidRPr="007809AC">
        <w:rPr>
          <w:rFonts w:ascii="Arial" w:hAnsi="Arial" w:cs="Arial"/>
          <w:sz w:val="24"/>
          <w:szCs w:val="24"/>
        </w:rPr>
        <w:t xml:space="preserve">indings </w:t>
      </w:r>
      <w:r w:rsidR="00D754B3" w:rsidRPr="007809AC">
        <w:rPr>
          <w:rFonts w:ascii="Arial" w:hAnsi="Arial" w:cs="Arial"/>
          <w:sz w:val="24"/>
          <w:szCs w:val="24"/>
        </w:rPr>
        <w:t>are</w:t>
      </w:r>
      <w:r w:rsidR="00D13F0A" w:rsidRPr="007809AC">
        <w:rPr>
          <w:rFonts w:ascii="Arial" w:hAnsi="Arial" w:cs="Arial"/>
          <w:sz w:val="24"/>
          <w:szCs w:val="24"/>
        </w:rPr>
        <w:t xml:space="preserve"> based on</w:t>
      </w:r>
      <w:r w:rsidRPr="007809AC">
        <w:rPr>
          <w:rFonts w:ascii="Arial" w:hAnsi="Arial" w:cs="Arial"/>
          <w:sz w:val="24"/>
          <w:szCs w:val="24"/>
        </w:rPr>
        <w:t>ly on</w:t>
      </w:r>
      <w:r w:rsidR="00D13F0A" w:rsidRPr="007809AC">
        <w:rPr>
          <w:rFonts w:ascii="Arial" w:hAnsi="Arial" w:cs="Arial"/>
          <w:sz w:val="24"/>
          <w:szCs w:val="24"/>
        </w:rPr>
        <w:t xml:space="preserve"> treatment-seeking participants presenting to specialist care centres. Therefore</w:t>
      </w:r>
      <w:r w:rsidR="00293D04" w:rsidRPr="007809AC">
        <w:rPr>
          <w:rFonts w:ascii="Arial" w:hAnsi="Arial" w:cs="Arial"/>
          <w:sz w:val="24"/>
          <w:szCs w:val="24"/>
        </w:rPr>
        <w:t>,</w:t>
      </w:r>
      <w:r w:rsidR="00D13F0A" w:rsidRPr="007809AC">
        <w:rPr>
          <w:rFonts w:ascii="Arial" w:hAnsi="Arial" w:cs="Arial"/>
          <w:sz w:val="24"/>
          <w:szCs w:val="24"/>
        </w:rPr>
        <w:t xml:space="preserve"> symptom severity and/or vigilance of participants here may be higher than that of patients presenting to non-specialist settings or individuals independently managing their difficulties in the community, with resultant impact on findings, thus warranting further research within larger and more representative cohorts.</w:t>
      </w:r>
      <w:r w:rsidR="000311AE" w:rsidRPr="007809AC">
        <w:rPr>
          <w:rFonts w:ascii="Arial" w:hAnsi="Arial" w:cs="Arial"/>
          <w:sz w:val="24"/>
          <w:szCs w:val="24"/>
        </w:rPr>
        <w:t xml:space="preserve"> </w:t>
      </w:r>
    </w:p>
    <w:p w14:paraId="1FE784C1" w14:textId="77777777" w:rsidR="00F71F78" w:rsidRPr="007809AC" w:rsidRDefault="00D13F0A">
      <w:pPr>
        <w:spacing w:before="240" w:line="360" w:lineRule="auto"/>
        <w:jc w:val="both"/>
        <w:rPr>
          <w:rFonts w:ascii="Arial" w:hAnsi="Arial" w:cs="Arial"/>
          <w:i/>
          <w:sz w:val="24"/>
          <w:szCs w:val="24"/>
        </w:rPr>
      </w:pPr>
      <w:r w:rsidRPr="007809AC">
        <w:rPr>
          <w:rFonts w:ascii="Arial" w:hAnsi="Arial" w:cs="Arial"/>
          <w:i/>
          <w:sz w:val="24"/>
          <w:szCs w:val="24"/>
        </w:rPr>
        <w:t>Recommendations</w:t>
      </w:r>
    </w:p>
    <w:p w14:paraId="0FDCB3F6" w14:textId="1EDA53C6" w:rsidR="00F71F78" w:rsidRPr="007809AC" w:rsidRDefault="00711D23">
      <w:pPr>
        <w:spacing w:before="240" w:line="360" w:lineRule="auto"/>
        <w:jc w:val="both"/>
        <w:rPr>
          <w:rFonts w:ascii="Arial" w:hAnsi="Arial" w:cs="Arial"/>
          <w:sz w:val="24"/>
          <w:szCs w:val="24"/>
        </w:rPr>
      </w:pPr>
      <w:r w:rsidRPr="007809AC">
        <w:rPr>
          <w:rFonts w:ascii="Arial" w:hAnsi="Arial" w:cs="Arial"/>
          <w:sz w:val="24"/>
          <w:szCs w:val="24"/>
        </w:rPr>
        <w:t xml:space="preserve">It is recommended that </w:t>
      </w:r>
      <w:r w:rsidR="000146C9" w:rsidRPr="007809AC">
        <w:rPr>
          <w:rFonts w:ascii="Arial" w:hAnsi="Arial" w:cs="Arial"/>
          <w:sz w:val="24"/>
          <w:szCs w:val="24"/>
        </w:rPr>
        <w:t>f</w:t>
      </w:r>
      <w:r w:rsidR="00D13F0A" w:rsidRPr="007809AC">
        <w:rPr>
          <w:rFonts w:ascii="Arial" w:hAnsi="Arial" w:cs="Arial"/>
          <w:sz w:val="24"/>
          <w:szCs w:val="24"/>
        </w:rPr>
        <w:t xml:space="preserve">uture investigations recruit participants from general and community-based medical, dental, complementary, and allied health practices, in conjunction with recruitment of individuals who are self-managing symptoms, to ensure representativeness of findings. In addition, future research is recommended to determine the appropriateness of the new assessment protocol developed here and to validate it for clinical use with patients experiencing TMD-related eating and swallowing problems. </w:t>
      </w:r>
    </w:p>
    <w:p w14:paraId="20F0A1A9" w14:textId="77777777" w:rsidR="00F71F78" w:rsidRPr="007809AC" w:rsidRDefault="00D13F0A">
      <w:pPr>
        <w:spacing w:before="240" w:line="360" w:lineRule="auto"/>
        <w:jc w:val="both"/>
        <w:rPr>
          <w:sz w:val="24"/>
          <w:szCs w:val="24"/>
        </w:rPr>
      </w:pPr>
      <w:r w:rsidRPr="007809AC">
        <w:rPr>
          <w:rFonts w:ascii="Arial" w:hAnsi="Arial" w:cs="Arial"/>
          <w:b/>
          <w:sz w:val="24"/>
          <w:szCs w:val="24"/>
        </w:rPr>
        <w:t>CONCLUSION</w:t>
      </w:r>
    </w:p>
    <w:p w14:paraId="4A769A33" w14:textId="350F0C51" w:rsidR="00947FA4" w:rsidRPr="007809AC" w:rsidRDefault="00D13F0A">
      <w:pPr>
        <w:spacing w:line="360" w:lineRule="auto"/>
        <w:jc w:val="both"/>
        <w:rPr>
          <w:rFonts w:ascii="Arial" w:hAnsi="Arial"/>
          <w:sz w:val="24"/>
          <w:szCs w:val="24"/>
        </w:rPr>
      </w:pPr>
      <w:r w:rsidRPr="007809AC">
        <w:rPr>
          <w:rFonts w:ascii="Arial" w:hAnsi="Arial"/>
          <w:sz w:val="24"/>
          <w:szCs w:val="24"/>
        </w:rPr>
        <w:t xml:space="preserve">This study </w:t>
      </w:r>
      <w:r w:rsidR="00700EE6" w:rsidRPr="007809AC">
        <w:rPr>
          <w:rFonts w:ascii="Arial" w:hAnsi="Arial"/>
          <w:sz w:val="24"/>
          <w:szCs w:val="24"/>
        </w:rPr>
        <w:t>demonstrates</w:t>
      </w:r>
      <w:r w:rsidRPr="007809AC">
        <w:rPr>
          <w:rFonts w:ascii="Arial" w:hAnsi="Arial"/>
          <w:sz w:val="24"/>
          <w:szCs w:val="24"/>
        </w:rPr>
        <w:t xml:space="preserve"> that</w:t>
      </w:r>
      <w:r w:rsidR="001E4721" w:rsidRPr="007809AC">
        <w:rPr>
          <w:rFonts w:ascii="Arial" w:hAnsi="Arial"/>
          <w:sz w:val="24"/>
          <w:szCs w:val="24"/>
        </w:rPr>
        <w:t xml:space="preserve"> not only do</w:t>
      </w:r>
      <w:r w:rsidRPr="007809AC">
        <w:rPr>
          <w:rFonts w:ascii="Arial" w:hAnsi="Arial"/>
          <w:sz w:val="24"/>
          <w:szCs w:val="24"/>
        </w:rPr>
        <w:t xml:space="preserve"> adults with TMDs frequently </w:t>
      </w:r>
      <w:r w:rsidR="00700EE6" w:rsidRPr="007809AC">
        <w:rPr>
          <w:rFonts w:ascii="Arial" w:hAnsi="Arial"/>
          <w:sz w:val="24"/>
          <w:szCs w:val="24"/>
        </w:rPr>
        <w:t>report</w:t>
      </w:r>
      <w:r w:rsidRPr="007809AC">
        <w:rPr>
          <w:rFonts w:ascii="Arial" w:hAnsi="Arial"/>
          <w:sz w:val="24"/>
          <w:szCs w:val="24"/>
        </w:rPr>
        <w:t xml:space="preserve"> eating and swallowing problems as a result of oral preparatory masticatory impairments, </w:t>
      </w:r>
      <w:r w:rsidR="001E4721" w:rsidRPr="007809AC">
        <w:rPr>
          <w:rFonts w:ascii="Arial" w:hAnsi="Arial"/>
          <w:sz w:val="24"/>
          <w:szCs w:val="24"/>
        </w:rPr>
        <w:t>yet</w:t>
      </w:r>
      <w:r w:rsidRPr="007809AC">
        <w:rPr>
          <w:rFonts w:ascii="Arial" w:hAnsi="Arial"/>
          <w:sz w:val="24"/>
          <w:szCs w:val="24"/>
        </w:rPr>
        <w:t xml:space="preserve"> that these issue</w:t>
      </w:r>
      <w:r w:rsidR="0046030F" w:rsidRPr="007809AC">
        <w:rPr>
          <w:rFonts w:ascii="Arial" w:hAnsi="Arial"/>
          <w:sz w:val="24"/>
          <w:szCs w:val="24"/>
        </w:rPr>
        <w:t>s further impact on</w:t>
      </w:r>
      <w:r w:rsidRPr="007809AC">
        <w:rPr>
          <w:rFonts w:ascii="Arial" w:hAnsi="Arial"/>
          <w:sz w:val="24"/>
          <w:szCs w:val="24"/>
        </w:rPr>
        <w:t xml:space="preserve"> physical, functional, and emotional well-being</w:t>
      </w:r>
      <w:r w:rsidR="00700EE6" w:rsidRPr="007809AC">
        <w:rPr>
          <w:rFonts w:ascii="Arial" w:hAnsi="Arial"/>
          <w:sz w:val="24"/>
          <w:szCs w:val="24"/>
        </w:rPr>
        <w:t xml:space="preserve">, </w:t>
      </w:r>
      <w:r w:rsidR="0014682F" w:rsidRPr="007809AC">
        <w:rPr>
          <w:rFonts w:ascii="Arial" w:hAnsi="Arial"/>
          <w:sz w:val="24"/>
          <w:szCs w:val="24"/>
        </w:rPr>
        <w:t>in addition to limiting activity</w:t>
      </w:r>
      <w:r w:rsidR="00700EE6" w:rsidRPr="007809AC">
        <w:rPr>
          <w:rFonts w:ascii="Arial" w:hAnsi="Arial"/>
          <w:sz w:val="24"/>
          <w:szCs w:val="24"/>
        </w:rPr>
        <w:t xml:space="preserve"> and participation</w:t>
      </w:r>
      <w:r w:rsidRPr="007809AC">
        <w:rPr>
          <w:rFonts w:ascii="Arial" w:hAnsi="Arial"/>
          <w:sz w:val="24"/>
          <w:szCs w:val="24"/>
        </w:rPr>
        <w:t xml:space="preserve">. </w:t>
      </w:r>
      <w:r w:rsidR="00241D61" w:rsidRPr="007809AC">
        <w:rPr>
          <w:rFonts w:ascii="Arial" w:hAnsi="Arial"/>
          <w:sz w:val="24"/>
          <w:szCs w:val="24"/>
        </w:rPr>
        <w:t>F</w:t>
      </w:r>
      <w:r w:rsidRPr="007809AC">
        <w:rPr>
          <w:rFonts w:ascii="Arial" w:hAnsi="Arial"/>
          <w:sz w:val="24"/>
          <w:szCs w:val="24"/>
        </w:rPr>
        <w:t xml:space="preserve">uture research </w:t>
      </w:r>
      <w:r w:rsidR="00241D61" w:rsidRPr="007809AC">
        <w:rPr>
          <w:rFonts w:ascii="Arial" w:hAnsi="Arial"/>
          <w:sz w:val="24"/>
          <w:szCs w:val="24"/>
        </w:rPr>
        <w:t xml:space="preserve">should examine </w:t>
      </w:r>
      <w:r w:rsidRPr="007809AC">
        <w:rPr>
          <w:rFonts w:ascii="Arial" w:hAnsi="Arial"/>
          <w:sz w:val="24"/>
          <w:szCs w:val="24"/>
        </w:rPr>
        <w:t>clinical management of such issues to improve patient outcomes and well-being.</w:t>
      </w:r>
      <w:r w:rsidR="00241D61" w:rsidRPr="007809AC">
        <w:rPr>
          <w:rFonts w:ascii="Arial" w:hAnsi="Arial"/>
          <w:sz w:val="24"/>
          <w:szCs w:val="24"/>
        </w:rPr>
        <w:t xml:space="preserve"> Most importantly, </w:t>
      </w:r>
      <w:r w:rsidRPr="007809AC">
        <w:rPr>
          <w:rFonts w:ascii="Arial" w:hAnsi="Arial"/>
          <w:sz w:val="24"/>
          <w:szCs w:val="24"/>
        </w:rPr>
        <w:t>assessment protocol</w:t>
      </w:r>
      <w:r w:rsidR="00241D61" w:rsidRPr="007809AC">
        <w:rPr>
          <w:rFonts w:ascii="Arial" w:hAnsi="Arial"/>
          <w:sz w:val="24"/>
          <w:szCs w:val="24"/>
        </w:rPr>
        <w:t>s</w:t>
      </w:r>
      <w:r w:rsidRPr="007809AC">
        <w:rPr>
          <w:rFonts w:ascii="Arial" w:hAnsi="Arial"/>
          <w:sz w:val="24"/>
          <w:szCs w:val="24"/>
        </w:rPr>
        <w:t xml:space="preserve"> </w:t>
      </w:r>
      <w:r w:rsidR="00241D61" w:rsidRPr="007809AC">
        <w:rPr>
          <w:rFonts w:ascii="Arial" w:hAnsi="Arial"/>
          <w:sz w:val="24"/>
          <w:szCs w:val="24"/>
        </w:rPr>
        <w:t xml:space="preserve">such as that used in this study are </w:t>
      </w:r>
      <w:r w:rsidR="00B55D6D" w:rsidRPr="007809AC">
        <w:rPr>
          <w:rFonts w:ascii="Arial" w:hAnsi="Arial"/>
          <w:sz w:val="24"/>
          <w:szCs w:val="24"/>
        </w:rPr>
        <w:t>required</w:t>
      </w:r>
      <w:r w:rsidR="00241D61" w:rsidRPr="007809AC">
        <w:rPr>
          <w:rFonts w:ascii="Arial" w:hAnsi="Arial"/>
          <w:sz w:val="24"/>
          <w:szCs w:val="24"/>
        </w:rPr>
        <w:t xml:space="preserve"> </w:t>
      </w:r>
      <w:r w:rsidRPr="007809AC">
        <w:rPr>
          <w:rFonts w:ascii="Arial" w:hAnsi="Arial"/>
          <w:sz w:val="24"/>
          <w:szCs w:val="24"/>
        </w:rPr>
        <w:t xml:space="preserve">to support </w:t>
      </w:r>
      <w:r w:rsidR="00B55D6D" w:rsidRPr="007809AC">
        <w:rPr>
          <w:rFonts w:ascii="Arial" w:hAnsi="Arial"/>
          <w:sz w:val="24"/>
          <w:szCs w:val="24"/>
        </w:rPr>
        <w:t>both future research and clinical management in this area.</w:t>
      </w:r>
    </w:p>
    <w:p w14:paraId="5D4C2694" w14:textId="77777777" w:rsidR="00947FA4" w:rsidRPr="007809AC" w:rsidRDefault="00947FA4" w:rsidP="00947FA4">
      <w:pPr>
        <w:spacing w:before="240" w:line="360" w:lineRule="auto"/>
        <w:jc w:val="both"/>
        <w:rPr>
          <w:rFonts w:ascii="Arial" w:hAnsi="Arial" w:cs="Arial"/>
          <w:b/>
          <w:sz w:val="24"/>
          <w:szCs w:val="24"/>
        </w:rPr>
      </w:pPr>
      <w:r w:rsidRPr="007809AC">
        <w:rPr>
          <w:rFonts w:ascii="Arial" w:hAnsi="Arial" w:cs="Arial"/>
          <w:b/>
          <w:sz w:val="24"/>
          <w:szCs w:val="24"/>
        </w:rPr>
        <w:t xml:space="preserve">Funding source: </w:t>
      </w:r>
    </w:p>
    <w:p w14:paraId="4D70DD2C" w14:textId="77777777" w:rsidR="00947FA4" w:rsidRPr="007809AC" w:rsidRDefault="00947FA4" w:rsidP="00947FA4">
      <w:pPr>
        <w:shd w:val="clear" w:color="auto" w:fill="FFFFFF"/>
        <w:spacing w:before="240" w:line="360" w:lineRule="auto"/>
        <w:ind w:firstLine="720"/>
        <w:jc w:val="both"/>
        <w:rPr>
          <w:sz w:val="24"/>
          <w:szCs w:val="24"/>
        </w:rPr>
      </w:pPr>
      <w:r w:rsidRPr="007809AC">
        <w:rPr>
          <w:rFonts w:ascii="Arial" w:hAnsi="Arial" w:cs="Arial"/>
          <w:sz w:val="24"/>
          <w:szCs w:val="24"/>
        </w:rPr>
        <w:t>Not applicable.</w:t>
      </w:r>
      <w:r w:rsidRPr="007809AC">
        <w:rPr>
          <w:rFonts w:ascii="Arial" w:hAnsi="Arial" w:cs="Arial"/>
          <w:b/>
          <w:sz w:val="24"/>
          <w:szCs w:val="24"/>
        </w:rPr>
        <w:t xml:space="preserve"> </w:t>
      </w:r>
    </w:p>
    <w:p w14:paraId="7DE1BFEA" w14:textId="77777777" w:rsidR="00947FA4" w:rsidRPr="007809AC" w:rsidRDefault="00947FA4" w:rsidP="00947FA4">
      <w:pPr>
        <w:spacing w:before="240" w:line="360" w:lineRule="auto"/>
        <w:jc w:val="both"/>
        <w:rPr>
          <w:sz w:val="24"/>
          <w:szCs w:val="24"/>
        </w:rPr>
      </w:pPr>
      <w:r w:rsidRPr="007809AC">
        <w:rPr>
          <w:rFonts w:ascii="Arial" w:hAnsi="Arial" w:cs="Arial"/>
          <w:b/>
          <w:sz w:val="24"/>
          <w:szCs w:val="24"/>
        </w:rPr>
        <w:t>Disclosure Statement:</w:t>
      </w:r>
    </w:p>
    <w:p w14:paraId="588C7987" w14:textId="77777777" w:rsidR="00947FA4" w:rsidRPr="007809AC" w:rsidRDefault="00947FA4" w:rsidP="00947FA4">
      <w:pPr>
        <w:spacing w:before="240" w:line="360" w:lineRule="auto"/>
        <w:ind w:firstLine="720"/>
        <w:jc w:val="both"/>
        <w:rPr>
          <w:rFonts w:ascii="Arial" w:hAnsi="Arial" w:cs="Arial"/>
          <w:sz w:val="24"/>
          <w:szCs w:val="24"/>
        </w:rPr>
      </w:pPr>
      <w:r w:rsidRPr="007809AC">
        <w:rPr>
          <w:rFonts w:ascii="Arial" w:hAnsi="Arial" w:cs="Arial"/>
          <w:sz w:val="24"/>
          <w:szCs w:val="24"/>
        </w:rPr>
        <w:t>The authors declare that they have no competing interests.</w:t>
      </w:r>
    </w:p>
    <w:p w14:paraId="201F2442" w14:textId="77777777" w:rsidR="00947FA4" w:rsidRPr="007809AC" w:rsidRDefault="00947FA4" w:rsidP="00947FA4">
      <w:pPr>
        <w:spacing w:before="240" w:line="360" w:lineRule="auto"/>
        <w:jc w:val="both"/>
        <w:rPr>
          <w:rFonts w:ascii="Arial" w:hAnsi="Arial" w:cs="Arial"/>
          <w:b/>
          <w:sz w:val="24"/>
          <w:szCs w:val="24"/>
        </w:rPr>
      </w:pPr>
      <w:r w:rsidRPr="007809AC">
        <w:rPr>
          <w:rFonts w:ascii="Arial" w:hAnsi="Arial" w:cs="Arial"/>
          <w:b/>
          <w:sz w:val="24"/>
          <w:szCs w:val="24"/>
        </w:rPr>
        <w:t>Declaration of Interest:</w:t>
      </w:r>
    </w:p>
    <w:p w14:paraId="65BEC740" w14:textId="77777777" w:rsidR="00947FA4" w:rsidRPr="007809AC" w:rsidRDefault="00947FA4" w:rsidP="00947FA4">
      <w:pPr>
        <w:spacing w:before="240" w:line="360" w:lineRule="auto"/>
        <w:jc w:val="both"/>
        <w:rPr>
          <w:sz w:val="24"/>
          <w:szCs w:val="24"/>
        </w:rPr>
      </w:pPr>
      <w:r w:rsidRPr="007809AC">
        <w:rPr>
          <w:rFonts w:ascii="Arial" w:hAnsi="Arial" w:cs="Arial"/>
          <w:b/>
          <w:sz w:val="24"/>
          <w:szCs w:val="24"/>
        </w:rPr>
        <w:tab/>
      </w:r>
      <w:r w:rsidRPr="007809AC">
        <w:rPr>
          <w:rFonts w:ascii="Arial" w:hAnsi="Arial" w:cs="Arial"/>
          <w:sz w:val="24"/>
          <w:szCs w:val="24"/>
        </w:rPr>
        <w:t>The authors report no declarations of interest.</w:t>
      </w:r>
    </w:p>
    <w:p w14:paraId="5D266361" w14:textId="77777777" w:rsidR="00F71F78" w:rsidRPr="007809AC" w:rsidRDefault="00D13F0A">
      <w:pPr>
        <w:spacing w:before="240" w:line="360" w:lineRule="auto"/>
        <w:jc w:val="both"/>
        <w:rPr>
          <w:rFonts w:ascii="Arial" w:hAnsi="Arial" w:cs="Arial"/>
          <w:b/>
          <w:sz w:val="24"/>
          <w:szCs w:val="24"/>
        </w:rPr>
      </w:pPr>
      <w:r w:rsidRPr="007809AC">
        <w:rPr>
          <w:rFonts w:ascii="Arial" w:hAnsi="Arial" w:cs="Arial"/>
          <w:b/>
          <w:sz w:val="24"/>
          <w:szCs w:val="24"/>
        </w:rPr>
        <w:t>REFERENCES</w:t>
      </w:r>
    </w:p>
    <w:p w14:paraId="24BF64B8" w14:textId="77777777" w:rsidR="0046030F" w:rsidRPr="007809AC" w:rsidRDefault="00D13F0A" w:rsidP="0046030F">
      <w:pPr>
        <w:pStyle w:val="Bibliography"/>
        <w:jc w:val="both"/>
        <w:rPr>
          <w:sz w:val="24"/>
          <w:szCs w:val="24"/>
        </w:rPr>
      </w:pPr>
      <w:r w:rsidRPr="007809AC">
        <w:rPr>
          <w:rFonts w:ascii="Arial" w:hAnsi="Arial" w:cs="Arial"/>
          <w:sz w:val="24"/>
          <w:szCs w:val="24"/>
        </w:rPr>
        <w:t xml:space="preserve"> </w:t>
      </w:r>
      <w:r w:rsidR="0046030F" w:rsidRPr="007809AC">
        <w:rPr>
          <w:rFonts w:ascii="Arial" w:hAnsi="Arial" w:cs="Arial"/>
          <w:sz w:val="24"/>
          <w:szCs w:val="24"/>
        </w:rPr>
        <w:fldChar w:fldCharType="begin"/>
      </w:r>
      <w:r w:rsidR="0046030F" w:rsidRPr="007809AC">
        <w:rPr>
          <w:rFonts w:ascii="Arial" w:hAnsi="Arial" w:cs="Arial"/>
          <w:sz w:val="24"/>
          <w:szCs w:val="24"/>
        </w:rPr>
        <w:instrText xml:space="preserve"> ADDIN ZOTERO_BIBL {"uncited":[],"omitted":[],"custom":[]} CSL_BIBLIOGRAPHY </w:instrText>
      </w:r>
      <w:r w:rsidR="0046030F" w:rsidRPr="007809AC">
        <w:rPr>
          <w:rFonts w:ascii="Arial" w:hAnsi="Arial" w:cs="Arial"/>
          <w:sz w:val="24"/>
          <w:szCs w:val="24"/>
        </w:rPr>
        <w:fldChar w:fldCharType="separate"/>
      </w:r>
      <w:r w:rsidR="0046030F" w:rsidRPr="007809AC">
        <w:rPr>
          <w:rFonts w:ascii="Arial" w:hAnsi="Arial" w:cs="Arial"/>
          <w:sz w:val="24"/>
          <w:szCs w:val="24"/>
        </w:rPr>
        <w:t xml:space="preserve">1. </w:t>
      </w:r>
      <w:r w:rsidR="0046030F" w:rsidRPr="007809AC">
        <w:rPr>
          <w:rFonts w:ascii="Arial" w:hAnsi="Arial" w:cs="Arial"/>
          <w:sz w:val="24"/>
          <w:szCs w:val="24"/>
        </w:rPr>
        <w:tab/>
        <w:t xml:space="preserve">Cooper BC, Kleinberg I. Examination of a large patient population for the presence of symptoms and signs of temporomandibular disorders. Cranio J Craniomandib Pract. 2007 Apr;25(2):114–26. </w:t>
      </w:r>
    </w:p>
    <w:p w14:paraId="5D87B092"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2. </w:t>
      </w:r>
      <w:r w:rsidRPr="007809AC">
        <w:rPr>
          <w:rFonts w:ascii="Arial" w:hAnsi="Arial" w:cs="Arial"/>
          <w:sz w:val="24"/>
          <w:szCs w:val="24"/>
        </w:rPr>
        <w:tab/>
        <w:t>Morales H, Cornelius R. Imaging approach to temporomandibular joint disorders. Clin Neuroradiol. 2016 Mar;26(1):5–22.</w:t>
      </w:r>
    </w:p>
    <w:p w14:paraId="398DC70D"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3. </w:t>
      </w:r>
      <w:r w:rsidRPr="007809AC">
        <w:rPr>
          <w:rFonts w:ascii="Arial" w:hAnsi="Arial" w:cs="Arial"/>
          <w:sz w:val="24"/>
          <w:szCs w:val="24"/>
        </w:rPr>
        <w:tab/>
        <w:t>Di Fabio RP. Physical therapy for patients with TMD: A descriptive study of treatment, disability, and health status. J Orofac Pain. 1998 SPR;12(2):124–35.</w:t>
      </w:r>
    </w:p>
    <w:p w14:paraId="0F1A1AC9" w14:textId="77777777" w:rsidR="0046030F" w:rsidRPr="007809AC" w:rsidRDefault="0046030F" w:rsidP="0046030F">
      <w:pPr>
        <w:pStyle w:val="Bibliography"/>
        <w:jc w:val="both"/>
        <w:rPr>
          <w:rFonts w:ascii="Arial" w:hAnsi="Arial" w:cs="Arial"/>
          <w:sz w:val="24"/>
          <w:szCs w:val="24"/>
        </w:rPr>
      </w:pPr>
      <w:r w:rsidRPr="007809AC">
        <w:rPr>
          <w:rFonts w:ascii="Arial" w:hAnsi="Arial" w:cs="Arial"/>
          <w:sz w:val="24"/>
          <w:szCs w:val="24"/>
        </w:rPr>
        <w:t xml:space="preserve">4. </w:t>
      </w:r>
      <w:r w:rsidRPr="007809AC">
        <w:rPr>
          <w:rFonts w:ascii="Arial" w:hAnsi="Arial" w:cs="Arial"/>
          <w:sz w:val="24"/>
          <w:szCs w:val="24"/>
        </w:rPr>
        <w:tab/>
        <w:t xml:space="preserve">McNeill C, Mohl ND, Rugh JD, Tanaka TT. Temporomandibular disorders: Diagnosis, management, education, and research. J Am Dent Assoc 1939. 1990 Mar;120(3):253, 255, 257 passim. </w:t>
      </w:r>
    </w:p>
    <w:p w14:paraId="77825B6C"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5. </w:t>
      </w:r>
      <w:r w:rsidRPr="007809AC">
        <w:rPr>
          <w:rFonts w:ascii="Arial" w:hAnsi="Arial" w:cs="Arial"/>
          <w:sz w:val="24"/>
          <w:szCs w:val="24"/>
        </w:rPr>
        <w:tab/>
        <w:t>Poveda Roda R, Bagan JV, Díaz Fernández JM, Hernández Bazán S, Jiménez Soriano Y. Review of temporomandibular joint pathology. Part I: Classification, epidemiology and risk factors. Med Oral Patol Oral Cirugia Bucal. 2007 Aug 1;12(4):E292-298.</w:t>
      </w:r>
    </w:p>
    <w:p w14:paraId="5EFA263C"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6. </w:t>
      </w:r>
      <w:r w:rsidRPr="007809AC">
        <w:rPr>
          <w:rFonts w:ascii="Arial" w:hAnsi="Arial" w:cs="Arial"/>
          <w:sz w:val="24"/>
          <w:szCs w:val="24"/>
        </w:rPr>
        <w:tab/>
        <w:t>Rutkiewicz T, Könönen M, Suominen-Taipale L, Nordblad A, Alanen P. Occurrence of clinical signs of temporomandibular disorders in adult Finns. J Orofac Pain. 2006;20(3):208–17.</w:t>
      </w:r>
    </w:p>
    <w:p w14:paraId="3D99AA22"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7. </w:t>
      </w:r>
      <w:r w:rsidRPr="007809AC">
        <w:rPr>
          <w:rFonts w:ascii="Arial" w:hAnsi="Arial" w:cs="Arial"/>
          <w:sz w:val="24"/>
          <w:szCs w:val="24"/>
        </w:rPr>
        <w:tab/>
        <w:t>Lamot U, Strojan P, Šurlan Popovič K. Magnetic resonance imaging of temporomandibular joint dysfunction-Correlation with clinical symptoms, age, and gender. Oral Surg Oral Med Oral Pathol Oral Radiol. 2013 Aug;116(2):258–63.</w:t>
      </w:r>
    </w:p>
    <w:p w14:paraId="4B20A820" w14:textId="77777777" w:rsidR="0046030F" w:rsidRPr="007809AC" w:rsidRDefault="0046030F" w:rsidP="0046030F">
      <w:pPr>
        <w:pStyle w:val="Bibliography"/>
        <w:rPr>
          <w:rFonts w:ascii="Arial" w:hAnsi="Arial" w:cs="Arial"/>
          <w:sz w:val="24"/>
          <w:szCs w:val="24"/>
          <w:lang w:val="pt-BR"/>
        </w:rPr>
      </w:pPr>
      <w:r w:rsidRPr="007809AC">
        <w:rPr>
          <w:rFonts w:ascii="Arial" w:hAnsi="Arial" w:cs="Arial"/>
          <w:sz w:val="24"/>
          <w:szCs w:val="24"/>
        </w:rPr>
        <w:t xml:space="preserve">8. </w:t>
      </w:r>
      <w:r w:rsidRPr="007809AC">
        <w:rPr>
          <w:rFonts w:ascii="Arial" w:hAnsi="Arial" w:cs="Arial"/>
          <w:sz w:val="24"/>
          <w:szCs w:val="24"/>
        </w:rPr>
        <w:tab/>
        <w:t xml:space="preserve">Dworkin SF, Huggins KH, LeResche L, Von Korff M, Howard J, Truelove E, et al. Epidemiology of signs and symptoms in temporomandibular disorders: Clinical signs in cases and controls. </w:t>
      </w:r>
      <w:r w:rsidRPr="007809AC">
        <w:rPr>
          <w:rFonts w:ascii="Arial" w:hAnsi="Arial" w:cs="Arial"/>
          <w:sz w:val="24"/>
          <w:szCs w:val="24"/>
          <w:lang w:val="pt-BR"/>
        </w:rPr>
        <w:t>J Am Dent Assoc 1939. 1990 Mar;120(3):273–81</w:t>
      </w:r>
    </w:p>
    <w:p w14:paraId="3EDEC24B" w14:textId="77777777" w:rsidR="0046030F" w:rsidRPr="007809AC" w:rsidRDefault="0046030F" w:rsidP="0046030F">
      <w:pPr>
        <w:pStyle w:val="Bibliography"/>
        <w:jc w:val="both"/>
        <w:rPr>
          <w:rFonts w:ascii="Arial" w:hAnsi="Arial" w:cs="Arial"/>
          <w:sz w:val="24"/>
          <w:szCs w:val="24"/>
        </w:rPr>
      </w:pPr>
      <w:r w:rsidRPr="007809AC">
        <w:rPr>
          <w:rFonts w:ascii="Arial" w:hAnsi="Arial" w:cs="Arial"/>
          <w:sz w:val="24"/>
          <w:szCs w:val="24"/>
          <w:lang w:val="pt-BR"/>
        </w:rPr>
        <w:t xml:space="preserve">9. </w:t>
      </w:r>
      <w:r w:rsidRPr="007809AC">
        <w:rPr>
          <w:rFonts w:ascii="Arial" w:hAnsi="Arial" w:cs="Arial"/>
          <w:sz w:val="24"/>
          <w:szCs w:val="24"/>
          <w:lang w:val="pt-BR"/>
        </w:rPr>
        <w:tab/>
        <w:t xml:space="preserve">Pedroni CR, De Oliveira AS, Guaratini MI. </w:t>
      </w:r>
      <w:r w:rsidRPr="007809AC">
        <w:rPr>
          <w:rFonts w:ascii="Arial" w:hAnsi="Arial" w:cs="Arial"/>
          <w:sz w:val="24"/>
          <w:szCs w:val="24"/>
        </w:rPr>
        <w:t xml:space="preserve">Prevalence study of signs and symptoms of temporomandibular disorders in university students. J Oral Rehabil. 2003 Mar;30(3):283–9. </w:t>
      </w:r>
    </w:p>
    <w:p w14:paraId="02D09BF4"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10. </w:t>
      </w:r>
      <w:r w:rsidRPr="007809AC">
        <w:rPr>
          <w:rFonts w:ascii="Arial" w:hAnsi="Arial" w:cs="Arial"/>
          <w:sz w:val="24"/>
          <w:szCs w:val="24"/>
        </w:rPr>
        <w:tab/>
        <w:t>Nassif NJ, Talic YF. Classic symptoms in temporomandibular disorder patients: A comparative study. Cranio J Craniomandib Pract. 2001 Jan;19(1):33–41.</w:t>
      </w:r>
    </w:p>
    <w:p w14:paraId="17FB97EA"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11. </w:t>
      </w:r>
      <w:r w:rsidRPr="007809AC">
        <w:rPr>
          <w:rFonts w:ascii="Arial" w:hAnsi="Arial" w:cs="Arial"/>
          <w:sz w:val="24"/>
          <w:szCs w:val="24"/>
        </w:rPr>
        <w:tab/>
        <w:t>Bagis B, Ayaz EA, Turgut S, Durkan R, Özcan M. Gender difference in prevalence of signs and symptoms of temporomandibular joint disorders: A retrospective study on 243 consecutive patients. Int J Med Sci. 2012 Aug 30;9(7):539–44.</w:t>
      </w:r>
    </w:p>
    <w:p w14:paraId="29FFAF4C"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12. </w:t>
      </w:r>
      <w:r w:rsidRPr="007809AC">
        <w:rPr>
          <w:rFonts w:ascii="Arial" w:hAnsi="Arial" w:cs="Arial"/>
          <w:sz w:val="24"/>
          <w:szCs w:val="24"/>
        </w:rPr>
        <w:tab/>
        <w:t>Gilheaney Ó, Stassen LF, Walshe M. Prevalence, nature, and management of oral stage dysphagia in adults with temporomandibular joint disorders: Findings from an Irish cohort. J Oral Maxillofac Surg Off J Am Assoc Oral Maxillofac Surg. 2018 Feb 20.</w:t>
      </w:r>
    </w:p>
    <w:p w14:paraId="50F4C56F"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13. </w:t>
      </w:r>
      <w:r w:rsidRPr="007809AC">
        <w:rPr>
          <w:rFonts w:ascii="Arial" w:hAnsi="Arial" w:cs="Arial"/>
          <w:sz w:val="24"/>
          <w:szCs w:val="24"/>
        </w:rPr>
        <w:tab/>
        <w:t>Macfarlane TV, Blinkhorn AS, Davies RM, Kincey J, Worthington HV. Oro-facial pain in the community: Prevalence and associated impact. Community Dent Oral Epidemiol. 2002 Feb;30(1):52–60.</w:t>
      </w:r>
    </w:p>
    <w:p w14:paraId="59471075" w14:textId="77777777" w:rsidR="0046030F" w:rsidRPr="007809AC" w:rsidRDefault="0046030F" w:rsidP="0046030F">
      <w:pPr>
        <w:pStyle w:val="Bibliography"/>
        <w:jc w:val="both"/>
        <w:rPr>
          <w:rFonts w:ascii="Arial" w:hAnsi="Arial" w:cs="Arial"/>
          <w:sz w:val="24"/>
          <w:szCs w:val="24"/>
          <w:lang w:val="sv-SE"/>
        </w:rPr>
      </w:pPr>
      <w:r w:rsidRPr="007809AC">
        <w:rPr>
          <w:rFonts w:ascii="Arial" w:hAnsi="Arial" w:cs="Arial"/>
          <w:sz w:val="24"/>
          <w:szCs w:val="24"/>
        </w:rPr>
        <w:t xml:space="preserve">14. </w:t>
      </w:r>
      <w:r w:rsidRPr="007809AC">
        <w:rPr>
          <w:rFonts w:ascii="Arial" w:hAnsi="Arial" w:cs="Arial"/>
          <w:sz w:val="24"/>
          <w:szCs w:val="24"/>
        </w:rPr>
        <w:tab/>
        <w:t xml:space="preserve">Garro LC, Stephenson KA, Good BJ. Chronic illness of the temporomandibular joints as experienced by support-group members. </w:t>
      </w:r>
      <w:r w:rsidRPr="007809AC">
        <w:rPr>
          <w:rFonts w:ascii="Arial" w:hAnsi="Arial" w:cs="Arial"/>
          <w:sz w:val="24"/>
          <w:szCs w:val="24"/>
          <w:lang w:val="sv-SE"/>
        </w:rPr>
        <w:t xml:space="preserve">J Gen Intern Med. 1994 Jul;9(7):372–8. </w:t>
      </w:r>
    </w:p>
    <w:p w14:paraId="164F503E" w14:textId="77777777" w:rsidR="0046030F" w:rsidRPr="007809AC" w:rsidRDefault="0046030F" w:rsidP="0046030F">
      <w:pPr>
        <w:pStyle w:val="Bibliography"/>
        <w:jc w:val="both"/>
        <w:rPr>
          <w:rFonts w:ascii="Arial" w:hAnsi="Arial" w:cs="Arial"/>
          <w:sz w:val="24"/>
          <w:szCs w:val="24"/>
        </w:rPr>
      </w:pPr>
      <w:r w:rsidRPr="007809AC">
        <w:rPr>
          <w:rFonts w:ascii="Arial" w:hAnsi="Arial" w:cs="Arial"/>
          <w:sz w:val="24"/>
          <w:szCs w:val="24"/>
          <w:lang w:val="sv-SE"/>
        </w:rPr>
        <w:t xml:space="preserve">15. </w:t>
      </w:r>
      <w:r w:rsidRPr="007809AC">
        <w:rPr>
          <w:rFonts w:ascii="Arial" w:hAnsi="Arial" w:cs="Arial"/>
          <w:sz w:val="24"/>
          <w:szCs w:val="24"/>
          <w:lang w:val="sv-SE"/>
        </w:rPr>
        <w:tab/>
        <w:t xml:space="preserve">Murray H, Locker D, Mock D, Tenenbaum HC. </w:t>
      </w:r>
      <w:r w:rsidRPr="007809AC">
        <w:rPr>
          <w:rFonts w:ascii="Arial" w:hAnsi="Arial" w:cs="Arial"/>
          <w:sz w:val="24"/>
          <w:szCs w:val="24"/>
        </w:rPr>
        <w:t xml:space="preserve">Pain and the quality of life in patients referred to a craniofacial pain unit. J Orofac Pain. 1996;10(4):316–23. </w:t>
      </w:r>
    </w:p>
    <w:p w14:paraId="7BC61809"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16. </w:t>
      </w:r>
      <w:r w:rsidRPr="007809AC">
        <w:rPr>
          <w:rFonts w:ascii="Arial" w:hAnsi="Arial" w:cs="Arial"/>
          <w:sz w:val="24"/>
          <w:szCs w:val="24"/>
        </w:rPr>
        <w:tab/>
        <w:t>Reisine ST, Fertig J, Weber J, Leder S. Impact of dental conditions on patients’ quality of life. Community Dent Oral Epidemiol. 1989 Feb;17(1):7–10.</w:t>
      </w:r>
    </w:p>
    <w:p w14:paraId="79951657"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17. </w:t>
      </w:r>
      <w:r w:rsidRPr="007809AC">
        <w:rPr>
          <w:rFonts w:ascii="Arial" w:hAnsi="Arial" w:cs="Arial"/>
          <w:sz w:val="24"/>
          <w:szCs w:val="24"/>
        </w:rPr>
        <w:tab/>
        <w:t xml:space="preserve">Ekberg O, Hamdy S, Woisard V, Wuttge-Hannig A, Ortega P. Social and psychological burden of dysphagia: Its impact on diagnosis and treatment. Dysphagia. 2002;17(2):139–46. </w:t>
      </w:r>
    </w:p>
    <w:p w14:paraId="6786F838" w14:textId="77777777" w:rsidR="0046030F" w:rsidRPr="007809AC" w:rsidRDefault="0046030F" w:rsidP="00E7543A">
      <w:pPr>
        <w:pStyle w:val="Bibliography"/>
        <w:jc w:val="both"/>
        <w:rPr>
          <w:rFonts w:ascii="Arial" w:hAnsi="Arial" w:cs="Arial"/>
          <w:sz w:val="24"/>
          <w:szCs w:val="24"/>
        </w:rPr>
      </w:pPr>
      <w:r w:rsidRPr="007809AC">
        <w:rPr>
          <w:rFonts w:ascii="Arial" w:hAnsi="Arial" w:cs="Arial"/>
          <w:sz w:val="24"/>
          <w:szCs w:val="24"/>
        </w:rPr>
        <w:t xml:space="preserve">18. </w:t>
      </w:r>
      <w:r w:rsidRPr="007809AC">
        <w:rPr>
          <w:rFonts w:ascii="Arial" w:hAnsi="Arial" w:cs="Arial"/>
          <w:sz w:val="24"/>
          <w:szCs w:val="24"/>
        </w:rPr>
        <w:tab/>
      </w:r>
      <w:r w:rsidR="00E7543A" w:rsidRPr="007809AC">
        <w:rPr>
          <w:rFonts w:ascii="Arial" w:hAnsi="Arial" w:cs="Arial"/>
          <w:sz w:val="24"/>
          <w:szCs w:val="24"/>
        </w:rPr>
        <w:t xml:space="preserve">Farri A, Accornero A, Burdese C. Social importance of dysphagia: Its impact on diagnosis and therapy. Acta Otorhinolaryngol Ital. 2007 Apr;27(2):83–6. </w:t>
      </w:r>
    </w:p>
    <w:p w14:paraId="3FED7CD9" w14:textId="77777777" w:rsidR="00E7543A" w:rsidRPr="007809AC" w:rsidRDefault="0046030F" w:rsidP="0046030F">
      <w:pPr>
        <w:pStyle w:val="Bibliography"/>
        <w:rPr>
          <w:rFonts w:ascii="Arial" w:hAnsi="Arial" w:cs="Arial"/>
          <w:sz w:val="24"/>
          <w:szCs w:val="24"/>
        </w:rPr>
      </w:pPr>
      <w:r w:rsidRPr="007809AC">
        <w:rPr>
          <w:rFonts w:ascii="Arial" w:hAnsi="Arial" w:cs="Arial"/>
          <w:sz w:val="24"/>
          <w:szCs w:val="24"/>
        </w:rPr>
        <w:t xml:space="preserve">19. </w:t>
      </w:r>
      <w:r w:rsidRPr="007809AC">
        <w:rPr>
          <w:rFonts w:ascii="Arial" w:hAnsi="Arial" w:cs="Arial"/>
          <w:sz w:val="24"/>
          <w:szCs w:val="24"/>
        </w:rPr>
        <w:tab/>
      </w:r>
      <w:r w:rsidR="00E7543A" w:rsidRPr="007809AC">
        <w:rPr>
          <w:rFonts w:ascii="Arial" w:hAnsi="Arial" w:cs="Arial"/>
          <w:sz w:val="24"/>
          <w:szCs w:val="24"/>
        </w:rPr>
        <w:t xml:space="preserve">Schiffman E, Ohrbach R, Truelove E, Look J, Anderson G, Goulet J-P, et al. Diagnostic Criteria for Temporomandibular Disorders (DC/TMD) for clinical and research applications: Recommendations of the International RDC/TMD Consortium Network* and Orofacial Pain Special Interest Group†. J Oral Facial Pain Headache. 2014;28(1):6–27. </w:t>
      </w:r>
    </w:p>
    <w:p w14:paraId="14DB5804"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20. </w:t>
      </w:r>
      <w:r w:rsidRPr="007809AC">
        <w:rPr>
          <w:rFonts w:ascii="Arial" w:hAnsi="Arial" w:cs="Arial"/>
          <w:sz w:val="24"/>
          <w:szCs w:val="24"/>
        </w:rPr>
        <w:tab/>
      </w:r>
      <w:r w:rsidR="00E7543A" w:rsidRPr="007809AC">
        <w:rPr>
          <w:rFonts w:ascii="Arial" w:hAnsi="Arial" w:cs="Arial"/>
          <w:sz w:val="24"/>
          <w:szCs w:val="24"/>
        </w:rPr>
        <w:t>Dworkin SF, LeResche L. Research Diagnostic Criteria for Temporomandibular Disorders: Review, criteria, examinations and specifications, critique. J Craniomandib Disord Facial Oral Pain. 1992;6(4):301–55.</w:t>
      </w:r>
    </w:p>
    <w:p w14:paraId="3DCC5A5C" w14:textId="77777777" w:rsidR="00E7543A" w:rsidRPr="007809AC" w:rsidRDefault="0046030F" w:rsidP="0046030F">
      <w:pPr>
        <w:pStyle w:val="Bibliography"/>
        <w:rPr>
          <w:rFonts w:ascii="Arial" w:hAnsi="Arial" w:cs="Arial"/>
          <w:sz w:val="24"/>
          <w:szCs w:val="24"/>
        </w:rPr>
      </w:pPr>
      <w:r w:rsidRPr="007809AC">
        <w:rPr>
          <w:rFonts w:ascii="Arial" w:hAnsi="Arial" w:cs="Arial"/>
          <w:sz w:val="24"/>
          <w:szCs w:val="24"/>
        </w:rPr>
        <w:t xml:space="preserve">21. </w:t>
      </w:r>
      <w:r w:rsidRPr="007809AC">
        <w:rPr>
          <w:rFonts w:ascii="Arial" w:hAnsi="Arial" w:cs="Arial"/>
          <w:sz w:val="24"/>
          <w:szCs w:val="24"/>
        </w:rPr>
        <w:tab/>
      </w:r>
      <w:r w:rsidR="00E7543A" w:rsidRPr="007809AC">
        <w:rPr>
          <w:rFonts w:ascii="Arial" w:hAnsi="Arial" w:cs="Arial"/>
          <w:sz w:val="24"/>
          <w:szCs w:val="24"/>
        </w:rPr>
        <w:t xml:space="preserve">McNeely ML, Armijo Olivo S, Magee DJ. A systematic review of the effectiveness of physical therapy interventions for temporomandibular disorders. Phys Ther. 2006 May;86(5):710–25. </w:t>
      </w:r>
    </w:p>
    <w:p w14:paraId="63B34B25"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22. </w:t>
      </w:r>
      <w:r w:rsidRPr="007809AC">
        <w:rPr>
          <w:rFonts w:ascii="Arial" w:hAnsi="Arial" w:cs="Arial"/>
          <w:sz w:val="24"/>
          <w:szCs w:val="24"/>
        </w:rPr>
        <w:tab/>
      </w:r>
      <w:r w:rsidR="00E7543A" w:rsidRPr="007809AC">
        <w:rPr>
          <w:rFonts w:ascii="Arial" w:hAnsi="Arial" w:cs="Arial"/>
          <w:sz w:val="24"/>
          <w:szCs w:val="24"/>
        </w:rPr>
        <w:t>Singh DJ, Bartlett SP. Congenital mandibular hypoplasia: Analysis and classification. J Craniofac Surg. 2005 Mar;16(2):291–300.</w:t>
      </w:r>
    </w:p>
    <w:p w14:paraId="7056AE78"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23. </w:t>
      </w:r>
      <w:r w:rsidRPr="007809AC">
        <w:rPr>
          <w:rFonts w:ascii="Arial" w:hAnsi="Arial" w:cs="Arial"/>
          <w:sz w:val="24"/>
          <w:szCs w:val="24"/>
        </w:rPr>
        <w:tab/>
      </w:r>
      <w:r w:rsidR="00E7543A" w:rsidRPr="007809AC">
        <w:rPr>
          <w:rFonts w:ascii="Arial" w:hAnsi="Arial" w:cs="Arial"/>
          <w:sz w:val="24"/>
          <w:szCs w:val="24"/>
        </w:rPr>
        <w:t>Ohrbach R, Larsson P, List T. The Jaw Functional Limitation Scale: Development, reliability, and validity of 8-item and 20-item versions. J Orofac Pain. 2008;22(3):219–30.</w:t>
      </w:r>
    </w:p>
    <w:p w14:paraId="48701E3D"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24. </w:t>
      </w:r>
      <w:r w:rsidRPr="007809AC">
        <w:rPr>
          <w:rFonts w:ascii="Arial" w:hAnsi="Arial" w:cs="Arial"/>
          <w:sz w:val="24"/>
          <w:szCs w:val="24"/>
        </w:rPr>
        <w:tab/>
      </w:r>
      <w:r w:rsidR="00E7543A" w:rsidRPr="007809AC">
        <w:rPr>
          <w:rFonts w:ascii="Arial" w:hAnsi="Arial" w:cs="Arial"/>
          <w:sz w:val="24"/>
          <w:szCs w:val="24"/>
        </w:rPr>
        <w:t>Ohrbach, R., Beneduce, C., Markiewicz, M., McCall, W.D. Jr. Psychometric properties of the Oral Behaviors Checklist: Preliminary findings.  IADR, Honolulu Hawaii, March 2004. J Dent Res. 2004;83(Special Issue A):1194.</w:t>
      </w:r>
    </w:p>
    <w:p w14:paraId="1044F2B0" w14:textId="77777777" w:rsidR="0046030F" w:rsidRPr="007809AC" w:rsidRDefault="0046030F" w:rsidP="00E7543A">
      <w:pPr>
        <w:pStyle w:val="Bibliography"/>
        <w:jc w:val="both"/>
        <w:rPr>
          <w:rFonts w:ascii="Arial" w:hAnsi="Arial" w:cs="Arial"/>
          <w:sz w:val="24"/>
          <w:szCs w:val="24"/>
        </w:rPr>
      </w:pPr>
      <w:r w:rsidRPr="007809AC">
        <w:rPr>
          <w:rFonts w:ascii="Arial" w:hAnsi="Arial" w:cs="Arial"/>
          <w:sz w:val="24"/>
          <w:szCs w:val="24"/>
        </w:rPr>
        <w:t xml:space="preserve">25. </w:t>
      </w:r>
      <w:r w:rsidRPr="007809AC">
        <w:rPr>
          <w:rFonts w:ascii="Arial" w:hAnsi="Arial" w:cs="Arial"/>
          <w:sz w:val="24"/>
          <w:szCs w:val="24"/>
        </w:rPr>
        <w:tab/>
      </w:r>
      <w:r w:rsidR="00E7543A" w:rsidRPr="007809AC">
        <w:rPr>
          <w:rFonts w:ascii="Arial" w:hAnsi="Arial" w:cs="Arial"/>
          <w:sz w:val="24"/>
          <w:szCs w:val="24"/>
        </w:rPr>
        <w:t>American Speech-Language-Hearing Association’s Ad Hoc Committee on Documentation. Demographics and history. [Internet]. 2008 [cited 2015 Dec 23]. Available from: http://www.asha.org/uploadedFiles/slp/healthcare/AATDemographicsandHistory.pdf.</w:t>
      </w:r>
    </w:p>
    <w:p w14:paraId="401F0C53"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26. </w:t>
      </w:r>
      <w:r w:rsidRPr="007809AC">
        <w:rPr>
          <w:rFonts w:ascii="Arial" w:hAnsi="Arial" w:cs="Arial"/>
          <w:sz w:val="24"/>
          <w:szCs w:val="24"/>
        </w:rPr>
        <w:tab/>
      </w:r>
      <w:r w:rsidR="00E7543A" w:rsidRPr="007809AC">
        <w:rPr>
          <w:rFonts w:ascii="Arial" w:hAnsi="Arial" w:cs="Arial"/>
          <w:sz w:val="24"/>
          <w:szCs w:val="24"/>
        </w:rPr>
        <w:t>Huckabee M-L, McIntosh T, Fuller L, Curry M, Thomas P, Walshe M, et al. The Test of Masticating and Swallowing Solids (TOMASS): Reliability, validity and international normative data. Int J Lang Commun Disord. 2018 Jan;53(1):144–56.</w:t>
      </w:r>
    </w:p>
    <w:p w14:paraId="0228A373"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27. </w:t>
      </w:r>
      <w:r w:rsidRPr="007809AC">
        <w:rPr>
          <w:rFonts w:ascii="Arial" w:hAnsi="Arial" w:cs="Arial"/>
          <w:sz w:val="24"/>
          <w:szCs w:val="24"/>
        </w:rPr>
        <w:tab/>
      </w:r>
      <w:r w:rsidR="00E7543A" w:rsidRPr="007809AC">
        <w:rPr>
          <w:rFonts w:ascii="Arial" w:hAnsi="Arial" w:cs="Arial"/>
          <w:sz w:val="24"/>
          <w:szCs w:val="24"/>
        </w:rPr>
        <w:t>Von Korff M, Ormel J, Keefe FJ, Dworkin SF. Grading the severity of chronic pain. Pain. 1992 Aug;50(2):133–49.</w:t>
      </w:r>
    </w:p>
    <w:p w14:paraId="6C131757" w14:textId="77777777" w:rsidR="00E7543A" w:rsidRPr="007809AC" w:rsidRDefault="0046030F" w:rsidP="0046030F">
      <w:pPr>
        <w:pStyle w:val="Bibliography"/>
        <w:rPr>
          <w:rFonts w:ascii="Arial" w:hAnsi="Arial" w:cs="Arial"/>
          <w:sz w:val="24"/>
          <w:szCs w:val="24"/>
        </w:rPr>
      </w:pPr>
      <w:r w:rsidRPr="007809AC">
        <w:rPr>
          <w:rFonts w:ascii="Arial" w:hAnsi="Arial" w:cs="Arial"/>
          <w:sz w:val="24"/>
          <w:szCs w:val="24"/>
        </w:rPr>
        <w:t xml:space="preserve">28. </w:t>
      </w:r>
      <w:r w:rsidRPr="007809AC">
        <w:rPr>
          <w:rFonts w:ascii="Arial" w:hAnsi="Arial" w:cs="Arial"/>
          <w:sz w:val="24"/>
          <w:szCs w:val="24"/>
        </w:rPr>
        <w:tab/>
      </w:r>
      <w:r w:rsidR="00E7543A" w:rsidRPr="007809AC">
        <w:rPr>
          <w:rFonts w:ascii="Arial" w:hAnsi="Arial" w:cs="Arial"/>
          <w:sz w:val="24"/>
          <w:szCs w:val="24"/>
        </w:rPr>
        <w:t xml:space="preserve">Kroenke K, Spitzer RL, Williams JBW, Löwe B. An ultra-brief screening scale for anxiety and depression: The PHQ-4. Psychosomatics. 2009 Dec;50(6):613–21. </w:t>
      </w:r>
    </w:p>
    <w:p w14:paraId="33735706"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29. </w:t>
      </w:r>
      <w:r w:rsidRPr="007809AC">
        <w:rPr>
          <w:rFonts w:ascii="Arial" w:hAnsi="Arial" w:cs="Arial"/>
          <w:sz w:val="24"/>
          <w:szCs w:val="24"/>
        </w:rPr>
        <w:tab/>
      </w:r>
      <w:r w:rsidR="00E7543A" w:rsidRPr="007809AC">
        <w:rPr>
          <w:rFonts w:ascii="Arial" w:hAnsi="Arial" w:cs="Arial"/>
          <w:sz w:val="24"/>
          <w:szCs w:val="24"/>
        </w:rPr>
        <w:t>Silbergleit AK, Schultz L, Jacobson BH, Beardsley T, Johnson AF. The Dysphagia Handicap Index: Development and validation. Dysphagia. 2012 Mar;27(1):46–52.</w:t>
      </w:r>
    </w:p>
    <w:p w14:paraId="6ADE59AB" w14:textId="77777777" w:rsidR="0046030F" w:rsidRPr="007809AC" w:rsidRDefault="0046030F" w:rsidP="0046030F">
      <w:pPr>
        <w:pStyle w:val="Bibliography"/>
        <w:rPr>
          <w:rFonts w:ascii="Arial" w:hAnsi="Arial" w:cs="Arial"/>
          <w:sz w:val="24"/>
          <w:szCs w:val="24"/>
        </w:rPr>
      </w:pPr>
      <w:r w:rsidRPr="007809AC">
        <w:rPr>
          <w:rFonts w:ascii="Arial" w:hAnsi="Arial" w:cs="Arial"/>
          <w:sz w:val="24"/>
          <w:szCs w:val="24"/>
        </w:rPr>
        <w:t xml:space="preserve">30. </w:t>
      </w:r>
      <w:r w:rsidRPr="007809AC">
        <w:rPr>
          <w:rFonts w:ascii="Arial" w:hAnsi="Arial" w:cs="Arial"/>
          <w:sz w:val="24"/>
          <w:szCs w:val="24"/>
        </w:rPr>
        <w:tab/>
      </w:r>
      <w:r w:rsidR="00E7543A" w:rsidRPr="007809AC">
        <w:rPr>
          <w:rFonts w:ascii="Arial" w:hAnsi="Arial" w:cs="Arial"/>
          <w:sz w:val="24"/>
          <w:szCs w:val="24"/>
        </w:rPr>
        <w:t>Ferrell BR. The impact of pain on quality of life. A decade of research. Nurs Clin North Am. 1995 Dec;30(4):609–24.</w:t>
      </w:r>
    </w:p>
    <w:p w14:paraId="6F22E2D0" w14:textId="77777777" w:rsidR="00E7543A" w:rsidRPr="007809AC" w:rsidRDefault="0046030F" w:rsidP="00E7543A">
      <w:pPr>
        <w:pStyle w:val="Bibliography"/>
        <w:jc w:val="both"/>
        <w:rPr>
          <w:rFonts w:ascii="Arial" w:hAnsi="Arial" w:cs="Arial"/>
          <w:sz w:val="24"/>
          <w:szCs w:val="24"/>
        </w:rPr>
      </w:pPr>
      <w:r w:rsidRPr="007809AC">
        <w:rPr>
          <w:rFonts w:ascii="Arial" w:hAnsi="Arial" w:cs="Arial"/>
          <w:sz w:val="24"/>
          <w:szCs w:val="24"/>
        </w:rPr>
        <w:t xml:space="preserve">31. </w:t>
      </w:r>
      <w:r w:rsidRPr="007809AC">
        <w:rPr>
          <w:rFonts w:ascii="Arial" w:hAnsi="Arial" w:cs="Arial"/>
          <w:sz w:val="24"/>
          <w:szCs w:val="24"/>
        </w:rPr>
        <w:tab/>
      </w:r>
      <w:r w:rsidR="00E7543A" w:rsidRPr="007809AC">
        <w:rPr>
          <w:rFonts w:ascii="Arial" w:hAnsi="Arial" w:cs="Arial"/>
          <w:sz w:val="24"/>
          <w:szCs w:val="24"/>
        </w:rPr>
        <w:t xml:space="preserve">Locker D, Grushka M. The impact of dental and facial pain. J Dent Res. 1987 Sep;66(9):1414–7. </w:t>
      </w:r>
    </w:p>
    <w:p w14:paraId="11899A36" w14:textId="6253BA34" w:rsidR="00947FA4" w:rsidRPr="007809AC" w:rsidRDefault="0046030F" w:rsidP="00947FA4">
      <w:pPr>
        <w:pStyle w:val="Bibliography"/>
        <w:ind w:left="0" w:firstLine="0"/>
        <w:jc w:val="both"/>
        <w:rPr>
          <w:rFonts w:ascii="Arial" w:hAnsi="Arial" w:cs="Arial"/>
          <w:sz w:val="24"/>
          <w:szCs w:val="24"/>
        </w:rPr>
      </w:pPr>
      <w:r w:rsidRPr="007809AC">
        <w:rPr>
          <w:rFonts w:ascii="Arial" w:hAnsi="Arial" w:cs="Arial"/>
          <w:sz w:val="24"/>
          <w:szCs w:val="24"/>
        </w:rPr>
        <w:fldChar w:fldCharType="end"/>
      </w:r>
    </w:p>
    <w:p w14:paraId="411B553A" w14:textId="77777777" w:rsidR="00947FA4" w:rsidRPr="007809AC" w:rsidRDefault="00947FA4">
      <w:pPr>
        <w:suppressAutoHyphens w:val="0"/>
        <w:rPr>
          <w:rFonts w:ascii="Arial" w:hAnsi="Arial" w:cs="Arial"/>
          <w:sz w:val="24"/>
          <w:szCs w:val="24"/>
        </w:rPr>
      </w:pPr>
      <w:r w:rsidRPr="007809AC">
        <w:rPr>
          <w:rFonts w:ascii="Arial" w:hAnsi="Arial" w:cs="Arial"/>
          <w:sz w:val="24"/>
          <w:szCs w:val="24"/>
        </w:rPr>
        <w:br w:type="page"/>
      </w:r>
    </w:p>
    <w:p w14:paraId="50A160F8" w14:textId="77777777" w:rsidR="00947FA4" w:rsidRPr="007809AC" w:rsidRDefault="00947FA4" w:rsidP="00947FA4">
      <w:pPr>
        <w:keepNext/>
        <w:spacing w:after="200" w:line="240" w:lineRule="auto"/>
        <w:rPr>
          <w:i/>
          <w:iCs/>
          <w:sz w:val="24"/>
          <w:szCs w:val="24"/>
        </w:rPr>
      </w:pPr>
      <w:r w:rsidRPr="007809AC">
        <w:rPr>
          <w:rFonts w:ascii="Arial" w:hAnsi="Arial" w:cs="Arial"/>
          <w:i/>
          <w:iCs/>
          <w:sz w:val="24"/>
          <w:szCs w:val="24"/>
        </w:rPr>
        <w:t>Table 1: Measures included in the Assessment Protocol</w:t>
      </w:r>
    </w:p>
    <w:tbl>
      <w:tblPr>
        <w:tblW w:w="9016" w:type="dxa"/>
        <w:jc w:val="center"/>
        <w:tblLayout w:type="fixed"/>
        <w:tblCellMar>
          <w:left w:w="10" w:type="dxa"/>
          <w:right w:w="10" w:type="dxa"/>
        </w:tblCellMar>
        <w:tblLook w:val="04A0" w:firstRow="1" w:lastRow="0" w:firstColumn="1" w:lastColumn="0" w:noHBand="0" w:noVBand="1"/>
      </w:tblPr>
      <w:tblGrid>
        <w:gridCol w:w="4106"/>
        <w:gridCol w:w="4910"/>
      </w:tblGrid>
      <w:tr w:rsidR="007809AC" w:rsidRPr="007809AC" w14:paraId="0127A18D" w14:textId="77777777" w:rsidTr="00947FA4">
        <w:trPr>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11EE32" w14:textId="77777777" w:rsidR="00947FA4" w:rsidRPr="007809AC" w:rsidRDefault="00947FA4" w:rsidP="00947FA4">
            <w:pPr>
              <w:spacing w:after="0" w:line="240" w:lineRule="auto"/>
              <w:jc w:val="center"/>
              <w:rPr>
                <w:sz w:val="20"/>
                <w:szCs w:val="20"/>
              </w:rPr>
            </w:pPr>
            <w:r w:rsidRPr="007809AC">
              <w:rPr>
                <w:rFonts w:ascii="Arial" w:eastAsia="SimSun" w:hAnsi="Arial" w:cs="Arial"/>
                <w:b/>
                <w:sz w:val="20"/>
                <w:szCs w:val="20"/>
              </w:rPr>
              <w:t>Instrument Name</w:t>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EBE7C6" w14:textId="77777777" w:rsidR="00947FA4" w:rsidRPr="007809AC" w:rsidRDefault="00947FA4" w:rsidP="00947FA4">
            <w:pPr>
              <w:spacing w:after="0" w:line="240" w:lineRule="auto"/>
              <w:jc w:val="center"/>
              <w:rPr>
                <w:rFonts w:ascii="Arial" w:eastAsia="SimSun" w:hAnsi="Arial" w:cs="Arial"/>
                <w:b/>
                <w:sz w:val="20"/>
                <w:szCs w:val="20"/>
              </w:rPr>
            </w:pPr>
            <w:r w:rsidRPr="007809AC">
              <w:rPr>
                <w:rFonts w:ascii="Arial" w:eastAsia="SimSun" w:hAnsi="Arial" w:cs="Arial"/>
                <w:b/>
                <w:sz w:val="20"/>
                <w:szCs w:val="20"/>
              </w:rPr>
              <w:t>Purpose of Instrument</w:t>
            </w:r>
          </w:p>
        </w:tc>
      </w:tr>
      <w:tr w:rsidR="007809AC" w:rsidRPr="007809AC" w14:paraId="451D8F1D" w14:textId="77777777" w:rsidTr="00947FA4">
        <w:trPr>
          <w:jc w:val="center"/>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6D5332" w14:textId="77777777" w:rsidR="00947FA4" w:rsidRPr="007809AC" w:rsidRDefault="00947FA4" w:rsidP="00947FA4">
            <w:pPr>
              <w:spacing w:after="0" w:line="240" w:lineRule="auto"/>
              <w:jc w:val="center"/>
              <w:rPr>
                <w:rFonts w:ascii="Arial" w:eastAsia="SimSun" w:hAnsi="Arial" w:cs="Arial"/>
                <w:b/>
                <w:i/>
                <w:sz w:val="20"/>
                <w:szCs w:val="20"/>
              </w:rPr>
            </w:pPr>
            <w:r w:rsidRPr="007809AC">
              <w:rPr>
                <w:rFonts w:ascii="Arial" w:eastAsia="SimSun" w:hAnsi="Arial" w:cs="Arial"/>
                <w:b/>
                <w:i/>
                <w:sz w:val="20"/>
                <w:szCs w:val="20"/>
              </w:rPr>
              <w:t>Measures completed by Participant</w:t>
            </w:r>
          </w:p>
        </w:tc>
      </w:tr>
      <w:tr w:rsidR="007809AC" w:rsidRPr="007809AC" w14:paraId="21F9237D" w14:textId="77777777" w:rsidTr="00947FA4">
        <w:trPr>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082AB2" w14:textId="77777777" w:rsidR="00947FA4" w:rsidRPr="007809AC" w:rsidRDefault="00947FA4" w:rsidP="00947FA4">
            <w:pPr>
              <w:spacing w:after="0" w:line="240" w:lineRule="auto"/>
              <w:rPr>
                <w:sz w:val="20"/>
                <w:szCs w:val="20"/>
              </w:rPr>
            </w:pPr>
            <w:r w:rsidRPr="007809AC">
              <w:rPr>
                <w:rFonts w:ascii="Arial" w:eastAsia="SimSun" w:hAnsi="Arial" w:cs="Arial"/>
                <w:sz w:val="20"/>
                <w:szCs w:val="20"/>
              </w:rPr>
              <w:t>Axis I of the DC/TMD: Symptom Questionnaire</w:t>
            </w:r>
            <w:r w:rsidRPr="007809AC">
              <w:rPr>
                <w:rFonts w:ascii="Arial" w:eastAsia="SimSun" w:hAnsi="Arial" w:cs="Arial"/>
                <w:sz w:val="20"/>
                <w:szCs w:val="20"/>
              </w:rPr>
              <w:fldChar w:fldCharType="begin"/>
            </w:r>
            <w:r w:rsidRPr="007809AC">
              <w:rPr>
                <w:rFonts w:ascii="Arial" w:eastAsia="SimSun" w:hAnsi="Arial" w:cs="Arial"/>
                <w:sz w:val="20"/>
                <w:szCs w:val="20"/>
              </w:rPr>
              <w:instrText xml:space="preserve"> ADDIN ZOTERO_ITEM CSL_CITATION {"citationID":"Fjklkgza","properties":{"formattedCitation":"(19)","plainCitation":"(19)","noteIndex":0},"citationItems":[{"id":55,"uris":["http://zotero.org/users/local/nlzVUL7s/items/VPK22XTF"],"uri":["http://zotero.org/users/local/nlzVUL7s/items/VPK22XTF"],"itemData":{"id":55,"type":"article-journal","title":"Diagnostic Criteria for Temporomandibular Disorders (DC/TMD) for Clinical and Research Applications: recommendations of the International RDC/TMD Consortium Network* and Orofacial Pain Special Interest Group†","container-title":"Journal of Oral &amp; Facial Pain and Headache","page":"6-27","volume":"28","issue":"1","source":"PubMed","abstract":"AIMS: The original Research Diagnostic Criteria for Temporomandibular Disorde</w:instrText>
            </w:r>
            <w:r w:rsidRPr="007809AC">
              <w:rPr>
                <w:rFonts w:ascii="Arial" w:eastAsia="SimSun" w:hAnsi="Arial" w:cs="Arial" w:hint="eastAsia"/>
                <w:sz w:val="20"/>
                <w:szCs w:val="20"/>
              </w:rPr>
              <w:instrText xml:space="preserve">rs (RDC/TMD) Axis I diagnostic algorithms have been demonstrated to be reliable. However, the Validation Project determined that the RDC/TMD Axis I validity was below the target sensitivity of </w:instrText>
            </w:r>
            <w:r w:rsidRPr="007809AC">
              <w:rPr>
                <w:rFonts w:ascii="Arial" w:eastAsia="SimSun" w:hAnsi="Arial" w:cs="Arial" w:hint="eastAsia"/>
                <w:sz w:val="20"/>
                <w:szCs w:val="20"/>
              </w:rPr>
              <w:instrText>≥</w:instrText>
            </w:r>
            <w:r w:rsidRPr="007809AC">
              <w:rPr>
                <w:rFonts w:ascii="Arial" w:eastAsia="SimSun" w:hAnsi="Arial" w:cs="Arial" w:hint="eastAsia"/>
                <w:sz w:val="20"/>
                <w:szCs w:val="20"/>
              </w:rPr>
              <w:instrText xml:space="preserve"> 0.70 and specificity of </w:instrText>
            </w:r>
            <w:r w:rsidRPr="007809AC">
              <w:rPr>
                <w:rFonts w:ascii="Arial" w:eastAsia="SimSun" w:hAnsi="Arial" w:cs="Arial" w:hint="eastAsia"/>
                <w:sz w:val="20"/>
                <w:szCs w:val="20"/>
              </w:rPr>
              <w:instrText>≥</w:instrText>
            </w:r>
            <w:r w:rsidRPr="007809AC">
              <w:rPr>
                <w:rFonts w:ascii="Arial" w:eastAsia="SimSun" w:hAnsi="Arial" w:cs="Arial" w:hint="eastAsia"/>
                <w:sz w:val="20"/>
                <w:szCs w:val="20"/>
              </w:rPr>
              <w:instrText xml:space="preserve"> 0.95. Consequently, these empirica</w:instrText>
            </w:r>
            <w:r w:rsidRPr="007809AC">
              <w:rPr>
                <w:rFonts w:ascii="Arial" w:eastAsia="SimSun" w:hAnsi="Arial" w:cs="Arial"/>
                <w:sz w:val="20"/>
                <w:szCs w:val="20"/>
              </w:rPr>
              <w:instrText>l results supported the development of revised RDC/TMD Axis I diagnostic algorithms that were subsequently demonstrated to be valid for the most common pain-related TMD and for one temporomandibular joint (TMJ) intra-articular disorder. The original RDC/TMD Axis II instruments were shown to be both reliable and valid. Working from these findings and revisions, two international consensus workshops were convened, from which recommendations were obtained for the finalization of new Axis I diagnostic algorithms and new Axis II instruments.\nMETHODS: Through a series of workshops and symposia, a panel of clinical and basic science pain experts modified the revised RDC/TMD Axis I algorithms by using comprehensive searches of published TMD diagnostic literature followed by review and consensus via a formal structured process. The panel's recommendations for further revision of the Axis I diagnostic algorithms were assessed for validity by using the Validation Project's data set, and for reliability by using newly collected data from the ongoing TMJ Impact Project-the follow-up study to the Validation Project. New Axis II instruments were identified through a comprehensive search of the literature providing valid instruments that, relative to the RDC/TMD, are shorter in length, are available in the public domain, and currently are being used in medical settings.\nRESULTS: The newly recommended Diagnostic Criteria for TMD (DC/TMD) Axis I protocol includes both a valid screener for detecting any pain-related TMD a</w:instrText>
            </w:r>
            <w:r w:rsidRPr="007809AC">
              <w:rPr>
                <w:rFonts w:ascii="Arial" w:eastAsia="SimSun" w:hAnsi="Arial" w:cs="Arial" w:hint="eastAsia"/>
                <w:sz w:val="20"/>
                <w:szCs w:val="20"/>
              </w:rPr>
              <w:instrText xml:space="preserve">s well as valid diagnostic criteria for differentiating the most common pain-related TMD (sensitivity </w:instrText>
            </w:r>
            <w:r w:rsidRPr="007809AC">
              <w:rPr>
                <w:rFonts w:ascii="Arial" w:eastAsia="SimSun" w:hAnsi="Arial" w:cs="Arial" w:hint="eastAsia"/>
                <w:sz w:val="20"/>
                <w:szCs w:val="20"/>
              </w:rPr>
              <w:instrText>≥</w:instrText>
            </w:r>
            <w:r w:rsidRPr="007809AC">
              <w:rPr>
                <w:rFonts w:ascii="Arial" w:eastAsia="SimSun" w:hAnsi="Arial" w:cs="Arial" w:hint="eastAsia"/>
                <w:sz w:val="20"/>
                <w:szCs w:val="20"/>
              </w:rPr>
              <w:instrText xml:space="preserve"> 0.86, specificity </w:instrText>
            </w:r>
            <w:r w:rsidRPr="007809AC">
              <w:rPr>
                <w:rFonts w:ascii="Arial" w:eastAsia="SimSun" w:hAnsi="Arial" w:cs="Arial" w:hint="eastAsia"/>
                <w:sz w:val="20"/>
                <w:szCs w:val="20"/>
              </w:rPr>
              <w:instrText>≥</w:instrText>
            </w:r>
            <w:r w:rsidRPr="007809AC">
              <w:rPr>
                <w:rFonts w:ascii="Arial" w:eastAsia="SimSun" w:hAnsi="Arial" w:cs="Arial" w:hint="eastAsia"/>
                <w:sz w:val="20"/>
                <w:szCs w:val="20"/>
              </w:rPr>
              <w:instrText xml:space="preserve"> 0.98) and for one intra-articular disorder (sensitivity of 0.80 and specificity of 0.97). Diagnostic criteria for other common intra-articular disorders lack adequate validity for clinical diagnoses but can be used for screening purposes. Inter-examiner reliability for the clinical assessment associated with the validated DC/TMD criteria for pain-related TMD is excellent (kappa </w:instrText>
            </w:r>
            <w:r w:rsidRPr="007809AC">
              <w:rPr>
                <w:rFonts w:ascii="Arial" w:eastAsia="SimSun" w:hAnsi="Arial" w:cs="Arial" w:hint="eastAsia"/>
                <w:sz w:val="20"/>
                <w:szCs w:val="20"/>
              </w:rPr>
              <w:instrText>≥</w:instrText>
            </w:r>
            <w:r w:rsidRPr="007809AC">
              <w:rPr>
                <w:rFonts w:ascii="Arial" w:eastAsia="SimSun" w:hAnsi="Arial" w:cs="Arial" w:hint="eastAsia"/>
                <w:sz w:val="20"/>
                <w:szCs w:val="20"/>
              </w:rPr>
              <w:instrText xml:space="preserve"> 0.8</w:instrText>
            </w:r>
            <w:r w:rsidRPr="007809AC">
              <w:rPr>
                <w:rFonts w:ascii="Arial" w:eastAsia="SimSun" w:hAnsi="Arial" w:cs="Arial"/>
                <w:sz w:val="20"/>
                <w:szCs w:val="20"/>
              </w:rPr>
              <w:instrText xml:space="preserve">5). Finally, a comprehensive classification system that includes both the common and less common TMD is also presented. The Axis II protocol retains selected original RDC/TMD screening instruments augmented with new instruments to assess jaw function as well as behavioral and additional psychosocial factors. The Axis II protocol is divided into screening and comprehensive self report instrument sets. The screening instruments' 41 questions assess pain intensity, pain-related disability, psychological distress, jaw functional limitations, and parafunctional behaviors, and a pain drawing is used to assess locations of pain. The comprehensive instruments, composed of 81 questions, assess in further detail jaw functional limitations and psychological distress as well as additional constructs of anxiety and presence of comorbid pain conditions.\nCONCLUSION: The recommended evidence-based new DC/TMD protocol is appropriate for use in both clinical and research settings. More comprehensive instruments augment short and simple screening instruments for Axis I and Axis II. These validated instruments allow for identification of patients with a range of simple to complex TMD presentations.","ISSN":"2333-0384","note":"PMID: 24482784\nPMCID: PMC4478082","shortTitle":"Diagnostic Criteria for Temporomandibular Disorders (DC/TMD) for Clinical and Research Applications","journalAbbreviation":"J Oral Facial Pain Headache","language":"eng","author":[{"family":"Schiffman","given":"Eric"},{"family":"Ohrbach","given":"Richard"},{"family":"Truelove","given":"Edmond"},{"family":"Look","given":"John"},{"family":"Anderson","given":"Gary"},{"family":"Goulet","given":"Jean-Paul"},{"family":"List","given":"Thomas"},{"family":"Svensson","given":"Peter"},{"family":"Gonzalez","given":"Yoly"},{"family":"Lobbezoo","given":"Frank"},{"family":"Michelotti","given":"Ambra"},{"family":"Brooks","given":"Sharon L."},{"family":"Ceusters","given":"Werner"},{"family":"Drangsholt","given":"Mark"},{"family":"Ettlin","given":"Dominik"},{"family":"Gaul","given":"Charly"},{"family":"Goldberg","given":"Louis J."},{"family":"Haythornthwaite","given":"Jennifer A."},{"family":"Hollender","given":"Lars"},{"family":"Jensen","given":"Rigmor"},{"family":"John","given":"Mike T."},{"family":"De Laat","given":"Antoon"},{"family":"Leeuw","given":"Reny","non-dropping-particle":"de"},{"family":"Maixner","given":"William"},{"family":"Meulen","given":"Marylee","non-dropping-particle":"van der"},{"family":"Murray","given":"Greg M."},{"family":"Nixdorf","given":"Donald R."},{"family":"Palla","given":"Sandro"},{"family":"Petersson","given":"Arne"},{"family":"Pionchon","given":"Paul"},{"family":"Smith","given":"Barry"},{"family":"Visscher","given":"Corine M."},{"family":"Zakrzewska","given":"Joanna"},{"family":"Dworkin","given":"Samuel F."},{"literal":"International RDC/TMD Consortium Network, International association for Dental Research"},{"literal":"Orofacial Pain Special Interest Group, International Association for the Study of Pain"}],"issued":{"date-parts":[["2014"]]}}}],"schema":"https://github.com/citation-style-language/schema/raw/master/csl-citation.json"} </w:instrText>
            </w:r>
            <w:r w:rsidRPr="007809AC">
              <w:rPr>
                <w:rFonts w:ascii="Arial" w:eastAsia="SimSun" w:hAnsi="Arial" w:cs="Arial"/>
                <w:sz w:val="20"/>
                <w:szCs w:val="20"/>
              </w:rPr>
              <w:fldChar w:fldCharType="separate"/>
            </w:r>
            <w:r w:rsidRPr="007809AC">
              <w:rPr>
                <w:rFonts w:ascii="Arial" w:hAnsi="Arial" w:cs="Arial"/>
                <w:sz w:val="20"/>
                <w:szCs w:val="20"/>
              </w:rPr>
              <w:t>(19)</w:t>
            </w:r>
            <w:r w:rsidRPr="007809AC">
              <w:rPr>
                <w:rFonts w:ascii="Arial" w:eastAsia="SimSun" w:hAnsi="Arial" w:cs="Arial"/>
                <w:sz w:val="20"/>
                <w:szCs w:val="20"/>
              </w:rPr>
              <w:fldChar w:fldCharType="end"/>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5ABC5D" w14:textId="77777777" w:rsidR="00947FA4" w:rsidRPr="007809AC" w:rsidRDefault="00947FA4" w:rsidP="00947FA4">
            <w:pPr>
              <w:spacing w:after="0" w:line="240" w:lineRule="auto"/>
              <w:jc w:val="both"/>
              <w:rPr>
                <w:rFonts w:ascii="Arial" w:eastAsia="SimSun" w:hAnsi="Arial" w:cs="Arial"/>
                <w:sz w:val="20"/>
                <w:szCs w:val="20"/>
              </w:rPr>
            </w:pPr>
            <w:r w:rsidRPr="007809AC">
              <w:rPr>
                <w:rFonts w:ascii="Arial" w:eastAsia="SimSun" w:hAnsi="Arial" w:cs="Arial"/>
                <w:sz w:val="20"/>
                <w:szCs w:val="20"/>
              </w:rPr>
              <w:t>To assess physiological facets of TMD pain and related dysfunction (e.g.: the presence, frequency, intensity, and source of TMJ pain, perceptual jaw noises, open and closed jaw locking, the presence and nature of headaches, and pain modification)</w:t>
            </w:r>
          </w:p>
        </w:tc>
      </w:tr>
      <w:tr w:rsidR="007809AC" w:rsidRPr="007809AC" w14:paraId="4DF59D63" w14:textId="77777777" w:rsidTr="00947FA4">
        <w:trPr>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D334DE" w14:textId="4EBA455A" w:rsidR="00947FA4" w:rsidRPr="007809AC" w:rsidRDefault="00947FA4" w:rsidP="00947FA4">
            <w:pPr>
              <w:spacing w:after="0" w:line="240" w:lineRule="auto"/>
              <w:rPr>
                <w:sz w:val="20"/>
                <w:szCs w:val="20"/>
              </w:rPr>
            </w:pPr>
            <w:r w:rsidRPr="007809AC">
              <w:rPr>
                <w:rFonts w:ascii="Arial" w:eastAsia="SimSun" w:hAnsi="Arial" w:cs="Arial"/>
                <w:sz w:val="20"/>
                <w:szCs w:val="20"/>
              </w:rPr>
              <w:t xml:space="preserve">Axis II of the DC/TMD: The Jaw Functional Limitation Scale-8 </w:t>
            </w:r>
            <w:r w:rsidR="00696F0E" w:rsidRPr="007809AC">
              <w:rPr>
                <w:rFonts w:ascii="Arial" w:eastAsia="SimSun" w:hAnsi="Arial" w:cs="Arial"/>
                <w:sz w:val="20"/>
                <w:szCs w:val="20"/>
              </w:rPr>
              <w:br/>
            </w:r>
            <w:r w:rsidRPr="007809AC">
              <w:rPr>
                <w:rFonts w:ascii="Arial" w:eastAsia="SimSun" w:hAnsi="Arial" w:cs="Arial"/>
                <w:sz w:val="20"/>
                <w:szCs w:val="20"/>
              </w:rPr>
              <w:t>(JFLS-8)</w:t>
            </w:r>
            <w:r w:rsidRPr="007809AC">
              <w:rPr>
                <w:rFonts w:ascii="Arial" w:eastAsia="SimSun" w:hAnsi="Arial" w:cs="Arial"/>
                <w:sz w:val="20"/>
                <w:szCs w:val="20"/>
              </w:rPr>
              <w:fldChar w:fldCharType="begin"/>
            </w:r>
            <w:r w:rsidRPr="007809AC">
              <w:rPr>
                <w:rFonts w:ascii="Arial" w:eastAsia="SimSun" w:hAnsi="Arial" w:cs="Arial"/>
                <w:sz w:val="20"/>
                <w:szCs w:val="20"/>
              </w:rPr>
              <w:instrText xml:space="preserve"> ADDIN ZOTERO_ITEM CSL_CITATION {"citationID":"D5S6w9uH","properties":{"formattedCitation":"(23)","plainCitation":"(23)","noteIndex":0},"citationItems":[{"id":861,"uris":["http://zotero.org/users/local/nlzVUL7s/items/L3JB5HAJ"],"uri":["http://zotero.org/users/local/nlzVUL7s/items/L3JB5HAJ"],"itemData":{"id":861,"type":"article-journal","title":"The jaw functional limitation scale: development, reliability, and validity of 8-item and 20-item versions","container-title":"Journal of Orofacial Pain","page":"219-230","volume":"22","issue":"3","source":"PubMed","abstract":"AIMS: To develop the Jaw Functional Limitation Scale (JFLS), comprising 3 constructs and a global scale, based on a preliminary instrument, and to investigate content validity of the overall functional limitation construct, reliability, and generalizability. A temporomandibular disorders (TMD) patient group, compared to other diagnostic groups, was hypothesized to report further limitation in each of the 3 new proposed constructs.\nMETHODS: One hundred thirty-two consecutive patients from 5 diagnostic groups (TMD, primary Sjogren syndrome, burning mouth syndrome, skeletal malocclusion, and healthy controls) participated in a known-groups validity design. Fifty-two jaw functional limitation items were identified by an expert panel for content validity. Rasch methodology was used for item reduction and assessment of model fit. The instrument was retested 1 to 2 weeks later.\nRESULTS: Three constructs (mastication, vertical jaw mobility, and emotional and verbal expression) comprising a total of 20 items were identified along with a global scale (the JFLS-20), and each exhibited excellent psychometric properties with respect to modeled variance, item fit, reliability, and internal consistency. The psychometric properties of each construct remained satisfactory when analyzed separately among the 5 diagnostic groups. Temporal stability was satisfactory. A shorter 8-item form (JFLS-8) also proved useful for assessing global functional jaw limitation.\nCONCLUSION: The JFLS-20 is an organ-specific instrument comprising 3 constructs for assessing functional status of the masticatory system; the 3 scales exhibit properties that are ideal for both research and patient evaluation in patient groups with a range of functional limitations of the jaw. The JFLS-8 emerged as a short form for measuring global functional limitation of the jaw.","ISSN":"1064-6655","note":"PMID: 18780535","shortTitle":"The jaw functional limitation scale","journalAbbreviation":"J Orofac Pain","language":"eng","author":[{"family":"Ohrbach","given":"Richard"},{"family":"Larsson","given":"Pernilla"},{"family":"List","given":"Thomas"}],"issued":{"date-parts":[["2008"]]}}}],"schema":"https://github.com/citation-style-language/schema/raw/master/csl-citation.json"} </w:instrText>
            </w:r>
            <w:r w:rsidRPr="007809AC">
              <w:rPr>
                <w:rFonts w:ascii="Arial" w:eastAsia="SimSun" w:hAnsi="Arial" w:cs="Arial"/>
                <w:sz w:val="20"/>
                <w:szCs w:val="20"/>
              </w:rPr>
              <w:fldChar w:fldCharType="separate"/>
            </w:r>
            <w:r w:rsidRPr="007809AC">
              <w:rPr>
                <w:rFonts w:ascii="Arial" w:hAnsi="Arial" w:cs="Arial"/>
                <w:sz w:val="20"/>
                <w:szCs w:val="20"/>
              </w:rPr>
              <w:t>(23)</w:t>
            </w:r>
            <w:r w:rsidRPr="007809AC">
              <w:rPr>
                <w:rFonts w:ascii="Arial" w:eastAsia="SimSun" w:hAnsi="Arial" w:cs="Arial"/>
                <w:sz w:val="20"/>
                <w:szCs w:val="20"/>
              </w:rPr>
              <w:fldChar w:fldCharType="end"/>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A02D45" w14:textId="77777777" w:rsidR="00947FA4" w:rsidRPr="007809AC" w:rsidRDefault="00947FA4" w:rsidP="00947FA4">
            <w:pPr>
              <w:spacing w:after="0" w:line="240" w:lineRule="auto"/>
              <w:jc w:val="both"/>
              <w:rPr>
                <w:rFonts w:ascii="Arial" w:eastAsia="SimSun" w:hAnsi="Arial" w:cs="Arial"/>
                <w:sz w:val="20"/>
                <w:szCs w:val="20"/>
              </w:rPr>
            </w:pPr>
            <w:r w:rsidRPr="007809AC">
              <w:rPr>
                <w:rFonts w:ascii="Arial" w:eastAsia="SimSun" w:hAnsi="Arial" w:cs="Arial"/>
                <w:sz w:val="20"/>
                <w:szCs w:val="20"/>
              </w:rPr>
              <w:t>To assess global limitations in mastication, jaw mobility, and verbal and emotional expression in functional activities</w:t>
            </w:r>
          </w:p>
        </w:tc>
      </w:tr>
      <w:tr w:rsidR="007809AC" w:rsidRPr="007809AC" w14:paraId="136FA1DB" w14:textId="77777777" w:rsidTr="00947FA4">
        <w:trPr>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A3B954" w14:textId="77777777" w:rsidR="00947FA4" w:rsidRPr="007809AC" w:rsidRDefault="00947FA4" w:rsidP="00947FA4">
            <w:pPr>
              <w:spacing w:after="0" w:line="240" w:lineRule="auto"/>
              <w:rPr>
                <w:sz w:val="20"/>
                <w:szCs w:val="20"/>
              </w:rPr>
            </w:pPr>
            <w:r w:rsidRPr="007809AC">
              <w:rPr>
                <w:rFonts w:ascii="Arial" w:eastAsia="SimSun" w:hAnsi="Arial" w:cs="Arial"/>
                <w:sz w:val="20"/>
                <w:szCs w:val="20"/>
              </w:rPr>
              <w:t>Axis II of the DC/TMD: The Graded Chronic Pain Scale (GCPS)</w:t>
            </w:r>
            <w:r w:rsidRPr="007809AC">
              <w:rPr>
                <w:rFonts w:ascii="Arial" w:eastAsia="SimSun" w:hAnsi="Arial" w:cs="Arial"/>
                <w:sz w:val="20"/>
                <w:szCs w:val="20"/>
              </w:rPr>
              <w:fldChar w:fldCharType="begin"/>
            </w:r>
            <w:r w:rsidRPr="007809AC">
              <w:rPr>
                <w:rFonts w:ascii="Arial" w:eastAsia="SimSun" w:hAnsi="Arial" w:cs="Arial"/>
                <w:sz w:val="20"/>
                <w:szCs w:val="20"/>
              </w:rPr>
              <w:instrText xml:space="preserve"> ADDIN ZOTERO_ITEM CSL_CITATION {"citationID":"A5z83Sbt","properties":{"formattedCitation":"(27)","plainCitation":"(27)","noteIndex":0},"citationItems":[{"id":1174,"uris":["http://zotero.org/users/local/nlzVUL7s/items/9SXBADMP"],"uri":["http://zotero.org/users/local/nlzVUL7s/items/9SXBADMP"],"itemData":{"id":1174,"type":"article-journal","title":"Grading the severity of chronic pain","container-title":"Pain","page":"133-149","volume":"50","issue":"2","source":"PubMed","abstract":"This research develops and evaluates a simple method of grading the severity of chronic pain for use in general population surveys and studies of primary care pain patients. Measures of pain intensity, disability, persistence and recency of onset were tested for their ability to grade chronic pain severity in a longitudinal study of primary care back pain (n = 1213), headache (n = 779) and temporomandibular disorder pain (n = 397) patients. A Guttman scale analysis showed that pain intensity and disability measures formed a reliable hierarchical scale. Pain intensity measures appeared to scale the lower range of global severity while disability measures appeared to scale the upper range of global severity. Recency of onset and days in pain in the prior 6 months did not scale with pain intensity or disability. Using simple scoring rules, pain severity was graded into 4 hierarchical classes: Grade I, low disability--low intensity; Grade II, low disability--high intensity; Grade III, high disability--moderately limiting; and Grade IV, high disability--severely limiting. For each pain site, Chronic Pain Grade measured at baseline showed a highly statistically significant and monotonically increasing relationship with unemployment rate, pain-related functional limitations, depression, fair to poor self-rated health, frequent use of opioid analgesics, and frequent pain-related doctor visits both at baseline and at 1-year follow-up. Days in Pain was related to these variables, but not as strongly as Chronic Pain Grade. Recent onset cases (first onset within the prior 3 months) did not show differences in psychological and behavioral dysfunction when compared to persons with less recent onset. Using longitudinal data from a population-based study (n = 803), Chronic Pain Grade at baseline predicted the presence of pain in the prior 2 weeks. Chronic Pain Grade and pain-related functional limitations at 3-year follow-up. Grading chronic pain as a function of pain intensity and pain-related disability may be useful when a brief ordinal measure of global pain severity is required. Pain persistence, measured by days in pain in a fixed time period, provides useful additional information.","ISSN":"0304-3959","note":"PMID: 1408309","journalAbbreviation":"Pain","language":"eng","author":[{"family":"Von Korff","given":"M."},{"family":"Ormel","given":"J."},{"family":"Keefe","given":"F. J."},{"family":"Dworkin","given":"S. F."}],"issued":{"date-parts":[["1992",8]]}}}],"schema":"https://github.com/citation-style-language/schema/raw/master/csl-citation.json"} </w:instrText>
            </w:r>
            <w:r w:rsidRPr="007809AC">
              <w:rPr>
                <w:rFonts w:ascii="Arial" w:eastAsia="SimSun" w:hAnsi="Arial" w:cs="Arial"/>
                <w:sz w:val="20"/>
                <w:szCs w:val="20"/>
              </w:rPr>
              <w:fldChar w:fldCharType="separate"/>
            </w:r>
            <w:r w:rsidRPr="007809AC">
              <w:rPr>
                <w:rFonts w:ascii="Arial" w:hAnsi="Arial" w:cs="Arial"/>
                <w:sz w:val="20"/>
                <w:szCs w:val="20"/>
              </w:rPr>
              <w:t>(27)</w:t>
            </w:r>
            <w:r w:rsidRPr="007809AC">
              <w:rPr>
                <w:rFonts w:ascii="Arial" w:eastAsia="SimSun" w:hAnsi="Arial" w:cs="Arial"/>
                <w:sz w:val="20"/>
                <w:szCs w:val="20"/>
              </w:rPr>
              <w:fldChar w:fldCharType="end"/>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09A79A" w14:textId="77777777" w:rsidR="00947FA4" w:rsidRPr="007809AC" w:rsidRDefault="00947FA4" w:rsidP="00947FA4">
            <w:pPr>
              <w:spacing w:after="0" w:line="240" w:lineRule="auto"/>
              <w:jc w:val="both"/>
              <w:rPr>
                <w:rFonts w:ascii="Arial" w:eastAsia="SimSun" w:hAnsi="Arial" w:cs="Arial"/>
                <w:sz w:val="20"/>
                <w:szCs w:val="20"/>
              </w:rPr>
            </w:pPr>
            <w:r w:rsidRPr="007809AC">
              <w:rPr>
                <w:rFonts w:ascii="Arial" w:eastAsia="SimSun" w:hAnsi="Arial" w:cs="Arial"/>
                <w:sz w:val="20"/>
                <w:szCs w:val="20"/>
              </w:rPr>
              <w:t>To assess patient-reported global pain severity, pain-intensity, and pain-related disability</w:t>
            </w:r>
          </w:p>
        </w:tc>
      </w:tr>
      <w:tr w:rsidR="007809AC" w:rsidRPr="007809AC" w14:paraId="4F75280F" w14:textId="77777777" w:rsidTr="00947FA4">
        <w:trPr>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A0F90B" w14:textId="5C4DBB84" w:rsidR="00947FA4" w:rsidRPr="007809AC" w:rsidRDefault="00947FA4" w:rsidP="00947FA4">
            <w:pPr>
              <w:spacing w:after="0" w:line="240" w:lineRule="auto"/>
              <w:rPr>
                <w:sz w:val="20"/>
                <w:szCs w:val="20"/>
              </w:rPr>
            </w:pPr>
            <w:r w:rsidRPr="007809AC">
              <w:rPr>
                <w:rFonts w:ascii="Arial" w:eastAsia="SimSun" w:hAnsi="Arial" w:cs="Arial"/>
                <w:sz w:val="20"/>
                <w:szCs w:val="20"/>
              </w:rPr>
              <w:t xml:space="preserve">Axis II of the DC/TMD: The Patient Health </w:t>
            </w:r>
            <w:r w:rsidR="00696F0E" w:rsidRPr="007809AC">
              <w:rPr>
                <w:rFonts w:ascii="Arial" w:eastAsia="SimSun" w:hAnsi="Arial" w:cs="Arial"/>
                <w:sz w:val="20"/>
                <w:szCs w:val="20"/>
              </w:rPr>
              <w:t>Questionna</w:t>
            </w:r>
            <w:r w:rsidRPr="007809AC">
              <w:rPr>
                <w:rFonts w:ascii="Arial" w:eastAsia="SimSun" w:hAnsi="Arial" w:cs="Arial"/>
                <w:sz w:val="20"/>
                <w:szCs w:val="20"/>
              </w:rPr>
              <w:t>ire-4 (PHQ-4)</w:t>
            </w:r>
            <w:r w:rsidRPr="007809AC">
              <w:rPr>
                <w:rFonts w:ascii="Arial" w:eastAsia="SimSun" w:hAnsi="Arial" w:cs="Arial"/>
                <w:sz w:val="20"/>
                <w:szCs w:val="20"/>
              </w:rPr>
              <w:fldChar w:fldCharType="begin"/>
            </w:r>
            <w:r w:rsidRPr="007809AC">
              <w:rPr>
                <w:rFonts w:ascii="Arial" w:eastAsia="SimSun" w:hAnsi="Arial" w:cs="Arial"/>
                <w:sz w:val="20"/>
                <w:szCs w:val="20"/>
              </w:rPr>
              <w:instrText xml:space="preserve"> ADDIN ZOTERO_ITEM CSL_CITATION {"citationID":"5YIsEbvv","properties":{"formattedCitation":"(28)","plainCitation":"(28)","noteIndex":0},"citationItems":[{"id":1176,"uris":["http://zotero.org/users/local/nlzVUL7s/items/MDM3R3H2"],"uri":["http://zotero.org/users/local/nlzVUL7s/items/MDM3R3H2"],"itemData":{"id":1176,"type":"article-journal","title":"An ultra-brief screening scale for anxiety and depression: the PHQ-4","container-title":"Psychosomatics","page":"613-621","volume":"50","issue":"6","source":"PubMed","abstract":"BACKGROUND: The most common mental disorders in both outpatient settings and the general population are depression and anxiety, which frequently coexist. Both of these disorders are associated with considerable disability.\nOBJECTIVE: When the disorders co-occur, the disability is even greater. Authors sought to test an ultra-brief screening tool for both.\nMETHOD: Validated two-item ultra-brief screeners for depression and anxiety were combined to constitute the Patient Health Questionnaire for Depression and Anxiety (the PHQ-4). Data were analyzed from 2,149 patients drawn from 15 primary-care clinics in the United States.\nRESULTS: Factor analysis confirmed two discrete factors (Depression and Anxiety) that explained 84% of the total variance. Increasing PHQ-4 scores were strongly associated with functional impairment, disability days, and healthcare use. Anxiety had a substantial effect on functional status that was independent of depression.\nCONCLUSION: The PHQ-4 is a valid ultra-brief tool for detecting both anxiety and depressive disorders.","DOI":"10.1176/appi.psy.50.6.613","ISSN":"1545-7206","note":"PMID: 19996233","shortTitle":"An ultra-brief screening scale for anxiety and depression","journalAbbreviation":"Psychosomatics","language":"eng","author":[{"family":"Kroenke","given":"Kurt"},{"family":"Spitzer","given":"Robert L."},{"family":"Williams","given":"Janet B. W."},{"family":"Löwe","given":"Bernd"}],"issued":{"date-parts":[["2009",12]]}}}],"schema":"https://github.com/citation-style-language/schema/raw/master/csl-citation.json"} </w:instrText>
            </w:r>
            <w:r w:rsidRPr="007809AC">
              <w:rPr>
                <w:rFonts w:ascii="Arial" w:eastAsia="SimSun" w:hAnsi="Arial" w:cs="Arial"/>
                <w:sz w:val="20"/>
                <w:szCs w:val="20"/>
              </w:rPr>
              <w:fldChar w:fldCharType="separate"/>
            </w:r>
            <w:r w:rsidRPr="007809AC">
              <w:rPr>
                <w:rFonts w:ascii="Arial" w:hAnsi="Arial" w:cs="Arial"/>
                <w:sz w:val="20"/>
                <w:szCs w:val="20"/>
              </w:rPr>
              <w:t>(28)</w:t>
            </w:r>
            <w:r w:rsidRPr="007809AC">
              <w:rPr>
                <w:rFonts w:ascii="Arial" w:eastAsia="SimSun" w:hAnsi="Arial" w:cs="Arial"/>
                <w:sz w:val="20"/>
                <w:szCs w:val="20"/>
              </w:rPr>
              <w:fldChar w:fldCharType="end"/>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7EF477" w14:textId="77777777" w:rsidR="00947FA4" w:rsidRPr="007809AC" w:rsidRDefault="00947FA4" w:rsidP="00947FA4">
            <w:pPr>
              <w:spacing w:after="0" w:line="240" w:lineRule="auto"/>
              <w:jc w:val="both"/>
              <w:rPr>
                <w:rFonts w:ascii="Arial" w:eastAsia="SimSun" w:hAnsi="Arial" w:cs="Arial"/>
                <w:sz w:val="20"/>
                <w:szCs w:val="20"/>
              </w:rPr>
            </w:pPr>
            <w:r w:rsidRPr="007809AC">
              <w:rPr>
                <w:rFonts w:ascii="Arial" w:eastAsia="SimSun" w:hAnsi="Arial" w:cs="Arial"/>
                <w:sz w:val="20"/>
                <w:szCs w:val="20"/>
              </w:rPr>
              <w:t>To assess psychological distress and difficulties in emotional functioning attributed to anxiety and/or depression</w:t>
            </w:r>
          </w:p>
        </w:tc>
      </w:tr>
      <w:tr w:rsidR="007809AC" w:rsidRPr="007809AC" w14:paraId="77181690" w14:textId="77777777" w:rsidTr="00947FA4">
        <w:trPr>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8EB571" w14:textId="77777777" w:rsidR="00947FA4" w:rsidRPr="007809AC" w:rsidRDefault="00947FA4" w:rsidP="00947FA4">
            <w:pPr>
              <w:spacing w:after="0" w:line="240" w:lineRule="auto"/>
              <w:rPr>
                <w:rFonts w:ascii="Arial" w:eastAsia="SimSun" w:hAnsi="Arial" w:cs="Arial"/>
                <w:sz w:val="20"/>
                <w:szCs w:val="20"/>
              </w:rPr>
            </w:pPr>
            <w:r w:rsidRPr="007809AC">
              <w:rPr>
                <w:rFonts w:ascii="Arial" w:eastAsia="SimSun" w:hAnsi="Arial" w:cs="Arial"/>
                <w:sz w:val="20"/>
                <w:szCs w:val="20"/>
              </w:rPr>
              <w:t>Axis II of the DC/TMD: The Oral Behaviours Checklist</w:t>
            </w:r>
            <w:r w:rsidRPr="007809AC">
              <w:rPr>
                <w:rFonts w:ascii="Arial" w:eastAsia="SimSun" w:hAnsi="Arial" w:cs="Arial"/>
                <w:sz w:val="20"/>
                <w:szCs w:val="20"/>
              </w:rPr>
              <w:fldChar w:fldCharType="begin"/>
            </w:r>
            <w:r w:rsidRPr="007809AC">
              <w:rPr>
                <w:rFonts w:ascii="Arial" w:eastAsia="SimSun" w:hAnsi="Arial" w:cs="Arial"/>
                <w:sz w:val="20"/>
                <w:szCs w:val="20"/>
              </w:rPr>
              <w:instrText xml:space="preserve"> ADDIN ZOTERO_ITEM CSL_CITATION {"citationID":"8Sw86t0A","properties":{"formattedCitation":"(24)","plainCitation":"(24)","noteIndex":0},"citationItems":[{"id":350,"uris":["http://zotero.org/users/local/nlzVUL7s/items/V7DCA3Z9"],"uri":["http://zotero.org/users/local/nlzVUL7s/items/V7DCA3Z9"],"itemData":{"id":350,"type":"article-journal","title":"Psychometric properties of the Oral Behaviors Checklist: Preliminary findings.  IADR, Honolulu Hawaii, March 2004.","container-title":"Journal of dental research","page":"1194","volume":"83","issue":"Special Issue A","author":[{"family":"Ohrbach, R., Beneduce, C., Markiewicz, M., McCall, W.D. Jr.","given":""}],"issued":{"date-parts":[["2004"]]}}}],"schema":"https://github.com/citation-style-language/schema/raw/master/csl-citation.json"} </w:instrText>
            </w:r>
            <w:r w:rsidRPr="007809AC">
              <w:rPr>
                <w:rFonts w:ascii="Arial" w:eastAsia="SimSun" w:hAnsi="Arial" w:cs="Arial"/>
                <w:sz w:val="20"/>
                <w:szCs w:val="20"/>
              </w:rPr>
              <w:fldChar w:fldCharType="separate"/>
            </w:r>
            <w:r w:rsidRPr="007809AC">
              <w:rPr>
                <w:rFonts w:ascii="Arial" w:hAnsi="Arial" w:cs="Arial"/>
                <w:sz w:val="20"/>
                <w:szCs w:val="20"/>
              </w:rPr>
              <w:t>(24)</w:t>
            </w:r>
            <w:r w:rsidRPr="007809AC">
              <w:rPr>
                <w:rFonts w:ascii="Arial" w:eastAsia="SimSun" w:hAnsi="Arial" w:cs="Arial"/>
                <w:sz w:val="20"/>
                <w:szCs w:val="20"/>
              </w:rPr>
              <w:fldChar w:fldCharType="end"/>
            </w:r>
            <w:r w:rsidRPr="007809AC">
              <w:rPr>
                <w:rFonts w:ascii="Arial" w:eastAsia="SimSun" w:hAnsi="Arial" w:cs="Arial"/>
                <w:sz w:val="20"/>
                <w:szCs w:val="20"/>
              </w:rPr>
              <w:t xml:space="preserve"> </w:t>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D3A2C4" w14:textId="77777777" w:rsidR="00947FA4" w:rsidRPr="007809AC" w:rsidRDefault="00947FA4" w:rsidP="00947FA4">
            <w:pPr>
              <w:spacing w:after="0" w:line="240" w:lineRule="auto"/>
              <w:jc w:val="both"/>
              <w:rPr>
                <w:rFonts w:ascii="Arial" w:eastAsia="SimSun" w:hAnsi="Arial" w:cs="Arial"/>
                <w:sz w:val="20"/>
                <w:szCs w:val="20"/>
              </w:rPr>
            </w:pPr>
            <w:r w:rsidRPr="007809AC">
              <w:rPr>
                <w:rFonts w:ascii="Arial" w:eastAsia="SimSun" w:hAnsi="Arial" w:cs="Arial"/>
                <w:sz w:val="20"/>
                <w:szCs w:val="20"/>
              </w:rPr>
              <w:t>To assess the frequency of maladaptive oral parafunctional behaviours such as jaw clenching, bruxism, or habitual mouthing of objects, which may cause repetitive stomatognathic microtrauma contributing to both the development of TMDs and the perpetuation of their chronicity</w:t>
            </w:r>
          </w:p>
        </w:tc>
      </w:tr>
      <w:tr w:rsidR="007809AC" w:rsidRPr="007809AC" w14:paraId="499CCC4A" w14:textId="77777777" w:rsidTr="00947FA4">
        <w:trPr>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267896" w14:textId="77777777" w:rsidR="00947FA4" w:rsidRPr="007809AC" w:rsidRDefault="00947FA4" w:rsidP="00947FA4">
            <w:pPr>
              <w:spacing w:after="0" w:line="240" w:lineRule="auto"/>
              <w:rPr>
                <w:sz w:val="20"/>
                <w:szCs w:val="20"/>
              </w:rPr>
            </w:pPr>
            <w:r w:rsidRPr="007809AC">
              <w:rPr>
                <w:rFonts w:ascii="Arial" w:eastAsia="SimSun" w:hAnsi="Arial" w:cs="Arial"/>
                <w:sz w:val="20"/>
                <w:szCs w:val="20"/>
              </w:rPr>
              <w:t>The Dysphagia Handicap Index (DHI)</w:t>
            </w:r>
            <w:r w:rsidRPr="007809AC">
              <w:rPr>
                <w:rFonts w:ascii="Arial" w:eastAsia="SimSun" w:hAnsi="Arial" w:cs="Arial"/>
                <w:sz w:val="20"/>
                <w:szCs w:val="20"/>
              </w:rPr>
              <w:fldChar w:fldCharType="begin"/>
            </w:r>
            <w:r w:rsidRPr="007809AC">
              <w:rPr>
                <w:rFonts w:ascii="Arial" w:eastAsia="SimSun" w:hAnsi="Arial" w:cs="Arial"/>
                <w:sz w:val="20"/>
                <w:szCs w:val="20"/>
              </w:rPr>
              <w:instrText xml:space="preserve"> ADDIN ZOTERO_ITEM CSL_CITATION {"citationID":"4BrHpvfg","properties":{"formattedCitation":"(29)","plainCitation":"(29)","noteIndex":0},"citationItems":[{"id":1178,"uris":["http://zotero.org/users/local/nlzVUL7s/items/MKHPRY3C"],"uri":["http://zotero.org/users/local/nlzVUL7s/items/MKHPRY3C"],"itemData":{"id":1178,"type":"article-journal","title":"The Dysphagia handicap index: development and validation","container-title":"Dysphagia","page":"46-52","volume":"27","issue":"1","source":"PubMed","abstract":"Quality-of-life indicators for dysphagia provide invaluable information to the treating clinician regarding the success or failure of swallowing therapy. The purpose of this study was to develop a clinically efficient, statistically robust patient-reported outcomes tool that measures the handicapping effect of dysphagia on emotional, functional, and physical aspects of individual's lives. 60 statements describing the handicapping effect of dysphagia were collected from patient reports and divided into subscales of physical, emotional, and functional problems. The statements were presented to 77 individuals with dysphagia. Respondents replied never, sometimes, or always to each statement and rated their self-perceived dysphagia severity on a 7-point equal-appearing interval scale. Cronbach's α was performed to assess the internal consistency validation of the items within the questionnaire. The final questionnaire was reduced to 25 items and administered to 214 individuals with dysphagia and 74 controls. Test-retest was performed on 63 individuals with dysphagia. Cronbach's α for the initial and final versions was strong at r = 0.96 and r = 0.94, respectively. Significant differences occurred between the dysphagia and control groups. Test-retest reliability was strong. We present a new, easy-to-complete, statistically robust, patient-reported outcomes measure for assessing the handicapping effect of dysphagia.","DOI":"10.1007/s00455-011-9336-2","ISSN":"1432-0460","note":"PMID: 21424584","shortTitle":"The Dysphagia handicap index","journalAbbreviation":"Dysphagia","language":"eng","author":[{"family":"Silbergleit","given":"Alice K."},{"family":"Schultz","given":"Lonni"},{"family":"Jacobson","given":"Barbara H."},{"family":"Beardsley","given":"Tausha"},{"family":"Johnson","given":"Alex F."}],"issued":{"date-parts":[["2012",3]]}}}],"schema":"https://github.com/citation-style-language/schema/raw/master/csl-citation.json"} </w:instrText>
            </w:r>
            <w:r w:rsidRPr="007809AC">
              <w:rPr>
                <w:rFonts w:ascii="Arial" w:eastAsia="SimSun" w:hAnsi="Arial" w:cs="Arial"/>
                <w:sz w:val="20"/>
                <w:szCs w:val="20"/>
              </w:rPr>
              <w:fldChar w:fldCharType="separate"/>
            </w:r>
            <w:r w:rsidRPr="007809AC">
              <w:rPr>
                <w:rFonts w:ascii="Arial" w:hAnsi="Arial" w:cs="Arial"/>
                <w:sz w:val="20"/>
                <w:szCs w:val="20"/>
              </w:rPr>
              <w:t>(29)</w:t>
            </w:r>
            <w:r w:rsidRPr="007809AC">
              <w:rPr>
                <w:rFonts w:ascii="Arial" w:eastAsia="SimSun" w:hAnsi="Arial" w:cs="Arial"/>
                <w:sz w:val="20"/>
                <w:szCs w:val="20"/>
              </w:rPr>
              <w:fldChar w:fldCharType="end"/>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ED1072" w14:textId="77777777" w:rsidR="00947FA4" w:rsidRPr="007809AC" w:rsidRDefault="00947FA4" w:rsidP="00947FA4">
            <w:pPr>
              <w:spacing w:after="0" w:line="240" w:lineRule="auto"/>
              <w:jc w:val="both"/>
              <w:rPr>
                <w:rFonts w:ascii="Arial" w:eastAsia="SimSun" w:hAnsi="Arial" w:cs="Arial"/>
                <w:sz w:val="20"/>
                <w:szCs w:val="20"/>
              </w:rPr>
            </w:pPr>
            <w:r w:rsidRPr="007809AC">
              <w:rPr>
                <w:rFonts w:ascii="Arial" w:eastAsia="SimSun" w:hAnsi="Arial" w:cs="Arial"/>
                <w:sz w:val="20"/>
                <w:szCs w:val="20"/>
              </w:rPr>
              <w:t>To assess the perceived emotional, functional and physical impact of OD on activity and participation in ADLs</w:t>
            </w:r>
          </w:p>
        </w:tc>
      </w:tr>
      <w:tr w:rsidR="007809AC" w:rsidRPr="007809AC" w14:paraId="4574ACE2" w14:textId="77777777" w:rsidTr="00947FA4">
        <w:trPr>
          <w:jc w:val="center"/>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561BC9" w14:textId="77777777" w:rsidR="00947FA4" w:rsidRPr="007809AC" w:rsidRDefault="00947FA4" w:rsidP="00947FA4">
            <w:pPr>
              <w:spacing w:after="0" w:line="240" w:lineRule="auto"/>
              <w:jc w:val="center"/>
              <w:rPr>
                <w:rFonts w:ascii="Arial" w:eastAsia="SimSun" w:hAnsi="Arial" w:cs="Arial"/>
                <w:b/>
                <w:i/>
                <w:sz w:val="20"/>
                <w:szCs w:val="20"/>
              </w:rPr>
            </w:pPr>
            <w:r w:rsidRPr="007809AC">
              <w:rPr>
                <w:rFonts w:ascii="Arial" w:eastAsia="SimSun" w:hAnsi="Arial" w:cs="Arial"/>
                <w:b/>
                <w:i/>
                <w:sz w:val="20"/>
                <w:szCs w:val="20"/>
              </w:rPr>
              <w:t>Measures completed by Researcher</w:t>
            </w:r>
          </w:p>
        </w:tc>
      </w:tr>
      <w:tr w:rsidR="007809AC" w:rsidRPr="007809AC" w14:paraId="549C39E6" w14:textId="77777777" w:rsidTr="00947FA4">
        <w:trPr>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194327" w14:textId="77777777" w:rsidR="00947FA4" w:rsidRPr="007809AC" w:rsidRDefault="00947FA4" w:rsidP="00947FA4">
            <w:pPr>
              <w:spacing w:after="0" w:line="240" w:lineRule="auto"/>
              <w:rPr>
                <w:sz w:val="20"/>
                <w:szCs w:val="20"/>
              </w:rPr>
            </w:pPr>
            <w:r w:rsidRPr="007809AC">
              <w:rPr>
                <w:rFonts w:ascii="Arial" w:eastAsia="SimSun" w:hAnsi="Arial" w:cs="Arial"/>
                <w:sz w:val="20"/>
                <w:szCs w:val="20"/>
              </w:rPr>
              <w:t>Axis I of the DC/TMD: The DC/TMD Examination Tool</w:t>
            </w:r>
            <w:r w:rsidRPr="007809AC">
              <w:rPr>
                <w:rFonts w:ascii="Arial" w:eastAsia="SimSun" w:hAnsi="Arial" w:cs="Arial"/>
                <w:sz w:val="20"/>
                <w:szCs w:val="20"/>
              </w:rPr>
              <w:fldChar w:fldCharType="begin"/>
            </w:r>
            <w:r w:rsidRPr="007809AC">
              <w:rPr>
                <w:rFonts w:ascii="Arial" w:eastAsia="SimSun" w:hAnsi="Arial" w:cs="Arial"/>
                <w:sz w:val="20"/>
                <w:szCs w:val="20"/>
              </w:rPr>
              <w:instrText xml:space="preserve"> ADDIN ZOTERO_ITEM CSL_CITATION {"citationID":"4PXoa9jY","properties":{"formattedCitation":"(19)","plainCitation":"(19)","noteIndex":0},"citationItems":[{"id":55,"uris":["http://zotero.org/users/local/nlzVUL7s/items/VPK22XTF"],"uri":["http://zotero.org/users/local/nlzVUL7s/items/VPK22XTF"],"itemData":{"id":55,"type":"article-journal","title":"Diagnostic Criteria for Temporomandibular Disorders (DC/TMD) for Clinical and Research Applications: recommendations of the International RDC/TMD Consortium Network* and Orofacial Pain Special Interest Group†","container-title":"Journal of Oral &amp; Facial Pain and Headache","page":"6-27","volume":"28","issue":"1","source":"PubMed","abstract":"AIMS: The original Research Diagnostic Criteria for Temporomandibular Disorde</w:instrText>
            </w:r>
            <w:r w:rsidRPr="007809AC">
              <w:rPr>
                <w:rFonts w:ascii="Arial" w:eastAsia="SimSun" w:hAnsi="Arial" w:cs="Arial" w:hint="eastAsia"/>
                <w:sz w:val="20"/>
                <w:szCs w:val="20"/>
              </w:rPr>
              <w:instrText xml:space="preserve">rs (RDC/TMD) Axis I diagnostic algorithms have been demonstrated to be reliable. However, the Validation Project determined that the RDC/TMD Axis I validity was below the target sensitivity of </w:instrText>
            </w:r>
            <w:r w:rsidRPr="007809AC">
              <w:rPr>
                <w:rFonts w:ascii="Arial" w:eastAsia="SimSun" w:hAnsi="Arial" w:cs="Arial" w:hint="eastAsia"/>
                <w:sz w:val="20"/>
                <w:szCs w:val="20"/>
              </w:rPr>
              <w:instrText>≥</w:instrText>
            </w:r>
            <w:r w:rsidRPr="007809AC">
              <w:rPr>
                <w:rFonts w:ascii="Arial" w:eastAsia="SimSun" w:hAnsi="Arial" w:cs="Arial" w:hint="eastAsia"/>
                <w:sz w:val="20"/>
                <w:szCs w:val="20"/>
              </w:rPr>
              <w:instrText xml:space="preserve"> 0.70 and specificity of </w:instrText>
            </w:r>
            <w:r w:rsidRPr="007809AC">
              <w:rPr>
                <w:rFonts w:ascii="Arial" w:eastAsia="SimSun" w:hAnsi="Arial" w:cs="Arial" w:hint="eastAsia"/>
                <w:sz w:val="20"/>
                <w:szCs w:val="20"/>
              </w:rPr>
              <w:instrText>≥</w:instrText>
            </w:r>
            <w:r w:rsidRPr="007809AC">
              <w:rPr>
                <w:rFonts w:ascii="Arial" w:eastAsia="SimSun" w:hAnsi="Arial" w:cs="Arial" w:hint="eastAsia"/>
                <w:sz w:val="20"/>
                <w:szCs w:val="20"/>
              </w:rPr>
              <w:instrText xml:space="preserve"> 0.95. Consequently, these empirica</w:instrText>
            </w:r>
            <w:r w:rsidRPr="007809AC">
              <w:rPr>
                <w:rFonts w:ascii="Arial" w:eastAsia="SimSun" w:hAnsi="Arial" w:cs="Arial"/>
                <w:sz w:val="20"/>
                <w:szCs w:val="20"/>
              </w:rPr>
              <w:instrText>l results supported the development of revised RDC/TMD Axis I diagnostic algorithms that were subsequently demonstrated to be valid for the most common pain-related TMD and for one temporomandibular joint (TMJ) intra-articular disorder. The original RDC/TMD Axis II instruments were shown to be both reliable and valid. Working from these findings and revisions, two international consensus workshops were convened, from which recommendations were obtained for the finalization of new Axis I diagnostic algorithms and new Axis II instruments.\nMETHODS: Through a series of workshops and symposia, a panel of clinical and basic science pain experts modified the revised RDC/TMD Axis I algorithms by using comprehensive searches of published TMD diagnostic literature followed by review and consensus via a formal structured process. The panel's recommendations for further revision of the Axis I diagnostic algorithms were assessed for validity by using the Validation Project's data set, and for reliability by using newly collected data from the ongoing TMJ Impact Project-the follow-up study to the Validation Project. New Axis II instruments were identified through a comprehensive search of the literature providing valid instruments that, relative to the RDC/TMD, are shorter in length, are available in the public domain, and currently are being used in medical settings.\nRESULTS: The newly recommended Diagnostic Criteria for TMD (DC/TMD) Axis I protocol includes both a valid screener for detecting any pain-related TMD a</w:instrText>
            </w:r>
            <w:r w:rsidRPr="007809AC">
              <w:rPr>
                <w:rFonts w:ascii="Arial" w:eastAsia="SimSun" w:hAnsi="Arial" w:cs="Arial" w:hint="eastAsia"/>
                <w:sz w:val="20"/>
                <w:szCs w:val="20"/>
              </w:rPr>
              <w:instrText xml:space="preserve">s well as valid diagnostic criteria for differentiating the most common pain-related TMD (sensitivity </w:instrText>
            </w:r>
            <w:r w:rsidRPr="007809AC">
              <w:rPr>
                <w:rFonts w:ascii="Arial" w:eastAsia="SimSun" w:hAnsi="Arial" w:cs="Arial" w:hint="eastAsia"/>
                <w:sz w:val="20"/>
                <w:szCs w:val="20"/>
              </w:rPr>
              <w:instrText>≥</w:instrText>
            </w:r>
            <w:r w:rsidRPr="007809AC">
              <w:rPr>
                <w:rFonts w:ascii="Arial" w:eastAsia="SimSun" w:hAnsi="Arial" w:cs="Arial" w:hint="eastAsia"/>
                <w:sz w:val="20"/>
                <w:szCs w:val="20"/>
              </w:rPr>
              <w:instrText xml:space="preserve"> 0.86, specificity </w:instrText>
            </w:r>
            <w:r w:rsidRPr="007809AC">
              <w:rPr>
                <w:rFonts w:ascii="Arial" w:eastAsia="SimSun" w:hAnsi="Arial" w:cs="Arial" w:hint="eastAsia"/>
                <w:sz w:val="20"/>
                <w:szCs w:val="20"/>
              </w:rPr>
              <w:instrText>≥</w:instrText>
            </w:r>
            <w:r w:rsidRPr="007809AC">
              <w:rPr>
                <w:rFonts w:ascii="Arial" w:eastAsia="SimSun" w:hAnsi="Arial" w:cs="Arial" w:hint="eastAsia"/>
                <w:sz w:val="20"/>
                <w:szCs w:val="20"/>
              </w:rPr>
              <w:instrText xml:space="preserve"> 0.98) and for one intra-articular disorder (sensitivity of 0.80 and specificity of 0.97). Diagnostic criteria for other common intra-articular disorders lack adequate validity for clinical diagnoses but can be used for screening purposes. Inter-examiner reliability for the clinical assessment associated with the validated DC/TMD criteria for pain-related TMD is excellent (kappa </w:instrText>
            </w:r>
            <w:r w:rsidRPr="007809AC">
              <w:rPr>
                <w:rFonts w:ascii="Arial" w:eastAsia="SimSun" w:hAnsi="Arial" w:cs="Arial" w:hint="eastAsia"/>
                <w:sz w:val="20"/>
                <w:szCs w:val="20"/>
              </w:rPr>
              <w:instrText>≥</w:instrText>
            </w:r>
            <w:r w:rsidRPr="007809AC">
              <w:rPr>
                <w:rFonts w:ascii="Arial" w:eastAsia="SimSun" w:hAnsi="Arial" w:cs="Arial" w:hint="eastAsia"/>
                <w:sz w:val="20"/>
                <w:szCs w:val="20"/>
              </w:rPr>
              <w:instrText xml:space="preserve"> 0.8</w:instrText>
            </w:r>
            <w:r w:rsidRPr="007809AC">
              <w:rPr>
                <w:rFonts w:ascii="Arial" w:eastAsia="SimSun" w:hAnsi="Arial" w:cs="Arial"/>
                <w:sz w:val="20"/>
                <w:szCs w:val="20"/>
              </w:rPr>
              <w:instrText xml:space="preserve">5). Finally, a comprehensive classification system that includes both the common and less common TMD is also presented. The Axis II protocol retains selected original RDC/TMD screening instruments augmented with new instruments to assess jaw function as well as behavioral and additional psychosocial factors. The Axis II protocol is divided into screening and comprehensive self report instrument sets. The screening instruments' 41 questions assess pain intensity, pain-related disability, psychological distress, jaw functional limitations, and parafunctional behaviors, and a pain drawing is used to assess locations of pain. The comprehensive instruments, composed of 81 questions, assess in further detail jaw functional limitations and psychological distress as well as additional constructs of anxiety and presence of comorbid pain conditions.\nCONCLUSION: The recommended evidence-based new DC/TMD protocol is appropriate for use in both clinical and research settings. More comprehensive instruments augment short and simple screening instruments for Axis I and Axis II. These validated instruments allow for identification of patients with a range of simple to complex TMD presentations.","ISSN":"2333-0384","note":"PMID: 24482784\nPMCID: PMC4478082","shortTitle":"Diagnostic Criteria for Temporomandibular Disorders (DC/TMD) for Clinical and Research Applications","journalAbbreviation":"J Oral Facial Pain Headache","language":"eng","author":[{"family":"Schiffman","given":"Eric"},{"family":"Ohrbach","given":"Richard"},{"family":"Truelove","given":"Edmond"},{"family":"Look","given":"John"},{"family":"Anderson","given":"Gary"},{"family":"Goulet","given":"Jean-Paul"},{"family":"List","given":"Thomas"},{"family":"Svensson","given":"Peter"},{"family":"Gonzalez","given":"Yoly"},{"family":"Lobbezoo","given":"Frank"},{"family":"Michelotti","given":"Ambra"},{"family":"Brooks","given":"Sharon L."},{"family":"Ceusters","given":"Werner"},{"family":"Drangsholt","given":"Mark"},{"family":"Ettlin","given":"Dominik"},{"family":"Gaul","given":"Charly"},{"family":"Goldberg","given":"Louis J."},{"family":"Haythornthwaite","given":"Jennifer A."},{"family":"Hollender","given":"Lars"},{"family":"Jensen","given":"Rigmor"},{"family":"John","given":"Mike T."},{"family":"De Laat","given":"Antoon"},{"family":"Leeuw","given":"Reny","non-dropping-particle":"de"},{"family":"Maixner","given":"William"},{"family":"Meulen","given":"Marylee","non-dropping-particle":"van der"},{"family":"Murray","given":"Greg M."},{"family":"Nixdorf","given":"Donald R."},{"family":"Palla","given":"Sandro"},{"family":"Petersson","given":"Arne"},{"family":"Pionchon","given":"Paul"},{"family":"Smith","given":"Barry"},{"family":"Visscher","given":"Corine M."},{"family":"Zakrzewska","given":"Joanna"},{"family":"Dworkin","given":"Samuel F."},{"literal":"International RDC/TMD Consortium Network, International association for Dental Research"},{"literal":"Orofacial Pain Special Interest Group, International Association for the Study of Pain"}],"issued":{"date-parts":[["2014"]]}}}],"schema":"https://github.com/citation-style-language/schema/raw/master/csl-citation.json"} </w:instrText>
            </w:r>
            <w:r w:rsidRPr="007809AC">
              <w:rPr>
                <w:rFonts w:ascii="Arial" w:eastAsia="SimSun" w:hAnsi="Arial" w:cs="Arial"/>
                <w:sz w:val="20"/>
                <w:szCs w:val="20"/>
              </w:rPr>
              <w:fldChar w:fldCharType="separate"/>
            </w:r>
            <w:r w:rsidRPr="007809AC">
              <w:rPr>
                <w:rFonts w:ascii="Arial" w:hAnsi="Arial" w:cs="Arial"/>
                <w:sz w:val="20"/>
                <w:szCs w:val="20"/>
              </w:rPr>
              <w:t>(19)</w:t>
            </w:r>
            <w:r w:rsidRPr="007809AC">
              <w:rPr>
                <w:rFonts w:ascii="Arial" w:eastAsia="SimSun" w:hAnsi="Arial" w:cs="Arial"/>
                <w:sz w:val="20"/>
                <w:szCs w:val="20"/>
              </w:rPr>
              <w:fldChar w:fldCharType="end"/>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1FBF8" w14:textId="77777777" w:rsidR="00947FA4" w:rsidRPr="007809AC" w:rsidRDefault="00947FA4" w:rsidP="00947FA4">
            <w:pPr>
              <w:spacing w:after="0" w:line="240" w:lineRule="auto"/>
              <w:jc w:val="both"/>
              <w:rPr>
                <w:rFonts w:ascii="Arial" w:eastAsia="SimSun" w:hAnsi="Arial" w:cs="Arial"/>
                <w:sz w:val="20"/>
                <w:szCs w:val="20"/>
              </w:rPr>
            </w:pPr>
            <w:r w:rsidRPr="007809AC">
              <w:rPr>
                <w:rFonts w:ascii="Arial" w:eastAsia="SimSun" w:hAnsi="Arial" w:cs="Arial"/>
                <w:sz w:val="20"/>
                <w:szCs w:val="20"/>
              </w:rPr>
              <w:t>To assess the location, modification, and nature of dysfunction within the TMJ, muscles, of mastication, and associated structures</w:t>
            </w:r>
          </w:p>
        </w:tc>
      </w:tr>
      <w:tr w:rsidR="007809AC" w:rsidRPr="007809AC" w14:paraId="32264A23" w14:textId="77777777" w:rsidTr="00947FA4">
        <w:trPr>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62079" w14:textId="77777777" w:rsidR="00947FA4" w:rsidRPr="007809AC" w:rsidRDefault="00947FA4" w:rsidP="00947FA4">
            <w:pPr>
              <w:spacing w:after="0" w:line="240" w:lineRule="auto"/>
              <w:rPr>
                <w:sz w:val="20"/>
                <w:szCs w:val="20"/>
              </w:rPr>
            </w:pPr>
            <w:r w:rsidRPr="007809AC">
              <w:rPr>
                <w:rFonts w:ascii="Arial" w:eastAsia="SimSun" w:hAnsi="Arial" w:cs="Arial"/>
                <w:sz w:val="20"/>
                <w:szCs w:val="20"/>
              </w:rPr>
              <w:t>Orofacial Examination Tool</w:t>
            </w:r>
            <w:r w:rsidRPr="007809AC">
              <w:rPr>
                <w:rFonts w:ascii="Arial" w:eastAsia="SimSun" w:hAnsi="Arial" w:cs="Arial"/>
                <w:sz w:val="20"/>
                <w:szCs w:val="20"/>
              </w:rPr>
              <w:fldChar w:fldCharType="begin"/>
            </w:r>
            <w:r w:rsidRPr="007809AC">
              <w:rPr>
                <w:rFonts w:ascii="Arial" w:eastAsia="SimSun" w:hAnsi="Arial" w:cs="Arial"/>
                <w:sz w:val="20"/>
                <w:szCs w:val="20"/>
              </w:rPr>
              <w:instrText xml:space="preserve"> ADDIN ZOTERO_ITEM CSL_CITATION {"citationID":"6V7tEncM","properties":{"formattedCitation":"(25)","plainCitation":"(25)","noteIndex":0},"citationItems":[{"id":1180,"uris":["http://zotero.org/users/local/nlzVUL7s/items/EBJJA6H7"],"uri":["http://zotero.org/users/local/nlzVUL7s/items/EBJJA6H7"],"itemData":{"id":1180,"type":"report","title":"Demographics and history.","URL":"http://www.asha.org/uploadedFiles/slp/healthcare/AATDemographicsandHistory.pdf","author":[{"literal":"American Speech-Language-Hearing Association’s Ad Hoc Committee on Documentation"}],"issued":{"date-parts":[["2008"]]},"accessed":{"date-parts":[["2015",12,23]]}}}],"schema":"https://github.com/citation-style-language/schema/raw/master/csl-citation.json"} </w:instrText>
            </w:r>
            <w:r w:rsidRPr="007809AC">
              <w:rPr>
                <w:rFonts w:ascii="Arial" w:eastAsia="SimSun" w:hAnsi="Arial" w:cs="Arial"/>
                <w:sz w:val="20"/>
                <w:szCs w:val="20"/>
              </w:rPr>
              <w:fldChar w:fldCharType="separate"/>
            </w:r>
            <w:r w:rsidRPr="007809AC">
              <w:rPr>
                <w:rFonts w:ascii="Arial" w:hAnsi="Arial" w:cs="Arial"/>
                <w:sz w:val="20"/>
                <w:szCs w:val="20"/>
              </w:rPr>
              <w:t>(25)</w:t>
            </w:r>
            <w:r w:rsidRPr="007809AC">
              <w:rPr>
                <w:rFonts w:ascii="Arial" w:eastAsia="SimSun" w:hAnsi="Arial" w:cs="Arial"/>
                <w:sz w:val="20"/>
                <w:szCs w:val="20"/>
              </w:rPr>
              <w:fldChar w:fldCharType="end"/>
            </w:r>
          </w:p>
          <w:p w14:paraId="50F8755B" w14:textId="77777777" w:rsidR="00947FA4" w:rsidRPr="007809AC" w:rsidRDefault="00947FA4" w:rsidP="00947FA4">
            <w:pPr>
              <w:spacing w:after="0" w:line="240" w:lineRule="auto"/>
              <w:rPr>
                <w:rFonts w:ascii="Arial" w:eastAsia="SimSun" w:hAnsi="Arial" w:cs="Arial"/>
                <w:sz w:val="20"/>
                <w:szCs w:val="20"/>
              </w:rPr>
            </w:pP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BB1520" w14:textId="77777777" w:rsidR="00947FA4" w:rsidRPr="007809AC" w:rsidRDefault="00947FA4" w:rsidP="00947FA4">
            <w:pPr>
              <w:spacing w:after="0" w:line="240" w:lineRule="auto"/>
              <w:jc w:val="both"/>
              <w:rPr>
                <w:rFonts w:ascii="Arial" w:eastAsia="SimSun" w:hAnsi="Arial" w:cs="Arial"/>
                <w:sz w:val="20"/>
                <w:szCs w:val="20"/>
              </w:rPr>
            </w:pPr>
            <w:r w:rsidRPr="007809AC">
              <w:rPr>
                <w:rFonts w:ascii="Arial" w:eastAsia="SimSun" w:hAnsi="Arial" w:cs="Arial"/>
                <w:sz w:val="20"/>
                <w:szCs w:val="20"/>
              </w:rPr>
              <w:t>To assess the sensory and motor functioning of the lips, tongue, jaw, soft palate and aerodigestive tract to ensure that participants do not present with concomitant deglutition difficulties not attributed to their presenting TMD</w:t>
            </w:r>
          </w:p>
        </w:tc>
      </w:tr>
      <w:tr w:rsidR="001F318B" w:rsidRPr="007809AC" w14:paraId="01A9EDDE" w14:textId="77777777" w:rsidTr="00947FA4">
        <w:trPr>
          <w:trHeight w:val="64"/>
          <w:jc w:val="center"/>
        </w:trPr>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6EE92" w14:textId="77777777" w:rsidR="00947FA4" w:rsidRPr="007809AC" w:rsidRDefault="00947FA4" w:rsidP="00947FA4">
            <w:pPr>
              <w:spacing w:after="0" w:line="240" w:lineRule="auto"/>
              <w:rPr>
                <w:sz w:val="20"/>
                <w:szCs w:val="20"/>
              </w:rPr>
            </w:pPr>
            <w:r w:rsidRPr="007809AC">
              <w:rPr>
                <w:rFonts w:ascii="Arial" w:eastAsia="SimSun" w:hAnsi="Arial" w:cs="Arial"/>
                <w:sz w:val="20"/>
                <w:szCs w:val="20"/>
              </w:rPr>
              <w:t>The Test of Masticating and Swallowing Solids (TOMASS)</w:t>
            </w:r>
            <w:r w:rsidRPr="007809AC">
              <w:rPr>
                <w:rFonts w:ascii="Arial" w:eastAsia="SimSun" w:hAnsi="Arial" w:cs="Arial"/>
                <w:sz w:val="20"/>
                <w:szCs w:val="20"/>
              </w:rPr>
              <w:fldChar w:fldCharType="begin"/>
            </w:r>
            <w:r w:rsidRPr="007809AC">
              <w:rPr>
                <w:rFonts w:ascii="Arial" w:eastAsia="SimSun" w:hAnsi="Arial" w:cs="Arial"/>
                <w:sz w:val="20"/>
                <w:szCs w:val="20"/>
              </w:rPr>
              <w:instrText xml:space="preserve"> ADDIN ZOTERO_ITEM CSL_CITATION {"citationID":"2CY7S6Xx","properties":{"formattedCitation":"(26)","plainCitation":"(26)","noteIndex":0},"citationItems":[{"id":867,"uris":["http://zotero.org/users/local/nlzVUL7s/items/YP5QVRX4"],"uri":["http://zotero.org/users/local/nlzVUL7s/items/YP5QVRX4"],"itemData":{"id":867,"type":"article-journal","title":"The Test of Masticating and Swallowing Solids (TOMASS): reliability, validity and international normative data","container-title":"International Journal of Language &amp; Communication Disorders","page":"144-156","volume":"53","issue":"1","source":"PubMed","abstract":"BACKGROUND: Clinical swallowing assessment is largely limited to qualitative assessment of behavioural observations. There are limited quantitative data that can be compared with a healthy population for identification of impairment. The Test of Masticating and Swallowing Solids (TOMASS) was developed as a quantitative assessment of solid bolus ingestion.\nAIMS: This research programme investigated test development indices and established normative data for the TOMASS to support translation to clinical dysphagia assessment.\nMETHODS &amp; PROCEDURES: A total of 228 healthy adults (ages 20-80+ years) stratified by age and sex participated in one or more of four consecutive studies evaluating test-retest and interrater reliability and validity to instrumental assessment. For each study the test required participants to ingest a commercially available cracker with instructions to 'eat this as quickly as is comfortably possible'. Further averaged measures were derived including the number of masticatory cycles and swallows per bite, and time per bite, masticatory cycle and swallow. Initial analyses identified significant differences on salient measures between two commercially available crackers that are nearly identical in shape, size and ingredients, suggesting the need for separate normative samples for specific regional products. Additional analyses on a single cracker identified that the TOMASS was sensitive at detecting changes in performance based on age and sex. Test-retest reliability across days and interrater reliability between clinicians was high, as was validation of observational measures to instrumental correlates of the same behaviours. Therefore, normative data are provided for the TOMASS from a minimum of 80 healthy controls, stratified by age and sex, for each of seven commercially available crackers from broad regions worldwide.\nOUTCOMES &amp; RESULTS: Analyses on a single cracker identified Arnott's Salada, and that TOMASS measures were sensitive for detecting changes in performance based on age and sex. Interrater and test-retest reliability across days were high, as was validation of observational measures to instrumental correlates of the same behaviours. Significant differences were identified between two commercially available crackers, nearly identical in shape, size and ingredients, thus normative samples for specific regional products were required. Normative data were then acquired for the TOMASS from a minimum of 80 healthy controls, stratified by age and sex, for each of seven commercially available crackers from broad regions worldwide.\nCONCLUSIONS &amp; IMPLICATIONS: The TOMASS is presented as a valid, reliable and broadly normed clinical assessment of solid bolus ingestion. Clinical application may help identify dysphagic patients at bedside and provide a non-invasive, but sensitive, measure of functional change in swallowing.","DOI":"10.1111/1460-6984.12332","ISSN":"1460-6984","note":"PMID: 28677236","shortTitle":"The Test of Masticating and Swallowing Solids (TOMASS)","journalAbbreviation":"Int J Lang Commun Disord","language":"eng","author":[{"family":"Huckabee","given":"Maggie-Lee"},{"family":"McIntosh","given":"Theresa"},{"family":"Fuller","given":"Laura"},{"family":"Curry","given":"Morgan"},{"family":"Thomas","given":"Paige"},{"family":"Walshe","given":"Margaret"},{"family":"McCague","given":"Ellen"},{"family":"Battel","given":"Irene"},{"family":"Nogueira","given":"Dalia"},{"family":"Frank","given":"Ulrike"},{"family":"Engel-Hoek","given":"Lenie","non-dropping-particle":"van den"},{"family":"Sella-Weiss","given":"Oshrat"}],"issued":{"date-parts":[["2018",1]]}}}],"schema":"https://github.com/citation-style-language/schema/raw/master/csl-citation.json"} </w:instrText>
            </w:r>
            <w:r w:rsidRPr="007809AC">
              <w:rPr>
                <w:rFonts w:ascii="Arial" w:eastAsia="SimSun" w:hAnsi="Arial" w:cs="Arial"/>
                <w:sz w:val="20"/>
                <w:szCs w:val="20"/>
              </w:rPr>
              <w:fldChar w:fldCharType="separate"/>
            </w:r>
            <w:r w:rsidRPr="007809AC">
              <w:rPr>
                <w:rFonts w:ascii="Arial" w:hAnsi="Arial" w:cs="Arial"/>
                <w:sz w:val="20"/>
                <w:szCs w:val="20"/>
              </w:rPr>
              <w:t>(26)</w:t>
            </w:r>
            <w:r w:rsidRPr="007809AC">
              <w:rPr>
                <w:rFonts w:ascii="Arial" w:eastAsia="SimSun" w:hAnsi="Arial" w:cs="Arial"/>
                <w:sz w:val="20"/>
                <w:szCs w:val="20"/>
              </w:rPr>
              <w:fldChar w:fldCharType="end"/>
            </w:r>
          </w:p>
        </w:tc>
        <w:tc>
          <w:tcPr>
            <w:tcW w:w="4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2AFFF2" w14:textId="77777777" w:rsidR="00947FA4" w:rsidRPr="007809AC" w:rsidRDefault="00947FA4" w:rsidP="00947FA4">
            <w:pPr>
              <w:spacing w:after="0" w:line="240" w:lineRule="auto"/>
              <w:jc w:val="both"/>
              <w:rPr>
                <w:rFonts w:ascii="Arial" w:eastAsia="SimSun" w:hAnsi="Arial" w:cs="Arial"/>
                <w:sz w:val="20"/>
                <w:szCs w:val="20"/>
              </w:rPr>
            </w:pPr>
            <w:r w:rsidRPr="007809AC">
              <w:rPr>
                <w:rFonts w:ascii="Arial" w:eastAsia="SimSun" w:hAnsi="Arial" w:cs="Arial"/>
                <w:sz w:val="20"/>
                <w:szCs w:val="20"/>
              </w:rPr>
              <w:t>To assess the oral preparatory phase of swallowing and reduced solid food swallowing efficiency</w:t>
            </w:r>
          </w:p>
        </w:tc>
      </w:tr>
    </w:tbl>
    <w:p w14:paraId="6F1706EE" w14:textId="77777777" w:rsidR="00947FA4" w:rsidRPr="007809AC" w:rsidRDefault="00947FA4" w:rsidP="00947FA4">
      <w:pPr>
        <w:rPr>
          <w:sz w:val="24"/>
          <w:szCs w:val="24"/>
        </w:rPr>
      </w:pPr>
    </w:p>
    <w:p w14:paraId="6171DBE2" w14:textId="77777777" w:rsidR="00947FA4" w:rsidRPr="007809AC" w:rsidRDefault="00947FA4" w:rsidP="00947FA4">
      <w:pPr>
        <w:rPr>
          <w:sz w:val="24"/>
          <w:szCs w:val="24"/>
        </w:rPr>
      </w:pPr>
      <w:r w:rsidRPr="007809AC">
        <w:rPr>
          <w:sz w:val="24"/>
          <w:szCs w:val="24"/>
        </w:rPr>
        <w:br w:type="page"/>
      </w:r>
    </w:p>
    <w:p w14:paraId="680D6968" w14:textId="77777777" w:rsidR="00947FA4" w:rsidRPr="007809AC" w:rsidRDefault="00947FA4" w:rsidP="00947FA4">
      <w:pPr>
        <w:pStyle w:val="Caption"/>
        <w:keepNext/>
        <w:rPr>
          <w:color w:val="auto"/>
          <w:sz w:val="24"/>
          <w:szCs w:val="24"/>
        </w:rPr>
      </w:pPr>
      <w:r w:rsidRPr="007809AC">
        <w:rPr>
          <w:rFonts w:ascii="Arial" w:hAnsi="Arial" w:cs="Arial"/>
          <w:color w:val="auto"/>
          <w:sz w:val="24"/>
          <w:szCs w:val="24"/>
        </w:rPr>
        <w:t>Table 2: Demographics of Study Sample by Diagnosis</w:t>
      </w:r>
    </w:p>
    <w:tbl>
      <w:tblPr>
        <w:tblW w:w="9016" w:type="dxa"/>
        <w:tblCellMar>
          <w:left w:w="10" w:type="dxa"/>
          <w:right w:w="10" w:type="dxa"/>
        </w:tblCellMar>
        <w:tblLook w:val="04A0" w:firstRow="1" w:lastRow="0" w:firstColumn="1" w:lastColumn="0" w:noHBand="0" w:noVBand="1"/>
      </w:tblPr>
      <w:tblGrid>
        <w:gridCol w:w="2644"/>
        <w:gridCol w:w="932"/>
        <w:gridCol w:w="1532"/>
        <w:gridCol w:w="1757"/>
        <w:gridCol w:w="927"/>
        <w:gridCol w:w="1224"/>
      </w:tblGrid>
      <w:tr w:rsidR="007809AC" w:rsidRPr="007809AC" w14:paraId="724DD727" w14:textId="77777777" w:rsidTr="001F318B">
        <w:trPr>
          <w:trHeight w:val="300"/>
        </w:trPr>
        <w:tc>
          <w:tcPr>
            <w:tcW w:w="3576"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591A1BB" w14:textId="77777777" w:rsidR="00947FA4" w:rsidRPr="007809AC" w:rsidRDefault="00947FA4" w:rsidP="00947FA4">
            <w:pPr>
              <w:spacing w:after="0" w:line="240" w:lineRule="auto"/>
              <w:jc w:val="center"/>
              <w:rPr>
                <w:rFonts w:ascii="Arial" w:eastAsia="Times New Roman" w:hAnsi="Arial" w:cs="Arial"/>
                <w:sz w:val="20"/>
                <w:szCs w:val="20"/>
                <w:lang w:eastAsia="en-IE"/>
              </w:rPr>
            </w:pPr>
          </w:p>
        </w:tc>
        <w:tc>
          <w:tcPr>
            <w:tcW w:w="328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EF672CE"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Age</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1A2FEBE" w14:textId="77777777" w:rsidR="001F318B"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 xml:space="preserve">Gender – </w:t>
            </w:r>
          </w:p>
          <w:p w14:paraId="6F9F0394" w14:textId="351380F6"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male</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92E31"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Gender - female</w:t>
            </w:r>
          </w:p>
        </w:tc>
      </w:tr>
      <w:tr w:rsidR="007809AC" w:rsidRPr="007809AC" w14:paraId="6A23B496"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F43ECB4" w14:textId="77777777" w:rsidR="00947FA4" w:rsidRPr="007809AC" w:rsidRDefault="00947FA4"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 xml:space="preserve">Diagnoses </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BDC80D8" w14:textId="77777777" w:rsidR="00947FA4" w:rsidRPr="007809AC" w:rsidRDefault="00947FA4"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N</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D422A28" w14:textId="77777777" w:rsidR="001F318B" w:rsidRPr="007809AC" w:rsidRDefault="001F318B"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M</w:t>
            </w:r>
            <w:r w:rsidR="00947FA4" w:rsidRPr="007809AC">
              <w:rPr>
                <w:rFonts w:ascii="Arial" w:eastAsia="Times New Roman" w:hAnsi="Arial" w:cs="Arial"/>
                <w:b/>
                <w:sz w:val="20"/>
                <w:szCs w:val="20"/>
                <w:lang w:eastAsia="en-IE"/>
              </w:rPr>
              <w:t xml:space="preserve">ean </w:t>
            </w:r>
          </w:p>
          <w:p w14:paraId="3547B4F0" w14:textId="6E582D79" w:rsidR="00947FA4" w:rsidRPr="007809AC" w:rsidRDefault="00947FA4"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(SD)</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AF52631" w14:textId="5D2F5E51" w:rsidR="00947FA4" w:rsidRPr="007809AC" w:rsidRDefault="001F318B"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M</w:t>
            </w:r>
            <w:r w:rsidR="00947FA4" w:rsidRPr="007809AC">
              <w:rPr>
                <w:rFonts w:ascii="Arial" w:eastAsia="Times New Roman" w:hAnsi="Arial" w:cs="Arial"/>
                <w:b/>
                <w:sz w:val="20"/>
                <w:szCs w:val="20"/>
                <w:lang w:eastAsia="en-IE"/>
              </w:rPr>
              <w:t>edian (range)</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9C6F8D2" w14:textId="77777777" w:rsidR="00947FA4" w:rsidRPr="007809AC" w:rsidRDefault="00947FA4"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n (%)</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47404" w14:textId="77777777" w:rsidR="00947FA4" w:rsidRPr="007809AC" w:rsidRDefault="00947FA4"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n (%)</w:t>
            </w:r>
          </w:p>
        </w:tc>
      </w:tr>
      <w:tr w:rsidR="007809AC" w:rsidRPr="007809AC" w14:paraId="5B68078A"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6D3D780"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Overall</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7FF30C1"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126</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58F57E0"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40.32 </w:t>
            </w:r>
          </w:p>
          <w:p w14:paraId="53FE1B47" w14:textId="572AEC23"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(16.01)</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8473136"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36 </w:t>
            </w:r>
          </w:p>
          <w:p w14:paraId="5669515A" w14:textId="6E37C845"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(18-78)</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162CC61"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20 (15.9)</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397C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106 </w:t>
            </w:r>
          </w:p>
          <w:p w14:paraId="6647612E" w14:textId="4131933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(84.1)</w:t>
            </w:r>
          </w:p>
        </w:tc>
      </w:tr>
      <w:tr w:rsidR="007809AC" w:rsidRPr="007809AC" w14:paraId="3A655616" w14:textId="77777777" w:rsidTr="00947FA4">
        <w:trPr>
          <w:trHeight w:val="300"/>
        </w:trPr>
        <w:tc>
          <w:tcPr>
            <w:tcW w:w="9016"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0F60D3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Overall Diagnosis – Right</w:t>
            </w:r>
          </w:p>
        </w:tc>
      </w:tr>
      <w:tr w:rsidR="007809AC" w:rsidRPr="007809AC" w14:paraId="546EAC97"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CA46DCC"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None</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B1502DA"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27</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4B1EAA9"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44.59 </w:t>
            </w:r>
          </w:p>
          <w:p w14:paraId="601B3392" w14:textId="5884171B"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(16.55)</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7D57F5B"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45 </w:t>
            </w:r>
          </w:p>
          <w:p w14:paraId="0E9641BB" w14:textId="64839E66"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(18-78)</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8608ED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6 </w:t>
            </w:r>
          </w:p>
          <w:p w14:paraId="356466AB" w14:textId="1B53A0A6"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(22.2)</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EA79FB"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21 </w:t>
            </w:r>
          </w:p>
          <w:p w14:paraId="67C38FC0" w14:textId="2F565E76"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(77.8)</w:t>
            </w:r>
          </w:p>
        </w:tc>
      </w:tr>
      <w:tr w:rsidR="007809AC" w:rsidRPr="007809AC" w14:paraId="1EFE311D"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4DFEFA7"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Masticatory Muscle Disorders</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DF9A87F"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E774C1C"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45.11 </w:t>
            </w:r>
          </w:p>
          <w:p w14:paraId="3DC1C6E9" w14:textId="21AFBE31"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(16.94)</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246C709"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43 </w:t>
            </w:r>
          </w:p>
          <w:p w14:paraId="4DF8AA04" w14:textId="204E9018"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(18-77)</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0FAAAE2"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 </w:t>
            </w:r>
          </w:p>
          <w:p w14:paraId="579F3F55" w14:textId="2B7A627D"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(22.2)</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2AB43"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14 </w:t>
            </w:r>
          </w:p>
          <w:p w14:paraId="134D7E97" w14:textId="0D20ED61"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(77.8)</w:t>
            </w:r>
          </w:p>
        </w:tc>
      </w:tr>
      <w:tr w:rsidR="007809AC" w:rsidRPr="007809AC" w14:paraId="390BA9BE"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5E411FE" w14:textId="77777777" w:rsidR="001F318B"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 xml:space="preserve">TMJ </w:t>
            </w:r>
          </w:p>
          <w:p w14:paraId="18AED93D" w14:textId="3992FF36"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Disorders</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6D0B961"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81</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E20267B"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37.83 </w:t>
            </w:r>
          </w:p>
          <w:p w14:paraId="106464E8" w14:textId="62711DDD"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(15.27)</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1212CB5"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34 </w:t>
            </w:r>
          </w:p>
          <w:p w14:paraId="767FC144" w14:textId="40BCCBD2"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(18-77)</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E263542"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10 (12.3)</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3F5304"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71 </w:t>
            </w:r>
          </w:p>
          <w:p w14:paraId="3AD5D9A7" w14:textId="6F60A3C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(87.7)</w:t>
            </w:r>
          </w:p>
        </w:tc>
      </w:tr>
      <w:tr w:rsidR="007809AC" w:rsidRPr="007809AC" w14:paraId="19D6191D" w14:textId="77777777" w:rsidTr="00947FA4">
        <w:trPr>
          <w:trHeight w:val="300"/>
        </w:trPr>
        <w:tc>
          <w:tcPr>
            <w:tcW w:w="9016"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F7BC235"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Specific Diagnosis – Right</w:t>
            </w:r>
          </w:p>
        </w:tc>
      </w:tr>
      <w:tr w:rsidR="007809AC" w:rsidRPr="007809AC" w14:paraId="62310EB7"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58E274E"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None</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986B6E5"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26</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979107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44.38 </w:t>
            </w:r>
          </w:p>
          <w:p w14:paraId="40236E0C" w14:textId="647A98F3"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(16.84)</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7558E76"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45 </w:t>
            </w:r>
          </w:p>
          <w:p w14:paraId="2A4189C5" w14:textId="0847288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(18-78)</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CEA667C"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6 </w:t>
            </w:r>
          </w:p>
          <w:p w14:paraId="2F4F0204" w14:textId="376A79AA"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(23.1)</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A80B0"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20 </w:t>
            </w:r>
          </w:p>
          <w:p w14:paraId="050D16D1" w14:textId="1B37B4A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(76.9)</w:t>
            </w:r>
          </w:p>
        </w:tc>
      </w:tr>
      <w:tr w:rsidR="007809AC" w:rsidRPr="007809AC" w14:paraId="00C13D3F"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F0E6491"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Myalgia</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634B93C"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A2706B2"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61.00 </w:t>
            </w:r>
          </w:p>
          <w:p w14:paraId="1FB3133B" w14:textId="4638D612"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(22.63)</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ACA47B4"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61 </w:t>
            </w:r>
          </w:p>
          <w:p w14:paraId="33F58F82" w14:textId="0D2D68C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(45-77)</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21A8B5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0 </w:t>
            </w:r>
          </w:p>
          <w:p w14:paraId="6E8F363B" w14:textId="6F5F6C2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B61C2"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 </w:t>
            </w:r>
          </w:p>
          <w:p w14:paraId="072064A2" w14:textId="0C82348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(100.0)</w:t>
            </w:r>
          </w:p>
        </w:tc>
      </w:tr>
      <w:tr w:rsidR="007809AC" w:rsidRPr="007809AC" w14:paraId="4409B838"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0575BAD"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MFPWR</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264C1C3"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13</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D7950AD"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44.08 </w:t>
            </w:r>
          </w:p>
          <w:p w14:paraId="6E6A0082" w14:textId="0218B20D"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(15.36)</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AC50A2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42 </w:t>
            </w:r>
          </w:p>
          <w:p w14:paraId="73A2794B" w14:textId="342463D9"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(18-68)</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3174D34"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 </w:t>
            </w:r>
          </w:p>
          <w:p w14:paraId="3B14275C" w14:textId="5FF9A7C5"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(30.8)</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60F5B"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9 </w:t>
            </w:r>
          </w:p>
          <w:p w14:paraId="0F36CAAB" w14:textId="08A7C0EC"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(69.2)</w:t>
            </w:r>
          </w:p>
        </w:tc>
      </w:tr>
      <w:tr w:rsidR="007809AC" w:rsidRPr="007809AC" w14:paraId="01B73E79"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3ED1BBA"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Arthralgia</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A4D912C"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6E02D99"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77.00 </w:t>
            </w:r>
          </w:p>
          <w:p w14:paraId="0CC746B0" w14:textId="71422D28"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38A2BF6"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77 </w:t>
            </w:r>
          </w:p>
          <w:p w14:paraId="53EF9199" w14:textId="06C5371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6A0CD5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0 </w:t>
            </w:r>
          </w:p>
          <w:p w14:paraId="28B1753F" w14:textId="01F15D05"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34EDA"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 </w:t>
            </w:r>
          </w:p>
          <w:p w14:paraId="3AEBC37C" w14:textId="4AA4C88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(100.0)</w:t>
            </w:r>
          </w:p>
        </w:tc>
      </w:tr>
      <w:tr w:rsidR="007809AC" w:rsidRPr="007809AC" w14:paraId="4EC9847E"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DE453F0"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Disc displacements with reduction (DDWR)</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B750FEE"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12</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EADD0E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31.25 </w:t>
            </w:r>
          </w:p>
          <w:p w14:paraId="04F1040B" w14:textId="5D331D3B"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(13.13)</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2CB4AED"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28.5 </w:t>
            </w:r>
          </w:p>
          <w:p w14:paraId="2D34C0BC" w14:textId="1C060F16"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(18-60)</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F7D802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 </w:t>
            </w:r>
          </w:p>
          <w:p w14:paraId="5BD2C29D" w14:textId="7CAB3F98"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(16.7)</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A57BA"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10 </w:t>
            </w:r>
          </w:p>
          <w:p w14:paraId="3F80E477" w14:textId="25A47920"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(83.3)</w:t>
            </w:r>
          </w:p>
        </w:tc>
      </w:tr>
      <w:tr w:rsidR="007809AC" w:rsidRPr="007809AC" w14:paraId="59A12534"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3ECB8C1"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Disc displacements with reduction with intermittent locking (DDWRIL)</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B789BEE"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17</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CF543F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39.29 </w:t>
            </w:r>
          </w:p>
          <w:p w14:paraId="6D02CECD" w14:textId="383C306B"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(15.60)</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0B3B715"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34 </w:t>
            </w:r>
          </w:p>
          <w:p w14:paraId="1FC48A68" w14:textId="19838D0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(22-75)</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6C6FF3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 </w:t>
            </w:r>
          </w:p>
          <w:p w14:paraId="51FE7C0A" w14:textId="7B38E1F9"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(11.8)</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79286"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15 </w:t>
            </w:r>
          </w:p>
          <w:p w14:paraId="2AE977AE" w14:textId="504CE69C"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(88.2)</w:t>
            </w:r>
          </w:p>
        </w:tc>
      </w:tr>
      <w:tr w:rsidR="007809AC" w:rsidRPr="007809AC" w14:paraId="6D496EDF"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61D1150"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DDWORWLO</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42DE03C"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47</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7361DB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36.64 </w:t>
            </w:r>
          </w:p>
          <w:p w14:paraId="1F004427" w14:textId="421FA51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(14.44)</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042123B"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34 </w:t>
            </w:r>
          </w:p>
          <w:p w14:paraId="68434470" w14:textId="11C2362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(18-71)</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2A546E5"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 </w:t>
            </w:r>
          </w:p>
          <w:p w14:paraId="77A56655" w14:textId="799DA444"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(8.5)</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7D6E6"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43 </w:t>
            </w:r>
          </w:p>
          <w:p w14:paraId="1F53CF6E" w14:textId="463C026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(91.5)</w:t>
            </w:r>
          </w:p>
        </w:tc>
      </w:tr>
      <w:tr w:rsidR="007809AC" w:rsidRPr="007809AC" w14:paraId="5118923C"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52F5EE4"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Disc displacements without reduction without limited opening (DDWORWOLO)</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55830A9"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FB3C62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55.00 </w:t>
            </w:r>
          </w:p>
          <w:p w14:paraId="534FA972" w14:textId="1EC6A7C2"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61E772C" w14:textId="3D46858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55</w:t>
            </w:r>
            <w:r w:rsidR="001F318B" w:rsidRPr="007809AC">
              <w:rPr>
                <w:rFonts w:ascii="Arial" w:eastAsia="Times New Roman" w:hAnsi="Arial" w:cs="Arial"/>
                <w:sz w:val="20"/>
                <w:szCs w:val="20"/>
                <w:lang w:eastAsia="en-IE"/>
              </w:rPr>
              <w:t>.00</w:t>
            </w:r>
            <w:r w:rsidRPr="007809AC">
              <w:rPr>
                <w:rFonts w:ascii="Arial" w:eastAsia="Times New Roman" w:hAnsi="Arial" w:cs="Arial"/>
                <w:sz w:val="20"/>
                <w:szCs w:val="20"/>
                <w:lang w:eastAsia="en-IE"/>
              </w:rPr>
              <w:t xml:space="preserve"> </w:t>
            </w:r>
          </w:p>
          <w:p w14:paraId="3224638A" w14:textId="19CEA795"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7FFB56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0 </w:t>
            </w:r>
          </w:p>
          <w:p w14:paraId="390B78E7" w14:textId="17DE1133"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D3D7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 </w:t>
            </w:r>
          </w:p>
          <w:p w14:paraId="082A129C" w14:textId="3DFCF852"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(100.0)</w:t>
            </w:r>
          </w:p>
        </w:tc>
      </w:tr>
      <w:tr w:rsidR="007809AC" w:rsidRPr="007809AC" w14:paraId="2752C9F4"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57D6821" w14:textId="77777777" w:rsidR="001F318B"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Dislocation/</w:t>
            </w:r>
          </w:p>
          <w:p w14:paraId="36AEDE0A" w14:textId="47109CE5"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subluxation</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D890218"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CCF2AB2"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48.40 </w:t>
            </w:r>
          </w:p>
          <w:p w14:paraId="3C22321A" w14:textId="22A5BE64"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(17.07)</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35FCE0A"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46 </w:t>
            </w:r>
          </w:p>
          <w:p w14:paraId="06E8F221" w14:textId="6D702F18"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(32-67)</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3CBA748"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 </w:t>
            </w:r>
          </w:p>
          <w:p w14:paraId="319D97EF" w14:textId="36DD1680"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(40.0)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4FFD2"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 </w:t>
            </w:r>
          </w:p>
          <w:p w14:paraId="05DA6B4B" w14:textId="6CC6F48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(60.0)</w:t>
            </w:r>
          </w:p>
        </w:tc>
      </w:tr>
      <w:tr w:rsidR="007809AC" w:rsidRPr="007809AC" w14:paraId="0B9E4B82"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E1A67D7" w14:textId="77777777" w:rsidR="00947FA4" w:rsidRPr="007809AC" w:rsidRDefault="00947FA4" w:rsidP="00947FA4">
            <w:pPr>
              <w:spacing w:after="0" w:line="240" w:lineRule="auto"/>
              <w:jc w:val="center"/>
              <w:rPr>
                <w:rFonts w:ascii="Arial" w:eastAsia="Times New Roman" w:hAnsi="Arial" w:cs="Arial"/>
                <w:i/>
                <w:sz w:val="20"/>
                <w:szCs w:val="20"/>
                <w:lang w:eastAsia="en-IE"/>
              </w:rPr>
            </w:pPr>
            <w:r w:rsidRPr="007809AC">
              <w:rPr>
                <w:rFonts w:ascii="Arial" w:eastAsia="Times New Roman" w:hAnsi="Arial" w:cs="Arial"/>
                <w:i/>
                <w:sz w:val="20"/>
                <w:szCs w:val="20"/>
                <w:lang w:eastAsia="en-IE"/>
              </w:rPr>
              <w:t>Rheumatoid Arthritis (RA)</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60E608C"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79FC5B2"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46.00 </w:t>
            </w:r>
          </w:p>
          <w:p w14:paraId="309AB29A" w14:textId="377011C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(2.83)</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1680B5D"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46 </w:t>
            </w:r>
          </w:p>
          <w:p w14:paraId="39C28C52" w14:textId="6F88CE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(44-48)</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E65A9B5"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0 </w:t>
            </w:r>
          </w:p>
          <w:p w14:paraId="778DFF7A" w14:textId="4D2C75F8"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5BFF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 </w:t>
            </w:r>
          </w:p>
          <w:p w14:paraId="1D8ED56C" w14:textId="65235FEB"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(100.0)</w:t>
            </w:r>
          </w:p>
        </w:tc>
      </w:tr>
      <w:tr w:rsidR="007809AC" w:rsidRPr="007809AC" w14:paraId="2C7A1967" w14:textId="77777777" w:rsidTr="00947FA4">
        <w:trPr>
          <w:trHeight w:val="300"/>
        </w:trPr>
        <w:tc>
          <w:tcPr>
            <w:tcW w:w="9016"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2C36157"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Overall Diagnosis – Left</w:t>
            </w:r>
          </w:p>
        </w:tc>
      </w:tr>
      <w:tr w:rsidR="007809AC" w:rsidRPr="007809AC" w14:paraId="097CEFE1"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32D533E"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None</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CDF4EA8"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26</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923A2C0"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39.12 </w:t>
            </w:r>
          </w:p>
          <w:p w14:paraId="7DD97AC3" w14:textId="07275434"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(16.65)</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DB6969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34 </w:t>
            </w:r>
          </w:p>
          <w:p w14:paraId="1B479516" w14:textId="20BCF7FA"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(18-75)</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C81FDBA"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 </w:t>
            </w:r>
          </w:p>
          <w:p w14:paraId="242F256A" w14:textId="71EF7C1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(15.4)</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53E5F"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22 </w:t>
            </w:r>
          </w:p>
          <w:p w14:paraId="3FBB24BB" w14:textId="145686D9"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(84.6)</w:t>
            </w:r>
          </w:p>
        </w:tc>
      </w:tr>
      <w:tr w:rsidR="007809AC" w:rsidRPr="007809AC" w14:paraId="0A3B26A6"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90B4B54"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Masticatory Muscle Disorders</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1559F05"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17</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AD6081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45.00 </w:t>
            </w:r>
          </w:p>
          <w:p w14:paraId="2CC263ED" w14:textId="500017F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(17.72)</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0AC3843" w14:textId="77777777" w:rsidR="001F318B" w:rsidRPr="007809AC" w:rsidRDefault="00947FA4" w:rsidP="001F318B">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42 </w:t>
            </w:r>
          </w:p>
          <w:p w14:paraId="38803E29" w14:textId="1C28A9C2" w:rsidR="00947FA4" w:rsidRPr="007809AC" w:rsidRDefault="001F318B" w:rsidP="001F318B">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w:t>
            </w:r>
            <w:r w:rsidR="00947FA4" w:rsidRPr="007809AC">
              <w:rPr>
                <w:rFonts w:ascii="Arial" w:eastAsia="Times New Roman" w:hAnsi="Arial" w:cs="Arial"/>
                <w:sz w:val="20"/>
                <w:szCs w:val="20"/>
                <w:lang w:eastAsia="en-IE"/>
              </w:rPr>
              <w:t>18-77)</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F052F4C"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7 </w:t>
            </w:r>
          </w:p>
          <w:p w14:paraId="2ADD742D" w14:textId="64F45CC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(41.2)</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FFF7C"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10 </w:t>
            </w:r>
          </w:p>
          <w:p w14:paraId="0CBEAE8E" w14:textId="07790AEC"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(58.8)</w:t>
            </w:r>
          </w:p>
        </w:tc>
      </w:tr>
      <w:tr w:rsidR="007809AC" w:rsidRPr="007809AC" w14:paraId="4B6C3F68"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A467677"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TMJ Disorders</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C3B63A3"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83</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9A4AF2A"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39.73 </w:t>
            </w:r>
          </w:p>
          <w:p w14:paraId="2D6A24BB" w14:textId="4DE0B746"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(15.48)</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0C5574F"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36 </w:t>
            </w:r>
          </w:p>
          <w:p w14:paraId="5C0FDC78" w14:textId="2DB31178"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(18-78)</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D99681D"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9 </w:t>
            </w:r>
          </w:p>
          <w:p w14:paraId="6789CCD2" w14:textId="513BDE20"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(10.8)</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3CA2D"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74 </w:t>
            </w:r>
          </w:p>
          <w:p w14:paraId="2C837D57" w14:textId="7DD000B4"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(89.2)</w:t>
            </w:r>
          </w:p>
        </w:tc>
      </w:tr>
      <w:tr w:rsidR="007809AC" w:rsidRPr="007809AC" w14:paraId="517EC368" w14:textId="77777777" w:rsidTr="00947FA4">
        <w:trPr>
          <w:trHeight w:val="300"/>
        </w:trPr>
        <w:tc>
          <w:tcPr>
            <w:tcW w:w="9016" w:type="dxa"/>
            <w:gridSpan w:val="6"/>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2C95997"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Specific Diagnosis – Left</w:t>
            </w:r>
          </w:p>
        </w:tc>
      </w:tr>
      <w:tr w:rsidR="007809AC" w:rsidRPr="007809AC" w14:paraId="706A1D6F"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71B468D"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None</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C6E3390"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27</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FB7E9DC"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38.56 </w:t>
            </w:r>
          </w:p>
          <w:p w14:paraId="6ABCF8D2" w14:textId="3D936920"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(15.97)</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9B20308"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34 </w:t>
            </w:r>
          </w:p>
          <w:p w14:paraId="6EA28480" w14:textId="4D2B3876"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(18-75)</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E21F444"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 </w:t>
            </w:r>
          </w:p>
          <w:p w14:paraId="6BC21823" w14:textId="47A48FAC"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(14.8)</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EE08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23 </w:t>
            </w:r>
          </w:p>
          <w:p w14:paraId="1024D773" w14:textId="06079BB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(85.2)</w:t>
            </w:r>
          </w:p>
        </w:tc>
      </w:tr>
      <w:tr w:rsidR="007809AC" w:rsidRPr="007809AC" w14:paraId="75C685DD"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1F8102E"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Myalgia</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4917B12"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B34C00C"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61.00 </w:t>
            </w:r>
          </w:p>
          <w:p w14:paraId="2C2B2A85" w14:textId="11B87AE2"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(22.63)</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F289174"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61 </w:t>
            </w:r>
          </w:p>
          <w:p w14:paraId="0F0B0703" w14:textId="2260CC0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(45-77)</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68128C6"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0 </w:t>
            </w:r>
          </w:p>
          <w:p w14:paraId="3518B7A3" w14:textId="54061F2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E8AA2"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 </w:t>
            </w:r>
          </w:p>
          <w:p w14:paraId="1049AEE0" w14:textId="1649550D"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(100.0)</w:t>
            </w:r>
          </w:p>
        </w:tc>
      </w:tr>
      <w:tr w:rsidR="007809AC" w:rsidRPr="007809AC" w14:paraId="7C8815E3"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C0A5BDB" w14:textId="3D3C1DFB"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Myofascial pain with referral (MFPWR)</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472C20B"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14</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650924A"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42.79 </w:t>
            </w:r>
          </w:p>
          <w:p w14:paraId="118ADF8A" w14:textId="2C08EE0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(17.39)</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9E5F250"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39.5 </w:t>
            </w:r>
          </w:p>
          <w:p w14:paraId="17AE65CF" w14:textId="558DA40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(18-73)</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5DB8162"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7 </w:t>
            </w:r>
          </w:p>
          <w:p w14:paraId="18848447" w14:textId="40FF4D5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(50.0)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6DA0D"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7 </w:t>
            </w:r>
          </w:p>
          <w:p w14:paraId="2ED3559C" w14:textId="4227D739"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(50.0)</w:t>
            </w:r>
          </w:p>
        </w:tc>
      </w:tr>
      <w:tr w:rsidR="007809AC" w:rsidRPr="007809AC" w14:paraId="072CDFB8"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BBCABF7"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Arthralgia</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01DD801"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D788FE2"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77.00 </w:t>
            </w:r>
          </w:p>
          <w:p w14:paraId="73F47DD2" w14:textId="65349356"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D0539F6"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77 </w:t>
            </w:r>
          </w:p>
          <w:p w14:paraId="058BCADE" w14:textId="3C8D658A"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77D2A70"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0 </w:t>
            </w:r>
          </w:p>
          <w:p w14:paraId="5EF25793" w14:textId="37D1D338"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4B6F2"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 </w:t>
            </w:r>
          </w:p>
          <w:p w14:paraId="121693B2" w14:textId="5BFB415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(100.0)</w:t>
            </w:r>
          </w:p>
        </w:tc>
      </w:tr>
      <w:tr w:rsidR="007809AC" w:rsidRPr="007809AC" w14:paraId="4798A66F"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F8F5754"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DDWR</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9162848"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10</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DA192BC"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42.10 </w:t>
            </w:r>
          </w:p>
          <w:p w14:paraId="021401D1" w14:textId="6A87159A"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(19.96)</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7A0DE98"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41.5 </w:t>
            </w:r>
          </w:p>
          <w:p w14:paraId="5496501E" w14:textId="41881921"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(18-73)</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D38CB66"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 </w:t>
            </w:r>
          </w:p>
          <w:p w14:paraId="258C7AA6" w14:textId="26DFDBAD"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(20.0)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B4A98"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8 </w:t>
            </w:r>
          </w:p>
          <w:p w14:paraId="194A046E" w14:textId="6769A5B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(80.0)</w:t>
            </w:r>
          </w:p>
        </w:tc>
      </w:tr>
      <w:tr w:rsidR="007809AC" w:rsidRPr="007809AC" w14:paraId="249E9469"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635CC30"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DDWRIL</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8E71B71"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17</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107C316"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45.29 </w:t>
            </w:r>
          </w:p>
          <w:p w14:paraId="751474E5" w14:textId="31D3FA36"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(13.52)</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B088C64"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48 </w:t>
            </w:r>
          </w:p>
          <w:p w14:paraId="2CD573E6" w14:textId="71FEC9C4"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(24-65)</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68F648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 </w:t>
            </w:r>
          </w:p>
          <w:p w14:paraId="13CBF807" w14:textId="56117B45"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(5.9)</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70210"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16 </w:t>
            </w:r>
          </w:p>
          <w:p w14:paraId="12F6E43C" w14:textId="26E6DEE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(94.1)</w:t>
            </w:r>
          </w:p>
        </w:tc>
      </w:tr>
      <w:tr w:rsidR="007809AC" w:rsidRPr="007809AC" w14:paraId="635D502F"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2B045FA"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DDWORWLO</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F796CBF"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46</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C32AD94"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36.04</w:t>
            </w:r>
          </w:p>
          <w:p w14:paraId="204DCF01" w14:textId="58F79CAA"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(12.69)</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7B2DE2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32.5 </w:t>
            </w:r>
          </w:p>
          <w:p w14:paraId="640B1754" w14:textId="24027BEE"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(18-59)</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42FEC24" w14:textId="77777777" w:rsidR="001F318B" w:rsidRPr="007809AC" w:rsidRDefault="00947FA4" w:rsidP="001F318B">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 </w:t>
            </w:r>
          </w:p>
          <w:p w14:paraId="188AD3AD" w14:textId="5D82F9B8" w:rsidR="00947FA4" w:rsidRPr="007809AC" w:rsidRDefault="00947FA4" w:rsidP="001F318B">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(8.7)</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21B83"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42 </w:t>
            </w:r>
          </w:p>
          <w:p w14:paraId="20E74561" w14:textId="25E63108"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(91.3)</w:t>
            </w:r>
          </w:p>
        </w:tc>
      </w:tr>
      <w:tr w:rsidR="007809AC" w:rsidRPr="007809AC" w14:paraId="61894D63"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DDA12E3"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DDWORWOLO</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21352F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E41F9A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33.00 </w:t>
            </w:r>
          </w:p>
          <w:p w14:paraId="3A620EDE" w14:textId="34144C79"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(19.47)</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CAFB6F3"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26 </w:t>
            </w:r>
          </w:p>
          <w:p w14:paraId="5EE12547" w14:textId="1C0A3FA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(18-55)</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4B2DD1E"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 </w:t>
            </w:r>
          </w:p>
          <w:p w14:paraId="7E600256" w14:textId="5CD97022"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(33.3)</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8A60F"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 </w:t>
            </w:r>
          </w:p>
          <w:p w14:paraId="44468C83" w14:textId="284776BA"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(66.6)</w:t>
            </w:r>
          </w:p>
        </w:tc>
      </w:tr>
      <w:tr w:rsidR="007809AC" w:rsidRPr="007809AC" w14:paraId="50E7FDB1"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B6AB9F6" w14:textId="77777777" w:rsidR="00947FA4" w:rsidRPr="007809AC" w:rsidRDefault="00947FA4" w:rsidP="00947FA4">
            <w:pPr>
              <w:spacing w:after="0" w:line="240" w:lineRule="auto"/>
              <w:jc w:val="center"/>
              <w:rPr>
                <w:rFonts w:ascii="Arial" w:eastAsia="Times New Roman" w:hAnsi="Arial" w:cs="Arial"/>
                <w:i/>
                <w:iCs/>
                <w:sz w:val="20"/>
                <w:szCs w:val="20"/>
                <w:lang w:eastAsia="en-IE"/>
              </w:rPr>
            </w:pPr>
            <w:r w:rsidRPr="007809AC">
              <w:rPr>
                <w:rFonts w:ascii="Arial" w:eastAsia="Times New Roman" w:hAnsi="Arial" w:cs="Arial"/>
                <w:i/>
                <w:iCs/>
                <w:sz w:val="20"/>
                <w:szCs w:val="20"/>
                <w:lang w:eastAsia="en-IE"/>
              </w:rPr>
              <w:t>Dislocation/subluxation</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86CFAE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9C683A5"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41.75 </w:t>
            </w:r>
          </w:p>
          <w:p w14:paraId="07E1E5A8" w14:textId="1FB50192"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(19.50)</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7EC82FB"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39 </w:t>
            </w:r>
          </w:p>
          <w:p w14:paraId="00341602" w14:textId="2769B213"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(22-67)</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9AA99D1"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1 </w:t>
            </w:r>
          </w:p>
          <w:p w14:paraId="693CF223" w14:textId="10DBB64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(25.0)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278EA"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3 </w:t>
            </w:r>
          </w:p>
          <w:p w14:paraId="62221762" w14:textId="6C057D73"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(75.0)</w:t>
            </w:r>
          </w:p>
        </w:tc>
      </w:tr>
      <w:tr w:rsidR="001F318B" w:rsidRPr="007809AC" w14:paraId="3E4B93CC" w14:textId="77777777" w:rsidTr="001F318B">
        <w:trPr>
          <w:trHeight w:val="300"/>
        </w:trPr>
        <w:tc>
          <w:tcPr>
            <w:tcW w:w="26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EFC4923" w14:textId="77777777" w:rsidR="00947FA4" w:rsidRPr="007809AC" w:rsidRDefault="00947FA4" w:rsidP="00947FA4">
            <w:pPr>
              <w:spacing w:after="0" w:line="240" w:lineRule="auto"/>
              <w:jc w:val="center"/>
              <w:rPr>
                <w:rFonts w:ascii="Arial" w:eastAsia="Times New Roman" w:hAnsi="Arial" w:cs="Arial"/>
                <w:i/>
                <w:sz w:val="20"/>
                <w:szCs w:val="20"/>
                <w:lang w:eastAsia="en-IE"/>
              </w:rPr>
            </w:pPr>
            <w:r w:rsidRPr="007809AC">
              <w:rPr>
                <w:rFonts w:ascii="Arial" w:eastAsia="Times New Roman" w:hAnsi="Arial" w:cs="Arial"/>
                <w:i/>
                <w:sz w:val="20"/>
                <w:szCs w:val="20"/>
                <w:lang w:eastAsia="en-IE"/>
              </w:rPr>
              <w:t>RA</w:t>
            </w:r>
          </w:p>
        </w:tc>
        <w:tc>
          <w:tcPr>
            <w:tcW w:w="9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F8EBBC0"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w:t>
            </w:r>
          </w:p>
        </w:tc>
        <w:tc>
          <w:tcPr>
            <w:tcW w:w="15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E0A1374"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63.00 </w:t>
            </w:r>
          </w:p>
          <w:p w14:paraId="01C58E4B" w14:textId="63994C0A"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(21.21)</w:t>
            </w:r>
          </w:p>
        </w:tc>
        <w:tc>
          <w:tcPr>
            <w:tcW w:w="175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CE1430B"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63.00 </w:t>
            </w:r>
          </w:p>
          <w:p w14:paraId="12F0890C" w14:textId="08D5C30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(48-78)</w:t>
            </w:r>
          </w:p>
        </w:tc>
        <w:tc>
          <w:tcPr>
            <w:tcW w:w="92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BA8C38F"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0 </w:t>
            </w:r>
          </w:p>
          <w:p w14:paraId="30C654E0" w14:textId="646305C3"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w:t>
            </w:r>
          </w:p>
        </w:tc>
        <w:tc>
          <w:tcPr>
            <w:tcW w:w="12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3BB7B" w14:textId="77777777" w:rsidR="001F318B"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 xml:space="preserve">2 </w:t>
            </w:r>
          </w:p>
          <w:p w14:paraId="43B2D2BE" w14:textId="436C114F"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(100.0)</w:t>
            </w:r>
          </w:p>
        </w:tc>
      </w:tr>
    </w:tbl>
    <w:p w14:paraId="7471CB9A" w14:textId="77777777" w:rsidR="00947FA4" w:rsidRPr="007809AC" w:rsidRDefault="00947FA4" w:rsidP="00947FA4">
      <w:pPr>
        <w:rPr>
          <w:sz w:val="24"/>
          <w:szCs w:val="24"/>
        </w:rPr>
      </w:pPr>
    </w:p>
    <w:p w14:paraId="4C9CD29F" w14:textId="77777777" w:rsidR="00947FA4" w:rsidRPr="007809AC" w:rsidRDefault="00947FA4" w:rsidP="00947FA4">
      <w:pPr>
        <w:rPr>
          <w:sz w:val="24"/>
          <w:szCs w:val="24"/>
        </w:rPr>
      </w:pPr>
      <w:r w:rsidRPr="007809AC">
        <w:rPr>
          <w:sz w:val="24"/>
          <w:szCs w:val="24"/>
        </w:rPr>
        <w:br w:type="page"/>
      </w:r>
    </w:p>
    <w:p w14:paraId="37490B62" w14:textId="77777777" w:rsidR="00947FA4" w:rsidRPr="007809AC" w:rsidRDefault="00947FA4" w:rsidP="00947FA4">
      <w:pPr>
        <w:pStyle w:val="Caption"/>
        <w:keepNext/>
        <w:rPr>
          <w:color w:val="auto"/>
          <w:sz w:val="24"/>
          <w:szCs w:val="24"/>
        </w:rPr>
      </w:pPr>
      <w:r w:rsidRPr="007809AC">
        <w:rPr>
          <w:rFonts w:ascii="Arial" w:hAnsi="Arial" w:cs="Arial"/>
          <w:color w:val="auto"/>
          <w:sz w:val="24"/>
          <w:szCs w:val="24"/>
        </w:rPr>
        <w:t>Table 3: Descriptive Statistics of the Jaw Functional Limitation Scale-8</w:t>
      </w:r>
      <w:r w:rsidRPr="007809AC">
        <w:rPr>
          <w:rFonts w:ascii="Arial" w:hAnsi="Arial" w:cs="Arial"/>
          <w:color w:val="auto"/>
          <w:sz w:val="24"/>
          <w:szCs w:val="24"/>
        </w:rPr>
        <w:fldChar w:fldCharType="begin"/>
      </w:r>
      <w:r w:rsidRPr="007809AC">
        <w:rPr>
          <w:rFonts w:ascii="Arial" w:hAnsi="Arial" w:cs="Arial"/>
          <w:color w:val="auto"/>
          <w:sz w:val="24"/>
          <w:szCs w:val="24"/>
        </w:rPr>
        <w:instrText xml:space="preserve"> ADDIN ZOTERO_ITEM CSL_CITATION {"citationID":"4jUg4XBf","properties":{"formattedCitation":"(23)","plainCitation":"(23)","noteIndex":0},"citationItems":[{"id":861,"uris":["http://zotero.org/users/local/nlzVUL7s/items/L3JB5HAJ"],"uri":["http://zotero.org/users/local/nlzVUL7s/items/L3JB5HAJ"],"itemData":{"id":861,"type":"article-journal","title":"The jaw functional limitation scale: development, reliability, and validity of 8-item and 20-item versions","container-title":"Journal of Orofacial Pain","page":"219-230","volume":"22","issue":"3","source":"PubMed","abstract":"AIMS: To develop the Jaw Functional Limitation Scale (JFLS), comprising 3 constructs and a global scale, based on a preliminary instrument, and to investigate content validity of the overall functional limitation construct, reliability, and generalizability. A temporomandibular disorders (TMD) patient group, compared to other diagnostic groups, was hypothesized to report further limitation in each of the 3 new proposed constructs.\nMETHODS: One hundred thirty-two consecutive patients from 5 diagnostic groups (TMD, primary Sjogren syndrome, burning mouth syndrome, skeletal malocclusion, and healthy controls) participated in a known-groups validity design. Fifty-two jaw functional limitation items were identified by an expert panel for content validity. Rasch methodology was used for item reduction and assessment of model fit. The instrument was retested 1 to 2 weeks later.\nRESULTS: Three constructs (mastication, vertical jaw mobility, and emotional and verbal expression) comprising a total of 20 items were identified along with a global scale (the JFLS-20), and each exhibited excellent psychometric properties with respect to modeled variance, item fit, reliability, and internal consistency. The psychometric properties of each construct remained satisfactory when analyzed separately among the 5 diagnostic groups. Temporal stability was satisfactory. A shorter 8-item form (JFLS-8) also proved useful for assessing global functional jaw limitation.\nCONCLUSION: The JFLS-20 is an organ-specific instrument comprising 3 constructs for assessing functional status of the masticatory system; the 3 scales exhibit properties that are ideal for both research and patient evaluation in patient groups with a range of functional limitations of the jaw. The JFLS-8 emerged as a short form for measuring global functional limitation of the jaw.","ISSN":"1064-6655","note":"PMID: 18780535","shortTitle":"The jaw functional limitation scale","journalAbbreviation":"J Orofac Pain","language":"eng","author":[{"family":"Ohrbach","given":"Richard"},{"family":"Larsson","given":"Pernilla"},{"family":"List","given":"Thomas"}],"issued":{"date-parts":[["2008"]]}}}],"schema":"https://github.com/citation-style-language/schema/raw/master/csl-citation.json"} </w:instrText>
      </w:r>
      <w:r w:rsidRPr="007809AC">
        <w:rPr>
          <w:rFonts w:ascii="Arial" w:hAnsi="Arial" w:cs="Arial"/>
          <w:color w:val="auto"/>
          <w:sz w:val="24"/>
          <w:szCs w:val="24"/>
        </w:rPr>
        <w:fldChar w:fldCharType="separate"/>
      </w:r>
      <w:r w:rsidRPr="007809AC">
        <w:rPr>
          <w:rFonts w:ascii="Arial" w:hAnsi="Arial" w:cs="Arial"/>
          <w:color w:val="auto"/>
          <w:sz w:val="24"/>
          <w:szCs w:val="24"/>
        </w:rPr>
        <w:t>(23)</w:t>
      </w:r>
      <w:r w:rsidRPr="007809AC">
        <w:rPr>
          <w:rFonts w:ascii="Arial" w:hAnsi="Arial" w:cs="Arial"/>
          <w:color w:val="auto"/>
          <w:sz w:val="24"/>
          <w:szCs w:val="24"/>
        </w:rPr>
        <w:fldChar w:fldCharType="end"/>
      </w:r>
    </w:p>
    <w:tbl>
      <w:tblPr>
        <w:tblW w:w="5000" w:type="pct"/>
        <w:jc w:val="center"/>
        <w:tblLayout w:type="fixed"/>
        <w:tblCellMar>
          <w:left w:w="10" w:type="dxa"/>
          <w:right w:w="10" w:type="dxa"/>
        </w:tblCellMar>
        <w:tblLook w:val="04A0" w:firstRow="1" w:lastRow="0" w:firstColumn="1" w:lastColumn="0" w:noHBand="0" w:noVBand="1"/>
      </w:tblPr>
      <w:tblGrid>
        <w:gridCol w:w="1129"/>
        <w:gridCol w:w="585"/>
        <w:gridCol w:w="636"/>
        <w:gridCol w:w="748"/>
        <w:gridCol w:w="635"/>
        <w:gridCol w:w="635"/>
        <w:gridCol w:w="748"/>
        <w:gridCol w:w="635"/>
        <w:gridCol w:w="635"/>
        <w:gridCol w:w="635"/>
        <w:gridCol w:w="635"/>
        <w:gridCol w:w="748"/>
        <w:gridCol w:w="612"/>
      </w:tblGrid>
      <w:tr w:rsidR="007809AC" w:rsidRPr="007809AC" w14:paraId="24A382D7" w14:textId="77777777" w:rsidTr="001F318B">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467E7B" w14:textId="77777777" w:rsidR="00947FA4" w:rsidRPr="007809AC" w:rsidRDefault="00947FA4" w:rsidP="00947FA4">
            <w:pPr>
              <w:spacing w:after="0" w:line="240" w:lineRule="auto"/>
              <w:jc w:val="both"/>
              <w:rPr>
                <w:rFonts w:cs="Calibri"/>
                <w:sz w:val="20"/>
                <w:szCs w:val="20"/>
              </w:rPr>
            </w:pPr>
          </w:p>
        </w:tc>
        <w:tc>
          <w:tcPr>
            <w:tcW w:w="7275"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36ED9ED"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Frequency of Scores - n (%)</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EAB1724" w14:textId="77777777" w:rsidR="00947FA4" w:rsidRPr="007809AC" w:rsidRDefault="00947FA4" w:rsidP="00947FA4">
            <w:pPr>
              <w:spacing w:after="0" w:line="240" w:lineRule="auto"/>
              <w:jc w:val="center"/>
              <w:rPr>
                <w:rFonts w:cs="Calibri"/>
                <w:sz w:val="20"/>
                <w:szCs w:val="20"/>
              </w:rPr>
            </w:pPr>
          </w:p>
        </w:tc>
      </w:tr>
      <w:tr w:rsidR="007809AC" w:rsidRPr="007809AC" w14:paraId="25D9193F" w14:textId="77777777" w:rsidTr="001F318B">
        <w:trPr>
          <w:cantSplit/>
          <w:trHeight w:val="1476"/>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2FDF45E0" w14:textId="77777777" w:rsidR="00947FA4" w:rsidRPr="007809AC" w:rsidRDefault="00947FA4" w:rsidP="001F318B">
            <w:pPr>
              <w:spacing w:after="0" w:line="240" w:lineRule="auto"/>
              <w:ind w:left="113" w:right="113"/>
              <w:rPr>
                <w:sz w:val="20"/>
                <w:szCs w:val="20"/>
              </w:rPr>
            </w:pPr>
            <w:r w:rsidRPr="007809AC">
              <w:rPr>
                <w:rFonts w:ascii="Arial" w:eastAsia="Arial" w:hAnsi="Arial" w:cs="Arial"/>
                <w:b/>
                <w:sz w:val="20"/>
                <w:szCs w:val="20"/>
              </w:rPr>
              <w:t>Variable</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23887F10"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Score 0</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467F56BD"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1</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1E2F66E8"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2</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1B8B8862"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3</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52FBD09F"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4</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217F465F"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5</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2ABB5F7D"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6</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714B01FE"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7</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65986754"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8</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22C0FDAD"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9</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60D0887F" w14:textId="77777777" w:rsidR="00947FA4" w:rsidRPr="007809AC" w:rsidRDefault="00947FA4" w:rsidP="001F318B">
            <w:pPr>
              <w:spacing w:after="0" w:line="240" w:lineRule="auto"/>
              <w:ind w:left="113" w:right="113"/>
              <w:jc w:val="center"/>
              <w:rPr>
                <w:sz w:val="20"/>
                <w:szCs w:val="20"/>
              </w:rPr>
            </w:pPr>
            <w:r w:rsidRPr="007809AC">
              <w:rPr>
                <w:rFonts w:ascii="Arial" w:eastAsia="Arial" w:hAnsi="Arial" w:cs="Arial"/>
                <w:b/>
                <w:sz w:val="20"/>
                <w:szCs w:val="20"/>
              </w:rPr>
              <w:t>Score 10</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6C92745C" w14:textId="77777777" w:rsidR="001F318B" w:rsidRPr="007809AC" w:rsidRDefault="001F318B" w:rsidP="001F318B">
            <w:pPr>
              <w:spacing w:after="0" w:line="240" w:lineRule="auto"/>
              <w:ind w:left="113" w:right="113"/>
              <w:rPr>
                <w:rFonts w:ascii="Arial" w:eastAsia="Arial" w:hAnsi="Arial" w:cs="Arial"/>
                <w:b/>
                <w:sz w:val="20"/>
                <w:szCs w:val="20"/>
              </w:rPr>
            </w:pPr>
            <w:r w:rsidRPr="007809AC">
              <w:rPr>
                <w:rFonts w:ascii="Arial" w:eastAsia="Arial" w:hAnsi="Arial" w:cs="Arial"/>
                <w:b/>
                <w:sz w:val="20"/>
                <w:szCs w:val="20"/>
              </w:rPr>
              <w:t>Median</w:t>
            </w:r>
          </w:p>
          <w:p w14:paraId="3B11683F" w14:textId="4986EED3" w:rsidR="00947FA4" w:rsidRPr="007809AC" w:rsidRDefault="001F318B" w:rsidP="001F318B">
            <w:pPr>
              <w:spacing w:after="0" w:line="240" w:lineRule="auto"/>
              <w:ind w:left="113" w:right="113"/>
              <w:rPr>
                <w:sz w:val="20"/>
                <w:szCs w:val="20"/>
              </w:rPr>
            </w:pPr>
            <w:r w:rsidRPr="007809AC">
              <w:rPr>
                <w:rFonts w:ascii="Arial" w:eastAsia="Arial" w:hAnsi="Arial" w:cs="Arial"/>
                <w:b/>
                <w:sz w:val="20"/>
                <w:szCs w:val="20"/>
              </w:rPr>
              <w:t>(</w:t>
            </w:r>
            <w:r w:rsidR="00947FA4" w:rsidRPr="007809AC">
              <w:rPr>
                <w:rFonts w:ascii="Arial" w:eastAsia="Arial" w:hAnsi="Arial" w:cs="Arial"/>
                <w:b/>
                <w:sz w:val="20"/>
                <w:szCs w:val="20"/>
              </w:rPr>
              <w:t>range)</w:t>
            </w:r>
          </w:p>
        </w:tc>
      </w:tr>
      <w:tr w:rsidR="007809AC" w:rsidRPr="007809AC" w14:paraId="054E74E4" w14:textId="77777777" w:rsidTr="00E81A1E">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4AA4FFE"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Chew tough food</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CB8F66" w14:textId="77777777" w:rsidR="00947FA4" w:rsidRPr="007809AC" w:rsidRDefault="00947FA4" w:rsidP="00E81A1E">
            <w:pPr>
              <w:spacing w:after="0" w:line="240" w:lineRule="auto"/>
              <w:jc w:val="center"/>
              <w:rPr>
                <w:rFonts w:ascii="Arial" w:eastAsia="Arial" w:hAnsi="Arial" w:cs="Arial"/>
                <w:sz w:val="20"/>
                <w:szCs w:val="20"/>
              </w:rPr>
            </w:pPr>
            <w:r w:rsidRPr="007809AC">
              <w:rPr>
                <w:rFonts w:ascii="Arial" w:eastAsia="Arial" w:hAnsi="Arial" w:cs="Arial"/>
                <w:sz w:val="20"/>
                <w:szCs w:val="20"/>
              </w:rPr>
              <w:t>6</w:t>
            </w:r>
          </w:p>
          <w:p w14:paraId="70492ADF"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(4.8)</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FE9FA7"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(2.4)</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FA035"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F20998"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 (7.9)</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66B4C0"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313438"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9 (7.1)</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D1599"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(4.0)</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224C79"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7 (5.6)</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DC9925"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9 (7.1)</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EBFC75"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6 (4.8)</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40CA15"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65 (51.6)</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95363B"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10 (0 - 10)</w:t>
            </w:r>
          </w:p>
        </w:tc>
      </w:tr>
      <w:tr w:rsidR="007809AC" w:rsidRPr="007809AC" w14:paraId="15F6B78E" w14:textId="77777777" w:rsidTr="00E81A1E">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DE7012E"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Chew chicken</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251DF3"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25 (19.8)</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FABDC2"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(2.4)</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E841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13 (10.3)</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DF3D7"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9 (7.1)</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F0739F"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6 (4.8)</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905F8B"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15 (11.9)</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AE4DF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8 (6.3)</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F19097"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(4.0)</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44A980"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8 (6.3)</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2779A1"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 (0.8)</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71DF12"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33 (26.2)</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877741"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(0 - 10)</w:t>
            </w:r>
          </w:p>
        </w:tc>
      </w:tr>
      <w:tr w:rsidR="007809AC" w:rsidRPr="007809AC" w14:paraId="5647B98E" w14:textId="77777777" w:rsidTr="00E81A1E">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EC8C3E"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Chew soft food</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CCEF33"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60 (47.6)</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017F12"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74C601"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9 (7.1)</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DD06DA"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11 (8.7)</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CC803"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(4.0)</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720DCE"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 (3.2)</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88754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 (3.2)</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07C551"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(1.6)</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296174"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 (3.2)</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8CA5B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0 (0)</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BE19A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24 (19.0)</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EAC9AC"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1.5 (0 - 10)</w:t>
            </w:r>
          </w:p>
        </w:tc>
      </w:tr>
      <w:tr w:rsidR="007809AC" w:rsidRPr="007809AC" w14:paraId="5DFCF17F" w14:textId="77777777" w:rsidTr="00E81A1E">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8A64FFC"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Drink from cup</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573064"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58 (46.0)</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E84EDD"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(1.6)</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26224C"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(1.6)</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E5EF4"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6 (4.8)</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8D89F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F2871C"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13 (10.3)</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360C39"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 (3.2)</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7FB262"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B44FA"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(4.0)</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1E989"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 (0.8)</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2907E2"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29 (23.0)</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203E25"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(0 - 10)</w:t>
            </w:r>
          </w:p>
        </w:tc>
      </w:tr>
      <w:tr w:rsidR="007809AC" w:rsidRPr="007809AC" w14:paraId="7A666CCE" w14:textId="77777777" w:rsidTr="00E81A1E">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C99018"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Swallow</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A9C555"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59 (46.8)</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414D7"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(1.6)</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A0301C"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7 (5.6)</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6257E5"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7 (5.6)</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D2CF18"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(1.6)</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FC2EF"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6 (4.8)</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5FDED"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B424A"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(1.6)</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1AFEE0"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 (3.2)</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B0CA1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(1.6)</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45B1B7"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32 (25.4)</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BF9FE8"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(0 - 10)</w:t>
            </w:r>
          </w:p>
        </w:tc>
      </w:tr>
      <w:tr w:rsidR="007809AC" w:rsidRPr="007809AC" w14:paraId="4BF4C4B8" w14:textId="77777777" w:rsidTr="00E81A1E">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691FC2"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Yawn</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F4384F"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15 (11.9)</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20F894"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(1.6)</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ED235A"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20883"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9 (7.1)</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D7B1C"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6 (4.8)</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289BC4"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7 (5.6)</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EC89B1"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6 (4.8)</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6B1CD3"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(4.0)</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D961B"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9 (7.1)</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46047"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7 (5.6)</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DE4ECC"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57 (45.2)</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81BB21"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9 (0 - 10)</w:t>
            </w:r>
          </w:p>
        </w:tc>
      </w:tr>
      <w:tr w:rsidR="007809AC" w:rsidRPr="007809AC" w14:paraId="0F4CACCA" w14:textId="77777777" w:rsidTr="00E81A1E">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2B979F"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Talk</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645AE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39 (31.0)</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FFDC82"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BB2E7C"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6 (4.8)</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F31AED"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(4.0)</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5C9B5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016A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12 (9.5)</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1A110"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 (3.2)</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FCDCF1"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6 (4.8)</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B50C9B"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(4.0)</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B13DF3"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2 (1.6)</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A24A21"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41 (32.5)</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029CF8"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(0 - 10)</w:t>
            </w:r>
          </w:p>
        </w:tc>
      </w:tr>
      <w:tr w:rsidR="00947FA4" w:rsidRPr="007809AC" w14:paraId="208B422E" w14:textId="77777777" w:rsidTr="00E81A1E">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8D7AEE"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Smile</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B1C31E"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44 (34.9)</w:t>
            </w:r>
          </w:p>
        </w:tc>
        <w:tc>
          <w:tcPr>
            <w:tcW w:w="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973AC1"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B5C452"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8 (6.3)</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395F32"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05E01A"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 (3.2)</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72FE3E"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10 (7.9)</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905E39"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3 (2.4)</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7B9869"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 (3.2)</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2B69B"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(4.0)</w:t>
            </w:r>
          </w:p>
        </w:tc>
        <w:tc>
          <w:tcPr>
            <w:tcW w:w="6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743691"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1 (0.8)</w:t>
            </w:r>
          </w:p>
        </w:tc>
        <w:tc>
          <w:tcPr>
            <w:tcW w:w="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5E45D9"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41 (32.5)</w:t>
            </w:r>
          </w:p>
        </w:tc>
        <w:tc>
          <w:tcPr>
            <w:tcW w:w="6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AA6256" w14:textId="77777777" w:rsidR="00947FA4" w:rsidRPr="007809AC" w:rsidRDefault="00947FA4" w:rsidP="00E81A1E">
            <w:pPr>
              <w:spacing w:after="0" w:line="240" w:lineRule="auto"/>
              <w:jc w:val="center"/>
              <w:rPr>
                <w:sz w:val="20"/>
                <w:szCs w:val="20"/>
              </w:rPr>
            </w:pPr>
            <w:r w:rsidRPr="007809AC">
              <w:rPr>
                <w:rFonts w:ascii="Arial" w:eastAsia="Arial" w:hAnsi="Arial" w:cs="Arial"/>
                <w:sz w:val="20"/>
                <w:szCs w:val="20"/>
              </w:rPr>
              <w:t>5 (0 - 10)</w:t>
            </w:r>
          </w:p>
        </w:tc>
      </w:tr>
    </w:tbl>
    <w:p w14:paraId="19769663" w14:textId="77777777" w:rsidR="00947FA4" w:rsidRPr="007809AC" w:rsidRDefault="00947FA4" w:rsidP="00947FA4">
      <w:pPr>
        <w:rPr>
          <w:sz w:val="24"/>
          <w:szCs w:val="24"/>
        </w:rPr>
      </w:pPr>
    </w:p>
    <w:p w14:paraId="757405DD" w14:textId="77777777" w:rsidR="00947FA4" w:rsidRPr="007809AC" w:rsidRDefault="00947FA4" w:rsidP="00947FA4">
      <w:pPr>
        <w:rPr>
          <w:sz w:val="24"/>
          <w:szCs w:val="24"/>
        </w:rPr>
      </w:pPr>
      <w:r w:rsidRPr="007809AC">
        <w:rPr>
          <w:sz w:val="24"/>
          <w:szCs w:val="24"/>
        </w:rPr>
        <w:br w:type="page"/>
      </w:r>
    </w:p>
    <w:p w14:paraId="7F11EE6F" w14:textId="4A0FB642" w:rsidR="00947FA4" w:rsidRPr="007809AC" w:rsidRDefault="00947FA4" w:rsidP="00947FA4">
      <w:pPr>
        <w:pStyle w:val="Caption"/>
        <w:keepNext/>
        <w:rPr>
          <w:color w:val="auto"/>
          <w:sz w:val="24"/>
          <w:szCs w:val="24"/>
        </w:rPr>
      </w:pPr>
      <w:r w:rsidRPr="007809AC">
        <w:rPr>
          <w:rFonts w:ascii="Arial" w:hAnsi="Arial" w:cs="Arial"/>
          <w:color w:val="auto"/>
          <w:sz w:val="24"/>
          <w:szCs w:val="24"/>
        </w:rPr>
        <w:t>Table 4: Descriptive Statistics of the Dysphagia Handicap Index - Physical Subscale</w:t>
      </w:r>
      <w:r w:rsidRPr="007809AC">
        <w:rPr>
          <w:rFonts w:ascii="Arial" w:hAnsi="Arial" w:cs="Arial"/>
          <w:color w:val="auto"/>
          <w:sz w:val="24"/>
          <w:szCs w:val="24"/>
        </w:rPr>
        <w:fldChar w:fldCharType="begin"/>
      </w:r>
      <w:r w:rsidRPr="007809AC">
        <w:rPr>
          <w:rFonts w:ascii="Arial" w:hAnsi="Arial" w:cs="Arial"/>
          <w:color w:val="auto"/>
          <w:sz w:val="24"/>
          <w:szCs w:val="24"/>
        </w:rPr>
        <w:instrText xml:space="preserve"> ADDIN ZOTERO_ITEM CSL_CITATION {"citationID":"Q6xe728C","properties":{"formattedCitation":"(29)","plainCitation":"(29)","noteIndex":0},"citationItems":[{"id":1178,"uris":["http://zotero.org/users/local/nlzVUL7s/items/MKHPRY3C"],"uri":["http://zotero.org/users/local/nlzVUL7s/items/MKHPRY3C"],"itemData":{"id":1178,"type":"article-journal","title":"The Dysphagia handicap index: development and validation","container-title":"Dysphagia","page":"46-52","volume":"27","issue":"1","source":"PubMed","abstract":"Quality-of-life indicators for dysphagia provide invaluable information to the treating clinician regarding the success or failure of swallowing therapy. The purpose of this study was to develop a clinically efficient, statistically robust patient-reported outcomes tool that measures the handicapping effect of dysphagia on emotional, functional, and physical aspects of individual's lives. 60 statements describing the handicapping effect of dysphagia were collected from patient reports and divided into subscales of physical, emotional, and functional problems. The statements were presented to 77 individuals with dysphagia. Respondents replied never, sometimes, or always to each statement and rated their self-perceived dysphagia severity on a 7-point equal-appearing interval scale. Cronbach's α was performed to assess the internal consistency validation of the items within the questionnaire. The final questionnaire was reduced to 25 items and administered to 214 individuals with dysphagia and 74 controls. Test-retest was performed on 63 individuals with dysphagia. Cronbach's α for the initial and final versions was strong at r = 0.96 and r = 0.94, respectively. Significant differences occurred between the dysphagia and control groups. Test-retest reliability was strong. We present a new, easy-to-complete, statistically robust, patient-reported outcomes measure for assessing the handicapping effect of dysphagia.","DOI":"10.1007/s00455-011-9336-2","ISSN":"1432-0460","note":"PMID: 21424584","shortTitle":"The Dysphagia handicap index","journalAbbreviation":"Dysphagia","language":"eng","author":[{"family":"Silbergleit","given":"Alice K."},{"family":"Schultz","given":"Lonni"},{"family":"Jacobson","given":"Barbara H."},{"family":"Beardsley","given":"Tausha"},{"family":"Johnson","given":"Alex F."}],"issued":{"date-parts":[["2012",3]]}}}],"schema":"https://github.com/citation-style-language/schema/raw/master/csl-citation.json"} </w:instrText>
      </w:r>
      <w:r w:rsidRPr="007809AC">
        <w:rPr>
          <w:rFonts w:ascii="Arial" w:hAnsi="Arial" w:cs="Arial"/>
          <w:color w:val="auto"/>
          <w:sz w:val="24"/>
          <w:szCs w:val="24"/>
        </w:rPr>
        <w:fldChar w:fldCharType="separate"/>
      </w:r>
      <w:r w:rsidRPr="007809AC">
        <w:rPr>
          <w:rFonts w:ascii="Arial" w:hAnsi="Arial" w:cs="Arial"/>
          <w:color w:val="auto"/>
          <w:sz w:val="24"/>
          <w:szCs w:val="24"/>
        </w:rPr>
        <w:t>(29)</w:t>
      </w:r>
      <w:r w:rsidRPr="007809AC">
        <w:rPr>
          <w:rFonts w:ascii="Arial" w:hAnsi="Arial" w:cs="Arial"/>
          <w:color w:val="auto"/>
          <w:sz w:val="24"/>
          <w:szCs w:val="24"/>
        </w:rPr>
        <w:fldChar w:fldCharType="end"/>
      </w:r>
    </w:p>
    <w:tbl>
      <w:tblPr>
        <w:tblW w:w="5000" w:type="pct"/>
        <w:jc w:val="center"/>
        <w:tblCellMar>
          <w:left w:w="10" w:type="dxa"/>
          <w:right w:w="10" w:type="dxa"/>
        </w:tblCellMar>
        <w:tblLook w:val="04A0" w:firstRow="1" w:lastRow="0" w:firstColumn="1" w:lastColumn="0" w:noHBand="0" w:noVBand="1"/>
      </w:tblPr>
      <w:tblGrid>
        <w:gridCol w:w="452"/>
        <w:gridCol w:w="3853"/>
        <w:gridCol w:w="909"/>
        <w:gridCol w:w="1330"/>
        <w:gridCol w:w="1029"/>
        <w:gridCol w:w="1443"/>
      </w:tblGrid>
      <w:tr w:rsidR="007809AC" w:rsidRPr="007809AC" w14:paraId="336B405F" w14:textId="77777777" w:rsidTr="00947FA4">
        <w:trPr>
          <w:trHeight w:val="300"/>
          <w:jc w:val="center"/>
        </w:trPr>
        <w:tc>
          <w:tcPr>
            <w:tcW w:w="4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DF521F7" w14:textId="77777777" w:rsidR="00947FA4" w:rsidRPr="007809AC" w:rsidRDefault="00947FA4" w:rsidP="00947FA4">
            <w:pPr>
              <w:spacing w:after="0" w:line="240" w:lineRule="auto"/>
              <w:jc w:val="both"/>
              <w:rPr>
                <w:rFonts w:ascii="Arial" w:eastAsia="Times New Roman" w:hAnsi="Arial" w:cs="Arial"/>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024F47E" w14:textId="77777777" w:rsidR="00947FA4" w:rsidRPr="007809AC" w:rsidRDefault="00947FA4" w:rsidP="00947FA4">
            <w:pPr>
              <w:spacing w:after="0" w:line="240" w:lineRule="auto"/>
              <w:jc w:val="both"/>
              <w:rPr>
                <w:rFonts w:ascii="Arial" w:eastAsia="Times New Roman" w:hAnsi="Arial" w:cs="Arial"/>
                <w:sz w:val="20"/>
                <w:szCs w:val="20"/>
                <w:lang w:eastAsia="en-IE"/>
              </w:rPr>
            </w:pPr>
          </w:p>
        </w:tc>
        <w:tc>
          <w:tcPr>
            <w:tcW w:w="3275"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4C4780A"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Frequency of Scores - n (%)</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03DF1A0"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p>
        </w:tc>
      </w:tr>
      <w:tr w:rsidR="007809AC" w:rsidRPr="007809AC" w14:paraId="33888545" w14:textId="77777777" w:rsidTr="00947FA4">
        <w:trPr>
          <w:trHeight w:val="300"/>
          <w:jc w:val="center"/>
        </w:trPr>
        <w:tc>
          <w:tcPr>
            <w:tcW w:w="4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4914DA9"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 </w:t>
            </w: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55D1B5E" w14:textId="77777777" w:rsidR="00947FA4" w:rsidRPr="007809AC" w:rsidRDefault="00947FA4" w:rsidP="00947FA4">
            <w:pPr>
              <w:spacing w:after="0" w:line="240" w:lineRule="auto"/>
              <w:jc w:val="both"/>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Variable</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FEFD039"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Never</w:t>
            </w:r>
          </w:p>
        </w:tc>
        <w:tc>
          <w:tcPr>
            <w:tcW w:w="13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E13E3D6"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Sometimes</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C186D5E"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Always</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028AD2F"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Median (range)</w:t>
            </w:r>
          </w:p>
        </w:tc>
      </w:tr>
      <w:tr w:rsidR="007809AC" w:rsidRPr="007809AC" w14:paraId="4673C588" w14:textId="77777777" w:rsidTr="00947FA4">
        <w:trPr>
          <w:trHeight w:val="300"/>
          <w:jc w:val="center"/>
        </w:trPr>
        <w:tc>
          <w:tcPr>
            <w:tcW w:w="433"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176D6D74" w14:textId="77777777" w:rsidR="00947FA4" w:rsidRPr="007809AC" w:rsidRDefault="00947FA4"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Physical</w:t>
            </w: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C0CC4A5"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Coughing on drinking</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0E0CF0C"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80 (63.5)</w:t>
            </w:r>
          </w:p>
        </w:tc>
        <w:tc>
          <w:tcPr>
            <w:tcW w:w="13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B73E8C8"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33 (26.2)</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8B63060"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13 (10.3)</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06AA61E"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 (0 - 2)</w:t>
            </w:r>
          </w:p>
        </w:tc>
      </w:tr>
      <w:tr w:rsidR="007809AC" w:rsidRPr="007809AC" w14:paraId="7127C5E9" w14:textId="77777777" w:rsidTr="00947FA4">
        <w:trPr>
          <w:trHeight w:val="300"/>
          <w:jc w:val="center"/>
        </w:trPr>
        <w:tc>
          <w:tcPr>
            <w:tcW w:w="43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626DDD54"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BD0C113"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Coughing on eating</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28BBC6A"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87 (69.0)</w:t>
            </w:r>
          </w:p>
        </w:tc>
        <w:tc>
          <w:tcPr>
            <w:tcW w:w="13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5C7DF10"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28 (22.2)</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FC5374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11 (8.7)</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BE5FCFF"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 (0 - 2)</w:t>
            </w:r>
          </w:p>
        </w:tc>
      </w:tr>
      <w:tr w:rsidR="007809AC" w:rsidRPr="007809AC" w14:paraId="0FBC76E0" w14:textId="77777777" w:rsidTr="00947FA4">
        <w:trPr>
          <w:trHeight w:val="300"/>
          <w:jc w:val="center"/>
        </w:trPr>
        <w:tc>
          <w:tcPr>
            <w:tcW w:w="43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1DE05E7A"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3953846"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Dry mouth</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E9CB9FC"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52 (41.3)</w:t>
            </w:r>
          </w:p>
        </w:tc>
        <w:tc>
          <w:tcPr>
            <w:tcW w:w="13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D97C93E"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47 (37.3)</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3104169"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27 (21.4)</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1AA5CF1"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 (0 - 2)</w:t>
            </w:r>
          </w:p>
        </w:tc>
      </w:tr>
      <w:tr w:rsidR="007809AC" w:rsidRPr="007809AC" w14:paraId="3901905C" w14:textId="77777777" w:rsidTr="00947FA4">
        <w:trPr>
          <w:trHeight w:val="300"/>
          <w:jc w:val="center"/>
        </w:trPr>
        <w:tc>
          <w:tcPr>
            <w:tcW w:w="43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4C292360"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13EF5F6"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Need to drink to wash food down</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76EC146"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40 (31.7)</w:t>
            </w:r>
          </w:p>
        </w:tc>
        <w:tc>
          <w:tcPr>
            <w:tcW w:w="13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EF96B46"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48 (38.1)</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1955C42"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38 (30.2)</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A012553"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 (0 - 2)</w:t>
            </w:r>
          </w:p>
        </w:tc>
      </w:tr>
      <w:tr w:rsidR="007809AC" w:rsidRPr="007809AC" w14:paraId="68FCB575" w14:textId="77777777" w:rsidTr="00947FA4">
        <w:trPr>
          <w:trHeight w:val="300"/>
          <w:jc w:val="center"/>
        </w:trPr>
        <w:tc>
          <w:tcPr>
            <w:tcW w:w="43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0C0BDD89"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E3E8884"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Lost weight</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0080F31"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63 (50.0)</w:t>
            </w:r>
          </w:p>
        </w:tc>
        <w:tc>
          <w:tcPr>
            <w:tcW w:w="13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03B791B"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33 (26.2)</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4A1E465"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30 (23.8)</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1C3A0CE"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0.5 (0 - 2)</w:t>
            </w:r>
          </w:p>
        </w:tc>
      </w:tr>
      <w:tr w:rsidR="007809AC" w:rsidRPr="007809AC" w14:paraId="3A43DCBD" w14:textId="77777777" w:rsidTr="00947FA4">
        <w:trPr>
          <w:trHeight w:val="300"/>
          <w:jc w:val="center"/>
        </w:trPr>
        <w:tc>
          <w:tcPr>
            <w:tcW w:w="43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41CA334E"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51EFD19"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Must swallow again before food will go down</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0E05FAF"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53 (42.1)</w:t>
            </w:r>
          </w:p>
        </w:tc>
        <w:tc>
          <w:tcPr>
            <w:tcW w:w="13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AC36783"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33 (26.2)</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566C32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40 (31.7)</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258F88B"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 (0 - 2)</w:t>
            </w:r>
          </w:p>
        </w:tc>
      </w:tr>
      <w:tr w:rsidR="007809AC" w:rsidRPr="007809AC" w14:paraId="2802F478" w14:textId="77777777" w:rsidTr="00947FA4">
        <w:trPr>
          <w:trHeight w:val="300"/>
          <w:jc w:val="center"/>
        </w:trPr>
        <w:tc>
          <w:tcPr>
            <w:tcW w:w="43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58781C3F"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2E071B5"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Choking on medication</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776F7E8"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69 (54.8)</w:t>
            </w:r>
          </w:p>
        </w:tc>
        <w:tc>
          <w:tcPr>
            <w:tcW w:w="13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A11603D"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27 (21.4)</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7A5DFA6"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30 (23.8)</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181B4D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 (0 - 2)</w:t>
            </w:r>
          </w:p>
        </w:tc>
      </w:tr>
      <w:tr w:rsidR="007809AC" w:rsidRPr="007809AC" w14:paraId="44CF4D23" w14:textId="77777777" w:rsidTr="00947FA4">
        <w:trPr>
          <w:trHeight w:val="300"/>
          <w:jc w:val="center"/>
        </w:trPr>
        <w:tc>
          <w:tcPr>
            <w:tcW w:w="43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14697610"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CE30ED1"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Strangling sensation on swallowing</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DBC3AF3"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66 (52.4)</w:t>
            </w:r>
          </w:p>
        </w:tc>
        <w:tc>
          <w:tcPr>
            <w:tcW w:w="13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92E39A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28 (22.2)</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D663FB6"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32 (25.4)</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6A721FA"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 (0 - 2)</w:t>
            </w:r>
          </w:p>
        </w:tc>
      </w:tr>
      <w:tr w:rsidR="00E81A1E" w:rsidRPr="007809AC" w14:paraId="4FFAF8CF" w14:textId="77777777" w:rsidTr="00947FA4">
        <w:trPr>
          <w:trHeight w:val="300"/>
          <w:jc w:val="center"/>
        </w:trPr>
        <w:tc>
          <w:tcPr>
            <w:tcW w:w="433"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5FCEFEF8"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3186655"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Coughing up food after swallow</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A1A967A"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75 (59.5)</w:t>
            </w:r>
          </w:p>
        </w:tc>
        <w:tc>
          <w:tcPr>
            <w:tcW w:w="133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90BD116"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25 (19.8)</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561221F"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26 (20.6)</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A66ACAA"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 (0 - 2)</w:t>
            </w:r>
          </w:p>
        </w:tc>
      </w:tr>
    </w:tbl>
    <w:p w14:paraId="6A27EB33" w14:textId="77777777" w:rsidR="00947FA4" w:rsidRPr="007809AC" w:rsidRDefault="00947FA4" w:rsidP="00947FA4">
      <w:pPr>
        <w:rPr>
          <w:sz w:val="24"/>
          <w:szCs w:val="24"/>
        </w:rPr>
      </w:pPr>
    </w:p>
    <w:p w14:paraId="1876E0BE" w14:textId="77777777" w:rsidR="00947FA4" w:rsidRPr="007809AC" w:rsidRDefault="00947FA4" w:rsidP="00947FA4">
      <w:pPr>
        <w:rPr>
          <w:sz w:val="24"/>
          <w:szCs w:val="24"/>
        </w:rPr>
      </w:pPr>
      <w:r w:rsidRPr="007809AC">
        <w:rPr>
          <w:sz w:val="24"/>
          <w:szCs w:val="24"/>
        </w:rPr>
        <w:br w:type="page"/>
      </w:r>
    </w:p>
    <w:p w14:paraId="23988B01" w14:textId="77777777" w:rsidR="00947FA4" w:rsidRPr="007809AC" w:rsidRDefault="00947FA4" w:rsidP="00947FA4">
      <w:pPr>
        <w:pStyle w:val="Caption"/>
        <w:keepNext/>
        <w:rPr>
          <w:color w:val="auto"/>
          <w:sz w:val="24"/>
          <w:szCs w:val="24"/>
        </w:rPr>
      </w:pPr>
      <w:r w:rsidRPr="007809AC">
        <w:rPr>
          <w:rFonts w:ascii="Arial" w:hAnsi="Arial" w:cs="Arial"/>
          <w:color w:val="auto"/>
          <w:sz w:val="24"/>
          <w:szCs w:val="24"/>
        </w:rPr>
        <w:t>Table 5: Descriptive Statistics of Orofacial Movements</w:t>
      </w:r>
    </w:p>
    <w:tbl>
      <w:tblPr>
        <w:tblW w:w="5000" w:type="pct"/>
        <w:jc w:val="center"/>
        <w:tblCellMar>
          <w:left w:w="10" w:type="dxa"/>
          <w:right w:w="10" w:type="dxa"/>
        </w:tblCellMar>
        <w:tblLook w:val="04A0" w:firstRow="1" w:lastRow="0" w:firstColumn="1" w:lastColumn="0" w:noHBand="0" w:noVBand="1"/>
      </w:tblPr>
      <w:tblGrid>
        <w:gridCol w:w="548"/>
        <w:gridCol w:w="2842"/>
        <w:gridCol w:w="1500"/>
        <w:gridCol w:w="1266"/>
        <w:gridCol w:w="1594"/>
        <w:gridCol w:w="1266"/>
      </w:tblGrid>
      <w:tr w:rsidR="007809AC" w:rsidRPr="007809AC" w14:paraId="3B95B172" w14:textId="77777777" w:rsidTr="00947FA4">
        <w:trPr>
          <w:trHeight w:val="300"/>
          <w:jc w:val="center"/>
        </w:trPr>
        <w:tc>
          <w:tcPr>
            <w:tcW w:w="54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E195EC3" w14:textId="77777777" w:rsidR="00947FA4" w:rsidRPr="007809AC" w:rsidRDefault="00947FA4" w:rsidP="00947FA4">
            <w:pPr>
              <w:spacing w:after="0" w:line="240" w:lineRule="auto"/>
              <w:jc w:val="center"/>
              <w:rPr>
                <w:sz w:val="20"/>
                <w:szCs w:val="20"/>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E551790"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Variable</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175B60C"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WNL</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BD5AFD1"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Mild</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FC6CD61"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Moderate</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8C1BDA7"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Severe</w:t>
            </w:r>
          </w:p>
        </w:tc>
      </w:tr>
      <w:tr w:rsidR="007809AC" w:rsidRPr="007809AC" w14:paraId="4A8849D2" w14:textId="77777777" w:rsidTr="00947FA4">
        <w:trPr>
          <w:trHeight w:val="300"/>
          <w:jc w:val="center"/>
        </w:trPr>
        <w:tc>
          <w:tcPr>
            <w:tcW w:w="548"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78C52CF7"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Jaw</w:t>
            </w: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F5AF5AB"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Symmetry</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F8F775E"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115 (91.3)</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DE3073F"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7 (5.6)</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999DB45"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3 (2.4)</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E7DC8AC"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1 (0.8)</w:t>
            </w:r>
          </w:p>
        </w:tc>
      </w:tr>
      <w:tr w:rsidR="007809AC" w:rsidRPr="007809AC" w14:paraId="57293BAD" w14:textId="77777777" w:rsidTr="00947FA4">
        <w:trPr>
          <w:trHeight w:val="300"/>
          <w:jc w:val="center"/>
        </w:trPr>
        <w:tc>
          <w:tcPr>
            <w:tcW w:w="54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6984E73C" w14:textId="77777777" w:rsidR="00947FA4" w:rsidRPr="007809AC" w:rsidRDefault="00947FA4" w:rsidP="00947FA4">
            <w:pPr>
              <w:spacing w:after="0" w:line="240" w:lineRule="auto"/>
              <w:jc w:val="center"/>
              <w:rPr>
                <w:rFonts w:ascii="Arial" w:eastAsia="Times New Roman" w:hAnsi="Arial" w:cs="Arial"/>
                <w:sz w:val="24"/>
                <w:szCs w:val="24"/>
                <w:lang w:eastAsia="en-IE"/>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AA7E2DB"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Range of Motion</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5B6C148"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48 (38.1)</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F2192D7"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33 (26.2)</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60B17F9"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24 (19.0)</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2A38B72"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21 (16.7)</w:t>
            </w:r>
          </w:p>
        </w:tc>
      </w:tr>
      <w:tr w:rsidR="007809AC" w:rsidRPr="007809AC" w14:paraId="3B2990FF" w14:textId="77777777" w:rsidTr="00947FA4">
        <w:trPr>
          <w:trHeight w:val="300"/>
          <w:jc w:val="center"/>
        </w:trPr>
        <w:tc>
          <w:tcPr>
            <w:tcW w:w="54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63E33C95" w14:textId="77777777" w:rsidR="00947FA4" w:rsidRPr="007809AC" w:rsidRDefault="00947FA4" w:rsidP="00947FA4">
            <w:pPr>
              <w:spacing w:after="0" w:line="240" w:lineRule="auto"/>
              <w:jc w:val="center"/>
              <w:rPr>
                <w:rFonts w:ascii="Arial" w:eastAsia="Times New Roman" w:hAnsi="Arial" w:cs="Arial"/>
                <w:sz w:val="24"/>
                <w:szCs w:val="24"/>
                <w:lang w:eastAsia="en-IE"/>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F97FDB7"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Speed</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4ED2A4D"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88 (69.8)</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97C9720"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17 (13.5)</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BBE8794"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5 (4.0)</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7643A9E"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16 (12.7)</w:t>
            </w:r>
          </w:p>
        </w:tc>
      </w:tr>
      <w:tr w:rsidR="007809AC" w:rsidRPr="007809AC" w14:paraId="2D6744DF" w14:textId="77777777" w:rsidTr="00947FA4">
        <w:trPr>
          <w:trHeight w:val="300"/>
          <w:jc w:val="center"/>
        </w:trPr>
        <w:tc>
          <w:tcPr>
            <w:tcW w:w="54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44AC590F" w14:textId="77777777" w:rsidR="00947FA4" w:rsidRPr="007809AC" w:rsidRDefault="00947FA4" w:rsidP="00947FA4">
            <w:pPr>
              <w:spacing w:after="0" w:line="240" w:lineRule="auto"/>
              <w:jc w:val="center"/>
              <w:rPr>
                <w:rFonts w:ascii="Arial" w:eastAsia="Times New Roman" w:hAnsi="Arial" w:cs="Arial"/>
                <w:sz w:val="24"/>
                <w:szCs w:val="24"/>
                <w:lang w:eastAsia="en-IE"/>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2E166CC"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Strength</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C316B7D"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112 (88.9)</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EF569E9"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8 (6.3)</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7ECDEC5"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3 (2.4)</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52AFE37"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3 (2.4)</w:t>
            </w:r>
          </w:p>
        </w:tc>
      </w:tr>
      <w:tr w:rsidR="007809AC" w:rsidRPr="007809AC" w14:paraId="644CCE2E" w14:textId="77777777" w:rsidTr="00947FA4">
        <w:trPr>
          <w:trHeight w:val="300"/>
          <w:jc w:val="center"/>
        </w:trPr>
        <w:tc>
          <w:tcPr>
            <w:tcW w:w="54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6DC9DE06" w14:textId="77777777" w:rsidR="00947FA4" w:rsidRPr="007809AC" w:rsidRDefault="00947FA4" w:rsidP="00947FA4">
            <w:pPr>
              <w:spacing w:after="0" w:line="240" w:lineRule="auto"/>
              <w:jc w:val="center"/>
              <w:rPr>
                <w:rFonts w:ascii="Arial" w:eastAsia="Times New Roman" w:hAnsi="Arial" w:cs="Arial"/>
                <w:sz w:val="24"/>
                <w:szCs w:val="24"/>
                <w:lang w:eastAsia="en-IE"/>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457832A"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Tone</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C4FCD2E"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112 (88.9)</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C7F3F57"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8 (6.3)</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8ADE072"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3 (2.4)</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188485D"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3 (2.4)</w:t>
            </w:r>
          </w:p>
        </w:tc>
      </w:tr>
      <w:tr w:rsidR="007809AC" w:rsidRPr="007809AC" w14:paraId="5E98B2F5" w14:textId="77777777" w:rsidTr="00947FA4">
        <w:trPr>
          <w:trHeight w:val="300"/>
          <w:jc w:val="center"/>
        </w:trPr>
        <w:tc>
          <w:tcPr>
            <w:tcW w:w="54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718EB5F7" w14:textId="77777777" w:rsidR="00947FA4" w:rsidRPr="007809AC" w:rsidRDefault="00947FA4" w:rsidP="00947FA4">
            <w:pPr>
              <w:spacing w:after="0" w:line="240" w:lineRule="auto"/>
              <w:jc w:val="center"/>
              <w:rPr>
                <w:rFonts w:ascii="Arial" w:eastAsia="Times New Roman" w:hAnsi="Arial" w:cs="Arial"/>
                <w:sz w:val="24"/>
                <w:szCs w:val="24"/>
                <w:lang w:eastAsia="en-IE"/>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AE7C8AF"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Protrusion</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90A901A"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49 (38.9)</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5472DEF"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30 (23.8)</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6B9E04C"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23 (18.3)</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3DE9F79"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24 (19.0)</w:t>
            </w:r>
          </w:p>
        </w:tc>
      </w:tr>
      <w:tr w:rsidR="007809AC" w:rsidRPr="007809AC" w14:paraId="7DAC0E49" w14:textId="77777777" w:rsidTr="00947FA4">
        <w:trPr>
          <w:trHeight w:val="300"/>
          <w:jc w:val="center"/>
        </w:trPr>
        <w:tc>
          <w:tcPr>
            <w:tcW w:w="54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23163E37" w14:textId="77777777" w:rsidR="00947FA4" w:rsidRPr="007809AC" w:rsidRDefault="00947FA4" w:rsidP="00947FA4">
            <w:pPr>
              <w:spacing w:after="0" w:line="240" w:lineRule="auto"/>
              <w:jc w:val="center"/>
              <w:rPr>
                <w:rFonts w:ascii="Arial" w:eastAsia="Times New Roman" w:hAnsi="Arial" w:cs="Arial"/>
                <w:sz w:val="24"/>
                <w:szCs w:val="24"/>
                <w:lang w:eastAsia="en-IE"/>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75D9C53"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Retraction</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D42D58C"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52 (41.3)</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8073AF2"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31 (24.6)</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86D1CA5"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19 (15.1)</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CF0D1C4"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24 (19.0)</w:t>
            </w:r>
          </w:p>
        </w:tc>
      </w:tr>
      <w:tr w:rsidR="007809AC" w:rsidRPr="007809AC" w14:paraId="6749D397" w14:textId="77777777" w:rsidTr="00947FA4">
        <w:trPr>
          <w:trHeight w:val="300"/>
          <w:jc w:val="center"/>
        </w:trPr>
        <w:tc>
          <w:tcPr>
            <w:tcW w:w="54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4CAD0EAA" w14:textId="77777777" w:rsidR="00947FA4" w:rsidRPr="007809AC" w:rsidRDefault="00947FA4" w:rsidP="00947FA4">
            <w:pPr>
              <w:spacing w:after="0" w:line="240" w:lineRule="auto"/>
              <w:jc w:val="center"/>
              <w:rPr>
                <w:rFonts w:ascii="Arial" w:eastAsia="Times New Roman" w:hAnsi="Arial" w:cs="Arial"/>
                <w:sz w:val="24"/>
                <w:szCs w:val="24"/>
                <w:lang w:eastAsia="en-IE"/>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6186B3F"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Lateralisation</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1D72169"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50 (39.7)</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529849A"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34 (27.0)</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4D0B80D"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18 (14.3)</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63195B9"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24 (19.0)</w:t>
            </w:r>
          </w:p>
        </w:tc>
      </w:tr>
      <w:tr w:rsidR="007809AC" w:rsidRPr="007809AC" w14:paraId="74530704" w14:textId="77777777" w:rsidTr="00947FA4">
        <w:trPr>
          <w:trHeight w:val="300"/>
          <w:jc w:val="center"/>
        </w:trPr>
        <w:tc>
          <w:tcPr>
            <w:tcW w:w="54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16472B97" w14:textId="77777777" w:rsidR="00947FA4" w:rsidRPr="007809AC" w:rsidRDefault="00947FA4" w:rsidP="00947FA4">
            <w:pPr>
              <w:spacing w:after="0" w:line="240" w:lineRule="auto"/>
              <w:jc w:val="center"/>
              <w:rPr>
                <w:rFonts w:ascii="Arial" w:eastAsia="Times New Roman" w:hAnsi="Arial" w:cs="Arial"/>
                <w:sz w:val="24"/>
                <w:szCs w:val="24"/>
                <w:lang w:eastAsia="en-IE"/>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35FEA44"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Opening</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1AB0533"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47 (37.3)</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8F34ED8"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30 (23.8)</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9247BBA"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27 (21.4)</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7AB5E72"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22 (17.5)</w:t>
            </w:r>
          </w:p>
        </w:tc>
      </w:tr>
      <w:tr w:rsidR="00947FA4" w:rsidRPr="007809AC" w14:paraId="5C2DA359" w14:textId="77777777" w:rsidTr="00947FA4">
        <w:trPr>
          <w:trHeight w:val="300"/>
          <w:jc w:val="center"/>
        </w:trPr>
        <w:tc>
          <w:tcPr>
            <w:tcW w:w="548"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304108DC" w14:textId="77777777" w:rsidR="00947FA4" w:rsidRPr="007809AC" w:rsidRDefault="00947FA4" w:rsidP="00947FA4">
            <w:pPr>
              <w:spacing w:after="0" w:line="240" w:lineRule="auto"/>
              <w:jc w:val="center"/>
              <w:rPr>
                <w:rFonts w:ascii="Arial" w:eastAsia="Times New Roman" w:hAnsi="Arial" w:cs="Arial"/>
                <w:sz w:val="24"/>
                <w:szCs w:val="24"/>
                <w:lang w:eastAsia="en-IE"/>
              </w:rPr>
            </w:pPr>
          </w:p>
        </w:tc>
        <w:tc>
          <w:tcPr>
            <w:tcW w:w="284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9FDA2AF"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Closing</w:t>
            </w:r>
          </w:p>
        </w:tc>
        <w:tc>
          <w:tcPr>
            <w:tcW w:w="150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256E759"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67 (53.2)</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AF5F7A7"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22 (17.5)</w:t>
            </w:r>
          </w:p>
        </w:tc>
        <w:tc>
          <w:tcPr>
            <w:tcW w:w="159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92AB5F5"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17 (13.5)</w:t>
            </w:r>
          </w:p>
        </w:tc>
        <w:tc>
          <w:tcPr>
            <w:tcW w:w="12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6934E40" w14:textId="77777777" w:rsidR="00947FA4" w:rsidRPr="007809AC" w:rsidRDefault="00947FA4" w:rsidP="00947FA4">
            <w:pPr>
              <w:spacing w:after="0" w:line="240" w:lineRule="auto"/>
              <w:jc w:val="center"/>
              <w:rPr>
                <w:rFonts w:ascii="Arial" w:eastAsia="Times New Roman" w:hAnsi="Arial" w:cs="Arial"/>
                <w:sz w:val="24"/>
                <w:szCs w:val="24"/>
                <w:lang w:eastAsia="en-IE"/>
              </w:rPr>
            </w:pPr>
            <w:r w:rsidRPr="007809AC">
              <w:rPr>
                <w:rFonts w:ascii="Arial" w:eastAsia="Times New Roman" w:hAnsi="Arial" w:cs="Arial"/>
                <w:sz w:val="24"/>
                <w:szCs w:val="24"/>
                <w:lang w:eastAsia="en-IE"/>
              </w:rPr>
              <w:t>20 (15.9)</w:t>
            </w:r>
          </w:p>
        </w:tc>
      </w:tr>
    </w:tbl>
    <w:p w14:paraId="5DE06CB7" w14:textId="77777777" w:rsidR="00947FA4" w:rsidRPr="007809AC" w:rsidRDefault="00947FA4" w:rsidP="00947FA4">
      <w:pPr>
        <w:rPr>
          <w:sz w:val="24"/>
          <w:szCs w:val="24"/>
        </w:rPr>
      </w:pPr>
    </w:p>
    <w:p w14:paraId="05B78B17" w14:textId="77777777" w:rsidR="00947FA4" w:rsidRPr="007809AC" w:rsidRDefault="00947FA4" w:rsidP="00947FA4">
      <w:pPr>
        <w:rPr>
          <w:sz w:val="24"/>
          <w:szCs w:val="24"/>
        </w:rPr>
      </w:pPr>
      <w:r w:rsidRPr="007809AC">
        <w:rPr>
          <w:sz w:val="24"/>
          <w:szCs w:val="24"/>
        </w:rPr>
        <w:br w:type="page"/>
      </w:r>
    </w:p>
    <w:p w14:paraId="6D5FA654" w14:textId="78B38BD7" w:rsidR="00947FA4" w:rsidRPr="007809AC" w:rsidRDefault="00947FA4" w:rsidP="00947FA4">
      <w:pPr>
        <w:pStyle w:val="Caption"/>
        <w:keepNext/>
        <w:rPr>
          <w:color w:val="auto"/>
          <w:sz w:val="24"/>
          <w:szCs w:val="24"/>
        </w:rPr>
      </w:pPr>
      <w:r w:rsidRPr="007809AC">
        <w:rPr>
          <w:color w:val="auto"/>
          <w:sz w:val="24"/>
          <w:szCs w:val="24"/>
        </w:rPr>
        <w:t>Table 6: Descriptive Statistics for The Test of Masticating and Swallowing Solids (n=51)</w:t>
      </w:r>
      <w:r w:rsidRPr="007809AC">
        <w:rPr>
          <w:i w:val="0"/>
          <w:color w:val="auto"/>
          <w:sz w:val="24"/>
          <w:szCs w:val="24"/>
        </w:rPr>
        <w:fldChar w:fldCharType="begin"/>
      </w:r>
      <w:r w:rsidRPr="007809AC">
        <w:rPr>
          <w:i w:val="0"/>
          <w:color w:val="auto"/>
          <w:sz w:val="24"/>
          <w:szCs w:val="24"/>
        </w:rPr>
        <w:instrText xml:space="preserve"> ADDIN ZOTERO_ITEM CSL_CITATION {"citationID":"AhBBale4","properties":{"formattedCitation":"(26)","plainCitation":"(26)","noteIndex":0},"citationItems":[{"id":867,"uris":["http://zotero.org/users/local/nlzVUL7s/items/YP5QVRX4"],"uri":["http://zotero.org/users/local/nlzVUL7s/items/YP5QVRX4"],"itemData":{"id":867,"type":"article-journal","title":"The Test of Masticating and Swallowing Solids (TOMASS): reliability, validity and international normative data","container-title":"International Journal of Language &amp; Communication Disorders","page":"144-156","volume":"53","issue":"1","source":"PubMed","abstract":"BACKGROUND: Clinical swallowing assessment is largely limited to qualitative assessment of behavioural observations. There are limited quantitative data that can be compared with a healthy population for identification of impairment. The Test of Masticating and Swallowing Solids (TOMASS) was developed as a quantitative assessment of solid bolus ingestion.\nAIMS: This research programme investigated test development indices and established normative data for the TOMASS to support translation to clinical dysphagia assessment.\nMETHODS &amp; PROCEDURES: A total of 228 healthy adults (ages 20-80+ years) stratified by age and sex participated in one or more of four consecutive studies evaluating test-retest and interrater reliability and validity to instrumental assessment. For each study the test required participants to ingest a commercially available cracker with instructions to 'eat this as quickly as is comfortably possible'. Further averaged measures were derived including the number of masticatory cycles and swallows per bite, and time per bite, masticatory cycle and swallow. Initial analyses identified significant differences on salient measures between two commercially available crackers that are nearly identical in shape, size and ingredients, suggesting the need for separate normative samples for specific regional products. Additional analyses on a single cracker identified that the TOMASS was sensitive at detecting changes in performance based on age and sex. Test-retest reliability across days and interrater reliability between clinicians was high, as was validation of observational measures to instrumental correlates of the same behaviours. Therefore, normative data are provided for the TOMASS from a minimum of 80 healthy controls, stratified by age and sex, for each of seven commercially available crackers from broad regions worldwide.\nOUTCOMES &amp; RESULTS: Analyses on a single cracker identified Arnott's Salada, and that TOMASS measures were sensitive for detecting changes in performance based on age and sex. Interrater and test-retest reliability across days were high, as was validation of observational measures to instrumental correlates of the same behaviours. Significant differences were identified between two commercially available crackers, nearly identical in shape, size and ingredients, thus normative samples for specific regional products were required. Normative data were then acquired for the TOMASS from a minimum of 80 healthy controls, stratified by age and sex, for each of seven commercially available crackers from broad regions worldwide.\nCONCLUSIONS &amp; IMPLICATIONS: The TOMASS is presented as a valid, reliable and broadly normed clinical assessment of solid bolus ingestion. Clinical application may help identify dysphagic patients at bedside and provide a non-invasive, but sensitive, measure of functional change in swallowing.","DOI":"10.1111/1460-6984.12332","ISSN":"1460-6984","note":"PMID: 28677236","shortTitle":"The Test of Masticating and Swallowing Solids (TOMASS)","journalAbbreviation":"Int J Lang Commun Disord","language":"eng","author":[{"family":"Huckabee","given":"Maggie-Lee"},{"family":"McIntosh","given":"Theresa"},{"family":"Fuller","given":"Laura"},{"family":"Curry","given":"Morgan"},{"family":"Thomas","given":"Paige"},{"family":"Walshe","given":"Margaret"},{"family":"McCague","given":"Ellen"},{"family":"Battel","given":"Irene"},{"family":"Nogueira","given":"Dalia"},{"family":"Frank","given":"Ulrike"},{"family":"Engel-Hoek","given":"Lenie","non-dropping-particle":"van den"},{"family":"Sella-Weiss","given":"Oshrat"}],"issued":{"date-parts":[["2018",1]]}}}],"schema":"https://github.com/citation-style-language/schema/raw/master/csl-citation.json"} </w:instrText>
      </w:r>
      <w:r w:rsidRPr="007809AC">
        <w:rPr>
          <w:i w:val="0"/>
          <w:color w:val="auto"/>
          <w:sz w:val="24"/>
          <w:szCs w:val="24"/>
        </w:rPr>
        <w:fldChar w:fldCharType="separate"/>
      </w:r>
      <w:r w:rsidRPr="007809AC">
        <w:rPr>
          <w:rFonts w:cs="Calibri"/>
          <w:i w:val="0"/>
          <w:color w:val="auto"/>
          <w:sz w:val="24"/>
          <w:szCs w:val="24"/>
        </w:rPr>
        <w:t>(26)</w:t>
      </w:r>
      <w:r w:rsidRPr="007809AC">
        <w:rPr>
          <w:i w:val="0"/>
          <w:color w:val="auto"/>
          <w:sz w:val="24"/>
          <w:szCs w:val="24"/>
        </w:rPr>
        <w:fldChar w:fldCharType="end"/>
      </w:r>
    </w:p>
    <w:tbl>
      <w:tblPr>
        <w:tblW w:w="5000" w:type="pct"/>
        <w:jc w:val="center"/>
        <w:tblCellMar>
          <w:left w:w="10" w:type="dxa"/>
          <w:right w:w="10" w:type="dxa"/>
        </w:tblCellMar>
        <w:tblLook w:val="04A0" w:firstRow="1" w:lastRow="0" w:firstColumn="1" w:lastColumn="0" w:noHBand="0" w:noVBand="1"/>
      </w:tblPr>
      <w:tblGrid>
        <w:gridCol w:w="3422"/>
        <w:gridCol w:w="1393"/>
        <w:gridCol w:w="1795"/>
        <w:gridCol w:w="2406"/>
      </w:tblGrid>
      <w:tr w:rsidR="007809AC" w:rsidRPr="007809AC" w14:paraId="284FD4BB" w14:textId="77777777" w:rsidTr="00947FA4">
        <w:trPr>
          <w:trHeight w:val="300"/>
          <w:jc w:val="center"/>
        </w:trPr>
        <w:tc>
          <w:tcPr>
            <w:tcW w:w="34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97CCE78" w14:textId="77777777" w:rsidR="00947FA4" w:rsidRPr="007809AC" w:rsidRDefault="00947FA4"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Variable</w:t>
            </w:r>
          </w:p>
        </w:tc>
        <w:tc>
          <w:tcPr>
            <w:tcW w:w="13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4097F14" w14:textId="77777777" w:rsidR="00947FA4" w:rsidRPr="007809AC" w:rsidRDefault="00947FA4"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No. of Participants</w:t>
            </w:r>
          </w:p>
        </w:tc>
        <w:tc>
          <w:tcPr>
            <w:tcW w:w="17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B5CDF8E" w14:textId="77777777" w:rsidR="00947FA4" w:rsidRPr="007809AC" w:rsidRDefault="00947FA4" w:rsidP="00947FA4">
            <w:pPr>
              <w:spacing w:after="0" w:line="240" w:lineRule="auto"/>
              <w:jc w:val="center"/>
              <w:rPr>
                <w:sz w:val="20"/>
                <w:szCs w:val="20"/>
              </w:rPr>
            </w:pPr>
            <w:r w:rsidRPr="007809AC">
              <w:rPr>
                <w:rFonts w:ascii="Arial" w:eastAsia="Times New Roman" w:hAnsi="Arial" w:cs="Arial"/>
                <w:b/>
                <w:sz w:val="20"/>
                <w:szCs w:val="20"/>
              </w:rPr>
              <w:t>M</w:t>
            </w:r>
            <w:r w:rsidRPr="007809AC">
              <w:rPr>
                <w:rFonts w:ascii="Arial" w:eastAsia="Times New Roman" w:hAnsi="Arial" w:cs="Arial"/>
                <w:b/>
                <w:sz w:val="20"/>
                <w:szCs w:val="20"/>
                <w:lang w:eastAsia="en-IE"/>
              </w:rPr>
              <w:t>ean (SD)</w:t>
            </w:r>
          </w:p>
        </w:tc>
        <w:tc>
          <w:tcPr>
            <w:tcW w:w="24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4F93AC1" w14:textId="77777777" w:rsidR="00947FA4" w:rsidRPr="007809AC" w:rsidRDefault="00947FA4" w:rsidP="00947FA4">
            <w:pPr>
              <w:spacing w:after="0" w:line="240" w:lineRule="auto"/>
              <w:jc w:val="center"/>
              <w:rPr>
                <w:sz w:val="20"/>
                <w:szCs w:val="20"/>
              </w:rPr>
            </w:pPr>
            <w:r w:rsidRPr="007809AC">
              <w:rPr>
                <w:rFonts w:ascii="Arial" w:eastAsia="Times New Roman" w:hAnsi="Arial" w:cs="Arial"/>
                <w:b/>
                <w:sz w:val="20"/>
                <w:szCs w:val="20"/>
              </w:rPr>
              <w:t>M</w:t>
            </w:r>
            <w:r w:rsidRPr="007809AC">
              <w:rPr>
                <w:rFonts w:ascii="Arial" w:eastAsia="Times New Roman" w:hAnsi="Arial" w:cs="Arial"/>
                <w:b/>
                <w:sz w:val="20"/>
                <w:szCs w:val="20"/>
                <w:lang w:eastAsia="en-IE"/>
              </w:rPr>
              <w:t>edian (range)</w:t>
            </w:r>
          </w:p>
        </w:tc>
      </w:tr>
      <w:tr w:rsidR="007809AC" w:rsidRPr="007809AC" w14:paraId="6488D4EB" w14:textId="77777777" w:rsidTr="00947FA4">
        <w:trPr>
          <w:trHeight w:val="300"/>
          <w:jc w:val="center"/>
        </w:trPr>
        <w:tc>
          <w:tcPr>
            <w:tcW w:w="34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9A0E2E0" w14:textId="77777777" w:rsidR="00947FA4" w:rsidRPr="007809AC" w:rsidRDefault="00947FA4" w:rsidP="00947FA4">
            <w:pPr>
              <w:spacing w:after="0" w:line="240" w:lineRule="auto"/>
              <w:jc w:val="both"/>
              <w:rPr>
                <w:sz w:val="20"/>
                <w:szCs w:val="20"/>
              </w:rPr>
            </w:pPr>
            <w:r w:rsidRPr="007809AC">
              <w:rPr>
                <w:rFonts w:ascii="Arial" w:eastAsia="Times New Roman" w:hAnsi="Arial" w:cs="Arial"/>
                <w:sz w:val="20"/>
                <w:szCs w:val="20"/>
              </w:rPr>
              <w:t>Masticatory cycles</w:t>
            </w:r>
            <w:r w:rsidRPr="007809AC">
              <w:rPr>
                <w:rFonts w:ascii="Arial" w:eastAsia="Times New Roman" w:hAnsi="Arial" w:cs="Arial"/>
                <w:sz w:val="20"/>
                <w:szCs w:val="20"/>
                <w:lang w:eastAsia="en-IE"/>
              </w:rPr>
              <w:t xml:space="preserve"> per </w:t>
            </w:r>
            <w:r w:rsidRPr="007809AC">
              <w:rPr>
                <w:rFonts w:ascii="Arial" w:eastAsia="Times New Roman" w:hAnsi="Arial" w:cs="Arial"/>
                <w:sz w:val="20"/>
                <w:szCs w:val="20"/>
              </w:rPr>
              <w:t>b</w:t>
            </w:r>
            <w:r w:rsidRPr="007809AC">
              <w:rPr>
                <w:rFonts w:ascii="Arial" w:eastAsia="Times New Roman" w:hAnsi="Arial" w:cs="Arial"/>
                <w:sz w:val="20"/>
                <w:szCs w:val="20"/>
                <w:lang w:eastAsia="en-IE"/>
              </w:rPr>
              <w:t>ite</w:t>
            </w:r>
          </w:p>
        </w:tc>
        <w:tc>
          <w:tcPr>
            <w:tcW w:w="13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C2C7627"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51</w:t>
            </w:r>
          </w:p>
        </w:tc>
        <w:tc>
          <w:tcPr>
            <w:tcW w:w="17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0BD9AA5"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15.78 (7.70)</w:t>
            </w:r>
          </w:p>
        </w:tc>
        <w:tc>
          <w:tcPr>
            <w:tcW w:w="24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4E29C08"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14.7 (8.4-50.0)</w:t>
            </w:r>
          </w:p>
        </w:tc>
      </w:tr>
      <w:tr w:rsidR="007809AC" w:rsidRPr="007809AC" w14:paraId="2CE5F08B" w14:textId="77777777" w:rsidTr="00947FA4">
        <w:trPr>
          <w:trHeight w:val="300"/>
          <w:jc w:val="center"/>
        </w:trPr>
        <w:tc>
          <w:tcPr>
            <w:tcW w:w="34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05D186E" w14:textId="77777777" w:rsidR="00947FA4" w:rsidRPr="007809AC" w:rsidRDefault="00947FA4" w:rsidP="00947FA4">
            <w:pPr>
              <w:spacing w:after="0" w:line="240" w:lineRule="auto"/>
              <w:jc w:val="both"/>
              <w:rPr>
                <w:sz w:val="20"/>
                <w:szCs w:val="20"/>
              </w:rPr>
            </w:pPr>
            <w:r w:rsidRPr="007809AC">
              <w:rPr>
                <w:rFonts w:ascii="Arial" w:eastAsia="Times New Roman" w:hAnsi="Arial" w:cs="Arial"/>
                <w:sz w:val="20"/>
                <w:szCs w:val="20"/>
              </w:rPr>
              <w:t>Masticatory cycles per swallow</w:t>
            </w:r>
          </w:p>
        </w:tc>
        <w:tc>
          <w:tcPr>
            <w:tcW w:w="13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E7F24BA"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51</w:t>
            </w:r>
          </w:p>
        </w:tc>
        <w:tc>
          <w:tcPr>
            <w:tcW w:w="17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EB0DBA6"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8.83 (3.49)</w:t>
            </w:r>
          </w:p>
        </w:tc>
        <w:tc>
          <w:tcPr>
            <w:tcW w:w="24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1E72E3E"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8.4 (2.7-21.3)</w:t>
            </w:r>
          </w:p>
        </w:tc>
      </w:tr>
      <w:tr w:rsidR="007809AC" w:rsidRPr="007809AC" w14:paraId="78F6C57B" w14:textId="77777777" w:rsidTr="00947FA4">
        <w:trPr>
          <w:trHeight w:val="300"/>
          <w:jc w:val="center"/>
        </w:trPr>
        <w:tc>
          <w:tcPr>
            <w:tcW w:w="34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C49CD2E" w14:textId="77777777" w:rsidR="00947FA4" w:rsidRPr="007809AC" w:rsidRDefault="00947FA4" w:rsidP="00947FA4">
            <w:pPr>
              <w:spacing w:after="0" w:line="240" w:lineRule="auto"/>
              <w:jc w:val="both"/>
              <w:rPr>
                <w:sz w:val="20"/>
                <w:szCs w:val="20"/>
              </w:rPr>
            </w:pPr>
            <w:r w:rsidRPr="007809AC">
              <w:rPr>
                <w:rFonts w:ascii="Arial" w:eastAsia="Times New Roman" w:hAnsi="Arial" w:cs="Arial"/>
                <w:sz w:val="20"/>
                <w:szCs w:val="20"/>
              </w:rPr>
              <w:t>Swallows per b</w:t>
            </w:r>
            <w:r w:rsidRPr="007809AC">
              <w:rPr>
                <w:rFonts w:ascii="Arial" w:eastAsia="Times New Roman" w:hAnsi="Arial" w:cs="Arial"/>
                <w:sz w:val="20"/>
                <w:szCs w:val="20"/>
                <w:lang w:eastAsia="en-IE"/>
              </w:rPr>
              <w:t>ite</w:t>
            </w:r>
          </w:p>
        </w:tc>
        <w:tc>
          <w:tcPr>
            <w:tcW w:w="13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6511889"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51</w:t>
            </w:r>
          </w:p>
        </w:tc>
        <w:tc>
          <w:tcPr>
            <w:tcW w:w="17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026E36F"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2.08 (1.17)</w:t>
            </w:r>
          </w:p>
        </w:tc>
        <w:tc>
          <w:tcPr>
            <w:tcW w:w="24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EF004D9"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1.8 (1.0-6.0)</w:t>
            </w:r>
          </w:p>
        </w:tc>
      </w:tr>
      <w:tr w:rsidR="007809AC" w:rsidRPr="007809AC" w14:paraId="39C5EF30" w14:textId="77777777" w:rsidTr="00947FA4">
        <w:trPr>
          <w:trHeight w:val="300"/>
          <w:jc w:val="center"/>
        </w:trPr>
        <w:tc>
          <w:tcPr>
            <w:tcW w:w="34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E02F8EB" w14:textId="77777777" w:rsidR="00947FA4" w:rsidRPr="007809AC" w:rsidRDefault="00947FA4" w:rsidP="00947FA4">
            <w:pPr>
              <w:spacing w:after="0" w:line="240" w:lineRule="auto"/>
              <w:jc w:val="both"/>
              <w:rPr>
                <w:sz w:val="20"/>
                <w:szCs w:val="20"/>
              </w:rPr>
            </w:pPr>
            <w:r w:rsidRPr="007809AC">
              <w:rPr>
                <w:rFonts w:ascii="Arial" w:eastAsia="Times New Roman" w:hAnsi="Arial" w:cs="Arial"/>
                <w:sz w:val="20"/>
                <w:szCs w:val="20"/>
              </w:rPr>
              <w:t>Time per m</w:t>
            </w:r>
            <w:r w:rsidRPr="007809AC">
              <w:rPr>
                <w:rFonts w:ascii="Arial" w:eastAsia="Times New Roman" w:hAnsi="Arial" w:cs="Arial"/>
                <w:sz w:val="20"/>
                <w:szCs w:val="20"/>
                <w:lang w:eastAsia="en-IE"/>
              </w:rPr>
              <w:t>asticatory cycle</w:t>
            </w:r>
          </w:p>
        </w:tc>
        <w:tc>
          <w:tcPr>
            <w:tcW w:w="13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3142550"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51</w:t>
            </w:r>
          </w:p>
        </w:tc>
        <w:tc>
          <w:tcPr>
            <w:tcW w:w="17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6E85503"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1.43 (2.60)</w:t>
            </w:r>
          </w:p>
        </w:tc>
        <w:tc>
          <w:tcPr>
            <w:tcW w:w="24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A1243F5"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0.9 (0.6-17.0)</w:t>
            </w:r>
          </w:p>
        </w:tc>
      </w:tr>
      <w:tr w:rsidR="00E81A1E" w:rsidRPr="007809AC" w14:paraId="42123EB2" w14:textId="77777777" w:rsidTr="00947FA4">
        <w:trPr>
          <w:trHeight w:val="300"/>
          <w:jc w:val="center"/>
        </w:trPr>
        <w:tc>
          <w:tcPr>
            <w:tcW w:w="342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975CE77" w14:textId="77777777" w:rsidR="00947FA4" w:rsidRPr="007809AC" w:rsidRDefault="00947FA4" w:rsidP="00947FA4">
            <w:pPr>
              <w:spacing w:after="0" w:line="240" w:lineRule="auto"/>
              <w:jc w:val="both"/>
              <w:rPr>
                <w:sz w:val="20"/>
                <w:szCs w:val="20"/>
              </w:rPr>
            </w:pPr>
            <w:r w:rsidRPr="007809AC">
              <w:rPr>
                <w:rFonts w:ascii="Arial" w:eastAsia="Times New Roman" w:hAnsi="Arial" w:cs="Arial"/>
                <w:sz w:val="20"/>
                <w:szCs w:val="20"/>
              </w:rPr>
              <w:t>Time per s</w:t>
            </w:r>
            <w:r w:rsidRPr="007809AC">
              <w:rPr>
                <w:rFonts w:ascii="Arial" w:eastAsia="Times New Roman" w:hAnsi="Arial" w:cs="Arial"/>
                <w:sz w:val="20"/>
                <w:szCs w:val="20"/>
                <w:lang w:eastAsia="en-IE"/>
              </w:rPr>
              <w:t>wallow</w:t>
            </w:r>
          </w:p>
        </w:tc>
        <w:tc>
          <w:tcPr>
            <w:tcW w:w="139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77E96C1"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51</w:t>
            </w:r>
          </w:p>
        </w:tc>
        <w:tc>
          <w:tcPr>
            <w:tcW w:w="179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E6A36C5"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8.36 (3.90)</w:t>
            </w:r>
          </w:p>
        </w:tc>
        <w:tc>
          <w:tcPr>
            <w:tcW w:w="24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BC3D01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7.9 (3.3-22.8)</w:t>
            </w:r>
          </w:p>
        </w:tc>
      </w:tr>
    </w:tbl>
    <w:p w14:paraId="50FC0BAE" w14:textId="77777777" w:rsidR="00947FA4" w:rsidRPr="007809AC" w:rsidRDefault="00947FA4" w:rsidP="00947FA4">
      <w:pPr>
        <w:rPr>
          <w:sz w:val="24"/>
          <w:szCs w:val="24"/>
        </w:rPr>
      </w:pPr>
    </w:p>
    <w:p w14:paraId="7058E3F5" w14:textId="77777777" w:rsidR="00947FA4" w:rsidRPr="007809AC" w:rsidRDefault="00947FA4" w:rsidP="00947FA4">
      <w:pPr>
        <w:rPr>
          <w:sz w:val="24"/>
          <w:szCs w:val="24"/>
        </w:rPr>
      </w:pPr>
      <w:r w:rsidRPr="007809AC">
        <w:rPr>
          <w:sz w:val="24"/>
          <w:szCs w:val="24"/>
        </w:rPr>
        <w:br w:type="page"/>
      </w:r>
    </w:p>
    <w:p w14:paraId="1D2E0E5D" w14:textId="5293B94C" w:rsidR="00947FA4" w:rsidRPr="007809AC" w:rsidRDefault="00947FA4" w:rsidP="00947FA4">
      <w:pPr>
        <w:keepNext/>
        <w:spacing w:after="200" w:line="240" w:lineRule="auto"/>
        <w:jc w:val="both"/>
        <w:rPr>
          <w:sz w:val="24"/>
          <w:szCs w:val="24"/>
        </w:rPr>
      </w:pPr>
      <w:bookmarkStart w:id="2" w:name="_Toc516665420"/>
      <w:r w:rsidRPr="007809AC">
        <w:rPr>
          <w:rFonts w:ascii="Arial" w:hAnsi="Arial"/>
          <w:i/>
          <w:iCs/>
          <w:sz w:val="24"/>
          <w:szCs w:val="24"/>
        </w:rPr>
        <w:t>Table 7: Descriptive Statistics of the Graded Chronic Pain Scale  – Impact Ratings</w:t>
      </w:r>
      <w:bookmarkEnd w:id="2"/>
      <w:r w:rsidRPr="007809AC">
        <w:rPr>
          <w:rFonts w:ascii="Arial" w:hAnsi="Arial"/>
          <w:i/>
          <w:iCs/>
          <w:sz w:val="24"/>
          <w:szCs w:val="24"/>
        </w:rPr>
        <w:fldChar w:fldCharType="begin"/>
      </w:r>
      <w:r w:rsidRPr="007809AC">
        <w:rPr>
          <w:rFonts w:ascii="Arial" w:hAnsi="Arial"/>
          <w:i/>
          <w:iCs/>
          <w:sz w:val="24"/>
          <w:szCs w:val="24"/>
        </w:rPr>
        <w:instrText xml:space="preserve"> ADDIN ZOTERO_ITEM CSL_CITATION {"citationID":"gRbtl5yZ","properties":{"formattedCitation":"(27)","plainCitation":"(27)","noteIndex":0},"citationItems":[{"id":1174,"uris":["http://zotero.org/users/local/nlzVUL7s/items/9SXBADMP"],"uri":["http://zotero.org/users/local/nlzVUL7s/items/9SXBADMP"],"itemData":{"id":1174,"type":"article-journal","title":"Grading the severity of chronic pain","container-title":"Pain","page":"133-149","volume":"50","issue":"2","source":"PubMed","abstract":"This research develops and evaluates a simple method of grading the severity of chronic pain for use in general population surveys and studies of primary care pain patients. Measures of pain intensity, disability, persistence and recency of onset were tested for their ability to grade chronic pain severity in a longitudinal study of primary care back pain (n = 1213), headache (n = 779) and temporomandibular disorder pain (n = 397) patients. A Guttman scale analysis showed that pain intensity and disability measures formed a reliable hierarchical scale. Pain intensity measures appeared to scale the lower range of global severity while disability measures appeared to scale the upper range of global severity. Recency of onset and days in pain in the prior 6 months did not scale with pain intensity or disability. Using simple scoring rules, pain severity was graded into 4 hierarchical classes: Grade I, low disability--low intensity; Grade II, low disability--high intensity; Grade III, high disability--moderately limiting; and Grade IV, high disability--severely limiting. For each pain site, Chronic Pain Grade measured at baseline showed a highly statistically significant and monotonically increasing relationship with unemployment rate, pain-related functional limitations, depression, fair to poor self-rated health, frequent use of opioid analgesics, and frequent pain-related doctor visits both at baseline and at 1-year follow-up. Days in Pain was related to these variables, but not as strongly as Chronic Pain Grade. Recent onset cases (first onset within the prior 3 months) did not show differences in psychological and behavioral dysfunction when compared to persons with less recent onset. Using longitudinal data from a population-based study (n = 803), Chronic Pain Grade at baseline predicted the presence of pain in the prior 2 weeks. Chronic Pain Grade and pain-related functional limitations at 3-year follow-up. Grading chronic pain as a function of pain intensity and pain-related disability may be useful when a brief ordinal measure of global pain severity is required. Pain persistence, measured by days in pain in a fixed time period, provides useful additional information.","ISSN":"0304-3959","note":"PMID: 1408309","journalAbbreviation":"Pain","language":"eng","author":[{"family":"Von Korff","given":"M."},{"family":"Ormel","given":"J."},{"family":"Keefe","given":"F. J."},{"family":"Dworkin","given":"S. F."}],"issued":{"date-parts":[["1992",8]]}}}],"schema":"https://github.com/citation-style-language/schema/raw/master/csl-citation.json"} </w:instrText>
      </w:r>
      <w:r w:rsidRPr="007809AC">
        <w:rPr>
          <w:rFonts w:ascii="Arial" w:hAnsi="Arial"/>
          <w:i/>
          <w:iCs/>
          <w:sz w:val="24"/>
          <w:szCs w:val="24"/>
        </w:rPr>
        <w:fldChar w:fldCharType="separate"/>
      </w:r>
      <w:r w:rsidRPr="007809AC">
        <w:rPr>
          <w:rFonts w:ascii="Arial" w:hAnsi="Arial" w:cs="Arial"/>
          <w:sz w:val="24"/>
          <w:szCs w:val="24"/>
        </w:rPr>
        <w:t>(27)</w:t>
      </w:r>
      <w:r w:rsidRPr="007809AC">
        <w:rPr>
          <w:rFonts w:ascii="Arial" w:hAnsi="Arial"/>
          <w:i/>
          <w:iCs/>
          <w:sz w:val="24"/>
          <w:szCs w:val="24"/>
        </w:rPr>
        <w:fldChar w:fldCharType="end"/>
      </w:r>
    </w:p>
    <w:tbl>
      <w:tblPr>
        <w:tblW w:w="8953" w:type="dxa"/>
        <w:jc w:val="center"/>
        <w:tblLayout w:type="fixed"/>
        <w:tblCellMar>
          <w:left w:w="10" w:type="dxa"/>
          <w:right w:w="10" w:type="dxa"/>
        </w:tblCellMar>
        <w:tblLook w:val="04A0" w:firstRow="1" w:lastRow="0" w:firstColumn="1" w:lastColumn="0" w:noHBand="0" w:noVBand="1"/>
      </w:tblPr>
      <w:tblGrid>
        <w:gridCol w:w="1317"/>
        <w:gridCol w:w="739"/>
        <w:gridCol w:w="628"/>
        <w:gridCol w:w="628"/>
        <w:gridCol w:w="628"/>
        <w:gridCol w:w="628"/>
        <w:gridCol w:w="628"/>
        <w:gridCol w:w="628"/>
        <w:gridCol w:w="628"/>
        <w:gridCol w:w="628"/>
        <w:gridCol w:w="628"/>
        <w:gridCol w:w="651"/>
        <w:gridCol w:w="594"/>
      </w:tblGrid>
      <w:tr w:rsidR="007809AC" w:rsidRPr="007809AC" w14:paraId="66526F8C" w14:textId="77777777" w:rsidTr="00E81A1E">
        <w:trPr>
          <w:jc w:val="center"/>
        </w:trPr>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E9D00B" w14:textId="77777777" w:rsidR="00947FA4" w:rsidRPr="007809AC" w:rsidRDefault="00947FA4" w:rsidP="00947FA4">
            <w:pPr>
              <w:spacing w:after="0" w:line="240" w:lineRule="auto"/>
              <w:jc w:val="both"/>
              <w:rPr>
                <w:rFonts w:cs="Calibri"/>
                <w:sz w:val="20"/>
                <w:szCs w:val="20"/>
              </w:rPr>
            </w:pPr>
          </w:p>
        </w:tc>
        <w:tc>
          <w:tcPr>
            <w:tcW w:w="7042"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DEE9B2"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Frequency of Scores - n (%)</w:t>
            </w: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0B8383D" w14:textId="77777777" w:rsidR="00947FA4" w:rsidRPr="007809AC" w:rsidRDefault="00947FA4" w:rsidP="00947FA4">
            <w:pPr>
              <w:spacing w:after="0" w:line="240" w:lineRule="auto"/>
              <w:jc w:val="center"/>
              <w:rPr>
                <w:rFonts w:cs="Calibri"/>
                <w:sz w:val="20"/>
                <w:szCs w:val="20"/>
              </w:rPr>
            </w:pPr>
          </w:p>
        </w:tc>
      </w:tr>
      <w:tr w:rsidR="007809AC" w:rsidRPr="007809AC" w14:paraId="7CCBA05D" w14:textId="77777777" w:rsidTr="00E81A1E">
        <w:trPr>
          <w:cantSplit/>
          <w:trHeight w:val="1134"/>
          <w:jc w:val="center"/>
        </w:trPr>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038E4393"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Variable</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03C31F98"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0</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6F9FBEBE"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1</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5E656586"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2</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72F4B219"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3</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306162EB"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4</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231C9256"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5</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1A26B33A"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6</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59B68492"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7</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4A08C056"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8</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4CC78147"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9</w:t>
            </w:r>
          </w:p>
        </w:tc>
        <w:tc>
          <w:tcPr>
            <w:tcW w:w="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1CB75910"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Score 10</w:t>
            </w: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tcPr>
          <w:p w14:paraId="40E06D3D" w14:textId="77777777" w:rsidR="00947FA4" w:rsidRPr="007809AC" w:rsidRDefault="00947FA4" w:rsidP="00E81A1E">
            <w:pPr>
              <w:spacing w:after="0" w:line="240" w:lineRule="auto"/>
              <w:ind w:left="113" w:right="113"/>
              <w:jc w:val="center"/>
              <w:rPr>
                <w:sz w:val="20"/>
                <w:szCs w:val="20"/>
              </w:rPr>
            </w:pPr>
            <w:r w:rsidRPr="007809AC">
              <w:rPr>
                <w:rFonts w:ascii="Arial" w:eastAsia="Arial" w:hAnsi="Arial" w:cs="Arial"/>
                <w:b/>
                <w:sz w:val="20"/>
                <w:szCs w:val="20"/>
              </w:rPr>
              <w:t>Median (range)</w:t>
            </w:r>
          </w:p>
        </w:tc>
      </w:tr>
      <w:tr w:rsidR="007809AC" w:rsidRPr="007809AC" w14:paraId="18294764" w14:textId="77777777" w:rsidTr="00E81A1E">
        <w:trPr>
          <w:jc w:val="center"/>
        </w:trPr>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AD3FC82" w14:textId="77777777" w:rsidR="00947FA4" w:rsidRPr="007809AC" w:rsidRDefault="00947FA4" w:rsidP="00947FA4">
            <w:pPr>
              <w:spacing w:after="0" w:line="240" w:lineRule="auto"/>
              <w:rPr>
                <w:sz w:val="20"/>
                <w:szCs w:val="20"/>
              </w:rPr>
            </w:pPr>
            <w:r w:rsidRPr="007809AC">
              <w:rPr>
                <w:rFonts w:ascii="Arial" w:eastAsia="Arial" w:hAnsi="Arial" w:cs="Arial"/>
                <w:sz w:val="20"/>
                <w:szCs w:val="20"/>
              </w:rPr>
              <w:t>Average interference with daily activities</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8AD049"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46 (36.5)</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6537D1"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4 (3.2)</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1B28B6"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6 (4.8)</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5BB83"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4 (3.2)</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2771EC"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11 (8.7)</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4A42B3"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8 (6.3)</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DB04F"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 (1.6)</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919407"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7 (5.6)</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8A7BDE" w14:textId="77777777" w:rsidR="00E81A1E"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 xml:space="preserve">0 </w:t>
            </w:r>
          </w:p>
          <w:p w14:paraId="30E89567" w14:textId="03BEC0E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(0)</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B8677C"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 (2.4)</w:t>
            </w:r>
          </w:p>
        </w:tc>
        <w:tc>
          <w:tcPr>
            <w:tcW w:w="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66DC6E"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35 (27.8)</w:t>
            </w: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FB1BCF" w14:textId="77777777" w:rsidR="00E81A1E"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 xml:space="preserve">4 </w:t>
            </w:r>
          </w:p>
          <w:p w14:paraId="7B2366BC" w14:textId="0766AF64"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(0 - 10)</w:t>
            </w:r>
          </w:p>
        </w:tc>
      </w:tr>
      <w:tr w:rsidR="007809AC" w:rsidRPr="007809AC" w14:paraId="2C2C710D" w14:textId="77777777" w:rsidTr="00E81A1E">
        <w:trPr>
          <w:jc w:val="center"/>
        </w:trPr>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2A47C02" w14:textId="77777777" w:rsidR="00947FA4" w:rsidRPr="007809AC" w:rsidRDefault="00947FA4" w:rsidP="00947FA4">
            <w:pPr>
              <w:spacing w:after="0" w:line="240" w:lineRule="auto"/>
              <w:rPr>
                <w:sz w:val="20"/>
                <w:szCs w:val="20"/>
              </w:rPr>
            </w:pPr>
            <w:r w:rsidRPr="007809AC">
              <w:rPr>
                <w:rFonts w:ascii="Arial" w:eastAsia="Arial" w:hAnsi="Arial" w:cs="Arial"/>
                <w:sz w:val="20"/>
                <w:szCs w:val="20"/>
              </w:rPr>
              <w:t>Average interference with recreational, social, and family activities</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36006F"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44 (34.9)</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BBACDE"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5 (4.0)</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E3ABDE"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 (2.4)</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456113"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7 (5.6)</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AA18CE"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7 (5.6)</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8656E7"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12 (9.5)</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C09B02"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 (2.4)</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077351"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7 (5.6)</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DFD13A"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1 (0.8)</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A8000"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 (1.6)</w:t>
            </w:r>
          </w:p>
        </w:tc>
        <w:tc>
          <w:tcPr>
            <w:tcW w:w="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D695A"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35 (27.8)</w:t>
            </w: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6344FB" w14:textId="77777777" w:rsidR="00E81A1E"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 xml:space="preserve">4 </w:t>
            </w:r>
          </w:p>
          <w:p w14:paraId="427F6402" w14:textId="405A06C2"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(0 - 10)</w:t>
            </w:r>
          </w:p>
        </w:tc>
      </w:tr>
      <w:tr w:rsidR="00E81A1E" w:rsidRPr="007809AC" w14:paraId="4BF49BFF" w14:textId="77777777" w:rsidTr="00E81A1E">
        <w:trPr>
          <w:jc w:val="center"/>
        </w:trPr>
        <w:tc>
          <w:tcPr>
            <w:tcW w:w="1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FF9CEC6" w14:textId="77777777" w:rsidR="00947FA4" w:rsidRPr="007809AC" w:rsidRDefault="00947FA4" w:rsidP="00E81A1E">
            <w:pPr>
              <w:spacing w:after="0" w:line="240" w:lineRule="auto"/>
              <w:rPr>
                <w:sz w:val="20"/>
                <w:szCs w:val="20"/>
              </w:rPr>
            </w:pPr>
            <w:r w:rsidRPr="007809AC">
              <w:rPr>
                <w:rFonts w:ascii="Arial" w:eastAsia="Arial" w:hAnsi="Arial" w:cs="Arial"/>
                <w:sz w:val="20"/>
                <w:szCs w:val="20"/>
              </w:rPr>
              <w:t>Average interference with work activities</w:t>
            </w:r>
          </w:p>
        </w:tc>
        <w:tc>
          <w:tcPr>
            <w:tcW w:w="7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7E4D9B"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50 (39.7)</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741EAF"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 (2.4)</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C9DE49"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6 (4.8)</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6197FF"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5 (4.0)</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10E6AE"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4 (3.2)</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6E8144"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11 (8.7)</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6208A9"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 (1.6)</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F31815"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6 (4.8)</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FAB8E"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 (2.4)</w:t>
            </w:r>
          </w:p>
        </w:tc>
        <w:tc>
          <w:tcPr>
            <w:tcW w:w="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953CD5"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1 (0.8)</w:t>
            </w:r>
          </w:p>
        </w:tc>
        <w:tc>
          <w:tcPr>
            <w:tcW w:w="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4B6D7A"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35 (27.8)</w:t>
            </w:r>
          </w:p>
        </w:tc>
        <w:tc>
          <w:tcPr>
            <w:tcW w:w="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C21572" w14:textId="77777777" w:rsidR="00E81A1E"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 xml:space="preserve">3 </w:t>
            </w:r>
          </w:p>
          <w:p w14:paraId="35B3C0B4" w14:textId="28BD8F81"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(0 - 10)</w:t>
            </w:r>
          </w:p>
        </w:tc>
      </w:tr>
    </w:tbl>
    <w:p w14:paraId="021160FA" w14:textId="77777777" w:rsidR="00947FA4" w:rsidRPr="007809AC" w:rsidRDefault="00947FA4" w:rsidP="00947FA4">
      <w:pPr>
        <w:rPr>
          <w:sz w:val="24"/>
          <w:szCs w:val="24"/>
        </w:rPr>
      </w:pPr>
    </w:p>
    <w:p w14:paraId="6FC21A67" w14:textId="77777777" w:rsidR="00947FA4" w:rsidRPr="007809AC" w:rsidRDefault="00947FA4" w:rsidP="00947FA4">
      <w:pPr>
        <w:rPr>
          <w:sz w:val="24"/>
          <w:szCs w:val="24"/>
        </w:rPr>
      </w:pPr>
      <w:r w:rsidRPr="007809AC">
        <w:rPr>
          <w:sz w:val="24"/>
          <w:szCs w:val="24"/>
        </w:rPr>
        <w:br w:type="page"/>
      </w:r>
    </w:p>
    <w:p w14:paraId="047BDB7C" w14:textId="4371DEB2" w:rsidR="00947FA4" w:rsidRPr="007809AC" w:rsidRDefault="00947FA4" w:rsidP="00947FA4">
      <w:pPr>
        <w:keepNext/>
        <w:spacing w:after="200" w:line="240" w:lineRule="auto"/>
        <w:jc w:val="both"/>
        <w:rPr>
          <w:sz w:val="24"/>
          <w:szCs w:val="24"/>
        </w:rPr>
      </w:pPr>
      <w:bookmarkStart w:id="3" w:name="_Toc516665421"/>
      <w:r w:rsidRPr="007809AC">
        <w:rPr>
          <w:rFonts w:ascii="Arial" w:hAnsi="Arial"/>
          <w:i/>
          <w:iCs/>
          <w:sz w:val="24"/>
          <w:szCs w:val="24"/>
        </w:rPr>
        <w:t>Table 8: Descriptive Statistics of the D</w:t>
      </w:r>
      <w:r w:rsidR="003877A1" w:rsidRPr="007809AC">
        <w:rPr>
          <w:rFonts w:ascii="Arial" w:hAnsi="Arial"/>
          <w:i/>
          <w:iCs/>
          <w:sz w:val="24"/>
          <w:szCs w:val="24"/>
        </w:rPr>
        <w:t xml:space="preserve">ysphagia </w:t>
      </w:r>
      <w:r w:rsidRPr="007809AC">
        <w:rPr>
          <w:rFonts w:ascii="Arial" w:hAnsi="Arial"/>
          <w:i/>
          <w:iCs/>
          <w:sz w:val="24"/>
          <w:szCs w:val="24"/>
        </w:rPr>
        <w:t>H</w:t>
      </w:r>
      <w:r w:rsidR="003877A1" w:rsidRPr="007809AC">
        <w:rPr>
          <w:rFonts w:ascii="Arial" w:hAnsi="Arial"/>
          <w:i/>
          <w:iCs/>
          <w:sz w:val="24"/>
          <w:szCs w:val="24"/>
        </w:rPr>
        <w:t xml:space="preserve">andicap </w:t>
      </w:r>
      <w:r w:rsidRPr="007809AC">
        <w:rPr>
          <w:rFonts w:ascii="Arial" w:hAnsi="Arial"/>
          <w:i/>
          <w:iCs/>
          <w:sz w:val="24"/>
          <w:szCs w:val="24"/>
        </w:rPr>
        <w:t>I</w:t>
      </w:r>
      <w:r w:rsidR="003877A1" w:rsidRPr="007809AC">
        <w:rPr>
          <w:rFonts w:ascii="Arial" w:hAnsi="Arial"/>
          <w:i/>
          <w:iCs/>
          <w:sz w:val="24"/>
          <w:szCs w:val="24"/>
        </w:rPr>
        <w:t>ndex</w:t>
      </w:r>
      <w:r w:rsidRPr="007809AC">
        <w:rPr>
          <w:rFonts w:ascii="Arial" w:hAnsi="Arial"/>
          <w:i/>
          <w:iCs/>
          <w:sz w:val="24"/>
          <w:szCs w:val="24"/>
        </w:rPr>
        <w:t xml:space="preserve"> - Functional Subscale</w:t>
      </w:r>
      <w:bookmarkEnd w:id="3"/>
      <w:r w:rsidRPr="007809AC">
        <w:rPr>
          <w:rFonts w:ascii="Arial" w:hAnsi="Arial"/>
          <w:i/>
          <w:iCs/>
          <w:sz w:val="24"/>
          <w:szCs w:val="24"/>
        </w:rPr>
        <w:fldChar w:fldCharType="begin"/>
      </w:r>
      <w:r w:rsidRPr="007809AC">
        <w:rPr>
          <w:rFonts w:ascii="Arial" w:hAnsi="Arial"/>
          <w:i/>
          <w:iCs/>
          <w:sz w:val="24"/>
          <w:szCs w:val="24"/>
        </w:rPr>
        <w:instrText xml:space="preserve"> ADDIN ZOTERO_ITEM CSL_CITATION {"citationID":"96FKlBFU","properties":{"formattedCitation":"(29)","plainCitation":"(29)","noteIndex":0},"citationItems":[{"id":1178,"uris":["http://zotero.org/users/local/nlzVUL7s/items/MKHPRY3C"],"uri":["http://zotero.org/users/local/nlzVUL7s/items/MKHPRY3C"],"itemData":{"id":1178,"type":"article-journal","title":"The Dysphagia handicap index: development and validation","container-title":"Dysphagia","page":"46-52","volume":"27","issue":"1","source":"PubMed","abstract":"Quality-of-life indicators for dysphagia provide invaluable information to the treating clinician regarding the success or failure of swallowing therapy. The purpose of this study was to develop a clinically efficient, statistically robust patient-reported outcomes tool that measures the handicapping effect of dysphagia on emotional, functional, and physical aspects of individual's lives. 60 statements describing the handicapping effect of dysphagia were collected from patient reports and divided into subscales of physical, emotional, and functional problems. The statements were presented to 77 individuals with dysphagia. Respondents replied never, sometimes, or always to each statement and rated their self-perceived dysphagia severity on a 7-point equal-appearing interval scale. Cronbach's α was performed to assess the internal consistency validation of the items within the questionnaire. The final questionnaire was reduced to 25 items and administered to 214 individuals with dysphagia and 74 controls. Test-retest was performed on 63 individuals with dysphagia. Cronbach's α for the initial and final versions was strong at r = 0.96 and r = 0.94, respectively. Significant differences occurred between the dysphagia and control groups. Test-retest reliability was strong. We present a new, easy-to-complete, statistically robust, patient-reported outcomes measure for assessing the handicapping effect of dysphagia.","DOI":"10.1007/s00455-011-9336-2","ISSN":"1432-0460","note":"PMID: 21424584","shortTitle":"The Dysphagia handicap index","journalAbbreviation":"Dysphagia","language":"eng","author":[{"family":"Silbergleit","given":"Alice K."},{"family":"Schultz","given":"Lonni"},{"family":"Jacobson","given":"Barbara H."},{"family":"Beardsley","given":"Tausha"},{"family":"Johnson","given":"Alex F."}],"issued":{"date-parts":[["2012",3]]}}}],"schema":"https://github.com/citation-style-language/schema/raw/master/csl-citation.json"} </w:instrText>
      </w:r>
      <w:r w:rsidRPr="007809AC">
        <w:rPr>
          <w:rFonts w:ascii="Arial" w:hAnsi="Arial"/>
          <w:i/>
          <w:iCs/>
          <w:sz w:val="24"/>
          <w:szCs w:val="24"/>
        </w:rPr>
        <w:fldChar w:fldCharType="separate"/>
      </w:r>
      <w:r w:rsidRPr="007809AC">
        <w:rPr>
          <w:rFonts w:ascii="Arial" w:hAnsi="Arial" w:cs="Arial"/>
          <w:sz w:val="24"/>
          <w:szCs w:val="24"/>
        </w:rPr>
        <w:t>(29)</w:t>
      </w:r>
      <w:r w:rsidRPr="007809AC">
        <w:rPr>
          <w:rFonts w:ascii="Arial" w:hAnsi="Arial"/>
          <w:i/>
          <w:iCs/>
          <w:sz w:val="24"/>
          <w:szCs w:val="24"/>
        </w:rPr>
        <w:fldChar w:fldCharType="end"/>
      </w:r>
    </w:p>
    <w:tbl>
      <w:tblPr>
        <w:tblW w:w="5000" w:type="pct"/>
        <w:jc w:val="center"/>
        <w:tblCellMar>
          <w:left w:w="10" w:type="dxa"/>
          <w:right w:w="10" w:type="dxa"/>
        </w:tblCellMar>
        <w:tblLook w:val="04A0" w:firstRow="1" w:lastRow="0" w:firstColumn="1" w:lastColumn="0" w:noHBand="0" w:noVBand="1"/>
      </w:tblPr>
      <w:tblGrid>
        <w:gridCol w:w="451"/>
        <w:gridCol w:w="3853"/>
        <w:gridCol w:w="909"/>
        <w:gridCol w:w="1331"/>
        <w:gridCol w:w="1029"/>
        <w:gridCol w:w="1443"/>
      </w:tblGrid>
      <w:tr w:rsidR="007809AC" w:rsidRPr="007809AC" w14:paraId="78F25106" w14:textId="77777777" w:rsidTr="00947FA4">
        <w:trPr>
          <w:trHeight w:val="300"/>
          <w:jc w:val="center"/>
        </w:trPr>
        <w:tc>
          <w:tcPr>
            <w:tcW w:w="4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E9FC40B" w14:textId="77777777" w:rsidR="00947FA4" w:rsidRPr="007809AC" w:rsidRDefault="00947FA4" w:rsidP="00947FA4">
            <w:pPr>
              <w:spacing w:after="0" w:line="240" w:lineRule="auto"/>
              <w:jc w:val="both"/>
              <w:rPr>
                <w:rFonts w:ascii="Arial" w:eastAsia="Times New Roman" w:hAnsi="Arial" w:cs="Arial"/>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230A2F9" w14:textId="77777777" w:rsidR="00947FA4" w:rsidRPr="007809AC" w:rsidRDefault="00947FA4" w:rsidP="00947FA4">
            <w:pPr>
              <w:spacing w:after="0" w:line="240" w:lineRule="auto"/>
              <w:jc w:val="both"/>
              <w:rPr>
                <w:rFonts w:ascii="Arial" w:eastAsia="Times New Roman" w:hAnsi="Arial" w:cs="Arial"/>
                <w:sz w:val="20"/>
                <w:szCs w:val="20"/>
                <w:lang w:eastAsia="en-IE"/>
              </w:rPr>
            </w:pPr>
          </w:p>
        </w:tc>
        <w:tc>
          <w:tcPr>
            <w:tcW w:w="3276"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EE92783"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Frequency of Scores - n (%)</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19DAC92"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p>
        </w:tc>
      </w:tr>
      <w:tr w:rsidR="007809AC" w:rsidRPr="007809AC" w14:paraId="0F874C2F" w14:textId="77777777" w:rsidTr="00947FA4">
        <w:trPr>
          <w:trHeight w:val="300"/>
          <w:jc w:val="center"/>
        </w:trPr>
        <w:tc>
          <w:tcPr>
            <w:tcW w:w="43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31B5A48"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 </w:t>
            </w: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B631C73" w14:textId="77777777" w:rsidR="00947FA4" w:rsidRPr="007809AC" w:rsidRDefault="00947FA4" w:rsidP="00947FA4">
            <w:pPr>
              <w:spacing w:after="0" w:line="240" w:lineRule="auto"/>
              <w:jc w:val="both"/>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Variable</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4474CA2"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Never</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E53C010"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Sometimes</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DFBFE27"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Always</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751FDEE" w14:textId="77777777" w:rsidR="00947FA4" w:rsidRPr="007809AC" w:rsidRDefault="00947FA4" w:rsidP="00947FA4">
            <w:pPr>
              <w:spacing w:after="0" w:line="240" w:lineRule="auto"/>
              <w:jc w:val="center"/>
              <w:rPr>
                <w:rFonts w:ascii="Arial" w:eastAsia="Times New Roman" w:hAnsi="Arial" w:cs="Arial"/>
                <w:b/>
                <w:bCs/>
                <w:sz w:val="20"/>
                <w:szCs w:val="20"/>
                <w:lang w:eastAsia="en-IE"/>
              </w:rPr>
            </w:pPr>
            <w:r w:rsidRPr="007809AC">
              <w:rPr>
                <w:rFonts w:ascii="Arial" w:eastAsia="Times New Roman" w:hAnsi="Arial" w:cs="Arial"/>
                <w:b/>
                <w:bCs/>
                <w:sz w:val="20"/>
                <w:szCs w:val="20"/>
                <w:lang w:eastAsia="en-IE"/>
              </w:rPr>
              <w:t>Median (range)</w:t>
            </w:r>
          </w:p>
        </w:tc>
      </w:tr>
      <w:tr w:rsidR="007809AC" w:rsidRPr="007809AC" w14:paraId="3B7CC19A" w14:textId="77777777" w:rsidTr="00947FA4">
        <w:trPr>
          <w:trHeight w:val="300"/>
          <w:jc w:val="center"/>
        </w:trPr>
        <w:tc>
          <w:tcPr>
            <w:tcW w:w="43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54826DCE" w14:textId="77777777" w:rsidR="00947FA4" w:rsidRPr="007809AC" w:rsidRDefault="00947FA4" w:rsidP="00947FA4">
            <w:pPr>
              <w:spacing w:after="0" w:line="240" w:lineRule="auto"/>
              <w:jc w:val="center"/>
              <w:rPr>
                <w:rFonts w:ascii="Arial" w:eastAsia="Times New Roman" w:hAnsi="Arial" w:cs="Arial"/>
                <w:b/>
                <w:sz w:val="20"/>
                <w:szCs w:val="20"/>
                <w:lang w:eastAsia="en-IE"/>
              </w:rPr>
            </w:pPr>
            <w:r w:rsidRPr="007809AC">
              <w:rPr>
                <w:rFonts w:ascii="Arial" w:eastAsia="Times New Roman" w:hAnsi="Arial" w:cs="Arial"/>
                <w:b/>
                <w:sz w:val="20"/>
                <w:szCs w:val="20"/>
                <w:lang w:eastAsia="en-IE"/>
              </w:rPr>
              <w:t>Functional</w:t>
            </w: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ABB63A9"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Avoiding certain foods</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1EB0C7B"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37 (29.4)</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14AAC77"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38 (30.2)</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8C72CB9"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51 (40.5)</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C0B605D"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 (0 - 2)</w:t>
            </w:r>
          </w:p>
        </w:tc>
      </w:tr>
      <w:tr w:rsidR="007809AC" w:rsidRPr="007809AC" w14:paraId="771A9EEC" w14:textId="77777777" w:rsidTr="00947FA4">
        <w:trPr>
          <w:trHeight w:val="300"/>
          <w:jc w:val="center"/>
        </w:trPr>
        <w:tc>
          <w:tcPr>
            <w:tcW w:w="43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3C1C076A"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A553883"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Changing typical swallowing</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265CC9C"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41 (32.5)</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6676067"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37 (29.4)</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6EA2030"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48 (38.1)</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EE1CA4C"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 (0 - 2)</w:t>
            </w:r>
          </w:p>
        </w:tc>
      </w:tr>
      <w:tr w:rsidR="007809AC" w:rsidRPr="007809AC" w14:paraId="35CC4749" w14:textId="77777777" w:rsidTr="00947FA4">
        <w:trPr>
          <w:trHeight w:val="300"/>
          <w:jc w:val="center"/>
        </w:trPr>
        <w:tc>
          <w:tcPr>
            <w:tcW w:w="43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534FB15B"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353C002"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Meals taking longer to eat</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EF9DF4D"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35 (27.8)</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2F846E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38 (30.2)</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9C4825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53 (42.1)</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2C8A0C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 (0 - 2)</w:t>
            </w:r>
          </w:p>
        </w:tc>
      </w:tr>
      <w:tr w:rsidR="007809AC" w:rsidRPr="007809AC" w14:paraId="043A11A3" w14:textId="77777777" w:rsidTr="00947FA4">
        <w:trPr>
          <w:trHeight w:val="300"/>
          <w:jc w:val="center"/>
        </w:trPr>
        <w:tc>
          <w:tcPr>
            <w:tcW w:w="43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78D78B51"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0088D6D"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Eating smaller meals</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32650C2"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50 (39.7)</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FF50B3A"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35 (27.8)</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6BC9501"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41 (32.5)</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BACEE2E"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 (0 - 2)</w:t>
            </w:r>
          </w:p>
        </w:tc>
      </w:tr>
      <w:tr w:rsidR="007809AC" w:rsidRPr="007809AC" w14:paraId="61E539CE" w14:textId="77777777" w:rsidTr="00947FA4">
        <w:trPr>
          <w:trHeight w:val="300"/>
          <w:jc w:val="center"/>
        </w:trPr>
        <w:tc>
          <w:tcPr>
            <w:tcW w:w="43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42C35329"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A5A2788"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Don't socialise as much as used to</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FAB6BDD"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63 (50.0)</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E55E6DB"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27 (21.4)</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0865D2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36 (28.6)</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DAFF209"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0.5 (0 - 2)</w:t>
            </w:r>
          </w:p>
        </w:tc>
      </w:tr>
      <w:tr w:rsidR="007809AC" w:rsidRPr="007809AC" w14:paraId="62574A6E" w14:textId="77777777" w:rsidTr="00947FA4">
        <w:trPr>
          <w:trHeight w:val="300"/>
          <w:jc w:val="center"/>
        </w:trPr>
        <w:tc>
          <w:tcPr>
            <w:tcW w:w="43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31E77B77"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8783FBA"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Avoiding eating</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8317E96"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61 (48.4)</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DD22D49"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30 (23.8)</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3203FD6"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35 (27.8)</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73DA107"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 (0 - 2)</w:t>
            </w:r>
          </w:p>
        </w:tc>
      </w:tr>
      <w:tr w:rsidR="007809AC" w:rsidRPr="007809AC" w14:paraId="60028B40" w14:textId="77777777" w:rsidTr="00947FA4">
        <w:trPr>
          <w:trHeight w:val="300"/>
          <w:jc w:val="center"/>
        </w:trPr>
        <w:tc>
          <w:tcPr>
            <w:tcW w:w="43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49CF5A55"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2C94D84"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Eating less</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FAF843C"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58 (46.0)</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B70F658"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34 (27.0)</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77A7743E"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34 (27.0)</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E236C67"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 (0 - 2)</w:t>
            </w:r>
          </w:p>
        </w:tc>
      </w:tr>
      <w:tr w:rsidR="007809AC" w:rsidRPr="007809AC" w14:paraId="243F43D3" w14:textId="77777777" w:rsidTr="00947FA4">
        <w:trPr>
          <w:trHeight w:val="300"/>
          <w:jc w:val="center"/>
        </w:trPr>
        <w:tc>
          <w:tcPr>
            <w:tcW w:w="43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5CA4FC60"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4072DED1"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Eating in another way</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1DAE001"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78 (61.9)</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4D0454E"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25 (19.8)</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14FF8AFE"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23 (18.3)</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A83FAF5"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0 (0 - 2)</w:t>
            </w:r>
          </w:p>
        </w:tc>
      </w:tr>
      <w:tr w:rsidR="00E81A1E" w:rsidRPr="007809AC" w14:paraId="034A4AF7" w14:textId="77777777" w:rsidTr="00947FA4">
        <w:trPr>
          <w:trHeight w:val="300"/>
          <w:jc w:val="center"/>
        </w:trPr>
        <w:tc>
          <w:tcPr>
            <w:tcW w:w="43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extDirection w:val="btLr"/>
            <w:vAlign w:val="center"/>
          </w:tcPr>
          <w:p w14:paraId="2A19BFAF" w14:textId="77777777" w:rsidR="00947FA4" w:rsidRPr="007809AC" w:rsidRDefault="00947FA4" w:rsidP="00947FA4">
            <w:pPr>
              <w:spacing w:after="0" w:line="240" w:lineRule="auto"/>
              <w:jc w:val="center"/>
              <w:rPr>
                <w:rFonts w:ascii="Arial" w:eastAsia="Times New Roman" w:hAnsi="Arial" w:cs="Arial"/>
                <w:b/>
                <w:sz w:val="20"/>
                <w:szCs w:val="20"/>
                <w:lang w:eastAsia="en-IE"/>
              </w:rPr>
            </w:pPr>
          </w:p>
        </w:tc>
        <w:tc>
          <w:tcPr>
            <w:tcW w:w="386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38DB61BC" w14:textId="77777777" w:rsidR="00947FA4" w:rsidRPr="007809AC" w:rsidRDefault="00947FA4" w:rsidP="00947FA4">
            <w:pPr>
              <w:spacing w:after="0" w:line="240" w:lineRule="auto"/>
              <w:jc w:val="both"/>
              <w:rPr>
                <w:rFonts w:ascii="Arial" w:eastAsia="Times New Roman" w:hAnsi="Arial" w:cs="Arial"/>
                <w:sz w:val="20"/>
                <w:szCs w:val="20"/>
                <w:lang w:eastAsia="en-IE"/>
              </w:rPr>
            </w:pPr>
            <w:r w:rsidRPr="007809AC">
              <w:rPr>
                <w:rFonts w:ascii="Arial" w:eastAsia="Times New Roman" w:hAnsi="Arial" w:cs="Arial"/>
                <w:sz w:val="20"/>
                <w:szCs w:val="20"/>
                <w:lang w:eastAsia="en-IE"/>
              </w:rPr>
              <w:t>Changed diet</w:t>
            </w:r>
          </w:p>
        </w:tc>
        <w:tc>
          <w:tcPr>
            <w:tcW w:w="91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534135DF"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46 (36.5)</w:t>
            </w:r>
          </w:p>
        </w:tc>
        <w:tc>
          <w:tcPr>
            <w:tcW w:w="133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07BC9E48"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37 (29.4)</w:t>
            </w:r>
          </w:p>
        </w:tc>
        <w:tc>
          <w:tcPr>
            <w:tcW w:w="103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6A10E3B4"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43 (34.1)</w:t>
            </w:r>
          </w:p>
        </w:tc>
        <w:tc>
          <w:tcPr>
            <w:tcW w:w="144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bottom"/>
          </w:tcPr>
          <w:p w14:paraId="24FC6F65" w14:textId="77777777" w:rsidR="00947FA4" w:rsidRPr="007809AC" w:rsidRDefault="00947FA4" w:rsidP="00947FA4">
            <w:pPr>
              <w:spacing w:after="0" w:line="240" w:lineRule="auto"/>
              <w:jc w:val="center"/>
              <w:rPr>
                <w:rFonts w:ascii="Arial" w:eastAsia="Times New Roman" w:hAnsi="Arial" w:cs="Arial"/>
                <w:sz w:val="20"/>
                <w:szCs w:val="20"/>
                <w:lang w:eastAsia="en-IE"/>
              </w:rPr>
            </w:pPr>
            <w:r w:rsidRPr="007809AC">
              <w:rPr>
                <w:rFonts w:ascii="Arial" w:eastAsia="Times New Roman" w:hAnsi="Arial" w:cs="Arial"/>
                <w:sz w:val="20"/>
                <w:szCs w:val="20"/>
                <w:lang w:eastAsia="en-IE"/>
              </w:rPr>
              <w:t>1 (0 - 2)</w:t>
            </w:r>
          </w:p>
        </w:tc>
      </w:tr>
    </w:tbl>
    <w:p w14:paraId="542A8DF7" w14:textId="77777777" w:rsidR="00947FA4" w:rsidRPr="007809AC" w:rsidRDefault="00947FA4" w:rsidP="00947FA4">
      <w:pPr>
        <w:rPr>
          <w:sz w:val="24"/>
          <w:szCs w:val="24"/>
        </w:rPr>
      </w:pPr>
    </w:p>
    <w:p w14:paraId="7F952B53" w14:textId="77777777" w:rsidR="00947FA4" w:rsidRPr="007809AC" w:rsidRDefault="00947FA4" w:rsidP="00947FA4">
      <w:pPr>
        <w:rPr>
          <w:sz w:val="24"/>
          <w:szCs w:val="24"/>
        </w:rPr>
      </w:pPr>
      <w:r w:rsidRPr="007809AC">
        <w:rPr>
          <w:sz w:val="24"/>
          <w:szCs w:val="24"/>
        </w:rPr>
        <w:br w:type="page"/>
      </w:r>
    </w:p>
    <w:p w14:paraId="18AC03E5" w14:textId="566D5712" w:rsidR="00947FA4" w:rsidRPr="007809AC" w:rsidRDefault="00947FA4" w:rsidP="00947FA4">
      <w:pPr>
        <w:keepNext/>
        <w:spacing w:after="200" w:line="240" w:lineRule="auto"/>
        <w:jc w:val="both"/>
        <w:rPr>
          <w:sz w:val="24"/>
          <w:szCs w:val="24"/>
        </w:rPr>
      </w:pPr>
      <w:bookmarkStart w:id="4" w:name="_Toc516665422"/>
      <w:r w:rsidRPr="007809AC">
        <w:rPr>
          <w:rFonts w:ascii="Arial" w:hAnsi="Arial"/>
          <w:i/>
          <w:iCs/>
          <w:sz w:val="24"/>
          <w:szCs w:val="24"/>
        </w:rPr>
        <w:t>Table 9: Descriptive Statistics of the P</w:t>
      </w:r>
      <w:r w:rsidR="003877A1" w:rsidRPr="007809AC">
        <w:rPr>
          <w:rFonts w:ascii="Arial" w:hAnsi="Arial"/>
          <w:i/>
          <w:iCs/>
          <w:sz w:val="24"/>
          <w:szCs w:val="24"/>
        </w:rPr>
        <w:t xml:space="preserve">atient </w:t>
      </w:r>
      <w:r w:rsidRPr="007809AC">
        <w:rPr>
          <w:rFonts w:ascii="Arial" w:hAnsi="Arial"/>
          <w:i/>
          <w:iCs/>
          <w:sz w:val="24"/>
          <w:szCs w:val="24"/>
        </w:rPr>
        <w:t>H</w:t>
      </w:r>
      <w:r w:rsidR="003877A1" w:rsidRPr="007809AC">
        <w:rPr>
          <w:rFonts w:ascii="Arial" w:hAnsi="Arial"/>
          <w:i/>
          <w:iCs/>
          <w:sz w:val="24"/>
          <w:szCs w:val="24"/>
        </w:rPr>
        <w:t xml:space="preserve">ealth </w:t>
      </w:r>
      <w:r w:rsidRPr="007809AC">
        <w:rPr>
          <w:rFonts w:ascii="Arial" w:hAnsi="Arial"/>
          <w:i/>
          <w:iCs/>
          <w:sz w:val="24"/>
          <w:szCs w:val="24"/>
        </w:rPr>
        <w:t>Q</w:t>
      </w:r>
      <w:r w:rsidR="003877A1" w:rsidRPr="007809AC">
        <w:rPr>
          <w:rFonts w:ascii="Arial" w:hAnsi="Arial"/>
          <w:i/>
          <w:iCs/>
          <w:sz w:val="24"/>
          <w:szCs w:val="24"/>
        </w:rPr>
        <w:t>uestionnaire</w:t>
      </w:r>
      <w:r w:rsidRPr="007809AC">
        <w:rPr>
          <w:rFonts w:ascii="Arial" w:hAnsi="Arial"/>
          <w:i/>
          <w:iCs/>
          <w:sz w:val="24"/>
          <w:szCs w:val="24"/>
        </w:rPr>
        <w:t>-4</w:t>
      </w:r>
      <w:bookmarkEnd w:id="4"/>
      <w:r w:rsidRPr="007809AC">
        <w:rPr>
          <w:rFonts w:ascii="Arial" w:hAnsi="Arial"/>
          <w:i/>
          <w:iCs/>
          <w:sz w:val="24"/>
          <w:szCs w:val="24"/>
        </w:rPr>
        <w:fldChar w:fldCharType="begin"/>
      </w:r>
      <w:r w:rsidRPr="007809AC">
        <w:rPr>
          <w:rFonts w:ascii="Arial" w:hAnsi="Arial"/>
          <w:i/>
          <w:iCs/>
          <w:sz w:val="24"/>
          <w:szCs w:val="24"/>
        </w:rPr>
        <w:instrText xml:space="preserve"> ADDIN ZOTERO_ITEM CSL_CITATION {"citationID":"FPtcpV9o","properties":{"formattedCitation":"(28)","plainCitation":"(28)","noteIndex":0},"citationItems":[{"id":1176,"uris":["http://zotero.org/users/local/nlzVUL7s/items/MDM3R3H2"],"uri":["http://zotero.org/users/local/nlzVUL7s/items/MDM3R3H2"],"itemData":{"id":1176,"type":"article-journal","title":"An ultra-brief screening scale for anxiety and depression: the PHQ-4","container-title":"Psychosomatics","page":"613-621","volume":"50","issue":"6","source":"PubMed","abstract":"BACKGROUND: The most common mental disorders in both outpatient settings and the general population are depression and anxiety, which frequently coexist. Both of these disorders are associated with considerable disability.\nOBJECTIVE: When the disorders co-occur, the disability is even greater. Authors sought to test an ultra-brief screening tool for both.\nMETHOD: Validated two-item ultra-brief screeners for depression and anxiety were combined to constitute the Patient Health Questionnaire for Depression and Anxiety (the PHQ-4). Data were analyzed from 2,149 patients drawn from 15 primary-care clinics in the United States.\nRESULTS: Factor analysis confirmed two discrete factors (Depression and Anxiety) that explained 84% of the total variance. Increasing PHQ-4 scores were strongly associated with functional impairment, disability days, and healthcare use. Anxiety had a substantial effect on functional status that was independent of depression.\nCONCLUSION: The PHQ-4 is a valid ultra-brief tool for detecting both anxiety and depressive disorders.","DOI":"10.1176/appi.psy.50.6.613","ISSN":"1545-7206","note":"PMID: 19996233","shortTitle":"An ultra-brief screening scale for anxiety and depression","journalAbbreviation":"Psychosomatics","language":"eng","author":[{"family":"Kroenke","given":"Kurt"},{"family":"Spitzer","given":"Robert L."},{"family":"Williams","given":"Janet B. W."},{"family":"Löwe","given":"Bernd"}],"issued":{"date-parts":[["2009",12]]}}}],"schema":"https://github.com/citation-style-language/schema/raw/master/csl-citation.json"} </w:instrText>
      </w:r>
      <w:r w:rsidRPr="007809AC">
        <w:rPr>
          <w:rFonts w:ascii="Arial" w:hAnsi="Arial"/>
          <w:i/>
          <w:iCs/>
          <w:sz w:val="24"/>
          <w:szCs w:val="24"/>
        </w:rPr>
        <w:fldChar w:fldCharType="separate"/>
      </w:r>
      <w:r w:rsidRPr="007809AC">
        <w:rPr>
          <w:rFonts w:ascii="Arial" w:hAnsi="Arial" w:cs="Arial"/>
          <w:sz w:val="24"/>
          <w:szCs w:val="24"/>
        </w:rPr>
        <w:t>(28)</w:t>
      </w:r>
      <w:r w:rsidRPr="007809AC">
        <w:rPr>
          <w:rFonts w:ascii="Arial" w:hAnsi="Arial"/>
          <w:i/>
          <w:iCs/>
          <w:sz w:val="24"/>
          <w:szCs w:val="24"/>
        </w:rPr>
        <w:fldChar w:fldCharType="end"/>
      </w:r>
    </w:p>
    <w:tbl>
      <w:tblPr>
        <w:tblW w:w="8493" w:type="dxa"/>
        <w:jc w:val="center"/>
        <w:tblCellMar>
          <w:left w:w="10" w:type="dxa"/>
          <w:right w:w="10" w:type="dxa"/>
        </w:tblCellMar>
        <w:tblLook w:val="04A0" w:firstRow="1" w:lastRow="0" w:firstColumn="1" w:lastColumn="0" w:noHBand="0" w:noVBand="1"/>
      </w:tblPr>
      <w:tblGrid>
        <w:gridCol w:w="2231"/>
        <w:gridCol w:w="1282"/>
        <w:gridCol w:w="1408"/>
        <w:gridCol w:w="1868"/>
        <w:gridCol w:w="1704"/>
      </w:tblGrid>
      <w:tr w:rsidR="007809AC" w:rsidRPr="007809AC" w14:paraId="0D7A8524" w14:textId="77777777" w:rsidTr="00947FA4">
        <w:trPr>
          <w:jc w:val="center"/>
        </w:trPr>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A1E1BAB" w14:textId="77777777" w:rsidR="00947FA4" w:rsidRPr="007809AC" w:rsidRDefault="00947FA4" w:rsidP="00947FA4">
            <w:pPr>
              <w:spacing w:after="0" w:line="240" w:lineRule="auto"/>
              <w:jc w:val="both"/>
              <w:rPr>
                <w:rFonts w:cs="Calibri"/>
                <w:sz w:val="20"/>
                <w:szCs w:val="20"/>
              </w:rPr>
            </w:pPr>
          </w:p>
        </w:tc>
        <w:tc>
          <w:tcPr>
            <w:tcW w:w="626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01840CC"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Frequency of Scores - n (%)</w:t>
            </w:r>
          </w:p>
        </w:tc>
      </w:tr>
      <w:tr w:rsidR="007809AC" w:rsidRPr="007809AC" w14:paraId="15C572F8" w14:textId="77777777" w:rsidTr="00947FA4">
        <w:trPr>
          <w:jc w:val="center"/>
        </w:trPr>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0525DF1" w14:textId="77777777" w:rsidR="00947FA4" w:rsidRPr="007809AC" w:rsidRDefault="00947FA4" w:rsidP="00947FA4">
            <w:pPr>
              <w:spacing w:after="0" w:line="240" w:lineRule="auto"/>
              <w:jc w:val="both"/>
              <w:rPr>
                <w:sz w:val="20"/>
                <w:szCs w:val="20"/>
              </w:rPr>
            </w:pPr>
            <w:r w:rsidRPr="007809AC">
              <w:rPr>
                <w:rFonts w:ascii="Arial" w:eastAsia="Arial" w:hAnsi="Arial" w:cs="Arial"/>
                <w:b/>
                <w:sz w:val="20"/>
                <w:szCs w:val="20"/>
              </w:rPr>
              <w:t>Variable</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E45082" w14:textId="77777777" w:rsidR="00E81A1E" w:rsidRPr="007809AC" w:rsidRDefault="00947FA4" w:rsidP="00947FA4">
            <w:pPr>
              <w:spacing w:after="0" w:line="240" w:lineRule="auto"/>
              <w:jc w:val="center"/>
              <w:rPr>
                <w:rFonts w:ascii="Arial" w:eastAsia="Arial" w:hAnsi="Arial" w:cs="Arial"/>
                <w:b/>
                <w:sz w:val="20"/>
                <w:szCs w:val="20"/>
              </w:rPr>
            </w:pPr>
            <w:r w:rsidRPr="007809AC">
              <w:rPr>
                <w:rFonts w:ascii="Arial" w:eastAsia="Arial" w:hAnsi="Arial" w:cs="Arial"/>
                <w:b/>
                <w:sz w:val="20"/>
                <w:szCs w:val="20"/>
              </w:rPr>
              <w:t xml:space="preserve">Not </w:t>
            </w:r>
          </w:p>
          <w:p w14:paraId="62EAB24D" w14:textId="16495FAA" w:rsidR="00947FA4" w:rsidRPr="007809AC" w:rsidRDefault="00947FA4" w:rsidP="00E81A1E">
            <w:pPr>
              <w:spacing w:after="0" w:line="240" w:lineRule="auto"/>
              <w:jc w:val="center"/>
              <w:rPr>
                <w:rFonts w:ascii="Arial" w:eastAsia="Arial" w:hAnsi="Arial" w:cs="Arial"/>
                <w:b/>
                <w:sz w:val="20"/>
                <w:szCs w:val="20"/>
              </w:rPr>
            </w:pPr>
            <w:r w:rsidRPr="007809AC">
              <w:rPr>
                <w:rFonts w:ascii="Arial" w:eastAsia="Arial" w:hAnsi="Arial" w:cs="Arial"/>
                <w:b/>
                <w:sz w:val="20"/>
                <w:szCs w:val="20"/>
              </w:rPr>
              <w:t>at all</w:t>
            </w:r>
          </w:p>
        </w:tc>
        <w:tc>
          <w:tcPr>
            <w:tcW w:w="1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0C72650"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Several days</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2BB2D8" w14:textId="77777777" w:rsidR="00E81A1E" w:rsidRPr="007809AC" w:rsidRDefault="00947FA4" w:rsidP="00947FA4">
            <w:pPr>
              <w:spacing w:after="0" w:line="240" w:lineRule="auto"/>
              <w:jc w:val="center"/>
              <w:rPr>
                <w:rFonts w:ascii="Arial" w:eastAsia="Arial" w:hAnsi="Arial" w:cs="Arial"/>
                <w:b/>
                <w:sz w:val="20"/>
                <w:szCs w:val="20"/>
              </w:rPr>
            </w:pPr>
            <w:r w:rsidRPr="007809AC">
              <w:rPr>
                <w:rFonts w:ascii="Arial" w:eastAsia="Arial" w:hAnsi="Arial" w:cs="Arial"/>
                <w:b/>
                <w:sz w:val="20"/>
                <w:szCs w:val="20"/>
              </w:rPr>
              <w:t xml:space="preserve">Most </w:t>
            </w:r>
          </w:p>
          <w:p w14:paraId="5315ABF2" w14:textId="2678D113"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days</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723770"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Nearly everyday</w:t>
            </w:r>
          </w:p>
        </w:tc>
      </w:tr>
      <w:tr w:rsidR="007809AC" w:rsidRPr="007809AC" w14:paraId="6C4D197A" w14:textId="77777777" w:rsidTr="00947FA4">
        <w:trPr>
          <w:jc w:val="center"/>
        </w:trPr>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2D85F2C"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Nervous</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1C80079"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37 (29.4)</w:t>
            </w:r>
          </w:p>
        </w:tc>
        <w:tc>
          <w:tcPr>
            <w:tcW w:w="1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0C71041"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27 (21.4)</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FC74F79"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23 (18.3)</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C40C833"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39 (31.0)</w:t>
            </w:r>
          </w:p>
        </w:tc>
      </w:tr>
      <w:tr w:rsidR="007809AC" w:rsidRPr="007809AC" w14:paraId="20AEBB99" w14:textId="77777777" w:rsidTr="00947FA4">
        <w:trPr>
          <w:jc w:val="center"/>
        </w:trPr>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D74C10"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Worry</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8DEDA3"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44 (34.9)</w:t>
            </w:r>
          </w:p>
        </w:tc>
        <w:tc>
          <w:tcPr>
            <w:tcW w:w="1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E2484E"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30 (23.8)</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8FC93C1"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21 (16.7)</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BD2E87"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31 (24.6)</w:t>
            </w:r>
          </w:p>
        </w:tc>
      </w:tr>
      <w:tr w:rsidR="007809AC" w:rsidRPr="007809AC" w14:paraId="4C9D58CE" w14:textId="77777777" w:rsidTr="00947FA4">
        <w:trPr>
          <w:jc w:val="center"/>
        </w:trPr>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A5FAC27"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Lack of pleasure</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5C509F"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47 (37.3)</w:t>
            </w:r>
          </w:p>
        </w:tc>
        <w:tc>
          <w:tcPr>
            <w:tcW w:w="1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78DD8A7"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28 (22.2)</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BD3FEE"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20 (15.9)</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24A6F52"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31 (24.6)</w:t>
            </w:r>
          </w:p>
        </w:tc>
      </w:tr>
      <w:tr w:rsidR="007809AC" w:rsidRPr="007809AC" w14:paraId="0785846E" w14:textId="77777777" w:rsidTr="00947FA4">
        <w:trPr>
          <w:jc w:val="center"/>
        </w:trPr>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64C3A2"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 xml:space="preserve">Depressed </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3B1EDCC"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51 (40.5)</w:t>
            </w:r>
          </w:p>
        </w:tc>
        <w:tc>
          <w:tcPr>
            <w:tcW w:w="1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FCA40C"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27 (21.4)</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62E1A6D"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18 (14.3)</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1B8BF08"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29 (23.0)</w:t>
            </w:r>
          </w:p>
        </w:tc>
      </w:tr>
      <w:tr w:rsidR="007809AC" w:rsidRPr="007809AC" w14:paraId="57C91A4B" w14:textId="77777777" w:rsidTr="00947FA4">
        <w:trPr>
          <w:jc w:val="center"/>
        </w:trPr>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36205E" w14:textId="77777777" w:rsidR="00947FA4" w:rsidRPr="007809AC" w:rsidRDefault="00947FA4" w:rsidP="00947FA4">
            <w:pPr>
              <w:spacing w:after="0" w:line="240" w:lineRule="auto"/>
              <w:jc w:val="both"/>
              <w:rPr>
                <w:rFonts w:cs="Calibri"/>
                <w:sz w:val="20"/>
                <w:szCs w:val="20"/>
              </w:rPr>
            </w:pPr>
          </w:p>
        </w:tc>
        <w:tc>
          <w:tcPr>
            <w:tcW w:w="626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F8476A9"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Frequency of Scores - n (%)</w:t>
            </w:r>
          </w:p>
        </w:tc>
      </w:tr>
      <w:tr w:rsidR="007809AC" w:rsidRPr="007809AC" w14:paraId="610CC026" w14:textId="77777777" w:rsidTr="00947FA4">
        <w:trPr>
          <w:jc w:val="center"/>
        </w:trPr>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029479" w14:textId="77777777" w:rsidR="00947FA4" w:rsidRPr="007809AC" w:rsidRDefault="00947FA4" w:rsidP="00947FA4">
            <w:pPr>
              <w:spacing w:after="0" w:line="240" w:lineRule="auto"/>
              <w:jc w:val="both"/>
              <w:rPr>
                <w:sz w:val="20"/>
                <w:szCs w:val="20"/>
              </w:rPr>
            </w:pPr>
            <w:r w:rsidRPr="007809AC">
              <w:rPr>
                <w:rFonts w:ascii="Arial" w:eastAsia="Arial" w:hAnsi="Arial" w:cs="Arial"/>
                <w:b/>
                <w:sz w:val="20"/>
                <w:szCs w:val="20"/>
              </w:rPr>
              <w:t>Variable</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306CF01"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No distress</w:t>
            </w:r>
          </w:p>
        </w:tc>
        <w:tc>
          <w:tcPr>
            <w:tcW w:w="1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7404C87"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Mild distress</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C4B7DB"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Moderate distress</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B372095" w14:textId="77777777" w:rsidR="00E81A1E" w:rsidRPr="007809AC" w:rsidRDefault="00947FA4" w:rsidP="00947FA4">
            <w:pPr>
              <w:spacing w:after="0" w:line="240" w:lineRule="auto"/>
              <w:jc w:val="center"/>
              <w:rPr>
                <w:rFonts w:ascii="Arial" w:eastAsia="Arial" w:hAnsi="Arial" w:cs="Arial"/>
                <w:b/>
                <w:sz w:val="20"/>
                <w:szCs w:val="20"/>
              </w:rPr>
            </w:pPr>
            <w:r w:rsidRPr="007809AC">
              <w:rPr>
                <w:rFonts w:ascii="Arial" w:eastAsia="Arial" w:hAnsi="Arial" w:cs="Arial"/>
                <w:b/>
                <w:sz w:val="20"/>
                <w:szCs w:val="20"/>
              </w:rPr>
              <w:t xml:space="preserve">Severe </w:t>
            </w:r>
          </w:p>
          <w:p w14:paraId="7DCDF3BE" w14:textId="5CE9AA00"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distress</w:t>
            </w:r>
          </w:p>
        </w:tc>
      </w:tr>
      <w:tr w:rsidR="00947FA4" w:rsidRPr="007809AC" w14:paraId="2E1AB392" w14:textId="77777777" w:rsidTr="00947FA4">
        <w:trPr>
          <w:jc w:val="center"/>
        </w:trPr>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1346306" w14:textId="77777777" w:rsidR="00947FA4" w:rsidRPr="007809AC" w:rsidRDefault="00947FA4" w:rsidP="00E81A1E">
            <w:pPr>
              <w:spacing w:after="0" w:line="240" w:lineRule="auto"/>
              <w:rPr>
                <w:sz w:val="20"/>
                <w:szCs w:val="20"/>
              </w:rPr>
            </w:pPr>
            <w:r w:rsidRPr="007809AC">
              <w:rPr>
                <w:rFonts w:ascii="Arial" w:eastAsia="Arial" w:hAnsi="Arial" w:cs="Arial"/>
                <w:sz w:val="20"/>
                <w:szCs w:val="20"/>
              </w:rPr>
              <w:t>PHQ-4 composite score</w:t>
            </w:r>
          </w:p>
        </w:tc>
        <w:tc>
          <w:tcPr>
            <w:tcW w:w="1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1C7A244"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40 (31.7)</w:t>
            </w:r>
          </w:p>
        </w:tc>
        <w:tc>
          <w:tcPr>
            <w:tcW w:w="1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A8D050"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29 (23.0)</w:t>
            </w:r>
          </w:p>
        </w:tc>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14C5D17"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25 (19.8)</w:t>
            </w:r>
          </w:p>
        </w:tc>
        <w:tc>
          <w:tcPr>
            <w:tcW w:w="1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99BEE88" w14:textId="77777777" w:rsidR="00947FA4" w:rsidRPr="007809AC" w:rsidRDefault="00947FA4" w:rsidP="00947FA4">
            <w:pPr>
              <w:spacing w:after="0" w:line="240" w:lineRule="auto"/>
              <w:jc w:val="center"/>
              <w:rPr>
                <w:sz w:val="20"/>
                <w:szCs w:val="20"/>
              </w:rPr>
            </w:pPr>
            <w:r w:rsidRPr="007809AC">
              <w:rPr>
                <w:rFonts w:ascii="Arial" w:eastAsia="Arial" w:hAnsi="Arial" w:cs="Arial"/>
                <w:sz w:val="20"/>
                <w:szCs w:val="20"/>
              </w:rPr>
              <w:t>32 (25.4)</w:t>
            </w:r>
          </w:p>
        </w:tc>
      </w:tr>
    </w:tbl>
    <w:p w14:paraId="5167AB8C" w14:textId="77777777" w:rsidR="00947FA4" w:rsidRPr="007809AC" w:rsidRDefault="00947FA4" w:rsidP="00947FA4">
      <w:pPr>
        <w:rPr>
          <w:sz w:val="24"/>
          <w:szCs w:val="24"/>
        </w:rPr>
      </w:pPr>
    </w:p>
    <w:p w14:paraId="112D0CF4" w14:textId="77777777" w:rsidR="00947FA4" w:rsidRPr="007809AC" w:rsidRDefault="00947FA4" w:rsidP="00947FA4">
      <w:pPr>
        <w:rPr>
          <w:sz w:val="24"/>
          <w:szCs w:val="24"/>
        </w:rPr>
      </w:pPr>
      <w:r w:rsidRPr="007809AC">
        <w:rPr>
          <w:sz w:val="24"/>
          <w:szCs w:val="24"/>
        </w:rPr>
        <w:br w:type="page"/>
      </w:r>
    </w:p>
    <w:p w14:paraId="0856A01F" w14:textId="0186E595" w:rsidR="00947FA4" w:rsidRPr="007809AC" w:rsidRDefault="00947FA4" w:rsidP="00947FA4">
      <w:pPr>
        <w:spacing w:before="240" w:line="360" w:lineRule="auto"/>
        <w:jc w:val="both"/>
        <w:rPr>
          <w:sz w:val="24"/>
          <w:szCs w:val="24"/>
        </w:rPr>
      </w:pPr>
      <w:r w:rsidRPr="007809AC">
        <w:rPr>
          <w:rFonts w:ascii="Arial" w:hAnsi="Arial"/>
          <w:i/>
          <w:iCs/>
          <w:sz w:val="24"/>
          <w:szCs w:val="24"/>
        </w:rPr>
        <w:t>Table 10: Descriptive Statistics of the D</w:t>
      </w:r>
      <w:r w:rsidR="003877A1" w:rsidRPr="007809AC">
        <w:rPr>
          <w:rFonts w:ascii="Arial" w:hAnsi="Arial"/>
          <w:i/>
          <w:iCs/>
          <w:sz w:val="24"/>
          <w:szCs w:val="24"/>
        </w:rPr>
        <w:t xml:space="preserve">ysphagia </w:t>
      </w:r>
      <w:r w:rsidRPr="007809AC">
        <w:rPr>
          <w:rFonts w:ascii="Arial" w:hAnsi="Arial"/>
          <w:i/>
          <w:iCs/>
          <w:sz w:val="24"/>
          <w:szCs w:val="24"/>
        </w:rPr>
        <w:t>H</w:t>
      </w:r>
      <w:r w:rsidR="003877A1" w:rsidRPr="007809AC">
        <w:rPr>
          <w:rFonts w:ascii="Arial" w:hAnsi="Arial"/>
          <w:i/>
          <w:iCs/>
          <w:sz w:val="24"/>
          <w:szCs w:val="24"/>
        </w:rPr>
        <w:t xml:space="preserve">andicap </w:t>
      </w:r>
      <w:r w:rsidRPr="007809AC">
        <w:rPr>
          <w:rFonts w:ascii="Arial" w:hAnsi="Arial"/>
          <w:i/>
          <w:iCs/>
          <w:sz w:val="24"/>
          <w:szCs w:val="24"/>
        </w:rPr>
        <w:t>I</w:t>
      </w:r>
      <w:r w:rsidR="003877A1" w:rsidRPr="007809AC">
        <w:rPr>
          <w:rFonts w:ascii="Arial" w:hAnsi="Arial"/>
          <w:i/>
          <w:iCs/>
          <w:sz w:val="24"/>
          <w:szCs w:val="24"/>
        </w:rPr>
        <w:t>ndex</w:t>
      </w:r>
      <w:r w:rsidRPr="007809AC">
        <w:rPr>
          <w:rFonts w:ascii="Arial" w:hAnsi="Arial"/>
          <w:i/>
          <w:iCs/>
          <w:sz w:val="24"/>
          <w:szCs w:val="24"/>
        </w:rPr>
        <w:t xml:space="preserve"> - Emotional Subscale</w:t>
      </w:r>
      <w:r w:rsidRPr="007809AC">
        <w:rPr>
          <w:rFonts w:ascii="Arial" w:hAnsi="Arial"/>
          <w:i/>
          <w:iCs/>
          <w:sz w:val="24"/>
          <w:szCs w:val="24"/>
        </w:rPr>
        <w:fldChar w:fldCharType="begin"/>
      </w:r>
      <w:r w:rsidRPr="007809AC">
        <w:rPr>
          <w:rFonts w:ascii="Arial" w:hAnsi="Arial"/>
          <w:i/>
          <w:iCs/>
          <w:sz w:val="24"/>
          <w:szCs w:val="24"/>
        </w:rPr>
        <w:instrText xml:space="preserve"> ADDIN ZOTERO_ITEM CSL_CITATION {"citationID":"XHYw35A4","properties":{"formattedCitation":"(29)","plainCitation":"(29)","noteIndex":0},"citationItems":[{"id":1178,"uris":["http://zotero.org/users/local/nlzVUL7s/items/MKHPRY3C"],"uri":["http://zotero.org/users/local/nlzVUL7s/items/MKHPRY3C"],"itemData":{"id":1178,"type":"article-journal","title":"The Dysphagia handicap index: development and validation","container-title":"Dysphagia","page":"46-52","volume":"27","issue":"1","source":"PubMed","abstract":"Quality-of-life indicators for dysphagia provide invaluable information to the treating clinician regarding the success or failure of swallowing therapy. The purpose of this study was to develop a clinically efficient, statistically robust patient-reported outcomes tool that measures the handicapping effect of dysphagia on emotional, functional, and physical aspects of individual's lives. 60 statements describing the handicapping effect of dysphagia were collected from patient reports and divided into subscales of physical, emotional, and functional problems. The statements were presented to 77 individuals with dysphagia. Respondents replied never, sometimes, or always to each statement and rated their self-perceived dysphagia severity on a 7-point equal-appearing interval scale. Cronbach's α was performed to assess the internal consistency validation of the items within the questionnaire. The final questionnaire was reduced to 25 items and administered to 214 individuals with dysphagia and 74 controls. Test-retest was performed on 63 individuals with dysphagia. Cronbach's α for the initial and final versions was strong at r = 0.96 and r = 0.94, respectively. Significant differences occurred between the dysphagia and control groups. Test-retest reliability was strong. We present a new, easy-to-complete, statistically robust, patient-reported outcomes measure for assessing the handicapping effect of dysphagia.","DOI":"10.1007/s00455-011-9336-2","ISSN":"1432-0460","note":"PMID: 21424584","shortTitle":"The Dysphagia handicap index","journalAbbreviation":"Dysphagia","language":"eng","author":[{"family":"Silbergleit","given":"Alice K."},{"family":"Schultz","given":"Lonni"},{"family":"Jacobson","given":"Barbara H."},{"family":"Beardsley","given":"Tausha"},{"family":"Johnson","given":"Alex F."}],"issued":{"date-parts":[["2012",3]]}}}],"schema":"https://github.com/citation-style-language/schema/raw/master/csl-citation.json"} </w:instrText>
      </w:r>
      <w:r w:rsidRPr="007809AC">
        <w:rPr>
          <w:rFonts w:ascii="Arial" w:hAnsi="Arial"/>
          <w:i/>
          <w:iCs/>
          <w:sz w:val="24"/>
          <w:szCs w:val="24"/>
        </w:rPr>
        <w:fldChar w:fldCharType="separate"/>
      </w:r>
      <w:r w:rsidRPr="007809AC">
        <w:rPr>
          <w:rFonts w:ascii="Arial" w:hAnsi="Arial" w:cs="Arial"/>
          <w:sz w:val="24"/>
          <w:szCs w:val="24"/>
        </w:rPr>
        <w:t>(29)</w:t>
      </w:r>
      <w:r w:rsidRPr="007809AC">
        <w:rPr>
          <w:rFonts w:ascii="Arial" w:hAnsi="Arial"/>
          <w:i/>
          <w:iCs/>
          <w:sz w:val="24"/>
          <w:szCs w:val="24"/>
        </w:rPr>
        <w:fldChar w:fldCharType="end"/>
      </w:r>
    </w:p>
    <w:tbl>
      <w:tblPr>
        <w:tblW w:w="8503" w:type="dxa"/>
        <w:jc w:val="center"/>
        <w:tblCellMar>
          <w:left w:w="10" w:type="dxa"/>
          <w:right w:w="10" w:type="dxa"/>
        </w:tblCellMar>
        <w:tblLook w:val="04A0" w:firstRow="1" w:lastRow="0" w:firstColumn="1" w:lastColumn="0" w:noHBand="0" w:noVBand="1"/>
      </w:tblPr>
      <w:tblGrid>
        <w:gridCol w:w="453"/>
        <w:gridCol w:w="2405"/>
        <w:gridCol w:w="1273"/>
        <w:gridCol w:w="1674"/>
        <w:gridCol w:w="1299"/>
        <w:gridCol w:w="1399"/>
      </w:tblGrid>
      <w:tr w:rsidR="007809AC" w:rsidRPr="007809AC" w14:paraId="13CEA2AC" w14:textId="77777777" w:rsidTr="00947FA4">
        <w:trPr>
          <w:jc w:val="center"/>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497091" w14:textId="77777777" w:rsidR="00947FA4" w:rsidRPr="007809AC" w:rsidRDefault="00947FA4" w:rsidP="00947FA4">
            <w:pPr>
              <w:spacing w:after="0" w:line="240" w:lineRule="auto"/>
              <w:jc w:val="both"/>
              <w:rPr>
                <w:rFonts w:ascii="Arial" w:eastAsia="Arial" w:hAnsi="Arial" w:cs="Arial"/>
                <w:sz w:val="20"/>
                <w:szCs w:val="20"/>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706A6D" w14:textId="77777777" w:rsidR="00947FA4" w:rsidRPr="007809AC" w:rsidRDefault="00947FA4" w:rsidP="00947FA4">
            <w:pPr>
              <w:spacing w:after="0" w:line="240" w:lineRule="auto"/>
              <w:jc w:val="both"/>
              <w:rPr>
                <w:rFonts w:ascii="Arial" w:eastAsia="Arial" w:hAnsi="Arial" w:cs="Arial"/>
                <w:sz w:val="20"/>
                <w:szCs w:val="20"/>
              </w:rPr>
            </w:pPr>
          </w:p>
        </w:tc>
        <w:tc>
          <w:tcPr>
            <w:tcW w:w="425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DAFCC44"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Frequency of Scores - n (%)</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C3BF910" w14:textId="77777777" w:rsidR="00947FA4" w:rsidRPr="007809AC" w:rsidRDefault="00947FA4" w:rsidP="00947FA4">
            <w:pPr>
              <w:spacing w:after="0" w:line="240" w:lineRule="auto"/>
              <w:jc w:val="center"/>
              <w:rPr>
                <w:rFonts w:ascii="Arial" w:eastAsia="Arial" w:hAnsi="Arial" w:cs="Arial"/>
                <w:sz w:val="20"/>
                <w:szCs w:val="20"/>
              </w:rPr>
            </w:pPr>
          </w:p>
        </w:tc>
      </w:tr>
      <w:tr w:rsidR="007809AC" w:rsidRPr="007809AC" w14:paraId="7E1341ED" w14:textId="77777777" w:rsidTr="00947FA4">
        <w:trPr>
          <w:jc w:val="center"/>
        </w:trPr>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9435B60" w14:textId="77777777" w:rsidR="00947FA4" w:rsidRPr="007809AC" w:rsidRDefault="00947FA4" w:rsidP="00947FA4">
            <w:pPr>
              <w:spacing w:after="0" w:line="240" w:lineRule="auto"/>
              <w:jc w:val="both"/>
              <w:rPr>
                <w:rFonts w:ascii="Arial" w:eastAsia="Arial" w:hAnsi="Arial" w:cs="Arial"/>
                <w:sz w:val="20"/>
                <w:szCs w:val="20"/>
              </w:rPr>
            </w:pPr>
            <w:r w:rsidRPr="007809AC">
              <w:rPr>
                <w:rFonts w:ascii="Arial" w:eastAsia="Arial" w:hAnsi="Arial" w:cs="Arial"/>
                <w:sz w:val="20"/>
                <w:szCs w:val="20"/>
              </w:rPr>
              <w:t> </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815693D"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Variable</w:t>
            </w: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8730A46"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Never</w:t>
            </w:r>
          </w:p>
        </w:tc>
        <w:tc>
          <w:tcPr>
            <w:tcW w:w="1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05DF359"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Sometimes</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F4D87F5"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Always</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C6587B1" w14:textId="77777777" w:rsidR="00947FA4" w:rsidRPr="007809AC" w:rsidRDefault="00947FA4" w:rsidP="00947FA4">
            <w:pPr>
              <w:spacing w:after="0" w:line="240" w:lineRule="auto"/>
              <w:jc w:val="center"/>
              <w:rPr>
                <w:sz w:val="20"/>
                <w:szCs w:val="20"/>
              </w:rPr>
            </w:pPr>
            <w:r w:rsidRPr="007809AC">
              <w:rPr>
                <w:rFonts w:ascii="Arial" w:eastAsia="Arial" w:hAnsi="Arial" w:cs="Arial"/>
                <w:b/>
                <w:sz w:val="20"/>
                <w:szCs w:val="20"/>
              </w:rPr>
              <w:t>Median (range)</w:t>
            </w:r>
          </w:p>
        </w:tc>
      </w:tr>
      <w:tr w:rsidR="007809AC" w:rsidRPr="007809AC" w14:paraId="41EA8FA7" w14:textId="77777777" w:rsidTr="00947FA4">
        <w:trPr>
          <w:jc w:val="center"/>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43D51CE1" w14:textId="77777777" w:rsidR="00947FA4" w:rsidRPr="007809AC" w:rsidRDefault="00947FA4" w:rsidP="00947FA4">
            <w:pPr>
              <w:spacing w:after="0" w:line="240" w:lineRule="auto"/>
              <w:ind w:left="113" w:right="113"/>
              <w:jc w:val="center"/>
              <w:rPr>
                <w:rFonts w:ascii="Arial" w:eastAsia="Arial" w:hAnsi="Arial" w:cs="Arial"/>
                <w:b/>
                <w:sz w:val="20"/>
                <w:szCs w:val="20"/>
              </w:rPr>
            </w:pPr>
            <w:r w:rsidRPr="007809AC">
              <w:rPr>
                <w:rFonts w:ascii="Arial" w:eastAsia="Arial" w:hAnsi="Arial" w:cs="Arial"/>
                <w:b/>
                <w:sz w:val="20"/>
                <w:szCs w:val="20"/>
              </w:rPr>
              <w:t>Emotional</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1C1C046" w14:textId="77777777" w:rsidR="00947FA4" w:rsidRPr="007809AC" w:rsidRDefault="00947FA4" w:rsidP="00947FA4">
            <w:pPr>
              <w:spacing w:after="0" w:line="240" w:lineRule="auto"/>
              <w:jc w:val="both"/>
              <w:rPr>
                <w:rFonts w:ascii="Arial" w:hAnsi="Arial"/>
                <w:sz w:val="20"/>
                <w:szCs w:val="20"/>
              </w:rPr>
            </w:pPr>
            <w:r w:rsidRPr="007809AC">
              <w:rPr>
                <w:rFonts w:ascii="Arial" w:hAnsi="Arial"/>
                <w:sz w:val="20"/>
                <w:szCs w:val="20"/>
              </w:rPr>
              <w:t>Embarrassed to eat in public</w:t>
            </w: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0FA23C8"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52 (41.3)</w:t>
            </w:r>
          </w:p>
        </w:tc>
        <w:tc>
          <w:tcPr>
            <w:tcW w:w="1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73B8E23"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31 (24.6)</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2C8D6CA"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43 (34.1)</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DE4E9D0"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1 (0 - 2)</w:t>
            </w:r>
          </w:p>
        </w:tc>
      </w:tr>
      <w:tr w:rsidR="007809AC" w:rsidRPr="007809AC" w14:paraId="3269CB4F" w14:textId="77777777" w:rsidTr="00947FA4">
        <w:trPr>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5E95D142" w14:textId="77777777" w:rsidR="00947FA4" w:rsidRPr="007809AC" w:rsidRDefault="00947FA4" w:rsidP="00947FA4">
            <w:pPr>
              <w:spacing w:after="200" w:line="240" w:lineRule="auto"/>
              <w:jc w:val="both"/>
              <w:rPr>
                <w:rFonts w:ascii="Arial" w:eastAsia="Arial" w:hAnsi="Arial" w:cs="Arial"/>
                <w:b/>
                <w:sz w:val="20"/>
                <w:szCs w:val="20"/>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489B7C7"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Depressed because they can’t eat what they want</w:t>
            </w: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5C2F3A"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58 (46.0)</w:t>
            </w:r>
          </w:p>
        </w:tc>
        <w:tc>
          <w:tcPr>
            <w:tcW w:w="1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58C870E"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35 (27.8)</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B260CC3"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33 (26.2)</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C4652A"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1 (0 - 2)</w:t>
            </w:r>
          </w:p>
        </w:tc>
      </w:tr>
      <w:tr w:rsidR="007809AC" w:rsidRPr="007809AC" w14:paraId="7A5F2F87" w14:textId="77777777" w:rsidTr="00947FA4">
        <w:trPr>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1FA96161" w14:textId="77777777" w:rsidR="00947FA4" w:rsidRPr="007809AC" w:rsidRDefault="00947FA4" w:rsidP="00947FA4">
            <w:pPr>
              <w:spacing w:after="200" w:line="240" w:lineRule="auto"/>
              <w:jc w:val="both"/>
              <w:rPr>
                <w:rFonts w:ascii="Arial" w:eastAsia="Arial" w:hAnsi="Arial" w:cs="Arial"/>
                <w:b/>
                <w:sz w:val="20"/>
                <w:szCs w:val="20"/>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0098B3F" w14:textId="77777777" w:rsidR="00947FA4" w:rsidRPr="007809AC" w:rsidRDefault="00947FA4" w:rsidP="00947FA4">
            <w:pPr>
              <w:spacing w:after="0" w:line="240" w:lineRule="auto"/>
              <w:jc w:val="both"/>
              <w:rPr>
                <w:rFonts w:ascii="Arial" w:hAnsi="Arial"/>
                <w:sz w:val="20"/>
                <w:szCs w:val="20"/>
              </w:rPr>
            </w:pPr>
            <w:r w:rsidRPr="007809AC">
              <w:rPr>
                <w:rFonts w:ascii="Arial" w:hAnsi="Arial"/>
                <w:sz w:val="20"/>
                <w:szCs w:val="20"/>
              </w:rPr>
              <w:t>Don’t enjoy eating as much as they used to</w:t>
            </w: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92FD4E4"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55 (43.7)</w:t>
            </w:r>
          </w:p>
        </w:tc>
        <w:tc>
          <w:tcPr>
            <w:tcW w:w="1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0702F9"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29 (23.0)</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709E39F"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42 (33.3)</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16E2A73"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1 (0 - 2)</w:t>
            </w:r>
          </w:p>
        </w:tc>
      </w:tr>
      <w:tr w:rsidR="007809AC" w:rsidRPr="007809AC" w14:paraId="533AA9E5" w14:textId="77777777" w:rsidTr="00947FA4">
        <w:trPr>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30AF3F43" w14:textId="77777777" w:rsidR="00947FA4" w:rsidRPr="007809AC" w:rsidRDefault="00947FA4" w:rsidP="00947FA4">
            <w:pPr>
              <w:spacing w:after="200" w:line="240" w:lineRule="auto"/>
              <w:jc w:val="both"/>
              <w:rPr>
                <w:rFonts w:ascii="Arial" w:eastAsia="Arial" w:hAnsi="Arial" w:cs="Arial"/>
                <w:b/>
                <w:sz w:val="20"/>
                <w:szCs w:val="20"/>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E1ABE09" w14:textId="77777777" w:rsidR="00947FA4" w:rsidRPr="007809AC" w:rsidRDefault="00947FA4" w:rsidP="00947FA4">
            <w:pPr>
              <w:spacing w:after="0" w:line="240" w:lineRule="auto"/>
              <w:jc w:val="both"/>
              <w:rPr>
                <w:rFonts w:ascii="Arial" w:hAnsi="Arial"/>
                <w:sz w:val="20"/>
                <w:szCs w:val="20"/>
              </w:rPr>
            </w:pPr>
            <w:r w:rsidRPr="007809AC">
              <w:rPr>
                <w:rFonts w:ascii="Arial" w:hAnsi="Arial"/>
                <w:sz w:val="20"/>
                <w:szCs w:val="20"/>
              </w:rPr>
              <w:t>Nervous because of swallowing problem</w:t>
            </w: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2F95128"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58 (46.0)</w:t>
            </w:r>
          </w:p>
        </w:tc>
        <w:tc>
          <w:tcPr>
            <w:tcW w:w="1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1AB6F54"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29 (23.0)</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8DAD6D7"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39 (31.0)</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E70AA1B"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1 (0 - 2)</w:t>
            </w:r>
          </w:p>
        </w:tc>
      </w:tr>
      <w:tr w:rsidR="007809AC" w:rsidRPr="007809AC" w14:paraId="7C526BB6" w14:textId="77777777" w:rsidTr="00947FA4">
        <w:trPr>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0C94991A" w14:textId="77777777" w:rsidR="00947FA4" w:rsidRPr="007809AC" w:rsidRDefault="00947FA4" w:rsidP="00947FA4">
            <w:pPr>
              <w:spacing w:after="200" w:line="240" w:lineRule="auto"/>
              <w:jc w:val="both"/>
              <w:rPr>
                <w:rFonts w:ascii="Arial" w:eastAsia="Arial" w:hAnsi="Arial" w:cs="Arial"/>
                <w:b/>
                <w:sz w:val="20"/>
                <w:szCs w:val="20"/>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BC224EE"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Feel handicapped because of swallowing problem</w:t>
            </w: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0F97ED"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63 (50.0)</w:t>
            </w:r>
          </w:p>
        </w:tc>
        <w:tc>
          <w:tcPr>
            <w:tcW w:w="1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44344A"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27 (21.4)</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296E8E1"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36 (28.6)</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270CC17"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0.5 (0 - 2)</w:t>
            </w:r>
          </w:p>
        </w:tc>
      </w:tr>
      <w:tr w:rsidR="007809AC" w:rsidRPr="007809AC" w14:paraId="1EBD18D3" w14:textId="77777777" w:rsidTr="00947FA4">
        <w:trPr>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00FB31C3" w14:textId="77777777" w:rsidR="00947FA4" w:rsidRPr="007809AC" w:rsidRDefault="00947FA4" w:rsidP="00947FA4">
            <w:pPr>
              <w:spacing w:after="200" w:line="240" w:lineRule="auto"/>
              <w:jc w:val="both"/>
              <w:rPr>
                <w:rFonts w:ascii="Arial" w:eastAsia="Arial" w:hAnsi="Arial" w:cs="Arial"/>
                <w:b/>
                <w:sz w:val="20"/>
                <w:szCs w:val="20"/>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FB0B711"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Get angry at myself because of swallowing problem</w:t>
            </w: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96BEDFA"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61 (48.4)</w:t>
            </w:r>
          </w:p>
        </w:tc>
        <w:tc>
          <w:tcPr>
            <w:tcW w:w="1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C957D37"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29 (23.0)</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DF18850"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36 (28.6)</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6073D07"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1 (0 - 2)</w:t>
            </w:r>
          </w:p>
        </w:tc>
      </w:tr>
      <w:tr w:rsidR="00E81A1E" w:rsidRPr="007809AC" w14:paraId="0BE8CAC2" w14:textId="77777777" w:rsidTr="00947FA4">
        <w:trPr>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extDirection w:val="btLr"/>
            <w:vAlign w:val="center"/>
          </w:tcPr>
          <w:p w14:paraId="576E23FA" w14:textId="77777777" w:rsidR="00947FA4" w:rsidRPr="007809AC" w:rsidRDefault="00947FA4" w:rsidP="00947FA4">
            <w:pPr>
              <w:spacing w:after="200" w:line="240" w:lineRule="auto"/>
              <w:jc w:val="both"/>
              <w:rPr>
                <w:rFonts w:ascii="Arial" w:eastAsia="Arial" w:hAnsi="Arial" w:cs="Arial"/>
                <w:b/>
                <w:sz w:val="20"/>
                <w:szCs w:val="20"/>
              </w:rPr>
            </w:pP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767190B" w14:textId="77777777" w:rsidR="00947FA4" w:rsidRPr="007809AC" w:rsidRDefault="00947FA4" w:rsidP="00947FA4">
            <w:pPr>
              <w:spacing w:after="0" w:line="240" w:lineRule="auto"/>
              <w:jc w:val="both"/>
              <w:rPr>
                <w:sz w:val="20"/>
                <w:szCs w:val="20"/>
              </w:rPr>
            </w:pPr>
            <w:r w:rsidRPr="007809AC">
              <w:rPr>
                <w:rFonts w:ascii="Arial" w:eastAsia="Arial" w:hAnsi="Arial" w:cs="Arial"/>
                <w:sz w:val="20"/>
                <w:szCs w:val="20"/>
              </w:rPr>
              <w:t>Afraid of choking and stopping breathing because of swallowing problem</w:t>
            </w:r>
          </w:p>
        </w:tc>
        <w:tc>
          <w:tcPr>
            <w:tcW w:w="12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389211"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70 (55.6)</w:t>
            </w:r>
          </w:p>
        </w:tc>
        <w:tc>
          <w:tcPr>
            <w:tcW w:w="16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A484C33"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29 (23.0)</w:t>
            </w:r>
          </w:p>
        </w:tc>
        <w:tc>
          <w:tcPr>
            <w:tcW w:w="13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2A018F2"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27 (21.4)</w:t>
            </w:r>
          </w:p>
        </w:tc>
        <w:tc>
          <w:tcPr>
            <w:tcW w:w="1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2E9BC46" w14:textId="77777777" w:rsidR="00947FA4" w:rsidRPr="007809AC" w:rsidRDefault="00947FA4" w:rsidP="00947FA4">
            <w:pPr>
              <w:spacing w:after="0" w:line="240" w:lineRule="auto"/>
              <w:jc w:val="center"/>
              <w:rPr>
                <w:rFonts w:ascii="Arial" w:eastAsia="Arial" w:hAnsi="Arial" w:cs="Arial"/>
                <w:sz w:val="20"/>
                <w:szCs w:val="20"/>
              </w:rPr>
            </w:pPr>
            <w:r w:rsidRPr="007809AC">
              <w:rPr>
                <w:rFonts w:ascii="Arial" w:eastAsia="Arial" w:hAnsi="Arial" w:cs="Arial"/>
                <w:sz w:val="20"/>
                <w:szCs w:val="20"/>
              </w:rPr>
              <w:t>0 (0 - 2)</w:t>
            </w:r>
          </w:p>
        </w:tc>
      </w:tr>
    </w:tbl>
    <w:p w14:paraId="7CB73BBB" w14:textId="77777777" w:rsidR="00947FA4" w:rsidRPr="007809AC" w:rsidRDefault="00947FA4" w:rsidP="00947FA4">
      <w:pPr>
        <w:rPr>
          <w:sz w:val="24"/>
          <w:szCs w:val="24"/>
        </w:rPr>
      </w:pPr>
    </w:p>
    <w:p w14:paraId="1FCBA3B3" w14:textId="77777777" w:rsidR="00F71F78" w:rsidRPr="007809AC" w:rsidRDefault="00F71F78" w:rsidP="00947FA4">
      <w:pPr>
        <w:pStyle w:val="Bibliography"/>
        <w:ind w:left="0" w:firstLine="0"/>
        <w:jc w:val="both"/>
        <w:rPr>
          <w:rFonts w:ascii="Arial" w:hAnsi="Arial" w:cs="Arial"/>
          <w:b/>
          <w:sz w:val="24"/>
          <w:szCs w:val="24"/>
          <w:shd w:val="clear" w:color="auto" w:fill="FFFF00"/>
        </w:rPr>
      </w:pPr>
    </w:p>
    <w:sectPr w:rsidR="00F71F78" w:rsidRPr="007809A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BD81EF" w16cid:durableId="21D4772D"/>
  <w16cid:commentId w16cid:paraId="542E9BAB" w16cid:durableId="21D47752"/>
  <w16cid:commentId w16cid:paraId="1B16D40D" w16cid:durableId="21D47769"/>
  <w16cid:commentId w16cid:paraId="55D1C3E6" w16cid:durableId="21D47848"/>
  <w16cid:commentId w16cid:paraId="6B552BD7" w16cid:durableId="21D47CF9"/>
  <w16cid:commentId w16cid:paraId="3D7FB66A" w16cid:durableId="21D489B6"/>
  <w16cid:commentId w16cid:paraId="6785DC25" w16cid:durableId="21D48A1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DE0576" w14:textId="77777777" w:rsidR="00696F0E" w:rsidRDefault="00696F0E">
      <w:pPr>
        <w:spacing w:after="0" w:line="240" w:lineRule="auto"/>
      </w:pPr>
      <w:r>
        <w:separator/>
      </w:r>
    </w:p>
  </w:endnote>
  <w:endnote w:type="continuationSeparator" w:id="0">
    <w:p w14:paraId="54387211" w14:textId="77777777" w:rsidR="00696F0E" w:rsidRDefault="00696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AD46B" w14:textId="77777777" w:rsidR="00102105" w:rsidRDefault="001021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2957995"/>
      <w:docPartObj>
        <w:docPartGallery w:val="Page Numbers (Bottom of Page)"/>
        <w:docPartUnique/>
      </w:docPartObj>
    </w:sdtPr>
    <w:sdtEndPr>
      <w:rPr>
        <w:noProof/>
      </w:rPr>
    </w:sdtEndPr>
    <w:sdtContent>
      <w:p w14:paraId="08D0D9AC" w14:textId="33480E68" w:rsidR="00696F0E" w:rsidRDefault="00696F0E">
        <w:pPr>
          <w:pStyle w:val="Footer"/>
        </w:pPr>
        <w:r>
          <w:fldChar w:fldCharType="begin"/>
        </w:r>
        <w:r>
          <w:instrText xml:space="preserve"> PAGE   \* MERGEFORMAT </w:instrText>
        </w:r>
        <w:r>
          <w:fldChar w:fldCharType="separate"/>
        </w:r>
        <w:r w:rsidR="00102105">
          <w:rPr>
            <w:noProof/>
          </w:rPr>
          <w:t>1</w:t>
        </w:r>
        <w:r>
          <w:rPr>
            <w:noProof/>
          </w:rPr>
          <w:fldChar w:fldCharType="end"/>
        </w:r>
      </w:p>
    </w:sdtContent>
  </w:sdt>
  <w:p w14:paraId="57B9FEB6" w14:textId="77777777" w:rsidR="00696F0E" w:rsidRDefault="00696F0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DD272" w14:textId="77777777" w:rsidR="00102105" w:rsidRDefault="001021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A66738" w14:textId="77777777" w:rsidR="00696F0E" w:rsidRDefault="00696F0E">
      <w:pPr>
        <w:spacing w:after="0" w:line="240" w:lineRule="auto"/>
      </w:pPr>
      <w:r>
        <w:rPr>
          <w:color w:val="000000"/>
        </w:rPr>
        <w:separator/>
      </w:r>
    </w:p>
  </w:footnote>
  <w:footnote w:type="continuationSeparator" w:id="0">
    <w:p w14:paraId="1F983C76" w14:textId="77777777" w:rsidR="00696F0E" w:rsidRDefault="00696F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BAFD9" w14:textId="40155726" w:rsidR="00102105" w:rsidRDefault="00102105">
    <w:pPr>
      <w:pStyle w:val="Header"/>
    </w:pPr>
    <w:r>
      <w:rPr>
        <w:noProof/>
      </w:rPr>
      <w:pict w14:anchorId="0BE089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523266" o:spid="_x0000_s2050" type="#_x0000_t136" style="position:absolute;margin-left:0;margin-top:0;width:553.2pt;height:82.95pt;rotation:315;z-index:-251655168;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432F02" w14:textId="342662ED" w:rsidR="00696F0E" w:rsidRDefault="00102105">
    <w:pPr>
      <w:pStyle w:val="Header"/>
      <w:jc w:val="center"/>
    </w:pPr>
    <w:r>
      <w:rPr>
        <w:noProof/>
      </w:rPr>
      <w:pict w14:anchorId="4F4C109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523267" o:spid="_x0000_s2051" type="#_x0000_t136" style="position:absolute;left:0;text-align:left;margin-left:0;margin-top:0;width:553.2pt;height:82.95pt;rotation:315;z-index:-251653120;mso-position-horizontal:center;mso-position-horizontal-relative:margin;mso-position-vertical:center;mso-position-vertical-relative:margin" o:allowincell="f" fillcolor="silver" stroked="f">
          <v:fill opacity=".5"/>
          <v:textpath style="font-family:&quot;Calibri&quot;;font-size:1pt" string="Author's Own Manuscript"/>
        </v:shape>
      </w:pict>
    </w:r>
    <w:r w:rsidR="00696F0E">
      <w:rPr>
        <w:i/>
        <w:sz w:val="16"/>
      </w:rPr>
      <w:t>The Epidemiology, Nature, and Impact of Eating and Swallowing Problems in Adults presenting with Temporomandibular Disorders.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47836" w14:textId="7CB3877C" w:rsidR="00102105" w:rsidRDefault="00102105">
    <w:pPr>
      <w:pStyle w:val="Header"/>
    </w:pPr>
    <w:r>
      <w:rPr>
        <w:noProof/>
      </w:rPr>
      <w:pict w14:anchorId="485EEC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523265" o:spid="_x0000_s2049" type="#_x0000_t136" style="position:absolute;margin-left:0;margin-top:0;width:553.2pt;height:82.95pt;rotation:315;z-index:-251657216;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276B8"/>
    <w:multiLevelType w:val="multilevel"/>
    <w:tmpl w:val="9F7E33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BD74A61"/>
    <w:multiLevelType w:val="multilevel"/>
    <w:tmpl w:val="800A96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F78"/>
    <w:rsid w:val="000003CC"/>
    <w:rsid w:val="00014326"/>
    <w:rsid w:val="000146C9"/>
    <w:rsid w:val="00022803"/>
    <w:rsid w:val="000311AE"/>
    <w:rsid w:val="00032E24"/>
    <w:rsid w:val="00102105"/>
    <w:rsid w:val="0014682F"/>
    <w:rsid w:val="001863CA"/>
    <w:rsid w:val="001A0959"/>
    <w:rsid w:val="001D714E"/>
    <w:rsid w:val="001E4721"/>
    <w:rsid w:val="001F318B"/>
    <w:rsid w:val="00241D61"/>
    <w:rsid w:val="00256DF4"/>
    <w:rsid w:val="00293D04"/>
    <w:rsid w:val="002A1F37"/>
    <w:rsid w:val="002D05DD"/>
    <w:rsid w:val="002F7122"/>
    <w:rsid w:val="00327947"/>
    <w:rsid w:val="003508C4"/>
    <w:rsid w:val="0038428B"/>
    <w:rsid w:val="003877A1"/>
    <w:rsid w:val="003A563F"/>
    <w:rsid w:val="003B753D"/>
    <w:rsid w:val="003C7F3D"/>
    <w:rsid w:val="003D3F33"/>
    <w:rsid w:val="003E75F0"/>
    <w:rsid w:val="00431C14"/>
    <w:rsid w:val="0046030F"/>
    <w:rsid w:val="00475D65"/>
    <w:rsid w:val="004826B9"/>
    <w:rsid w:val="004958B9"/>
    <w:rsid w:val="004A447F"/>
    <w:rsid w:val="004B3D37"/>
    <w:rsid w:val="004C15A2"/>
    <w:rsid w:val="004C3672"/>
    <w:rsid w:val="00502198"/>
    <w:rsid w:val="0050610C"/>
    <w:rsid w:val="00544300"/>
    <w:rsid w:val="00580526"/>
    <w:rsid w:val="005964C8"/>
    <w:rsid w:val="005E417A"/>
    <w:rsid w:val="00692190"/>
    <w:rsid w:val="00696F0E"/>
    <w:rsid w:val="006C5BEA"/>
    <w:rsid w:val="006F248F"/>
    <w:rsid w:val="00700EE6"/>
    <w:rsid w:val="007068B3"/>
    <w:rsid w:val="007069A0"/>
    <w:rsid w:val="007102AA"/>
    <w:rsid w:val="00711D23"/>
    <w:rsid w:val="00726A48"/>
    <w:rsid w:val="00731394"/>
    <w:rsid w:val="0074768C"/>
    <w:rsid w:val="007809AC"/>
    <w:rsid w:val="007C322C"/>
    <w:rsid w:val="007D0A26"/>
    <w:rsid w:val="008367B7"/>
    <w:rsid w:val="00841AB0"/>
    <w:rsid w:val="00845E20"/>
    <w:rsid w:val="00891752"/>
    <w:rsid w:val="008E7BD8"/>
    <w:rsid w:val="008F6BD8"/>
    <w:rsid w:val="00931171"/>
    <w:rsid w:val="00946AF2"/>
    <w:rsid w:val="00947FA4"/>
    <w:rsid w:val="009525D2"/>
    <w:rsid w:val="009C4BC2"/>
    <w:rsid w:val="009C7F00"/>
    <w:rsid w:val="00A328A4"/>
    <w:rsid w:val="00A32F1A"/>
    <w:rsid w:val="00AB5EAD"/>
    <w:rsid w:val="00B47BD8"/>
    <w:rsid w:val="00B55D6D"/>
    <w:rsid w:val="00B60011"/>
    <w:rsid w:val="00B637CA"/>
    <w:rsid w:val="00B94B49"/>
    <w:rsid w:val="00C02072"/>
    <w:rsid w:val="00C04F6F"/>
    <w:rsid w:val="00C65EA2"/>
    <w:rsid w:val="00C6787A"/>
    <w:rsid w:val="00C77975"/>
    <w:rsid w:val="00D00999"/>
    <w:rsid w:val="00D02F62"/>
    <w:rsid w:val="00D13F0A"/>
    <w:rsid w:val="00D144B6"/>
    <w:rsid w:val="00D15873"/>
    <w:rsid w:val="00D25192"/>
    <w:rsid w:val="00D53D85"/>
    <w:rsid w:val="00D74A95"/>
    <w:rsid w:val="00D754B3"/>
    <w:rsid w:val="00D81840"/>
    <w:rsid w:val="00DC35C2"/>
    <w:rsid w:val="00E47217"/>
    <w:rsid w:val="00E7543A"/>
    <w:rsid w:val="00E8177F"/>
    <w:rsid w:val="00E81A1E"/>
    <w:rsid w:val="00E9103A"/>
    <w:rsid w:val="00F62AF9"/>
    <w:rsid w:val="00F71F78"/>
    <w:rsid w:val="00F97BAC"/>
  </w:rsids>
  <m:mathPr>
    <m:mathFont m:val="Cambria Math"/>
    <m:brkBin m:val="before"/>
    <m:brkBinSub m:val="--"/>
    <m:smallFrac m:val="0"/>
    <m:dispDef/>
    <m:lMargin m:val="0"/>
    <m:rMargin m:val="0"/>
    <m:defJc m:val="centerGroup"/>
    <m:wrapIndent m:val="1440"/>
    <m:intLim m:val="subSup"/>
    <m:naryLim m:val="undOvr"/>
  </m:mathPr>
  <w:themeFontLang w:val="en-I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8BD29F7"/>
  <w15:docId w15:val="{F0DB8B43-25CC-4640-B96A-13082E249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IE"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ListParagraph">
    <w:name w:val="List Paragraph"/>
    <w:basedOn w:val="Normal"/>
    <w:pPr>
      <w:ind w:left="720"/>
    </w:pPr>
  </w:style>
  <w:style w:type="paragraph" w:styleId="Caption">
    <w:name w:val="caption"/>
    <w:basedOn w:val="Normal"/>
    <w:next w:val="Normal"/>
    <w:pPr>
      <w:spacing w:after="200" w:line="240" w:lineRule="auto"/>
    </w:pPr>
    <w:rPr>
      <w:i/>
      <w:iCs/>
      <w:color w:val="44546A"/>
      <w:sz w:val="18"/>
      <w:szCs w:val="18"/>
    </w:rPr>
  </w:style>
  <w:style w:type="paragraph" w:styleId="Bibliography">
    <w:name w:val="Bibliography"/>
    <w:basedOn w:val="Normal"/>
    <w:next w:val="Normal"/>
    <w:pPr>
      <w:tabs>
        <w:tab w:val="left" w:pos="504"/>
      </w:tabs>
      <w:spacing w:after="240" w:line="240" w:lineRule="auto"/>
      <w:ind w:left="504" w:hanging="504"/>
    </w:pPr>
  </w:style>
  <w:style w:type="character" w:styleId="CommentReference">
    <w:name w:val="annotation reference"/>
    <w:basedOn w:val="DefaultParagraphFont"/>
    <w:uiPriority w:val="99"/>
    <w:semiHidden/>
    <w:unhideWhenUsed/>
    <w:rsid w:val="007102AA"/>
    <w:rPr>
      <w:sz w:val="16"/>
      <w:szCs w:val="16"/>
    </w:rPr>
  </w:style>
  <w:style w:type="paragraph" w:styleId="CommentText">
    <w:name w:val="annotation text"/>
    <w:basedOn w:val="Normal"/>
    <w:link w:val="CommentTextChar"/>
    <w:uiPriority w:val="99"/>
    <w:semiHidden/>
    <w:unhideWhenUsed/>
    <w:rsid w:val="007102AA"/>
    <w:pPr>
      <w:spacing w:line="240" w:lineRule="auto"/>
    </w:pPr>
    <w:rPr>
      <w:sz w:val="20"/>
      <w:szCs w:val="20"/>
    </w:rPr>
  </w:style>
  <w:style w:type="character" w:customStyle="1" w:styleId="CommentTextChar">
    <w:name w:val="Comment Text Char"/>
    <w:basedOn w:val="DefaultParagraphFont"/>
    <w:link w:val="CommentText"/>
    <w:uiPriority w:val="99"/>
    <w:semiHidden/>
    <w:rsid w:val="007102AA"/>
    <w:rPr>
      <w:sz w:val="20"/>
      <w:szCs w:val="20"/>
    </w:rPr>
  </w:style>
  <w:style w:type="paragraph" w:styleId="CommentSubject">
    <w:name w:val="annotation subject"/>
    <w:basedOn w:val="CommentText"/>
    <w:next w:val="CommentText"/>
    <w:link w:val="CommentSubjectChar"/>
    <w:uiPriority w:val="99"/>
    <w:semiHidden/>
    <w:unhideWhenUsed/>
    <w:rsid w:val="007102AA"/>
    <w:rPr>
      <w:b/>
      <w:bCs/>
    </w:rPr>
  </w:style>
  <w:style w:type="character" w:customStyle="1" w:styleId="CommentSubjectChar">
    <w:name w:val="Comment Subject Char"/>
    <w:basedOn w:val="CommentTextChar"/>
    <w:link w:val="CommentSubject"/>
    <w:uiPriority w:val="99"/>
    <w:semiHidden/>
    <w:rsid w:val="007102AA"/>
    <w:rPr>
      <w:b/>
      <w:bCs/>
      <w:sz w:val="20"/>
      <w:szCs w:val="20"/>
    </w:rPr>
  </w:style>
  <w:style w:type="paragraph" w:styleId="BalloonText">
    <w:name w:val="Balloon Text"/>
    <w:basedOn w:val="Normal"/>
    <w:link w:val="BalloonTextChar"/>
    <w:uiPriority w:val="99"/>
    <w:semiHidden/>
    <w:unhideWhenUsed/>
    <w:rsid w:val="007102AA"/>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102AA"/>
    <w:rPr>
      <w:rFonts w:ascii="Times New Roman" w:hAnsi="Times New Roman"/>
      <w:sz w:val="18"/>
      <w:szCs w:val="18"/>
    </w:rPr>
  </w:style>
  <w:style w:type="character" w:styleId="Hyperlink">
    <w:name w:val="Hyperlink"/>
    <w:basedOn w:val="DefaultParagraphFont"/>
    <w:uiPriority w:val="99"/>
    <w:semiHidden/>
    <w:unhideWhenUsed/>
    <w:rsid w:val="00D754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4605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33149</Words>
  <Characters>188950</Characters>
  <Application>Microsoft Office Word</Application>
  <DocSecurity>0</DocSecurity>
  <Lines>1574</Lines>
  <Paragraphs>443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 Gilheaney</dc:creator>
  <dc:description/>
  <cp:lastModifiedBy>Orla Gilheaney</cp:lastModifiedBy>
  <cp:revision>2</cp:revision>
  <dcterms:created xsi:type="dcterms:W3CDTF">2020-06-04T07:31:00Z</dcterms:created>
  <dcterms:modified xsi:type="dcterms:W3CDTF">2020-06-04T07:31:00Z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zotero-version="5.0.48"&gt;&lt;session id="FTCCeTM9"/&gt;&lt;style id="http://www.zotero.org/styles/vancouver" locale="en-US" hasBibliography="1" bibliographyStyleHasBeenSet="1"/&gt;&lt;prefs&gt;&lt;pref name="fieldType" value="Field"/&gt;&lt;pref name="automati</vt:lpwstr>
  </property>
  <property fmtid="{D5CDD505-2E9C-101B-9397-08002B2CF9AE}" pid="3" name="ZOTERO_PREF_2">
    <vt:lpwstr>cJournalAbbreviations" value="true"/&gt;&lt;/prefs&gt;&lt;/data&gt;</vt:lpwstr>
  </property>
</Properties>
</file>