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371774D" w14:textId="77777777" w:rsidR="001927DA" w:rsidRPr="000651D6" w:rsidRDefault="001927DA" w:rsidP="001E1152">
      <w:pPr>
        <w:spacing w:line="360" w:lineRule="auto"/>
        <w:jc w:val="both"/>
        <w:rPr>
          <w:rFonts w:asciiTheme="majorHAnsi" w:hAnsiTheme="majorHAnsi"/>
          <w:b/>
        </w:rPr>
      </w:pPr>
      <w:r w:rsidRPr="000651D6">
        <w:rPr>
          <w:rFonts w:asciiTheme="majorHAnsi" w:hAnsiTheme="majorHAnsi"/>
          <w:b/>
        </w:rPr>
        <w:t>Abstract</w:t>
      </w:r>
    </w:p>
    <w:p w14:paraId="6E02A469" w14:textId="77777777" w:rsidR="001927DA" w:rsidRPr="000651D6" w:rsidRDefault="001927DA" w:rsidP="001E1152">
      <w:pPr>
        <w:spacing w:line="360" w:lineRule="auto"/>
        <w:jc w:val="both"/>
        <w:rPr>
          <w:rFonts w:asciiTheme="majorHAnsi" w:hAnsiTheme="majorHAnsi"/>
          <w:b/>
        </w:rPr>
      </w:pPr>
    </w:p>
    <w:p w14:paraId="7A921ACB" w14:textId="2FB54747" w:rsidR="00564A1D" w:rsidRPr="000651D6" w:rsidRDefault="00564A1D" w:rsidP="001E1152">
      <w:pPr>
        <w:spacing w:line="360" w:lineRule="auto"/>
        <w:jc w:val="both"/>
        <w:rPr>
          <w:rFonts w:asciiTheme="majorHAnsi" w:hAnsiTheme="majorHAnsi"/>
        </w:rPr>
      </w:pPr>
      <w:r w:rsidRPr="000651D6">
        <w:rPr>
          <w:rFonts w:asciiTheme="majorHAnsi" w:hAnsiTheme="majorHAnsi"/>
        </w:rPr>
        <w:t>Issues of human rights are at the heart of correctional healthcare. This article aims to bring a discussion of human rights into debates on how such policy should be best organized. It does so by suggesting the European approach to human rights in correctional healthcare as model for other nations seeking to improve their prison systems. The article describes the position of the European Court of Human Rights on the topics of access to healthcare, ill health and release from prison, mental illness in prison, and the duty to provide rehabilitative programming for those seeking to reduce their level of 'risk'. It provides some practical suggestions for reform of correctional healthcare based on the human rights principles analyzed, and suggests that legal frameworks have much to offer healthcare leaders seeking to uphold the dignity of those in their care.</w:t>
      </w:r>
    </w:p>
    <w:p w14:paraId="766A554A" w14:textId="77777777" w:rsidR="001927DA" w:rsidRPr="000651D6" w:rsidRDefault="001927DA" w:rsidP="001E1152">
      <w:pPr>
        <w:spacing w:line="360" w:lineRule="auto"/>
        <w:jc w:val="both"/>
        <w:rPr>
          <w:rFonts w:asciiTheme="majorHAnsi" w:hAnsiTheme="majorHAnsi"/>
          <w:b/>
        </w:rPr>
      </w:pPr>
    </w:p>
    <w:p w14:paraId="7AEF0AF1" w14:textId="52FA790C" w:rsidR="002B15CA" w:rsidRPr="000651D6" w:rsidRDefault="00B8160B" w:rsidP="001E1152">
      <w:pPr>
        <w:spacing w:line="360" w:lineRule="auto"/>
        <w:jc w:val="both"/>
        <w:rPr>
          <w:rFonts w:asciiTheme="majorHAnsi" w:hAnsiTheme="majorHAnsi"/>
          <w:b/>
        </w:rPr>
      </w:pPr>
      <w:r w:rsidRPr="000651D6">
        <w:rPr>
          <w:rFonts w:asciiTheme="majorHAnsi" w:hAnsiTheme="majorHAnsi"/>
          <w:b/>
        </w:rPr>
        <w:t>Background</w:t>
      </w:r>
      <w:r w:rsidR="00A850F0" w:rsidRPr="000651D6">
        <w:rPr>
          <w:rFonts w:asciiTheme="majorHAnsi" w:hAnsiTheme="majorHAnsi"/>
          <w:b/>
        </w:rPr>
        <w:t xml:space="preserve">: </w:t>
      </w:r>
      <w:r w:rsidR="00E943DE" w:rsidRPr="000651D6">
        <w:rPr>
          <w:rFonts w:asciiTheme="majorHAnsi" w:hAnsiTheme="majorHAnsi"/>
          <w:b/>
        </w:rPr>
        <w:t>Protecting human rights in</w:t>
      </w:r>
      <w:r w:rsidR="002B15CA" w:rsidRPr="000651D6">
        <w:rPr>
          <w:rFonts w:asciiTheme="majorHAnsi" w:hAnsiTheme="majorHAnsi"/>
          <w:b/>
        </w:rPr>
        <w:t xml:space="preserve"> </w:t>
      </w:r>
      <w:r w:rsidR="00607BA3" w:rsidRPr="000651D6">
        <w:rPr>
          <w:rFonts w:asciiTheme="majorHAnsi" w:hAnsiTheme="majorHAnsi"/>
          <w:b/>
        </w:rPr>
        <w:t>correctional healthcare</w:t>
      </w:r>
      <w:r w:rsidR="00E943DE" w:rsidRPr="000651D6">
        <w:rPr>
          <w:rFonts w:asciiTheme="majorHAnsi" w:hAnsiTheme="majorHAnsi"/>
          <w:b/>
        </w:rPr>
        <w:t xml:space="preserve"> </w:t>
      </w:r>
    </w:p>
    <w:p w14:paraId="3F83BDF5" w14:textId="77777777" w:rsidR="00F200DF" w:rsidRPr="000651D6" w:rsidRDefault="00F200DF" w:rsidP="001E1152">
      <w:pPr>
        <w:spacing w:line="360" w:lineRule="auto"/>
        <w:jc w:val="both"/>
        <w:rPr>
          <w:rFonts w:asciiTheme="majorHAnsi" w:hAnsiTheme="majorHAnsi"/>
          <w:b/>
        </w:rPr>
      </w:pPr>
    </w:p>
    <w:p w14:paraId="3C1B23F7" w14:textId="1A309673" w:rsidR="007D4CEC" w:rsidRPr="000651D6" w:rsidRDefault="00A3574F" w:rsidP="001E1152">
      <w:pPr>
        <w:spacing w:line="360" w:lineRule="auto"/>
        <w:jc w:val="both"/>
        <w:rPr>
          <w:rFonts w:asciiTheme="majorHAnsi" w:hAnsiTheme="majorHAnsi"/>
        </w:rPr>
      </w:pPr>
      <w:r w:rsidRPr="000651D6">
        <w:rPr>
          <w:rFonts w:asciiTheme="majorHAnsi" w:hAnsiTheme="majorHAnsi"/>
        </w:rPr>
        <w:t>Prisons</w:t>
      </w:r>
      <w:r w:rsidR="0086035F" w:rsidRPr="000651D6">
        <w:rPr>
          <w:rFonts w:asciiTheme="majorHAnsi" w:hAnsiTheme="majorHAnsi"/>
        </w:rPr>
        <w:t xml:space="preserve"> and jails</w:t>
      </w:r>
      <w:r w:rsidRPr="000651D6">
        <w:rPr>
          <w:rFonts w:asciiTheme="majorHAnsi" w:hAnsiTheme="majorHAnsi"/>
        </w:rPr>
        <w:t xml:space="preserve"> are emi</w:t>
      </w:r>
      <w:r w:rsidR="001D22F3" w:rsidRPr="000651D6">
        <w:rPr>
          <w:rFonts w:asciiTheme="majorHAnsi" w:hAnsiTheme="majorHAnsi"/>
        </w:rPr>
        <w:t>nently rule-bound institutions. Legal</w:t>
      </w:r>
      <w:r w:rsidR="00174E0F" w:rsidRPr="000651D6">
        <w:rPr>
          <w:rFonts w:asciiTheme="majorHAnsi" w:hAnsiTheme="majorHAnsi"/>
        </w:rPr>
        <w:t xml:space="preserve"> frameworks</w:t>
      </w:r>
      <w:r w:rsidR="005314B0" w:rsidRPr="000651D6">
        <w:rPr>
          <w:rFonts w:asciiTheme="majorHAnsi" w:hAnsiTheme="majorHAnsi"/>
        </w:rPr>
        <w:t xml:space="preserve"> shape the working lives of healthcare professionals working with prisoners, as well as prisoners. </w:t>
      </w:r>
      <w:r w:rsidR="00952901" w:rsidRPr="000651D6">
        <w:rPr>
          <w:rFonts w:asciiTheme="majorHAnsi" w:hAnsiTheme="majorHAnsi"/>
        </w:rPr>
        <w:t>They are especially important in sites where security and care can often be in tension (Rhodes, 2006; Lovell, 2015).</w:t>
      </w:r>
    </w:p>
    <w:p w14:paraId="783F8AE7" w14:textId="77777777" w:rsidR="007D4CEC" w:rsidRPr="000651D6" w:rsidRDefault="007D4CEC" w:rsidP="001E1152">
      <w:pPr>
        <w:spacing w:line="360" w:lineRule="auto"/>
        <w:jc w:val="both"/>
        <w:rPr>
          <w:rFonts w:asciiTheme="majorHAnsi" w:hAnsiTheme="majorHAnsi"/>
        </w:rPr>
      </w:pPr>
    </w:p>
    <w:p w14:paraId="645151EE" w14:textId="4662AC60" w:rsidR="009D7280" w:rsidRPr="000651D6" w:rsidRDefault="00F00CE9" w:rsidP="001E1152">
      <w:pPr>
        <w:spacing w:line="360" w:lineRule="auto"/>
        <w:jc w:val="both"/>
        <w:rPr>
          <w:rFonts w:asciiTheme="majorHAnsi" w:hAnsiTheme="majorHAnsi"/>
        </w:rPr>
      </w:pPr>
      <w:r w:rsidRPr="000651D6">
        <w:rPr>
          <w:rFonts w:asciiTheme="majorHAnsi" w:hAnsiTheme="majorHAnsi"/>
        </w:rPr>
        <w:t xml:space="preserve">Correctional or prison law can be a key source of protection for those in prison, in both practical and symbolic ways. </w:t>
      </w:r>
      <w:r w:rsidR="009F73DB" w:rsidRPr="000651D6">
        <w:rPr>
          <w:rFonts w:asciiTheme="majorHAnsi" w:hAnsiTheme="majorHAnsi"/>
        </w:rPr>
        <w:t xml:space="preserve">Europe has created a set of human rights standards for correctional healthcare which aim to ensure that core European values are reflected in its criminal justice systems. </w:t>
      </w:r>
      <w:r w:rsidR="009D7280" w:rsidRPr="000651D6">
        <w:rPr>
          <w:rFonts w:asciiTheme="majorHAnsi" w:hAnsiTheme="majorHAnsi"/>
        </w:rPr>
        <w:t xml:space="preserve">This approach can serve as a model for other nations seeking to improve correctional healthcare. </w:t>
      </w:r>
      <w:r w:rsidR="001E1152" w:rsidRPr="000651D6">
        <w:rPr>
          <w:rFonts w:asciiTheme="majorHAnsi" w:hAnsiTheme="majorHAnsi"/>
        </w:rPr>
        <w:t xml:space="preserve">This article argues that applying the principles of European human rights law which govern correctional healthcare will promote better clinical outcomes for prisoners, a better working environment for healthcare staff in prisons, and the promotion of human dignity and the prevention of ill-treatment in correctional systems. </w:t>
      </w:r>
    </w:p>
    <w:p w14:paraId="6B7462F4" w14:textId="77777777" w:rsidR="009D7280" w:rsidRPr="000651D6" w:rsidRDefault="009D7280" w:rsidP="001E1152">
      <w:pPr>
        <w:spacing w:line="360" w:lineRule="auto"/>
        <w:jc w:val="both"/>
        <w:rPr>
          <w:rFonts w:asciiTheme="majorHAnsi" w:hAnsiTheme="majorHAnsi"/>
        </w:rPr>
      </w:pPr>
    </w:p>
    <w:p w14:paraId="38C0A765" w14:textId="7D17C0E3" w:rsidR="009F73DB" w:rsidRPr="000651D6" w:rsidRDefault="001E1152" w:rsidP="001E1152">
      <w:pPr>
        <w:spacing w:line="360" w:lineRule="auto"/>
        <w:jc w:val="both"/>
        <w:rPr>
          <w:rFonts w:asciiTheme="majorHAnsi" w:hAnsiTheme="majorHAnsi"/>
          <w:iCs/>
        </w:rPr>
      </w:pPr>
      <w:r w:rsidRPr="000651D6">
        <w:rPr>
          <w:rFonts w:asciiTheme="majorHAnsi" w:hAnsiTheme="majorHAnsi"/>
        </w:rPr>
        <w:lastRenderedPageBreak/>
        <w:t xml:space="preserve">The European approach to human rights in prisons is distinctive. </w:t>
      </w:r>
      <w:r w:rsidR="001F30B2" w:rsidRPr="000651D6">
        <w:rPr>
          <w:rFonts w:asciiTheme="majorHAnsi" w:hAnsiTheme="majorHAnsi"/>
        </w:rPr>
        <w:t>The</w:t>
      </w:r>
      <w:r w:rsidR="00564A1D" w:rsidRPr="000651D6">
        <w:rPr>
          <w:rFonts w:asciiTheme="majorHAnsi" w:hAnsiTheme="majorHAnsi"/>
        </w:rPr>
        <w:t xml:space="preserve"> protection </w:t>
      </w:r>
      <w:r w:rsidR="00A5092C" w:rsidRPr="000651D6">
        <w:rPr>
          <w:rFonts w:asciiTheme="majorHAnsi" w:hAnsiTheme="majorHAnsi"/>
        </w:rPr>
        <w:t>of</w:t>
      </w:r>
      <w:r w:rsidR="00564A1D" w:rsidRPr="000651D6">
        <w:rPr>
          <w:rFonts w:asciiTheme="majorHAnsi" w:hAnsiTheme="majorHAnsi"/>
        </w:rPr>
        <w:t xml:space="preserve"> the rights of those in prisons</w:t>
      </w:r>
      <w:r w:rsidR="001F30B2" w:rsidRPr="000651D6">
        <w:rPr>
          <w:rFonts w:asciiTheme="majorHAnsi" w:hAnsiTheme="majorHAnsi"/>
        </w:rPr>
        <w:t xml:space="preserve"> has been identified as a central feature of European prison law</w:t>
      </w:r>
      <w:r w:rsidR="00564A1D" w:rsidRPr="000651D6">
        <w:rPr>
          <w:rFonts w:asciiTheme="majorHAnsi" w:hAnsiTheme="majorHAnsi"/>
        </w:rPr>
        <w:t xml:space="preserve"> (</w:t>
      </w:r>
      <w:r w:rsidR="00FC3777" w:rsidRPr="000651D6">
        <w:rPr>
          <w:rFonts w:asciiTheme="majorHAnsi" w:hAnsiTheme="majorHAnsi"/>
        </w:rPr>
        <w:t>Girling, 2006; van Z</w:t>
      </w:r>
      <w:r w:rsidR="009D7280" w:rsidRPr="000651D6">
        <w:rPr>
          <w:rFonts w:asciiTheme="majorHAnsi" w:hAnsiTheme="majorHAnsi"/>
        </w:rPr>
        <w:t>yl Smit and Snacken, 2009; Snacken, 2010; Daems et al, 2014</w:t>
      </w:r>
      <w:r w:rsidR="00564A1D" w:rsidRPr="000651D6">
        <w:rPr>
          <w:rFonts w:asciiTheme="majorHAnsi" w:hAnsiTheme="majorHAnsi"/>
        </w:rPr>
        <w:t xml:space="preserve">). </w:t>
      </w:r>
      <w:r w:rsidR="009D7280" w:rsidRPr="000651D6">
        <w:rPr>
          <w:rFonts w:asciiTheme="majorHAnsi" w:hAnsiTheme="majorHAnsi"/>
        </w:rPr>
        <w:t xml:space="preserve">Striking features of </w:t>
      </w:r>
      <w:r w:rsidR="00A5092C" w:rsidRPr="000651D6">
        <w:rPr>
          <w:rFonts w:asciiTheme="majorHAnsi" w:hAnsiTheme="majorHAnsi"/>
        </w:rPr>
        <w:t>that</w:t>
      </w:r>
      <w:r w:rsidR="009D7280" w:rsidRPr="000651D6">
        <w:rPr>
          <w:rFonts w:asciiTheme="majorHAnsi" w:hAnsiTheme="majorHAnsi"/>
        </w:rPr>
        <w:t xml:space="preserve"> law which exemplify </w:t>
      </w:r>
      <w:r w:rsidR="001F30B2" w:rsidRPr="000651D6">
        <w:rPr>
          <w:rFonts w:asciiTheme="majorHAnsi" w:hAnsiTheme="majorHAnsi"/>
        </w:rPr>
        <w:t>European values</w:t>
      </w:r>
      <w:r w:rsidR="009D7280" w:rsidRPr="000651D6">
        <w:rPr>
          <w:rFonts w:asciiTheme="majorHAnsi" w:hAnsiTheme="majorHAnsi"/>
        </w:rPr>
        <w:t xml:space="preserve"> include the prohibition on sentences which exclude any possibiilty of a review to assess a p</w:t>
      </w:r>
      <w:r w:rsidR="006B5982" w:rsidRPr="000651D6">
        <w:rPr>
          <w:rFonts w:asciiTheme="majorHAnsi" w:hAnsiTheme="majorHAnsi"/>
        </w:rPr>
        <w:t>erson’s prospects for release (van Zyl Smit Weatherby and Creighton, 2014; Rogan, 2015</w:t>
      </w:r>
      <w:r w:rsidR="009D7280" w:rsidRPr="000651D6">
        <w:rPr>
          <w:rFonts w:asciiTheme="majorHAnsi" w:hAnsiTheme="majorHAnsi"/>
        </w:rPr>
        <w:t xml:space="preserve">), an emerging right of access </w:t>
      </w:r>
      <w:r w:rsidR="006B5982" w:rsidRPr="000651D6">
        <w:rPr>
          <w:rFonts w:asciiTheme="majorHAnsi" w:hAnsiTheme="majorHAnsi"/>
        </w:rPr>
        <w:t>to rehabilitative programming (van Zyl Smit, 2013</w:t>
      </w:r>
      <w:r w:rsidR="009D7280" w:rsidRPr="000651D6">
        <w:rPr>
          <w:rFonts w:asciiTheme="majorHAnsi" w:hAnsiTheme="majorHAnsi"/>
        </w:rPr>
        <w:t>), and regular inspection and monitoring</w:t>
      </w:r>
      <w:r w:rsidR="006B5982" w:rsidRPr="000651D6">
        <w:rPr>
          <w:rFonts w:asciiTheme="majorHAnsi" w:hAnsiTheme="majorHAnsi"/>
        </w:rPr>
        <w:t xml:space="preserve"> (discussed further below)</w:t>
      </w:r>
      <w:r w:rsidR="009D7280" w:rsidRPr="000651D6">
        <w:rPr>
          <w:rFonts w:asciiTheme="majorHAnsi" w:hAnsiTheme="majorHAnsi"/>
        </w:rPr>
        <w:t xml:space="preserve">. Perhaps the most succinct summary of European values in the context of prisons can be found in a decision of the European Court of Human Rights in the case of </w:t>
      </w:r>
      <w:r w:rsidR="009D7280" w:rsidRPr="000651D6">
        <w:rPr>
          <w:rFonts w:asciiTheme="majorHAnsi" w:hAnsiTheme="majorHAnsi"/>
          <w:i/>
          <w:iCs/>
        </w:rPr>
        <w:t xml:space="preserve">Hirst v United Kingdom (No. 2) </w:t>
      </w:r>
      <w:r w:rsidR="00063AB9" w:rsidRPr="000651D6">
        <w:rPr>
          <w:rFonts w:asciiTheme="majorHAnsi" w:hAnsiTheme="majorHAnsi"/>
          <w:iCs/>
        </w:rPr>
        <w:t>(6 October 2005,</w:t>
      </w:r>
      <w:r w:rsidR="009D7280" w:rsidRPr="000651D6">
        <w:rPr>
          <w:rFonts w:asciiTheme="majorHAnsi" w:hAnsiTheme="majorHAnsi"/>
        </w:rPr>
        <w:t xml:space="preserve"> no. 74025/01</w:t>
      </w:r>
      <w:r w:rsidR="009D7280" w:rsidRPr="000651D6">
        <w:rPr>
          <w:rFonts w:asciiTheme="majorHAnsi" w:hAnsiTheme="majorHAnsi"/>
          <w:iCs/>
        </w:rPr>
        <w:t>), which concerned the right of prisoners to vote. Referring to the European Convention on Human Rights (a treaty containing protections for fundamental rights, described below), the Court stated:</w:t>
      </w:r>
    </w:p>
    <w:p w14:paraId="78E847DF" w14:textId="77777777" w:rsidR="009D7280" w:rsidRPr="000651D6" w:rsidRDefault="009D7280" w:rsidP="001E1152">
      <w:pPr>
        <w:spacing w:line="360" w:lineRule="auto"/>
        <w:jc w:val="both"/>
        <w:rPr>
          <w:rFonts w:asciiTheme="majorHAnsi" w:hAnsiTheme="majorHAnsi"/>
          <w:iCs/>
        </w:rPr>
      </w:pPr>
    </w:p>
    <w:p w14:paraId="40C742F0" w14:textId="44C37AE3" w:rsidR="009D7280" w:rsidRPr="000651D6" w:rsidRDefault="009D7280" w:rsidP="001E1152">
      <w:pPr>
        <w:spacing w:line="360" w:lineRule="auto"/>
        <w:ind w:left="720"/>
        <w:jc w:val="both"/>
        <w:rPr>
          <w:rFonts w:asciiTheme="majorHAnsi" w:hAnsiTheme="majorHAnsi"/>
        </w:rPr>
      </w:pPr>
      <w:r w:rsidRPr="000651D6">
        <w:rPr>
          <w:rFonts w:asciiTheme="majorHAnsi" w:hAnsiTheme="majorHAnsi"/>
        </w:rPr>
        <w:t>There is no question … that a prisoner forfeits his Convention rights merely because of his status as a person detained following conviction. Nor is there any place under the Convention system, where tolerance and broadmindedness are the acknowledged hallmarks of democratic society, for automatic disenfranchisement based purely on what might offend public opinion. (at para 70)</w:t>
      </w:r>
    </w:p>
    <w:p w14:paraId="51E2A1AF" w14:textId="77777777" w:rsidR="009F73DB" w:rsidRPr="000651D6" w:rsidRDefault="009F73DB" w:rsidP="001E1152">
      <w:pPr>
        <w:spacing w:line="360" w:lineRule="auto"/>
        <w:jc w:val="both"/>
        <w:rPr>
          <w:rFonts w:asciiTheme="majorHAnsi" w:hAnsiTheme="majorHAnsi"/>
        </w:rPr>
      </w:pPr>
    </w:p>
    <w:p w14:paraId="46D27784" w14:textId="3136C065" w:rsidR="0030144F" w:rsidRPr="000651D6" w:rsidRDefault="0030144F" w:rsidP="001E1152">
      <w:pPr>
        <w:spacing w:line="360" w:lineRule="auto"/>
        <w:jc w:val="both"/>
        <w:rPr>
          <w:rFonts w:asciiTheme="majorHAnsi" w:hAnsiTheme="majorHAnsi"/>
        </w:rPr>
      </w:pPr>
      <w:r w:rsidRPr="000651D6">
        <w:rPr>
          <w:rFonts w:asciiTheme="majorHAnsi" w:hAnsiTheme="majorHAnsi"/>
        </w:rPr>
        <w:t>This statement that prisoners do not forfeit their rights while in detention also animates the European approach to healthcare in p</w:t>
      </w:r>
      <w:r w:rsidR="001F30B2" w:rsidRPr="000651D6">
        <w:rPr>
          <w:rFonts w:asciiTheme="majorHAnsi" w:hAnsiTheme="majorHAnsi"/>
        </w:rPr>
        <w:t>risons, which is the focus of</w:t>
      </w:r>
      <w:r w:rsidRPr="000651D6">
        <w:rPr>
          <w:rFonts w:asciiTheme="majorHAnsi" w:hAnsiTheme="majorHAnsi"/>
        </w:rPr>
        <w:t xml:space="preserve"> discussion here.</w:t>
      </w:r>
    </w:p>
    <w:p w14:paraId="02A28AC3" w14:textId="77777777" w:rsidR="0030144F" w:rsidRPr="000651D6" w:rsidRDefault="0030144F" w:rsidP="001E1152">
      <w:pPr>
        <w:spacing w:line="360" w:lineRule="auto"/>
        <w:jc w:val="both"/>
        <w:rPr>
          <w:rFonts w:asciiTheme="majorHAnsi" w:hAnsiTheme="majorHAnsi"/>
        </w:rPr>
      </w:pPr>
    </w:p>
    <w:p w14:paraId="7E61A829" w14:textId="13AA2D8F" w:rsidR="009F73DB" w:rsidRPr="000651D6" w:rsidRDefault="009F73DB" w:rsidP="001E1152">
      <w:pPr>
        <w:spacing w:line="360" w:lineRule="auto"/>
        <w:jc w:val="both"/>
        <w:rPr>
          <w:rFonts w:asciiTheme="majorHAnsi" w:hAnsiTheme="majorHAnsi"/>
        </w:rPr>
      </w:pPr>
      <w:r w:rsidRPr="000651D6">
        <w:rPr>
          <w:rFonts w:asciiTheme="majorHAnsi" w:hAnsiTheme="majorHAnsi"/>
        </w:rPr>
        <w:t xml:space="preserve">This article will first describe the role of the Council of Europe as a main source of legal instruments </w:t>
      </w:r>
      <w:r w:rsidR="00434DE0" w:rsidRPr="000651D6">
        <w:rPr>
          <w:rFonts w:asciiTheme="majorHAnsi" w:hAnsiTheme="majorHAnsi"/>
        </w:rPr>
        <w:t>on prison conditions in its</w:t>
      </w:r>
      <w:r w:rsidRPr="000651D6">
        <w:rPr>
          <w:rFonts w:asciiTheme="majorHAnsi" w:hAnsiTheme="majorHAnsi"/>
        </w:rPr>
        <w:t xml:space="preserve"> member states. Next it will introduce examples of how two </w:t>
      </w:r>
      <w:r w:rsidR="00434DE0" w:rsidRPr="000651D6">
        <w:rPr>
          <w:rFonts w:asciiTheme="majorHAnsi" w:hAnsiTheme="majorHAnsi"/>
        </w:rPr>
        <w:t xml:space="preserve">Articles </w:t>
      </w:r>
      <w:r w:rsidRPr="000651D6">
        <w:rPr>
          <w:rFonts w:asciiTheme="majorHAnsi" w:hAnsiTheme="majorHAnsi"/>
        </w:rPr>
        <w:t xml:space="preserve">of the Council of Europe’s foundational document, the European Convention on Human Rights, have been used to judge </w:t>
      </w:r>
      <w:r w:rsidR="007D4CEC" w:rsidRPr="000651D6">
        <w:rPr>
          <w:rFonts w:asciiTheme="majorHAnsi" w:hAnsiTheme="majorHAnsi"/>
        </w:rPr>
        <w:t xml:space="preserve">aspects of </w:t>
      </w:r>
      <w:r w:rsidRPr="000651D6">
        <w:rPr>
          <w:rFonts w:asciiTheme="majorHAnsi" w:hAnsiTheme="majorHAnsi"/>
        </w:rPr>
        <w:t>the adequacy and appropriateness of correctional healthcare.</w:t>
      </w:r>
      <w:r w:rsidR="00B23DB0" w:rsidRPr="000651D6">
        <w:rPr>
          <w:rStyle w:val="FootnoteReference"/>
          <w:rFonts w:asciiTheme="majorHAnsi" w:hAnsiTheme="majorHAnsi"/>
        </w:rPr>
        <w:footnoteReference w:id="1"/>
      </w:r>
      <w:r w:rsidRPr="000651D6">
        <w:rPr>
          <w:rFonts w:asciiTheme="majorHAnsi" w:hAnsiTheme="majorHAnsi"/>
        </w:rPr>
        <w:t xml:space="preserve"> Finally, it ends with a </w:t>
      </w:r>
      <w:r w:rsidRPr="000651D6">
        <w:rPr>
          <w:rFonts w:asciiTheme="majorHAnsi" w:hAnsiTheme="majorHAnsi"/>
        </w:rPr>
        <w:lastRenderedPageBreak/>
        <w:t>series of recommendations, derived from the legal analysis set forth, for how other nations can take a human rights</w:t>
      </w:r>
      <w:r w:rsidR="001D22F3" w:rsidRPr="000651D6">
        <w:rPr>
          <w:rFonts w:asciiTheme="majorHAnsi" w:hAnsiTheme="majorHAnsi"/>
        </w:rPr>
        <w:t xml:space="preserve"> approach to improving correctional healthcare</w:t>
      </w:r>
      <w:r w:rsidRPr="000651D6">
        <w:rPr>
          <w:rFonts w:asciiTheme="majorHAnsi" w:hAnsiTheme="majorHAnsi"/>
        </w:rPr>
        <w:t>.</w:t>
      </w:r>
    </w:p>
    <w:p w14:paraId="037D3B30" w14:textId="77777777" w:rsidR="009F73DB" w:rsidRPr="000651D6" w:rsidRDefault="009F73DB" w:rsidP="001E1152">
      <w:pPr>
        <w:spacing w:line="360" w:lineRule="auto"/>
        <w:jc w:val="both"/>
        <w:rPr>
          <w:rFonts w:asciiTheme="majorHAnsi" w:hAnsiTheme="majorHAnsi"/>
        </w:rPr>
      </w:pPr>
    </w:p>
    <w:p w14:paraId="1BC80DD2" w14:textId="2DB44EA7" w:rsidR="00F060E8" w:rsidRPr="000651D6" w:rsidRDefault="00867E73" w:rsidP="001E1152">
      <w:pPr>
        <w:spacing w:line="360" w:lineRule="auto"/>
        <w:jc w:val="both"/>
        <w:rPr>
          <w:rFonts w:asciiTheme="majorHAnsi" w:hAnsiTheme="majorHAnsi"/>
        </w:rPr>
      </w:pPr>
      <w:r w:rsidRPr="000651D6">
        <w:rPr>
          <w:rFonts w:asciiTheme="majorHAnsi" w:hAnsiTheme="majorHAnsi"/>
        </w:rPr>
        <w:t>This</w:t>
      </w:r>
      <w:r w:rsidR="00952901" w:rsidRPr="000651D6">
        <w:rPr>
          <w:rFonts w:asciiTheme="majorHAnsi" w:hAnsiTheme="majorHAnsi"/>
        </w:rPr>
        <w:t xml:space="preserve"> article does not purport</w:t>
      </w:r>
      <w:r w:rsidRPr="000651D6">
        <w:rPr>
          <w:rFonts w:asciiTheme="majorHAnsi" w:hAnsiTheme="majorHAnsi"/>
        </w:rPr>
        <w:t xml:space="preserve"> to say that correctional law or indeed litigation necessarily leads to good outcomes for incarcerated people (Johal, 2014; Schlanger 2015; Kerr, 2015; Guetzkow and Schoon, 2015). Nor is it to say that all European countries follow the principles set for them by their human rights law (Daems, 2016)</w:t>
      </w:r>
      <w:r w:rsidR="00B23DB0" w:rsidRPr="000651D6">
        <w:rPr>
          <w:rFonts w:asciiTheme="majorHAnsi" w:hAnsiTheme="majorHAnsi"/>
        </w:rPr>
        <w:t xml:space="preserve"> nor that they can be forced to</w:t>
      </w:r>
      <w:r w:rsidR="00AA00F1" w:rsidRPr="000651D6">
        <w:rPr>
          <w:rFonts w:asciiTheme="majorHAnsi" w:hAnsiTheme="majorHAnsi"/>
        </w:rPr>
        <w:t xml:space="preserve"> by the European Court of Human Rights</w:t>
      </w:r>
      <w:r w:rsidRPr="000651D6">
        <w:rPr>
          <w:rFonts w:asciiTheme="majorHAnsi" w:hAnsiTheme="majorHAnsi"/>
        </w:rPr>
        <w:t xml:space="preserve">. </w:t>
      </w:r>
      <w:r w:rsidR="007D4CEC" w:rsidRPr="000651D6">
        <w:rPr>
          <w:rFonts w:asciiTheme="majorHAnsi" w:hAnsiTheme="majorHAnsi"/>
        </w:rPr>
        <w:t>Nevertheless,</w:t>
      </w:r>
      <w:r w:rsidR="00D96793" w:rsidRPr="000651D6">
        <w:rPr>
          <w:rFonts w:asciiTheme="majorHAnsi" w:hAnsiTheme="majorHAnsi"/>
        </w:rPr>
        <w:t xml:space="preserve"> it </w:t>
      </w:r>
      <w:r w:rsidR="00952901" w:rsidRPr="000651D6">
        <w:rPr>
          <w:rFonts w:asciiTheme="majorHAnsi" w:hAnsiTheme="majorHAnsi"/>
        </w:rPr>
        <w:t>is the case</w:t>
      </w:r>
      <w:r w:rsidR="00D96793" w:rsidRPr="000651D6">
        <w:rPr>
          <w:rFonts w:asciiTheme="majorHAnsi" w:hAnsiTheme="majorHAnsi"/>
        </w:rPr>
        <w:t xml:space="preserve"> that European law has made the treatment of prisoners and the protection of their rights a </w:t>
      </w:r>
      <w:r w:rsidR="00952901" w:rsidRPr="000651D6">
        <w:rPr>
          <w:rFonts w:asciiTheme="majorHAnsi" w:hAnsiTheme="majorHAnsi"/>
        </w:rPr>
        <w:t>singular</w:t>
      </w:r>
      <w:r w:rsidR="00D96793" w:rsidRPr="000651D6">
        <w:rPr>
          <w:rFonts w:asciiTheme="majorHAnsi" w:hAnsiTheme="majorHAnsi"/>
        </w:rPr>
        <w:t xml:space="preserve"> focus.</w:t>
      </w:r>
      <w:r w:rsidR="00434DE0" w:rsidRPr="000651D6">
        <w:rPr>
          <w:rStyle w:val="FootnoteReference"/>
          <w:rFonts w:asciiTheme="majorHAnsi" w:hAnsiTheme="majorHAnsi"/>
        </w:rPr>
        <w:footnoteReference w:id="2"/>
      </w:r>
      <w:r w:rsidR="00D96793" w:rsidRPr="000651D6">
        <w:rPr>
          <w:rFonts w:asciiTheme="majorHAnsi" w:hAnsiTheme="majorHAnsi"/>
        </w:rPr>
        <w:t xml:space="preserve"> </w:t>
      </w:r>
      <w:r w:rsidR="003F3EF1" w:rsidRPr="000651D6">
        <w:rPr>
          <w:rFonts w:asciiTheme="majorHAnsi" w:hAnsiTheme="majorHAnsi"/>
        </w:rPr>
        <w:t xml:space="preserve">This article argues that </w:t>
      </w:r>
      <w:r w:rsidR="00AA00F1" w:rsidRPr="000651D6">
        <w:rPr>
          <w:rFonts w:asciiTheme="majorHAnsi" w:hAnsiTheme="majorHAnsi"/>
        </w:rPr>
        <w:t xml:space="preserve">implementing </w:t>
      </w:r>
      <w:r w:rsidR="003F3EF1" w:rsidRPr="000651D6">
        <w:rPr>
          <w:rFonts w:asciiTheme="majorHAnsi" w:hAnsiTheme="majorHAnsi"/>
        </w:rPr>
        <w:t>the human rights frame</w:t>
      </w:r>
      <w:r w:rsidR="00AA00F1" w:rsidRPr="000651D6">
        <w:rPr>
          <w:rFonts w:asciiTheme="majorHAnsi" w:hAnsiTheme="majorHAnsi"/>
        </w:rPr>
        <w:t xml:space="preserve">work outlined here will provide better outcomes for practitioners, their patients, and ultimately the correctional system as a whole. </w:t>
      </w:r>
    </w:p>
    <w:p w14:paraId="5CDC96AF" w14:textId="77777777" w:rsidR="006A3A2F" w:rsidRPr="000651D6" w:rsidRDefault="006A3A2F" w:rsidP="001E1152">
      <w:pPr>
        <w:spacing w:line="360" w:lineRule="auto"/>
        <w:jc w:val="both"/>
        <w:rPr>
          <w:rFonts w:asciiTheme="majorHAnsi" w:hAnsiTheme="majorHAnsi"/>
          <w:i/>
        </w:rPr>
      </w:pPr>
    </w:p>
    <w:p w14:paraId="64C6F53F" w14:textId="77777777" w:rsidR="00867E73" w:rsidRPr="000651D6" w:rsidRDefault="00867E73" w:rsidP="001E1152">
      <w:pPr>
        <w:spacing w:line="360" w:lineRule="auto"/>
        <w:jc w:val="both"/>
        <w:rPr>
          <w:rFonts w:asciiTheme="majorHAnsi" w:hAnsiTheme="majorHAnsi"/>
          <w:b/>
        </w:rPr>
      </w:pPr>
      <w:r w:rsidRPr="000651D6">
        <w:rPr>
          <w:rFonts w:asciiTheme="majorHAnsi" w:hAnsiTheme="majorHAnsi"/>
          <w:b/>
        </w:rPr>
        <w:t>The role of the Council of Europe in improving correctional healthcare</w:t>
      </w:r>
    </w:p>
    <w:p w14:paraId="3FBB686C" w14:textId="77777777" w:rsidR="00867E73" w:rsidRPr="000651D6" w:rsidRDefault="00867E73" w:rsidP="001E1152">
      <w:pPr>
        <w:spacing w:line="360" w:lineRule="auto"/>
        <w:jc w:val="both"/>
        <w:rPr>
          <w:rFonts w:asciiTheme="majorHAnsi" w:hAnsiTheme="majorHAnsi"/>
          <w:b/>
        </w:rPr>
      </w:pPr>
    </w:p>
    <w:p w14:paraId="43E9C009" w14:textId="17039DDC" w:rsidR="003D754F" w:rsidRPr="000651D6" w:rsidRDefault="00D96793" w:rsidP="001E1152">
      <w:pPr>
        <w:spacing w:line="360" w:lineRule="auto"/>
        <w:jc w:val="both"/>
        <w:rPr>
          <w:rFonts w:asciiTheme="majorHAnsi" w:hAnsiTheme="majorHAnsi"/>
        </w:rPr>
      </w:pPr>
      <w:r w:rsidRPr="000651D6">
        <w:rPr>
          <w:rFonts w:asciiTheme="majorHAnsi" w:hAnsiTheme="majorHAnsi"/>
        </w:rPr>
        <w:t>T</w:t>
      </w:r>
      <w:r w:rsidR="00F06738" w:rsidRPr="000651D6">
        <w:rPr>
          <w:rFonts w:asciiTheme="majorHAnsi" w:hAnsiTheme="majorHAnsi"/>
        </w:rPr>
        <w:t xml:space="preserve">he term ‘European’ used here </w:t>
      </w:r>
      <w:r w:rsidR="00434DE0" w:rsidRPr="000651D6">
        <w:rPr>
          <w:rFonts w:asciiTheme="majorHAnsi" w:hAnsiTheme="majorHAnsi"/>
        </w:rPr>
        <w:t>requires</w:t>
      </w:r>
      <w:r w:rsidRPr="000651D6">
        <w:rPr>
          <w:rFonts w:asciiTheme="majorHAnsi" w:hAnsiTheme="majorHAnsi"/>
        </w:rPr>
        <w:t xml:space="preserve"> explanation. </w:t>
      </w:r>
      <w:r w:rsidR="00352964" w:rsidRPr="000651D6">
        <w:rPr>
          <w:rFonts w:asciiTheme="majorHAnsi" w:hAnsiTheme="majorHAnsi"/>
        </w:rPr>
        <w:t xml:space="preserve">The main source of legal instruments and caselaw on prison conditions on a European level </w:t>
      </w:r>
      <w:r w:rsidR="00434DE0" w:rsidRPr="000651D6">
        <w:rPr>
          <w:rFonts w:asciiTheme="majorHAnsi" w:hAnsiTheme="majorHAnsi"/>
        </w:rPr>
        <w:t>is</w:t>
      </w:r>
      <w:r w:rsidR="00352964" w:rsidRPr="000651D6">
        <w:rPr>
          <w:rFonts w:asciiTheme="majorHAnsi" w:hAnsiTheme="majorHAnsi"/>
        </w:rPr>
        <w:t xml:space="preserve"> the Council of Europe. This body, not to be confused with the European Union, </w:t>
      </w:r>
      <w:r w:rsidR="00F060E8" w:rsidRPr="000651D6">
        <w:rPr>
          <w:rFonts w:asciiTheme="majorHAnsi" w:hAnsiTheme="majorHAnsi"/>
        </w:rPr>
        <w:t>compris</w:t>
      </w:r>
      <w:r w:rsidR="00867E73" w:rsidRPr="000651D6">
        <w:rPr>
          <w:rFonts w:asciiTheme="majorHAnsi" w:hAnsiTheme="majorHAnsi"/>
        </w:rPr>
        <w:t>es 47 members, of which 28 are presently i</w:t>
      </w:r>
      <w:r w:rsidR="00F060E8" w:rsidRPr="000651D6">
        <w:rPr>
          <w:rFonts w:asciiTheme="majorHAnsi" w:hAnsiTheme="majorHAnsi"/>
        </w:rPr>
        <w:t xml:space="preserve">n the European Union. </w:t>
      </w:r>
      <w:r w:rsidR="00352964" w:rsidRPr="000651D6">
        <w:rPr>
          <w:rFonts w:asciiTheme="majorHAnsi" w:hAnsiTheme="majorHAnsi"/>
        </w:rPr>
        <w:t xml:space="preserve"> </w:t>
      </w:r>
      <w:r w:rsidR="00E943DE" w:rsidRPr="000651D6">
        <w:rPr>
          <w:rFonts w:asciiTheme="majorHAnsi" w:hAnsiTheme="majorHAnsi"/>
        </w:rPr>
        <w:t>The Council of Europe’s</w:t>
      </w:r>
      <w:r w:rsidR="00F060E8" w:rsidRPr="000651D6">
        <w:rPr>
          <w:rFonts w:asciiTheme="majorHAnsi" w:hAnsiTheme="majorHAnsi"/>
        </w:rPr>
        <w:t xml:space="preserve"> mandate is to promote human rights, democracy and the</w:t>
      </w:r>
      <w:r w:rsidR="00867E73" w:rsidRPr="000651D6">
        <w:rPr>
          <w:rFonts w:asciiTheme="majorHAnsi" w:hAnsiTheme="majorHAnsi"/>
        </w:rPr>
        <w:t xml:space="preserve"> rule of law in Europe.</w:t>
      </w:r>
      <w:r w:rsidR="00867E73" w:rsidRPr="000651D6">
        <w:rPr>
          <w:rStyle w:val="FootnoteReference"/>
          <w:rFonts w:asciiTheme="majorHAnsi" w:hAnsiTheme="majorHAnsi"/>
        </w:rPr>
        <w:footnoteReference w:id="3"/>
      </w:r>
      <w:r w:rsidR="00867E73" w:rsidRPr="000651D6">
        <w:rPr>
          <w:rFonts w:asciiTheme="majorHAnsi" w:hAnsiTheme="majorHAnsi"/>
        </w:rPr>
        <w:t xml:space="preserve"> </w:t>
      </w:r>
    </w:p>
    <w:p w14:paraId="707E15AA" w14:textId="3CC1146A" w:rsidR="001E1152" w:rsidRPr="000651D6" w:rsidRDefault="003D754F" w:rsidP="001E1152">
      <w:pPr>
        <w:pStyle w:val="NormalWeb"/>
        <w:spacing w:line="360" w:lineRule="auto"/>
        <w:jc w:val="both"/>
        <w:rPr>
          <w:rFonts w:asciiTheme="majorHAnsi" w:eastAsiaTheme="minorEastAsia" w:hAnsiTheme="majorHAnsi"/>
          <w:lang w:eastAsia="en-US"/>
        </w:rPr>
      </w:pPr>
      <w:r w:rsidRPr="000651D6">
        <w:rPr>
          <w:rFonts w:asciiTheme="majorHAnsi" w:hAnsiTheme="majorHAnsi"/>
        </w:rPr>
        <w:t>The Council of Europe also maintains a Committee for the Prevention of Torture and Inhuman or Degrading Treatment or Punishment (the CPT).</w:t>
      </w:r>
      <w:r w:rsidR="00F06738" w:rsidRPr="000651D6">
        <w:rPr>
          <w:rStyle w:val="FootnoteReference"/>
          <w:rFonts w:asciiTheme="majorHAnsi" w:hAnsiTheme="majorHAnsi"/>
        </w:rPr>
        <w:footnoteReference w:id="4"/>
      </w:r>
      <w:r w:rsidRPr="000651D6">
        <w:rPr>
          <w:rFonts w:asciiTheme="majorHAnsi" w:hAnsiTheme="majorHAnsi"/>
        </w:rPr>
        <w:t xml:space="preserve"> This b</w:t>
      </w:r>
      <w:r w:rsidR="00B4293A" w:rsidRPr="000651D6">
        <w:rPr>
          <w:rFonts w:asciiTheme="majorHAnsi" w:hAnsiTheme="majorHAnsi"/>
        </w:rPr>
        <w:t xml:space="preserve">ody visits places of detention </w:t>
      </w:r>
      <w:r w:rsidR="00434DE0" w:rsidRPr="000651D6">
        <w:rPr>
          <w:rFonts w:asciiTheme="majorHAnsi" w:hAnsiTheme="majorHAnsi"/>
        </w:rPr>
        <w:t>to monitor how</w:t>
      </w:r>
      <w:r w:rsidRPr="000651D6">
        <w:rPr>
          <w:rFonts w:asciiTheme="majorHAnsi" w:hAnsiTheme="majorHAnsi"/>
        </w:rPr>
        <w:t xml:space="preserve"> detainees are treated. </w:t>
      </w:r>
      <w:r w:rsidR="009D0571" w:rsidRPr="000651D6">
        <w:rPr>
          <w:rFonts w:asciiTheme="majorHAnsi" w:hAnsiTheme="majorHAnsi"/>
        </w:rPr>
        <w:t>It seeks to prevent torture and inhuman or degrading</w:t>
      </w:r>
      <w:r w:rsidR="00952901" w:rsidRPr="000651D6">
        <w:rPr>
          <w:rFonts w:asciiTheme="majorHAnsi" w:hAnsiTheme="majorHAnsi"/>
        </w:rPr>
        <w:t xml:space="preserve"> treatment in</w:t>
      </w:r>
      <w:r w:rsidR="00434DE0" w:rsidRPr="000651D6">
        <w:rPr>
          <w:rFonts w:asciiTheme="majorHAnsi" w:hAnsiTheme="majorHAnsi"/>
        </w:rPr>
        <w:t xml:space="preserve"> member states</w:t>
      </w:r>
      <w:r w:rsidR="009D0571" w:rsidRPr="000651D6">
        <w:rPr>
          <w:rFonts w:asciiTheme="majorHAnsi" w:hAnsiTheme="majorHAnsi"/>
        </w:rPr>
        <w:t xml:space="preserve">. </w:t>
      </w:r>
      <w:r w:rsidR="00AA00F1" w:rsidRPr="000651D6">
        <w:rPr>
          <w:rFonts w:asciiTheme="majorHAnsi" w:hAnsiTheme="majorHAnsi"/>
        </w:rPr>
        <w:t xml:space="preserve">The existence and work of the CPT reflects a European value emphasising the need for oversight and independent monitoring of the prison system. Its reports provide valuable information on the administration of correctional healthcare and prison systems as a whole, and can increase pressure on states to implement reform. </w:t>
      </w:r>
      <w:r w:rsidR="00952901" w:rsidRPr="000651D6">
        <w:rPr>
          <w:rFonts w:asciiTheme="majorHAnsi" w:hAnsiTheme="majorHAnsi"/>
        </w:rPr>
        <w:t>The CPT (2015) em</w:t>
      </w:r>
      <w:r w:rsidR="00BF3B86" w:rsidRPr="000651D6">
        <w:rPr>
          <w:rFonts w:asciiTheme="majorHAnsi" w:hAnsiTheme="majorHAnsi"/>
        </w:rPr>
        <w:t xml:space="preserve">phasizes that all </w:t>
      </w:r>
      <w:r w:rsidR="00BF3B86" w:rsidRPr="000651D6">
        <w:rPr>
          <w:rFonts w:asciiTheme="majorHAnsi" w:hAnsiTheme="majorHAnsi"/>
        </w:rPr>
        <w:lastRenderedPageBreak/>
        <w:t>prisoners should be able to have access to a doctor at any time, and to do so confidentially, a</w:t>
      </w:r>
      <w:r w:rsidR="006413D9" w:rsidRPr="000651D6">
        <w:rPr>
          <w:rFonts w:asciiTheme="majorHAnsi" w:hAnsiTheme="majorHAnsi"/>
        </w:rPr>
        <w:t>nd without screening by a custody</w:t>
      </w:r>
      <w:r w:rsidR="00BF3B86" w:rsidRPr="000651D6">
        <w:rPr>
          <w:rFonts w:asciiTheme="majorHAnsi" w:hAnsiTheme="majorHAnsi"/>
        </w:rPr>
        <w:t xml:space="preserve"> officer.  A central principle put forward </w:t>
      </w:r>
      <w:r w:rsidR="007D4CEC" w:rsidRPr="000651D6">
        <w:rPr>
          <w:rFonts w:asciiTheme="majorHAnsi" w:hAnsiTheme="majorHAnsi"/>
        </w:rPr>
        <w:t>is that of equivalence of care</w:t>
      </w:r>
      <w:r w:rsidR="001F30B2" w:rsidRPr="000651D6">
        <w:rPr>
          <w:rFonts w:asciiTheme="majorHAnsi" w:hAnsiTheme="majorHAnsi"/>
        </w:rPr>
        <w:t>, i.e. that those in prison should receive healthcare of an equivalent standard to that available in the community</w:t>
      </w:r>
      <w:r w:rsidR="002E2FF4" w:rsidRPr="000651D6">
        <w:rPr>
          <w:rFonts w:asciiTheme="majorHAnsi" w:hAnsiTheme="majorHAnsi"/>
        </w:rPr>
        <w:t xml:space="preserve">. The CPT </w:t>
      </w:r>
      <w:r w:rsidR="00063AB9" w:rsidRPr="000651D6">
        <w:rPr>
          <w:rFonts w:asciiTheme="majorHAnsi" w:hAnsiTheme="majorHAnsi"/>
        </w:rPr>
        <w:t xml:space="preserve">also </w:t>
      </w:r>
      <w:r w:rsidR="002E2FF4" w:rsidRPr="000651D6">
        <w:rPr>
          <w:rFonts w:asciiTheme="majorHAnsi" w:hAnsiTheme="majorHAnsi"/>
        </w:rPr>
        <w:t xml:space="preserve">notes that health care staff in any prison are potentially staff at risk, and that their duty to care for their patients may often conflict with considerations of management and security, </w:t>
      </w:r>
      <w:r w:rsidR="00434DE0" w:rsidRPr="000651D6">
        <w:rPr>
          <w:rFonts w:asciiTheme="majorHAnsi" w:hAnsiTheme="majorHAnsi"/>
        </w:rPr>
        <w:t>giving rise</w:t>
      </w:r>
      <w:r w:rsidR="002E2FF4" w:rsidRPr="000651D6">
        <w:rPr>
          <w:rFonts w:asciiTheme="majorHAnsi" w:hAnsiTheme="majorHAnsi"/>
        </w:rPr>
        <w:t xml:space="preserve"> to particularly acute ethical considerations. </w:t>
      </w:r>
      <w:r w:rsidR="001F30B2" w:rsidRPr="000651D6">
        <w:rPr>
          <w:rFonts w:asciiTheme="majorHAnsi" w:hAnsiTheme="majorHAnsi"/>
        </w:rPr>
        <w:t xml:space="preserve">An </w:t>
      </w:r>
      <w:r w:rsidR="00A5092C" w:rsidRPr="000651D6">
        <w:rPr>
          <w:rFonts w:asciiTheme="majorHAnsi" w:hAnsiTheme="majorHAnsi"/>
        </w:rPr>
        <w:t xml:space="preserve">instructive </w:t>
      </w:r>
      <w:r w:rsidR="001F30B2" w:rsidRPr="000651D6">
        <w:rPr>
          <w:rFonts w:asciiTheme="majorHAnsi" w:hAnsiTheme="majorHAnsi"/>
        </w:rPr>
        <w:t xml:space="preserve">example </w:t>
      </w:r>
      <w:r w:rsidR="00A5092C" w:rsidRPr="000651D6">
        <w:rPr>
          <w:rFonts w:asciiTheme="majorHAnsi" w:hAnsiTheme="majorHAnsi"/>
        </w:rPr>
        <w:t>of where the interests of prison healthcare staff should lie in these situations in order to protect rights is provided by the CPT</w:t>
      </w:r>
      <w:r w:rsidR="001F30B2" w:rsidRPr="000651D6">
        <w:rPr>
          <w:rFonts w:asciiTheme="majorHAnsi" w:hAnsiTheme="majorHAnsi"/>
        </w:rPr>
        <w:t xml:space="preserve">. The CPT </w:t>
      </w:r>
      <w:r w:rsidR="001E1152" w:rsidRPr="000651D6">
        <w:rPr>
          <w:rFonts w:asciiTheme="majorHAnsi" w:hAnsiTheme="majorHAnsi"/>
        </w:rPr>
        <w:t>considers that: “</w:t>
      </w:r>
      <w:r w:rsidR="001E1152" w:rsidRPr="000651D6">
        <w:rPr>
          <w:rFonts w:asciiTheme="majorHAnsi" w:eastAsiaTheme="minorEastAsia" w:hAnsiTheme="majorHAnsi"/>
          <w:lang w:eastAsia="en-US"/>
        </w:rPr>
        <w:t>medical personnel should never participate in any part of the decision-making process resulting in any type of solitary confinement, except where the measure is applied for medical reasons”</w:t>
      </w:r>
      <w:r w:rsidR="00A5092C" w:rsidRPr="000651D6">
        <w:rPr>
          <w:rFonts w:asciiTheme="majorHAnsi" w:eastAsiaTheme="minorEastAsia" w:hAnsiTheme="majorHAnsi"/>
          <w:lang w:eastAsia="en-US"/>
        </w:rPr>
        <w:t xml:space="preserve"> (2015, at para 62)</w:t>
      </w:r>
      <w:r w:rsidR="001E1152" w:rsidRPr="000651D6">
        <w:rPr>
          <w:rFonts w:asciiTheme="majorHAnsi" w:eastAsiaTheme="minorEastAsia" w:hAnsiTheme="majorHAnsi"/>
          <w:lang w:eastAsia="en-US"/>
        </w:rPr>
        <w:t>, while at the same time calling on healthcare staff to be very attentive to the situation of all those held under solitary confinement. In a further statement of the importance of the healthcare staff adhering to their ethical obligations</w:t>
      </w:r>
      <w:r w:rsidR="00063AB9" w:rsidRPr="000651D6">
        <w:rPr>
          <w:rFonts w:asciiTheme="majorHAnsi" w:eastAsiaTheme="minorEastAsia" w:hAnsiTheme="majorHAnsi"/>
          <w:lang w:eastAsia="en-US"/>
        </w:rPr>
        <w:t xml:space="preserve"> towards their patients</w:t>
      </w:r>
      <w:r w:rsidR="001E1152" w:rsidRPr="000651D6">
        <w:rPr>
          <w:rFonts w:asciiTheme="majorHAnsi" w:eastAsiaTheme="minorEastAsia" w:hAnsiTheme="majorHAnsi"/>
          <w:lang w:eastAsia="en-US"/>
        </w:rPr>
        <w:t>, the CPT states that a prison doctor’s clincial decision making should be governed only by medical criteria (2015, at para 72).</w:t>
      </w:r>
      <w:r w:rsidR="00FC3777" w:rsidRPr="000651D6">
        <w:rPr>
          <w:rStyle w:val="FootnoteReference"/>
          <w:rFonts w:asciiTheme="majorHAnsi" w:hAnsiTheme="majorHAnsi"/>
        </w:rPr>
        <w:t xml:space="preserve"> </w:t>
      </w:r>
      <w:r w:rsidR="00FC3777" w:rsidRPr="000651D6">
        <w:rPr>
          <w:rStyle w:val="FootnoteReference"/>
          <w:rFonts w:asciiTheme="majorHAnsi" w:hAnsiTheme="majorHAnsi"/>
        </w:rPr>
        <w:footnoteReference w:id="5"/>
      </w:r>
      <w:r w:rsidR="001E1152" w:rsidRPr="000651D6">
        <w:rPr>
          <w:rFonts w:asciiTheme="majorHAnsi" w:eastAsiaTheme="minorEastAsia" w:hAnsiTheme="majorHAnsi"/>
          <w:lang w:eastAsia="en-US"/>
        </w:rPr>
        <w:t xml:space="preserve"> </w:t>
      </w:r>
    </w:p>
    <w:p w14:paraId="30AC5325" w14:textId="198931C7" w:rsidR="00434DE0" w:rsidRPr="000651D6" w:rsidRDefault="002F60E6" w:rsidP="001E1152">
      <w:pPr>
        <w:spacing w:line="360" w:lineRule="auto"/>
        <w:jc w:val="both"/>
        <w:rPr>
          <w:rFonts w:asciiTheme="majorHAnsi" w:hAnsiTheme="majorHAnsi"/>
        </w:rPr>
      </w:pPr>
      <w:r w:rsidRPr="000651D6">
        <w:rPr>
          <w:rFonts w:asciiTheme="majorHAnsi" w:hAnsiTheme="majorHAnsi"/>
        </w:rPr>
        <w:t xml:space="preserve">The Council of Europe’s </w:t>
      </w:r>
      <w:r w:rsidRPr="000651D6">
        <w:rPr>
          <w:rFonts w:asciiTheme="majorHAnsi" w:hAnsiTheme="majorHAnsi"/>
          <w:i/>
        </w:rPr>
        <w:t>Prison Rules</w:t>
      </w:r>
      <w:r w:rsidR="000F7F9D" w:rsidRPr="000651D6">
        <w:rPr>
          <w:rFonts w:asciiTheme="majorHAnsi" w:hAnsiTheme="majorHAnsi"/>
          <w:i/>
        </w:rPr>
        <w:t xml:space="preserve"> </w:t>
      </w:r>
      <w:r w:rsidR="000F7F9D" w:rsidRPr="000651D6">
        <w:rPr>
          <w:rFonts w:asciiTheme="majorHAnsi" w:hAnsiTheme="majorHAnsi"/>
        </w:rPr>
        <w:t>(Recommendation Rec(2006)2</w:t>
      </w:r>
      <w:r w:rsidR="001962A5" w:rsidRPr="000651D6">
        <w:rPr>
          <w:rFonts w:asciiTheme="majorHAnsi" w:hAnsiTheme="majorHAnsi"/>
        </w:rPr>
        <w:t>)</w:t>
      </w:r>
      <w:r w:rsidR="00952901" w:rsidRPr="000651D6">
        <w:rPr>
          <w:rFonts w:asciiTheme="majorHAnsi" w:hAnsiTheme="majorHAnsi"/>
        </w:rPr>
        <w:t xml:space="preserve"> </w:t>
      </w:r>
      <w:r w:rsidR="000F7F9D" w:rsidRPr="000651D6">
        <w:rPr>
          <w:rFonts w:asciiTheme="majorHAnsi" w:hAnsiTheme="majorHAnsi"/>
        </w:rPr>
        <w:t xml:space="preserve">also contain principles which should govern </w:t>
      </w:r>
      <w:r w:rsidR="00434DE0" w:rsidRPr="000651D6">
        <w:rPr>
          <w:rFonts w:asciiTheme="majorHAnsi" w:hAnsiTheme="majorHAnsi"/>
        </w:rPr>
        <w:t>correctional healthcare.</w:t>
      </w:r>
      <w:r w:rsidR="000F7F9D" w:rsidRPr="000651D6">
        <w:rPr>
          <w:rFonts w:asciiTheme="majorHAnsi" w:hAnsiTheme="majorHAnsi"/>
        </w:rPr>
        <w:t xml:space="preserve"> </w:t>
      </w:r>
      <w:r w:rsidR="00B4293A" w:rsidRPr="000651D6">
        <w:rPr>
          <w:rFonts w:asciiTheme="majorHAnsi" w:hAnsiTheme="majorHAnsi"/>
        </w:rPr>
        <w:t xml:space="preserve">The Rules require that medical services in prison be organized in close relation with the general health administration of the community (rule 40.1). </w:t>
      </w:r>
      <w:r w:rsidR="000F7F9D" w:rsidRPr="000651D6">
        <w:rPr>
          <w:rFonts w:asciiTheme="majorHAnsi" w:hAnsiTheme="majorHAnsi"/>
        </w:rPr>
        <w:t>Rule 12.1 states that persons whose state of mental health is incompatible with detention in a prison should be detained in an establishment specially designed for the purpose, and</w:t>
      </w:r>
      <w:r w:rsidR="00B4293A" w:rsidRPr="000651D6">
        <w:rPr>
          <w:rFonts w:asciiTheme="majorHAnsi" w:hAnsiTheme="majorHAnsi"/>
        </w:rPr>
        <w:t>,</w:t>
      </w:r>
      <w:r w:rsidR="000F7F9D" w:rsidRPr="000651D6">
        <w:rPr>
          <w:rFonts w:asciiTheme="majorHAnsi" w:hAnsiTheme="majorHAnsi"/>
        </w:rPr>
        <w:t xml:space="preserve"> if they are exceptionally held in prison, there shall be special regulations that take account of their needs (rule</w:t>
      </w:r>
      <w:r w:rsidR="00B4293A" w:rsidRPr="000651D6">
        <w:rPr>
          <w:rFonts w:asciiTheme="majorHAnsi" w:hAnsiTheme="majorHAnsi"/>
        </w:rPr>
        <w:t xml:space="preserve">s 12.1 and </w:t>
      </w:r>
      <w:r w:rsidR="000F7F9D" w:rsidRPr="000651D6">
        <w:rPr>
          <w:rFonts w:asciiTheme="majorHAnsi" w:hAnsiTheme="majorHAnsi"/>
        </w:rPr>
        <w:t xml:space="preserve">12.2). </w:t>
      </w:r>
    </w:p>
    <w:p w14:paraId="5DFE811D" w14:textId="77777777" w:rsidR="00434DE0" w:rsidRPr="000651D6" w:rsidRDefault="00434DE0" w:rsidP="001E1152">
      <w:pPr>
        <w:spacing w:line="360" w:lineRule="auto"/>
        <w:jc w:val="both"/>
        <w:rPr>
          <w:rFonts w:asciiTheme="majorHAnsi" w:hAnsiTheme="majorHAnsi"/>
        </w:rPr>
      </w:pPr>
    </w:p>
    <w:p w14:paraId="07AC2B1A" w14:textId="6D176823" w:rsidR="006413D9" w:rsidRPr="000651D6" w:rsidRDefault="00CA684A" w:rsidP="001E1152">
      <w:pPr>
        <w:spacing w:line="360" w:lineRule="auto"/>
        <w:jc w:val="both"/>
        <w:rPr>
          <w:rFonts w:asciiTheme="majorHAnsi" w:hAnsiTheme="majorHAnsi"/>
        </w:rPr>
      </w:pPr>
      <w:r w:rsidRPr="000651D6">
        <w:rPr>
          <w:rFonts w:asciiTheme="majorHAnsi" w:hAnsiTheme="majorHAnsi"/>
          <w:noProof/>
          <w:lang w:val="en-US" w:eastAsia="en-US"/>
        </w:rPr>
        <w:lastRenderedPageBreak/>
        <mc:AlternateContent>
          <mc:Choice Requires="wps">
            <w:drawing>
              <wp:anchor distT="0" distB="0" distL="114300" distR="114300" simplePos="0" relativeHeight="251659264" behindDoc="0" locked="0" layoutInCell="1" allowOverlap="1" wp14:anchorId="613EF89F" wp14:editId="4A74DCA8">
                <wp:simplePos x="0" y="0"/>
                <wp:positionH relativeFrom="column">
                  <wp:posOffset>0</wp:posOffset>
                </wp:positionH>
                <wp:positionV relativeFrom="paragraph">
                  <wp:posOffset>1143000</wp:posOffset>
                </wp:positionV>
                <wp:extent cx="5486400" cy="3429000"/>
                <wp:effectExtent l="0" t="0" r="25400" b="25400"/>
                <wp:wrapSquare wrapText="bothSides"/>
                <wp:docPr id="1" name="Text Box 1"/>
                <wp:cNvGraphicFramePr/>
                <a:graphic xmlns:a="http://schemas.openxmlformats.org/drawingml/2006/main">
                  <a:graphicData uri="http://schemas.microsoft.com/office/word/2010/wordprocessingShape">
                    <wps:wsp>
                      <wps:cNvSpPr txBox="1"/>
                      <wps:spPr>
                        <a:xfrm>
                          <a:off x="0" y="0"/>
                          <a:ext cx="5486400" cy="3429000"/>
                        </a:xfrm>
                        <a:prstGeom prst="rect">
                          <a:avLst/>
                        </a:prstGeom>
                        <a:ln/>
                        <a:extLst>
                          <a:ext uri="{C572A759-6A51-4108-AA02-DFA0A04FC94B}">
                            <ma14:wrappingTextBoxFlag xmlns:ma14="http://schemas.microsoft.com/office/mac/drawingml/2011/main"/>
                          </a:ext>
                        </a:extLst>
                      </wps:spPr>
                      <wps:style>
                        <a:lnRef idx="2">
                          <a:schemeClr val="dk1"/>
                        </a:lnRef>
                        <a:fillRef idx="1">
                          <a:schemeClr val="lt1"/>
                        </a:fillRef>
                        <a:effectRef idx="0">
                          <a:schemeClr val="dk1"/>
                        </a:effectRef>
                        <a:fontRef idx="minor">
                          <a:schemeClr val="dk1"/>
                        </a:fontRef>
                      </wps:style>
                      <wps:txbx>
                        <w:txbxContent>
                          <w:p w14:paraId="2B082FBF" w14:textId="77777777" w:rsidR="00A634A8" w:rsidRPr="00CA684A" w:rsidRDefault="00A634A8" w:rsidP="00AA00F1">
                            <w:pPr>
                              <w:spacing w:before="100" w:beforeAutospacing="1" w:after="100" w:afterAutospacing="1"/>
                              <w:rPr>
                                <w:rFonts w:asciiTheme="majorHAnsi" w:hAnsiTheme="majorHAnsi" w:cs="Times New Roman"/>
                                <w:b/>
                                <w:sz w:val="20"/>
                                <w:szCs w:val="20"/>
                                <w:lang w:eastAsia="en-US"/>
                              </w:rPr>
                            </w:pPr>
                            <w:r w:rsidRPr="00CA684A">
                              <w:rPr>
                                <w:rFonts w:asciiTheme="majorHAnsi" w:hAnsiTheme="majorHAnsi" w:cs="Times New Roman"/>
                                <w:b/>
                                <w:sz w:val="20"/>
                                <w:szCs w:val="20"/>
                                <w:lang w:eastAsia="en-US"/>
                              </w:rPr>
                              <w:t>The European Convention on Human Rights</w:t>
                            </w:r>
                          </w:p>
                          <w:p w14:paraId="39848CF7" w14:textId="77777777" w:rsidR="00A634A8" w:rsidRPr="00E36B92" w:rsidRDefault="00A634A8" w:rsidP="00AA00F1">
                            <w:pPr>
                              <w:spacing w:before="100" w:beforeAutospacing="1" w:after="100" w:afterAutospacing="1"/>
                              <w:rPr>
                                <w:rFonts w:asciiTheme="majorHAnsi" w:hAnsiTheme="majorHAnsi" w:cs="Times New Roman"/>
                                <w:b/>
                                <w:sz w:val="20"/>
                                <w:szCs w:val="20"/>
                                <w:lang w:eastAsia="en-US"/>
                              </w:rPr>
                            </w:pPr>
                            <w:r w:rsidRPr="00E36B92">
                              <w:rPr>
                                <w:rFonts w:asciiTheme="majorHAnsi" w:hAnsiTheme="majorHAnsi" w:cs="Times New Roman"/>
                                <w:b/>
                                <w:sz w:val="20"/>
                                <w:szCs w:val="20"/>
                                <w:lang w:eastAsia="en-US"/>
                              </w:rPr>
                              <w:t xml:space="preserve">Article 2 </w:t>
                            </w:r>
                          </w:p>
                          <w:p w14:paraId="7C904225" w14:textId="2D20B0CE" w:rsidR="00A634A8" w:rsidRPr="00CA684A" w:rsidRDefault="00A634A8" w:rsidP="00AA00F1">
                            <w:pPr>
                              <w:spacing w:before="100" w:beforeAutospacing="1" w:after="100" w:afterAutospacing="1"/>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1. Everyone’s right to life shall be protected by law. No one shall be deprived of his life intentionally save in the execution of a sentence of a court following his conviction of a crime for which this penalty is provided by law. </w:t>
                            </w:r>
                          </w:p>
                          <w:p w14:paraId="45468BA3" w14:textId="26781278" w:rsidR="00A634A8" w:rsidRPr="00CA684A" w:rsidRDefault="00A634A8" w:rsidP="00AA00F1">
                            <w:pPr>
                              <w:spacing w:before="100" w:beforeAutospacing="1" w:after="100" w:afterAutospacing="1"/>
                              <w:rPr>
                                <w:rFonts w:asciiTheme="majorHAnsi" w:hAnsiTheme="majorHAnsi" w:cs="Times New Roman"/>
                                <w:sz w:val="20"/>
                                <w:szCs w:val="20"/>
                                <w:lang w:eastAsia="en-US"/>
                              </w:rPr>
                            </w:pPr>
                            <w:r w:rsidRPr="00CA684A">
                              <w:rPr>
                                <w:rFonts w:asciiTheme="majorHAnsi" w:hAnsiTheme="majorHAnsi" w:cs="Times New Roman"/>
                                <w:sz w:val="20"/>
                                <w:szCs w:val="20"/>
                                <w:lang w:eastAsia="en-US"/>
                              </w:rPr>
                              <w:t>2. Deprivation of l</w:t>
                            </w:r>
                            <w:r w:rsidR="00753F4D">
                              <w:rPr>
                                <w:rFonts w:asciiTheme="majorHAnsi" w:hAnsiTheme="majorHAnsi" w:cs="Times New Roman"/>
                                <w:sz w:val="20"/>
                                <w:szCs w:val="20"/>
                                <w:lang w:eastAsia="en-US"/>
                              </w:rPr>
                              <w:t>ife shall not be regarded as infl</w:t>
                            </w:r>
                            <w:r w:rsidRPr="00CA684A">
                              <w:rPr>
                                <w:rFonts w:asciiTheme="majorHAnsi" w:hAnsiTheme="majorHAnsi" w:cs="Times New Roman"/>
                                <w:sz w:val="20"/>
                                <w:szCs w:val="20"/>
                                <w:lang w:eastAsia="en-US"/>
                              </w:rPr>
                              <w:t xml:space="preserve">icted in contravention of this Article when it results from the use of force which is no more than absolutely necessary: </w:t>
                            </w:r>
                          </w:p>
                          <w:p w14:paraId="49E36286" w14:textId="77777777" w:rsidR="00753F4D" w:rsidRDefault="00A634A8" w:rsidP="00753F4D">
                            <w:pPr>
                              <w:spacing w:before="100" w:beforeAutospacing="1" w:after="100" w:afterAutospacing="1"/>
                              <w:ind w:left="720"/>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(a)  in defence of any person from unlawful violence; </w:t>
                            </w:r>
                          </w:p>
                          <w:p w14:paraId="598C90A7" w14:textId="77777777" w:rsidR="00753F4D" w:rsidRDefault="00A634A8" w:rsidP="00753F4D">
                            <w:pPr>
                              <w:spacing w:before="100" w:beforeAutospacing="1" w:after="100" w:afterAutospacing="1"/>
                              <w:ind w:left="720"/>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(b)  in order to effect a lawful arrest or to prevent the escape of a person lawfully detained; </w:t>
                            </w:r>
                          </w:p>
                          <w:p w14:paraId="221539F0" w14:textId="009637A1" w:rsidR="00A634A8" w:rsidRPr="00CA684A" w:rsidRDefault="00A634A8" w:rsidP="00753F4D">
                            <w:pPr>
                              <w:spacing w:before="100" w:beforeAutospacing="1" w:after="100" w:afterAutospacing="1"/>
                              <w:ind w:left="720"/>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(c)  in action lawfully taken for the purpose of quelling a riot or insurrection. </w:t>
                            </w:r>
                          </w:p>
                          <w:p w14:paraId="526C8FA6" w14:textId="496E651D" w:rsidR="00A634A8" w:rsidRPr="00E36B92" w:rsidRDefault="00A634A8">
                            <w:pPr>
                              <w:rPr>
                                <w:rFonts w:asciiTheme="majorHAnsi" w:hAnsiTheme="majorHAnsi"/>
                                <w:b/>
                                <w:sz w:val="20"/>
                                <w:szCs w:val="20"/>
                              </w:rPr>
                            </w:pPr>
                            <w:r w:rsidRPr="00E36B92">
                              <w:rPr>
                                <w:rFonts w:asciiTheme="majorHAnsi" w:hAnsiTheme="majorHAnsi"/>
                                <w:b/>
                                <w:sz w:val="20"/>
                                <w:szCs w:val="20"/>
                              </w:rPr>
                              <w:t>Article 3</w:t>
                            </w:r>
                          </w:p>
                          <w:p w14:paraId="768E3A5A" w14:textId="77777777" w:rsidR="00A634A8" w:rsidRPr="00CA684A" w:rsidRDefault="00A634A8" w:rsidP="00CA684A">
                            <w:pPr>
                              <w:spacing w:before="100" w:beforeAutospacing="1" w:after="100" w:afterAutospacing="1"/>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No one shall be subjected to torture or to inhuman or degrading treatment or punishment. </w:t>
                            </w:r>
                          </w:p>
                          <w:p w14:paraId="1EBC5B6B" w14:textId="77777777" w:rsidR="00A634A8" w:rsidRDefault="00A634A8"/>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0,0l0,21600,21600,21600,21600,0xe">
                <v:stroke joinstyle="miter"/>
                <v:path gradientshapeok="t" o:connecttype="rect"/>
              </v:shapetype>
              <v:shape id="Text Box 1" o:spid="_x0000_s1026" type="#_x0000_t202" style="position:absolute;left:0;text-align:left;margin-left:0;margin-top:90pt;width:6in;height:27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" fillcolor="white [3201]" strokecolor="black [3200]" strokeweight="2pt">
                <v:textbox>
                  <w:txbxContent>
                    <w:p w14:paraId="2B082FBF" w14:textId="77777777" w:rsidR="00A634A8" w:rsidRPr="00CA684A" w:rsidRDefault="00A634A8" w:rsidP="00AA00F1">
                      <w:pPr>
                        <w:spacing w:before="100" w:beforeAutospacing="1" w:after="100" w:afterAutospacing="1"/>
                        <w:rPr>
                          <w:rFonts w:asciiTheme="majorHAnsi" w:hAnsiTheme="majorHAnsi" w:cs="Times New Roman"/>
                          <w:b/>
                          <w:sz w:val="20"/>
                          <w:szCs w:val="20"/>
                          <w:lang w:eastAsia="en-US"/>
                        </w:rPr>
                      </w:pPr>
                      <w:r w:rsidRPr="00CA684A">
                        <w:rPr>
                          <w:rFonts w:asciiTheme="majorHAnsi" w:hAnsiTheme="majorHAnsi" w:cs="Times New Roman"/>
                          <w:b/>
                          <w:sz w:val="20"/>
                          <w:szCs w:val="20"/>
                          <w:lang w:eastAsia="en-US"/>
                        </w:rPr>
                        <w:t>The European Convention on Human Rights</w:t>
                      </w:r>
                    </w:p>
                    <w:p w14:paraId="39848CF7" w14:textId="77777777" w:rsidR="00A634A8" w:rsidRPr="00E36B92" w:rsidRDefault="00A634A8" w:rsidP="00AA00F1">
                      <w:pPr>
                        <w:spacing w:before="100" w:beforeAutospacing="1" w:after="100" w:afterAutospacing="1"/>
                        <w:rPr>
                          <w:rFonts w:asciiTheme="majorHAnsi" w:hAnsiTheme="majorHAnsi" w:cs="Times New Roman"/>
                          <w:b/>
                          <w:sz w:val="20"/>
                          <w:szCs w:val="20"/>
                          <w:lang w:eastAsia="en-US"/>
                        </w:rPr>
                      </w:pPr>
                      <w:r w:rsidRPr="00E36B92">
                        <w:rPr>
                          <w:rFonts w:asciiTheme="majorHAnsi" w:hAnsiTheme="majorHAnsi" w:cs="Times New Roman"/>
                          <w:b/>
                          <w:sz w:val="20"/>
                          <w:szCs w:val="20"/>
                          <w:lang w:eastAsia="en-US"/>
                        </w:rPr>
                        <w:t xml:space="preserve">Article 2 </w:t>
                      </w:r>
                    </w:p>
                    <w:p w14:paraId="7C904225" w14:textId="2D20B0CE" w:rsidR="00A634A8" w:rsidRPr="00CA684A" w:rsidRDefault="00A634A8" w:rsidP="00AA00F1">
                      <w:pPr>
                        <w:spacing w:before="100" w:beforeAutospacing="1" w:after="100" w:afterAutospacing="1"/>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1. Everyone’s right to life shall be protected by law. No one shall be deprived of his life intentionally save in the execution of a sentence of a court following his conviction of a crime for which this penalty is provided by law. </w:t>
                      </w:r>
                    </w:p>
                    <w:p w14:paraId="45468BA3" w14:textId="26781278" w:rsidR="00A634A8" w:rsidRPr="00CA684A" w:rsidRDefault="00A634A8" w:rsidP="00AA00F1">
                      <w:pPr>
                        <w:spacing w:before="100" w:beforeAutospacing="1" w:after="100" w:afterAutospacing="1"/>
                        <w:rPr>
                          <w:rFonts w:asciiTheme="majorHAnsi" w:hAnsiTheme="majorHAnsi" w:cs="Times New Roman"/>
                          <w:sz w:val="20"/>
                          <w:szCs w:val="20"/>
                          <w:lang w:eastAsia="en-US"/>
                        </w:rPr>
                      </w:pPr>
                      <w:r w:rsidRPr="00CA684A">
                        <w:rPr>
                          <w:rFonts w:asciiTheme="majorHAnsi" w:hAnsiTheme="majorHAnsi" w:cs="Times New Roman"/>
                          <w:sz w:val="20"/>
                          <w:szCs w:val="20"/>
                          <w:lang w:eastAsia="en-US"/>
                        </w:rPr>
                        <w:t>2. Deprivation of l</w:t>
                      </w:r>
                      <w:r w:rsidR="00753F4D">
                        <w:rPr>
                          <w:rFonts w:asciiTheme="majorHAnsi" w:hAnsiTheme="majorHAnsi" w:cs="Times New Roman"/>
                          <w:sz w:val="20"/>
                          <w:szCs w:val="20"/>
                          <w:lang w:eastAsia="en-US"/>
                        </w:rPr>
                        <w:t>ife shall not be regarded as infl</w:t>
                      </w:r>
                      <w:r w:rsidRPr="00CA684A">
                        <w:rPr>
                          <w:rFonts w:asciiTheme="majorHAnsi" w:hAnsiTheme="majorHAnsi" w:cs="Times New Roman"/>
                          <w:sz w:val="20"/>
                          <w:szCs w:val="20"/>
                          <w:lang w:eastAsia="en-US"/>
                        </w:rPr>
                        <w:t xml:space="preserve">icted in contravention of this Article when it results from the use of force which is no more than absolutely necessary: </w:t>
                      </w:r>
                    </w:p>
                    <w:p w14:paraId="49E36286" w14:textId="77777777" w:rsidR="00753F4D" w:rsidRDefault="00A634A8" w:rsidP="00753F4D">
                      <w:pPr>
                        <w:spacing w:before="100" w:beforeAutospacing="1" w:after="100" w:afterAutospacing="1"/>
                        <w:ind w:left="720"/>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(a)  in defence of any person from unlawful violence; </w:t>
                      </w:r>
                    </w:p>
                    <w:p w14:paraId="598C90A7" w14:textId="77777777" w:rsidR="00753F4D" w:rsidRDefault="00A634A8" w:rsidP="00753F4D">
                      <w:pPr>
                        <w:spacing w:before="100" w:beforeAutospacing="1" w:after="100" w:afterAutospacing="1"/>
                        <w:ind w:left="720"/>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(b)  in order to effect a lawful arrest or to prevent the escape of a person lawfully detained; </w:t>
                      </w:r>
                    </w:p>
                    <w:p w14:paraId="221539F0" w14:textId="009637A1" w:rsidR="00A634A8" w:rsidRPr="00CA684A" w:rsidRDefault="00A634A8" w:rsidP="00753F4D">
                      <w:pPr>
                        <w:spacing w:before="100" w:beforeAutospacing="1" w:after="100" w:afterAutospacing="1"/>
                        <w:ind w:left="720"/>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(c)  in action lawfully taken for the purpose of quelling a riot or insurrection. </w:t>
                      </w:r>
                    </w:p>
                    <w:p w14:paraId="526C8FA6" w14:textId="496E651D" w:rsidR="00A634A8" w:rsidRPr="00E36B92" w:rsidRDefault="00A634A8">
                      <w:pPr>
                        <w:rPr>
                          <w:rFonts w:asciiTheme="majorHAnsi" w:hAnsiTheme="majorHAnsi"/>
                          <w:b/>
                          <w:sz w:val="20"/>
                          <w:szCs w:val="20"/>
                        </w:rPr>
                      </w:pPr>
                      <w:r w:rsidRPr="00E36B92">
                        <w:rPr>
                          <w:rFonts w:asciiTheme="majorHAnsi" w:hAnsiTheme="majorHAnsi"/>
                          <w:b/>
                          <w:sz w:val="20"/>
                          <w:szCs w:val="20"/>
                        </w:rPr>
                        <w:t>Article 3</w:t>
                      </w:r>
                    </w:p>
                    <w:p w14:paraId="768E3A5A" w14:textId="77777777" w:rsidR="00A634A8" w:rsidRPr="00CA684A" w:rsidRDefault="00A634A8" w:rsidP="00CA684A">
                      <w:pPr>
                        <w:spacing w:before="100" w:beforeAutospacing="1" w:after="100" w:afterAutospacing="1"/>
                        <w:rPr>
                          <w:rFonts w:asciiTheme="majorHAnsi" w:hAnsiTheme="majorHAnsi" w:cs="Times New Roman"/>
                          <w:sz w:val="20"/>
                          <w:szCs w:val="20"/>
                          <w:lang w:eastAsia="en-US"/>
                        </w:rPr>
                      </w:pPr>
                      <w:r w:rsidRPr="00CA684A">
                        <w:rPr>
                          <w:rFonts w:asciiTheme="majorHAnsi" w:hAnsiTheme="majorHAnsi" w:cs="Times New Roman"/>
                          <w:sz w:val="20"/>
                          <w:szCs w:val="20"/>
                          <w:lang w:eastAsia="en-US"/>
                        </w:rPr>
                        <w:t xml:space="preserve">No one shall be subjected to torture or to inhuman or degrading treatment or punishment. </w:t>
                      </w:r>
                    </w:p>
                    <w:p w14:paraId="1EBC5B6B" w14:textId="77777777" w:rsidR="00A634A8" w:rsidRDefault="00A634A8"/>
                  </w:txbxContent>
                </v:textbox>
                <w10:wrap type="square"/>
              </v:shape>
            </w:pict>
          </mc:Fallback>
        </mc:AlternateContent>
      </w:r>
      <w:r w:rsidR="00434DE0" w:rsidRPr="000651D6">
        <w:rPr>
          <w:rFonts w:asciiTheme="majorHAnsi" w:hAnsiTheme="majorHAnsi"/>
        </w:rPr>
        <w:t xml:space="preserve">The European Convention on Human Rights is a foundational document. A central Article therein is the prohibition on torture </w:t>
      </w:r>
      <w:bookmarkStart w:id="0" w:name="_GoBack"/>
      <w:bookmarkEnd w:id="0"/>
      <w:r w:rsidR="00434DE0" w:rsidRPr="000651D6">
        <w:rPr>
          <w:rFonts w:asciiTheme="majorHAnsi" w:hAnsiTheme="majorHAnsi"/>
        </w:rPr>
        <w:t xml:space="preserve">and inhuman or degrading treatment or punishment contained in Article 3. Article 2 recognizes the right to life. </w:t>
      </w:r>
      <w:r w:rsidR="00AA00F1" w:rsidRPr="000651D6">
        <w:rPr>
          <w:rFonts w:asciiTheme="majorHAnsi" w:hAnsiTheme="majorHAnsi"/>
        </w:rPr>
        <w:t>S</w:t>
      </w:r>
      <w:r w:rsidRPr="000651D6">
        <w:rPr>
          <w:rFonts w:asciiTheme="majorHAnsi" w:hAnsiTheme="majorHAnsi"/>
        </w:rPr>
        <w:t>ee further, textbox 1</w:t>
      </w:r>
      <w:r w:rsidR="00AA00F1" w:rsidRPr="000651D6">
        <w:rPr>
          <w:rFonts w:asciiTheme="majorHAnsi" w:hAnsiTheme="majorHAnsi"/>
        </w:rPr>
        <w:t>.</w:t>
      </w:r>
    </w:p>
    <w:p w14:paraId="5D4A7D95" w14:textId="2A3631D0" w:rsidR="00AA00F1" w:rsidRPr="000651D6" w:rsidRDefault="00CA684A" w:rsidP="00A5092C">
      <w:pPr>
        <w:pStyle w:val="s30eec3f8"/>
        <w:tabs>
          <w:tab w:val="left" w:pos="2784"/>
        </w:tabs>
        <w:spacing w:line="360" w:lineRule="auto"/>
        <w:jc w:val="both"/>
        <w:rPr>
          <w:rFonts w:asciiTheme="majorHAnsi" w:hAnsiTheme="majorHAnsi"/>
          <w:b/>
        </w:rPr>
      </w:pPr>
      <w:r w:rsidRPr="000651D6">
        <w:rPr>
          <w:rFonts w:asciiTheme="majorHAnsi" w:hAnsiTheme="majorHAnsi"/>
          <w:b/>
        </w:rPr>
        <w:t>Textbox 1: Articles 2 and 3 of the European Convention on Human Rights</w:t>
      </w:r>
    </w:p>
    <w:p w14:paraId="72FE37B2" w14:textId="77777777" w:rsidR="002F60E6" w:rsidRPr="000651D6" w:rsidRDefault="00BD325D" w:rsidP="001E1152">
      <w:pPr>
        <w:pStyle w:val="s30eec3f8"/>
        <w:spacing w:line="360" w:lineRule="auto"/>
        <w:jc w:val="both"/>
        <w:rPr>
          <w:rFonts w:asciiTheme="majorHAnsi" w:hAnsiTheme="majorHAnsi"/>
          <w:b/>
        </w:rPr>
      </w:pPr>
      <w:r w:rsidRPr="000651D6">
        <w:rPr>
          <w:rFonts w:asciiTheme="majorHAnsi" w:hAnsiTheme="majorHAnsi"/>
          <w:b/>
        </w:rPr>
        <w:t>Use of Articles 2 and 3 of the European Convention on Human Rights in judging the adequacy of correctional healthcare</w:t>
      </w:r>
    </w:p>
    <w:p w14:paraId="1DAB8ACC" w14:textId="77777777" w:rsidR="00D64058" w:rsidRPr="000651D6" w:rsidRDefault="00D64058" w:rsidP="001E1152">
      <w:pPr>
        <w:spacing w:line="360" w:lineRule="auto"/>
        <w:jc w:val="both"/>
        <w:rPr>
          <w:rFonts w:asciiTheme="majorHAnsi" w:hAnsiTheme="majorHAnsi"/>
          <w:i/>
        </w:rPr>
      </w:pPr>
      <w:r w:rsidRPr="000651D6">
        <w:rPr>
          <w:rFonts w:asciiTheme="majorHAnsi" w:hAnsiTheme="majorHAnsi"/>
          <w:i/>
        </w:rPr>
        <w:t>The right of access to appropriate medical care without delay</w:t>
      </w:r>
    </w:p>
    <w:p w14:paraId="58F87393" w14:textId="77777777" w:rsidR="00D64058" w:rsidRPr="000651D6" w:rsidRDefault="00D64058" w:rsidP="001E1152">
      <w:pPr>
        <w:pStyle w:val="s30eec3f8"/>
        <w:spacing w:line="360" w:lineRule="auto"/>
        <w:jc w:val="both"/>
        <w:rPr>
          <w:rFonts w:asciiTheme="majorHAnsi" w:hAnsiTheme="majorHAnsi"/>
        </w:rPr>
      </w:pPr>
      <w:r w:rsidRPr="000651D6">
        <w:rPr>
          <w:rFonts w:asciiTheme="majorHAnsi" w:hAnsiTheme="majorHAnsi"/>
        </w:rPr>
        <w:t xml:space="preserve">It has been clearly established that inadequate healthcare may result in inhuman or degrading treatment </w:t>
      </w:r>
      <w:r w:rsidR="007D4CEC" w:rsidRPr="000651D6">
        <w:rPr>
          <w:rFonts w:asciiTheme="majorHAnsi" w:hAnsiTheme="majorHAnsi"/>
        </w:rPr>
        <w:t>(</w:t>
      </w:r>
      <w:r w:rsidRPr="000651D6">
        <w:rPr>
          <w:rFonts w:asciiTheme="majorHAnsi" w:hAnsiTheme="majorHAnsi"/>
          <w:i/>
        </w:rPr>
        <w:t>Kudla v Poland</w:t>
      </w:r>
      <w:r w:rsidRPr="000651D6">
        <w:rPr>
          <w:rFonts w:asciiTheme="majorHAnsi" w:hAnsiTheme="majorHAnsi"/>
        </w:rPr>
        <w:t xml:space="preserve">, 26 October 2010, no. 30210/96). </w:t>
      </w:r>
      <w:r w:rsidR="007D4CEC" w:rsidRPr="000651D6">
        <w:rPr>
          <w:rFonts w:asciiTheme="majorHAnsi" w:hAnsiTheme="majorHAnsi"/>
        </w:rPr>
        <w:t>F</w:t>
      </w:r>
      <w:r w:rsidRPr="000651D6">
        <w:rPr>
          <w:rFonts w:asciiTheme="majorHAnsi" w:hAnsiTheme="majorHAnsi"/>
        </w:rPr>
        <w:t xml:space="preserve">ailure to examine a prisoner when there are indications it might be necessary </w:t>
      </w:r>
      <w:r w:rsidR="00B4293A" w:rsidRPr="000651D6">
        <w:rPr>
          <w:rFonts w:asciiTheme="majorHAnsi" w:hAnsiTheme="majorHAnsi"/>
        </w:rPr>
        <w:t xml:space="preserve">can </w:t>
      </w:r>
      <w:r w:rsidR="00434DE0" w:rsidRPr="000651D6">
        <w:rPr>
          <w:rFonts w:asciiTheme="majorHAnsi" w:hAnsiTheme="majorHAnsi"/>
        </w:rPr>
        <w:t>be degrading</w:t>
      </w:r>
      <w:r w:rsidRPr="000651D6">
        <w:rPr>
          <w:rFonts w:asciiTheme="majorHAnsi" w:hAnsiTheme="majorHAnsi"/>
        </w:rPr>
        <w:t xml:space="preserve"> </w:t>
      </w:r>
      <w:r w:rsidR="00B4293A" w:rsidRPr="000651D6">
        <w:rPr>
          <w:rFonts w:asciiTheme="majorHAnsi" w:hAnsiTheme="majorHAnsi"/>
        </w:rPr>
        <w:t>(</w:t>
      </w:r>
      <w:r w:rsidRPr="000651D6">
        <w:rPr>
          <w:rFonts w:asciiTheme="majorHAnsi" w:hAnsiTheme="majorHAnsi"/>
          <w:i/>
        </w:rPr>
        <w:t xml:space="preserve">Nevmerzhitsky v. Ukraine </w:t>
      </w:r>
      <w:r w:rsidRPr="000651D6">
        <w:rPr>
          <w:rFonts w:asciiTheme="majorHAnsi" w:hAnsiTheme="majorHAnsi"/>
        </w:rPr>
        <w:t xml:space="preserve">(5 April 2005, no. 54825/00). </w:t>
      </w:r>
    </w:p>
    <w:p w14:paraId="4E76A279" w14:textId="1BA4B93F" w:rsidR="00D64058" w:rsidRPr="000651D6" w:rsidRDefault="00434DE0" w:rsidP="001E1152">
      <w:pPr>
        <w:spacing w:line="360" w:lineRule="auto"/>
        <w:jc w:val="both"/>
        <w:rPr>
          <w:rFonts w:asciiTheme="majorHAnsi" w:hAnsiTheme="majorHAnsi"/>
        </w:rPr>
      </w:pPr>
      <w:r w:rsidRPr="000651D6">
        <w:rPr>
          <w:rFonts w:asciiTheme="majorHAnsi" w:hAnsiTheme="majorHAnsi"/>
        </w:rPr>
        <w:t>Prisoners have the</w:t>
      </w:r>
      <w:r w:rsidR="00D64058" w:rsidRPr="000651D6">
        <w:rPr>
          <w:rFonts w:asciiTheme="majorHAnsi" w:hAnsiTheme="majorHAnsi"/>
        </w:rPr>
        <w:t xml:space="preserve"> right of access to medical care without undue delay, regardless of the </w:t>
      </w:r>
      <w:r w:rsidRPr="000651D6">
        <w:rPr>
          <w:rFonts w:asciiTheme="majorHAnsi" w:hAnsiTheme="majorHAnsi"/>
        </w:rPr>
        <w:t>prison regime</w:t>
      </w:r>
      <w:r w:rsidR="00D64058" w:rsidRPr="000651D6">
        <w:rPr>
          <w:rFonts w:asciiTheme="majorHAnsi" w:hAnsiTheme="majorHAnsi"/>
        </w:rPr>
        <w:t xml:space="preserve"> (</w:t>
      </w:r>
      <w:r w:rsidR="007D4CEC" w:rsidRPr="000651D6">
        <w:rPr>
          <w:rFonts w:asciiTheme="majorHAnsi" w:hAnsiTheme="majorHAnsi"/>
          <w:i/>
        </w:rPr>
        <w:t xml:space="preserve">Pilcic v Croatia </w:t>
      </w:r>
      <w:r w:rsidR="00D64058" w:rsidRPr="000651D6">
        <w:rPr>
          <w:rFonts w:asciiTheme="majorHAnsi" w:hAnsiTheme="majorHAnsi"/>
        </w:rPr>
        <w:t xml:space="preserve">17 January 2008, no. 33138/06). In </w:t>
      </w:r>
      <w:r w:rsidR="00D64058" w:rsidRPr="000651D6">
        <w:rPr>
          <w:rFonts w:asciiTheme="majorHAnsi" w:hAnsiTheme="majorHAnsi"/>
          <w:i/>
        </w:rPr>
        <w:t xml:space="preserve">Mozer v. the Republic of Moldova and Russia </w:t>
      </w:r>
      <w:r w:rsidR="00D64058" w:rsidRPr="000651D6">
        <w:rPr>
          <w:rFonts w:asciiTheme="majorHAnsi" w:hAnsiTheme="majorHAnsi"/>
        </w:rPr>
        <w:t>(23 February 2016, no. 11138/10)</w:t>
      </w:r>
      <w:r w:rsidR="00D64058" w:rsidRPr="000651D6">
        <w:rPr>
          <w:rFonts w:asciiTheme="majorHAnsi" w:hAnsiTheme="majorHAnsi"/>
          <w:i/>
        </w:rPr>
        <w:t>,</w:t>
      </w:r>
      <w:r w:rsidR="007D4CEC" w:rsidRPr="000651D6">
        <w:rPr>
          <w:rFonts w:asciiTheme="majorHAnsi" w:hAnsiTheme="majorHAnsi"/>
          <w:i/>
        </w:rPr>
        <w:t xml:space="preserve"> </w:t>
      </w:r>
      <w:r w:rsidR="007D4CEC" w:rsidRPr="000651D6">
        <w:rPr>
          <w:rFonts w:asciiTheme="majorHAnsi" w:hAnsiTheme="majorHAnsi"/>
        </w:rPr>
        <w:t xml:space="preserve">refusal by the </w:t>
      </w:r>
      <w:r w:rsidR="007D4CEC" w:rsidRPr="000651D6">
        <w:rPr>
          <w:rFonts w:asciiTheme="majorHAnsi" w:hAnsiTheme="majorHAnsi"/>
        </w:rPr>
        <w:lastRenderedPageBreak/>
        <w:t>authorities to transfer a prisoner to hospital against the ad</w:t>
      </w:r>
      <w:r w:rsidRPr="000651D6">
        <w:rPr>
          <w:rFonts w:asciiTheme="majorHAnsi" w:hAnsiTheme="majorHAnsi"/>
        </w:rPr>
        <w:t xml:space="preserve">vice of doctors was found to breach Article </w:t>
      </w:r>
      <w:r w:rsidR="00D64058" w:rsidRPr="000651D6">
        <w:rPr>
          <w:rFonts w:asciiTheme="majorHAnsi" w:hAnsiTheme="majorHAnsi"/>
        </w:rPr>
        <w:t>3.</w:t>
      </w:r>
    </w:p>
    <w:p w14:paraId="3843CE27" w14:textId="77777777" w:rsidR="00D64058" w:rsidRPr="000651D6" w:rsidRDefault="00D64058" w:rsidP="001E1152">
      <w:pPr>
        <w:spacing w:line="360" w:lineRule="auto"/>
        <w:jc w:val="both"/>
        <w:rPr>
          <w:rFonts w:asciiTheme="majorHAnsi" w:hAnsiTheme="majorHAnsi"/>
        </w:rPr>
      </w:pPr>
    </w:p>
    <w:p w14:paraId="1C4891FA" w14:textId="77777777" w:rsidR="00D64058" w:rsidRPr="000651D6" w:rsidRDefault="00D64058" w:rsidP="001E1152">
      <w:pPr>
        <w:spacing w:line="360" w:lineRule="auto"/>
        <w:jc w:val="both"/>
        <w:rPr>
          <w:rFonts w:asciiTheme="majorHAnsi" w:hAnsiTheme="majorHAnsi"/>
        </w:rPr>
      </w:pPr>
      <w:r w:rsidRPr="000651D6">
        <w:rPr>
          <w:rFonts w:asciiTheme="majorHAnsi" w:hAnsiTheme="majorHAnsi"/>
        </w:rPr>
        <w:t xml:space="preserve">Where there is seriously inadequate medical treatment resulting in death, Article 2 may be engaged. </w:t>
      </w:r>
      <w:r w:rsidR="007D4CEC" w:rsidRPr="000651D6">
        <w:rPr>
          <w:rFonts w:asciiTheme="majorHAnsi" w:hAnsiTheme="majorHAnsi"/>
        </w:rPr>
        <w:t xml:space="preserve">In </w:t>
      </w:r>
      <w:r w:rsidRPr="000651D6">
        <w:rPr>
          <w:rFonts w:asciiTheme="majorHAnsi" w:hAnsiTheme="majorHAnsi"/>
          <w:i/>
        </w:rPr>
        <w:t xml:space="preserve">Kats v. Ukraine </w:t>
      </w:r>
      <w:r w:rsidRPr="000651D6">
        <w:rPr>
          <w:rFonts w:asciiTheme="majorHAnsi" w:hAnsiTheme="majorHAnsi"/>
        </w:rPr>
        <w:t>(18 December 2008, no. 29971/04), a prisoner was HIV positive and suffering from a variety of chronic</w:t>
      </w:r>
      <w:r w:rsidR="00B4293A" w:rsidRPr="000651D6">
        <w:rPr>
          <w:rFonts w:asciiTheme="majorHAnsi" w:hAnsiTheme="majorHAnsi"/>
        </w:rPr>
        <w:t xml:space="preserve"> illnesses</w:t>
      </w:r>
      <w:r w:rsidRPr="000651D6">
        <w:rPr>
          <w:rFonts w:asciiTheme="majorHAnsi" w:hAnsiTheme="majorHAnsi"/>
        </w:rPr>
        <w:t xml:space="preserve">. </w:t>
      </w:r>
      <w:r w:rsidR="007D4CEC" w:rsidRPr="000651D6">
        <w:rPr>
          <w:rFonts w:asciiTheme="majorHAnsi" w:hAnsiTheme="majorHAnsi"/>
        </w:rPr>
        <w:t xml:space="preserve">The </w:t>
      </w:r>
      <w:r w:rsidRPr="000651D6">
        <w:rPr>
          <w:rFonts w:asciiTheme="majorHAnsi" w:hAnsiTheme="majorHAnsi"/>
        </w:rPr>
        <w:t>treatment she received was very basic and often delayed. She was not moved to the medical wing of the hospital or to a specialist hospital on the outside. Nor was she released. The Court held that the prisoner’s death was caused indirectly by the inadequate medical assistance given to her, violating Article 2.</w:t>
      </w:r>
    </w:p>
    <w:p w14:paraId="2714D533" w14:textId="77777777" w:rsidR="005D64BB" w:rsidRPr="000651D6" w:rsidRDefault="005D64BB" w:rsidP="001E1152">
      <w:pPr>
        <w:pStyle w:val="s30eec3f8"/>
        <w:spacing w:line="360" w:lineRule="auto"/>
        <w:jc w:val="both"/>
        <w:rPr>
          <w:rFonts w:asciiTheme="majorHAnsi" w:hAnsiTheme="majorHAnsi"/>
          <w:i/>
        </w:rPr>
      </w:pPr>
      <w:r w:rsidRPr="000651D6">
        <w:rPr>
          <w:rFonts w:asciiTheme="majorHAnsi" w:hAnsiTheme="majorHAnsi"/>
          <w:i/>
        </w:rPr>
        <w:t>Screening and treatment of infections</w:t>
      </w:r>
    </w:p>
    <w:p w14:paraId="6543D3E6" w14:textId="77777777" w:rsidR="005D64BB" w:rsidRPr="000651D6" w:rsidRDefault="00BD325D" w:rsidP="001E1152">
      <w:pPr>
        <w:pStyle w:val="s30eec3f8"/>
        <w:spacing w:line="360" w:lineRule="auto"/>
        <w:jc w:val="both"/>
        <w:rPr>
          <w:rFonts w:asciiTheme="majorHAnsi" w:hAnsiTheme="majorHAnsi"/>
        </w:rPr>
      </w:pPr>
      <w:r w:rsidRPr="000651D6">
        <w:rPr>
          <w:rFonts w:asciiTheme="majorHAnsi" w:hAnsiTheme="majorHAnsi"/>
        </w:rPr>
        <w:t xml:space="preserve">The Court has also found </w:t>
      </w:r>
      <w:r w:rsidR="007D4CEC" w:rsidRPr="000651D6">
        <w:rPr>
          <w:rFonts w:asciiTheme="majorHAnsi" w:hAnsiTheme="majorHAnsi"/>
        </w:rPr>
        <w:t>that the failure to prevent the spread of infectious disease in prison can be a breach of Article 3 (</w:t>
      </w:r>
      <w:r w:rsidR="007D4CEC" w:rsidRPr="000651D6">
        <w:rPr>
          <w:rFonts w:asciiTheme="majorHAnsi" w:hAnsiTheme="majorHAnsi"/>
          <w:i/>
        </w:rPr>
        <w:t xml:space="preserve">Vasyukov v. Russia </w:t>
      </w:r>
      <w:r w:rsidR="007D4CEC" w:rsidRPr="000651D6">
        <w:rPr>
          <w:rFonts w:asciiTheme="majorHAnsi" w:hAnsiTheme="majorHAnsi"/>
        </w:rPr>
        <w:t xml:space="preserve">(15 September 2011, no. 2974/05). </w:t>
      </w:r>
      <w:r w:rsidR="00861104" w:rsidRPr="000651D6">
        <w:rPr>
          <w:rFonts w:asciiTheme="majorHAnsi" w:hAnsiTheme="majorHAnsi"/>
          <w:color w:val="000000"/>
        </w:rPr>
        <w:t xml:space="preserve">In </w:t>
      </w:r>
      <w:r w:rsidR="00861104" w:rsidRPr="000651D6">
        <w:rPr>
          <w:rFonts w:asciiTheme="majorHAnsi" w:hAnsiTheme="majorHAnsi"/>
          <w:i/>
          <w:color w:val="000000"/>
        </w:rPr>
        <w:t>Melnik v Ukraine</w:t>
      </w:r>
      <w:r w:rsidR="001962A5" w:rsidRPr="000651D6">
        <w:rPr>
          <w:rFonts w:asciiTheme="majorHAnsi" w:hAnsiTheme="majorHAnsi"/>
          <w:i/>
          <w:color w:val="000000"/>
        </w:rPr>
        <w:t xml:space="preserve"> </w:t>
      </w:r>
      <w:r w:rsidR="001962A5" w:rsidRPr="000651D6">
        <w:rPr>
          <w:rFonts w:asciiTheme="majorHAnsi" w:hAnsiTheme="majorHAnsi"/>
          <w:color w:val="000000"/>
        </w:rPr>
        <w:t>(</w:t>
      </w:r>
      <w:r w:rsidR="007D4CEC" w:rsidRPr="000651D6">
        <w:rPr>
          <w:rFonts w:asciiTheme="majorHAnsi" w:hAnsiTheme="majorHAnsi"/>
        </w:rPr>
        <w:t>28 March, 2006, no. 72286/01)</w:t>
      </w:r>
      <w:r w:rsidR="00861104" w:rsidRPr="000651D6">
        <w:rPr>
          <w:rFonts w:asciiTheme="majorHAnsi" w:hAnsiTheme="majorHAnsi"/>
          <w:i/>
          <w:color w:val="000000"/>
        </w:rPr>
        <w:t xml:space="preserve"> </w:t>
      </w:r>
      <w:r w:rsidR="00861104" w:rsidRPr="000651D6">
        <w:rPr>
          <w:rFonts w:asciiTheme="majorHAnsi" w:hAnsiTheme="majorHAnsi"/>
          <w:color w:val="000000"/>
        </w:rPr>
        <w:t xml:space="preserve">the Court held that the State’s failure to prevent, diagnose and cure tuberculosis along with the existence of overcrowding and unsanitary conditions amounted to degrading treatment. </w:t>
      </w:r>
      <w:r w:rsidR="00D246EF" w:rsidRPr="000651D6">
        <w:rPr>
          <w:rFonts w:asciiTheme="majorHAnsi" w:hAnsiTheme="majorHAnsi"/>
        </w:rPr>
        <w:t xml:space="preserve">The absence of appropriate and comprehensive medical treatment for HIV and tuberculosis were also factors in a finding that Article 3 had been breached in </w:t>
      </w:r>
      <w:r w:rsidR="00D246EF" w:rsidRPr="000651D6">
        <w:rPr>
          <w:rFonts w:asciiTheme="majorHAnsi" w:hAnsiTheme="majorHAnsi"/>
          <w:i/>
        </w:rPr>
        <w:t>Logvienenko v. Ukraine</w:t>
      </w:r>
      <w:r w:rsidR="001962A5" w:rsidRPr="000651D6">
        <w:rPr>
          <w:rFonts w:asciiTheme="majorHAnsi" w:hAnsiTheme="majorHAnsi"/>
          <w:i/>
        </w:rPr>
        <w:t xml:space="preserve"> </w:t>
      </w:r>
      <w:r w:rsidR="001962A5" w:rsidRPr="000651D6">
        <w:rPr>
          <w:rFonts w:asciiTheme="majorHAnsi" w:hAnsiTheme="majorHAnsi"/>
        </w:rPr>
        <w:t>(14</w:t>
      </w:r>
      <w:r w:rsidR="00432BF9" w:rsidRPr="000651D6">
        <w:rPr>
          <w:rFonts w:asciiTheme="majorHAnsi" w:hAnsiTheme="majorHAnsi"/>
        </w:rPr>
        <w:t xml:space="preserve"> October</w:t>
      </w:r>
      <w:r w:rsidR="001962A5" w:rsidRPr="000651D6">
        <w:rPr>
          <w:rFonts w:asciiTheme="majorHAnsi" w:hAnsiTheme="majorHAnsi"/>
        </w:rPr>
        <w:t xml:space="preserve"> 2010</w:t>
      </w:r>
      <w:r w:rsidR="00432BF9" w:rsidRPr="000651D6">
        <w:rPr>
          <w:rFonts w:asciiTheme="majorHAnsi" w:hAnsiTheme="majorHAnsi"/>
        </w:rPr>
        <w:t>, no. 13448/07</w:t>
      </w:r>
      <w:r w:rsidR="001962A5" w:rsidRPr="000651D6">
        <w:rPr>
          <w:rFonts w:asciiTheme="majorHAnsi" w:hAnsiTheme="majorHAnsi"/>
        </w:rPr>
        <w:t>).</w:t>
      </w:r>
      <w:r w:rsidR="00D246EF" w:rsidRPr="000651D6">
        <w:rPr>
          <w:rFonts w:asciiTheme="majorHAnsi" w:hAnsiTheme="majorHAnsi"/>
          <w:i/>
        </w:rPr>
        <w:t xml:space="preserve"> </w:t>
      </w:r>
      <w:r w:rsidR="005D64BB" w:rsidRPr="000651D6">
        <w:rPr>
          <w:rFonts w:asciiTheme="majorHAnsi" w:hAnsiTheme="majorHAnsi"/>
        </w:rPr>
        <w:t xml:space="preserve">In </w:t>
      </w:r>
      <w:r w:rsidR="005D64BB" w:rsidRPr="000651D6">
        <w:rPr>
          <w:rFonts w:asciiTheme="majorHAnsi" w:hAnsiTheme="majorHAnsi"/>
          <w:i/>
        </w:rPr>
        <w:t>Khudobin v. Russia</w:t>
      </w:r>
      <w:r w:rsidR="005D64BB" w:rsidRPr="000651D6">
        <w:rPr>
          <w:rFonts w:asciiTheme="majorHAnsi" w:hAnsiTheme="majorHAnsi"/>
        </w:rPr>
        <w:t xml:space="preserve"> (</w:t>
      </w:r>
      <w:r w:rsidR="007D4CEC" w:rsidRPr="000651D6">
        <w:rPr>
          <w:rFonts w:asciiTheme="majorHAnsi" w:hAnsiTheme="majorHAnsi"/>
        </w:rPr>
        <w:t>no. 59696/00 (2006) ECHR 898),</w:t>
      </w:r>
      <w:r w:rsidR="005D64BB" w:rsidRPr="000651D6">
        <w:rPr>
          <w:rFonts w:asciiTheme="majorHAnsi" w:hAnsiTheme="majorHAnsi"/>
          <w:i/>
        </w:rPr>
        <w:t xml:space="preserve"> </w:t>
      </w:r>
      <w:r w:rsidR="005D64BB" w:rsidRPr="000651D6">
        <w:rPr>
          <w:rFonts w:asciiTheme="majorHAnsi" w:hAnsiTheme="majorHAnsi"/>
        </w:rPr>
        <w:t xml:space="preserve">the applicant was HIV positive and also had epilepsy, hepatitis and mental illnesses. During his time on remand, he contracted measles, bronchitis and acute pneumonia. The Court found that the applicant had not been given the medical assistance he required, </w:t>
      </w:r>
      <w:r w:rsidR="007D4CEC" w:rsidRPr="000651D6">
        <w:rPr>
          <w:rFonts w:asciiTheme="majorHAnsi" w:hAnsiTheme="majorHAnsi"/>
        </w:rPr>
        <w:t xml:space="preserve">not </w:t>
      </w:r>
      <w:r w:rsidR="005D64BB" w:rsidRPr="000651D6">
        <w:rPr>
          <w:rFonts w:asciiTheme="majorHAnsi" w:hAnsiTheme="majorHAnsi"/>
        </w:rPr>
        <w:t>even in the prison h</w:t>
      </w:r>
      <w:r w:rsidR="00910ECB" w:rsidRPr="000651D6">
        <w:rPr>
          <w:rFonts w:asciiTheme="majorHAnsi" w:hAnsiTheme="majorHAnsi"/>
        </w:rPr>
        <w:t xml:space="preserve">ospital. He was also denied </w:t>
      </w:r>
      <w:r w:rsidR="005D64BB" w:rsidRPr="000651D6">
        <w:rPr>
          <w:rFonts w:asciiTheme="majorHAnsi" w:hAnsiTheme="majorHAnsi"/>
        </w:rPr>
        <w:t xml:space="preserve">appropriate medical care from </w:t>
      </w:r>
      <w:r w:rsidR="007D4CEC" w:rsidRPr="000651D6">
        <w:rPr>
          <w:rFonts w:asciiTheme="majorHAnsi" w:hAnsiTheme="majorHAnsi"/>
        </w:rPr>
        <w:t xml:space="preserve">an </w:t>
      </w:r>
      <w:r w:rsidR="005D64BB" w:rsidRPr="000651D6">
        <w:rPr>
          <w:rFonts w:asciiTheme="majorHAnsi" w:hAnsiTheme="majorHAnsi"/>
        </w:rPr>
        <w:t xml:space="preserve">outside source. The refusal </w:t>
      </w:r>
      <w:r w:rsidR="007D4CEC" w:rsidRPr="000651D6">
        <w:rPr>
          <w:rFonts w:asciiTheme="majorHAnsi" w:hAnsiTheme="majorHAnsi"/>
        </w:rPr>
        <w:t>w</w:t>
      </w:r>
      <w:r w:rsidR="005D64BB" w:rsidRPr="000651D6">
        <w:rPr>
          <w:rFonts w:asciiTheme="majorHAnsi" w:hAnsiTheme="majorHAnsi"/>
        </w:rPr>
        <w:t xml:space="preserve">as such as to create a strong feeling of insecurity that, when combined with the physical suffering involved, </w:t>
      </w:r>
      <w:r w:rsidR="007D4CEC" w:rsidRPr="000651D6">
        <w:rPr>
          <w:rFonts w:asciiTheme="majorHAnsi" w:hAnsiTheme="majorHAnsi"/>
        </w:rPr>
        <w:t xml:space="preserve">violated </w:t>
      </w:r>
      <w:r w:rsidR="005D64BB" w:rsidRPr="000651D6">
        <w:rPr>
          <w:rFonts w:asciiTheme="majorHAnsi" w:hAnsiTheme="majorHAnsi"/>
        </w:rPr>
        <w:t xml:space="preserve">Article 3. </w:t>
      </w:r>
    </w:p>
    <w:p w14:paraId="6000CA57" w14:textId="2F861AF7" w:rsidR="00861104" w:rsidRPr="000651D6" w:rsidRDefault="00755F19" w:rsidP="001E1152">
      <w:pPr>
        <w:pStyle w:val="s30eec3f8"/>
        <w:spacing w:line="360" w:lineRule="auto"/>
        <w:jc w:val="both"/>
        <w:rPr>
          <w:rFonts w:asciiTheme="majorHAnsi" w:hAnsiTheme="majorHAnsi"/>
        </w:rPr>
      </w:pPr>
      <w:r w:rsidRPr="000651D6">
        <w:rPr>
          <w:rFonts w:asciiTheme="majorHAnsi" w:hAnsiTheme="majorHAnsi"/>
        </w:rPr>
        <w:t>The European Court of Human Rights has also recommended that all prisoners have access to free screening for hepatitis and HIV/AIDs</w:t>
      </w:r>
      <w:r w:rsidR="004D044A" w:rsidRPr="000651D6">
        <w:rPr>
          <w:rFonts w:asciiTheme="majorHAnsi" w:hAnsiTheme="majorHAnsi"/>
        </w:rPr>
        <w:t>, should they desire it</w:t>
      </w:r>
      <w:r w:rsidR="001962A5" w:rsidRPr="000651D6">
        <w:rPr>
          <w:rFonts w:asciiTheme="majorHAnsi" w:hAnsiTheme="majorHAnsi"/>
        </w:rPr>
        <w:t xml:space="preserve"> (</w:t>
      </w:r>
      <w:r w:rsidR="001962A5" w:rsidRPr="000651D6">
        <w:rPr>
          <w:rFonts w:asciiTheme="majorHAnsi" w:hAnsiTheme="majorHAnsi"/>
          <w:i/>
        </w:rPr>
        <w:t>Catalin Eugen Mic v. Roumanie</w:t>
      </w:r>
      <w:r w:rsidR="00432BF9" w:rsidRPr="000651D6">
        <w:rPr>
          <w:rFonts w:asciiTheme="majorHAnsi" w:hAnsiTheme="majorHAnsi"/>
        </w:rPr>
        <w:t>, 5</w:t>
      </w:r>
      <w:r w:rsidR="001962A5" w:rsidRPr="000651D6">
        <w:rPr>
          <w:rFonts w:asciiTheme="majorHAnsi" w:hAnsiTheme="majorHAnsi"/>
        </w:rPr>
        <w:t xml:space="preserve"> January 2016</w:t>
      </w:r>
      <w:r w:rsidR="00432BF9" w:rsidRPr="000651D6">
        <w:rPr>
          <w:rFonts w:asciiTheme="majorHAnsi" w:hAnsiTheme="majorHAnsi"/>
        </w:rPr>
        <w:t>, no. 55104/13</w:t>
      </w:r>
      <w:r w:rsidR="001962A5" w:rsidRPr="000651D6">
        <w:rPr>
          <w:rFonts w:asciiTheme="majorHAnsi" w:hAnsiTheme="majorHAnsi"/>
        </w:rPr>
        <w:t>).</w:t>
      </w:r>
    </w:p>
    <w:p w14:paraId="195F60CC" w14:textId="77777777" w:rsidR="003B6863" w:rsidRPr="000651D6" w:rsidRDefault="00EB5DBF" w:rsidP="001E1152">
      <w:pPr>
        <w:spacing w:line="360" w:lineRule="auto"/>
        <w:jc w:val="both"/>
        <w:rPr>
          <w:rFonts w:asciiTheme="majorHAnsi" w:hAnsiTheme="majorHAnsi"/>
          <w:i/>
        </w:rPr>
      </w:pPr>
      <w:r w:rsidRPr="000651D6">
        <w:rPr>
          <w:rFonts w:asciiTheme="majorHAnsi" w:hAnsiTheme="majorHAnsi"/>
          <w:i/>
        </w:rPr>
        <w:lastRenderedPageBreak/>
        <w:t>Ill health and the question of release</w:t>
      </w:r>
    </w:p>
    <w:p w14:paraId="17E056EE" w14:textId="77777777" w:rsidR="00FC3777" w:rsidRPr="000651D6" w:rsidRDefault="00FC3777" w:rsidP="001E1152">
      <w:pPr>
        <w:spacing w:line="360" w:lineRule="auto"/>
        <w:jc w:val="both"/>
        <w:rPr>
          <w:rFonts w:asciiTheme="majorHAnsi" w:eastAsia="Times New Roman" w:hAnsiTheme="majorHAnsi" w:cs="Times New Roman"/>
          <w:lang w:eastAsia="en-IE"/>
        </w:rPr>
      </w:pPr>
    </w:p>
    <w:p w14:paraId="5C5A3779" w14:textId="77777777" w:rsidR="0010162C" w:rsidRPr="000651D6" w:rsidRDefault="007D4CEC" w:rsidP="001E1152">
      <w:pPr>
        <w:spacing w:line="360" w:lineRule="auto"/>
        <w:jc w:val="both"/>
        <w:rPr>
          <w:rFonts w:asciiTheme="majorHAnsi" w:eastAsia="Times New Roman" w:hAnsiTheme="majorHAnsi" w:cs="Times New Roman"/>
          <w:lang w:eastAsia="en-IE"/>
        </w:rPr>
      </w:pPr>
      <w:r w:rsidRPr="000651D6">
        <w:rPr>
          <w:rFonts w:asciiTheme="majorHAnsi" w:eastAsia="Times New Roman" w:hAnsiTheme="majorHAnsi" w:cs="Times New Roman"/>
          <w:lang w:eastAsia="en-IE"/>
        </w:rPr>
        <w:t>The</w:t>
      </w:r>
      <w:r w:rsidR="00861104" w:rsidRPr="000651D6">
        <w:rPr>
          <w:rFonts w:asciiTheme="majorHAnsi" w:eastAsia="Times New Roman" w:hAnsiTheme="majorHAnsi" w:cs="Times New Roman"/>
          <w:lang w:eastAsia="en-IE"/>
        </w:rPr>
        <w:t xml:space="preserve"> early release of a prisoner </w:t>
      </w:r>
      <w:r w:rsidRPr="000651D6">
        <w:rPr>
          <w:rFonts w:asciiTheme="majorHAnsi" w:eastAsia="Times New Roman" w:hAnsiTheme="majorHAnsi" w:cs="Times New Roman"/>
          <w:lang w:eastAsia="en-IE"/>
        </w:rPr>
        <w:t xml:space="preserve">may be required </w:t>
      </w:r>
      <w:r w:rsidR="00861104" w:rsidRPr="000651D6">
        <w:rPr>
          <w:rFonts w:asciiTheme="majorHAnsi" w:eastAsia="Times New Roman" w:hAnsiTheme="majorHAnsi" w:cs="Times New Roman"/>
          <w:lang w:eastAsia="en-IE"/>
        </w:rPr>
        <w:t xml:space="preserve">on the basis that, because of his or her age, or medical condition, ongoing detention is not compatible with Article 3. </w:t>
      </w:r>
      <w:r w:rsidRPr="000651D6">
        <w:rPr>
          <w:rFonts w:asciiTheme="majorHAnsi" w:eastAsia="Times New Roman" w:hAnsiTheme="majorHAnsi" w:cs="Times New Roman"/>
          <w:lang w:eastAsia="en-IE"/>
        </w:rPr>
        <w:t>I</w:t>
      </w:r>
      <w:r w:rsidR="0010162C" w:rsidRPr="000651D6">
        <w:rPr>
          <w:rFonts w:asciiTheme="majorHAnsi" w:eastAsia="Times New Roman" w:hAnsiTheme="majorHAnsi" w:cs="Times New Roman"/>
          <w:lang w:eastAsia="en-IE"/>
        </w:rPr>
        <w:t>n</w:t>
      </w:r>
      <w:r w:rsidR="003B6863" w:rsidRPr="000651D6">
        <w:rPr>
          <w:rFonts w:asciiTheme="majorHAnsi" w:eastAsia="Times New Roman" w:hAnsiTheme="majorHAnsi" w:cs="Times New Roman"/>
          <w:lang w:eastAsia="en-IE"/>
        </w:rPr>
        <w:t xml:space="preserve"> </w:t>
      </w:r>
      <w:r w:rsidR="003B6863" w:rsidRPr="000651D6">
        <w:rPr>
          <w:rFonts w:asciiTheme="majorHAnsi" w:eastAsia="Times New Roman" w:hAnsiTheme="majorHAnsi" w:cs="Times New Roman"/>
          <w:i/>
          <w:lang w:eastAsia="en-IE"/>
        </w:rPr>
        <w:t>Papon v France</w:t>
      </w:r>
      <w:r w:rsidR="004E5867" w:rsidRPr="000651D6">
        <w:rPr>
          <w:rFonts w:asciiTheme="majorHAnsi" w:eastAsia="Times New Roman" w:hAnsiTheme="majorHAnsi" w:cs="Times New Roman"/>
          <w:i/>
          <w:lang w:eastAsia="en-IE"/>
        </w:rPr>
        <w:t xml:space="preserve"> </w:t>
      </w:r>
      <w:r w:rsidR="004E5867" w:rsidRPr="000651D6">
        <w:rPr>
          <w:rFonts w:asciiTheme="majorHAnsi" w:eastAsia="Times New Roman" w:hAnsiTheme="majorHAnsi" w:cs="Times New Roman"/>
          <w:lang w:eastAsia="en-IE"/>
        </w:rPr>
        <w:t>(</w:t>
      </w:r>
      <w:r w:rsidR="004E5867" w:rsidRPr="000651D6">
        <w:rPr>
          <w:rStyle w:val="st"/>
          <w:rFonts w:asciiTheme="majorHAnsi" w:hAnsiTheme="majorHAnsi" w:cs="Times New Roman"/>
        </w:rPr>
        <w:t>27 November 2003</w:t>
      </w:r>
      <w:r w:rsidR="004F0E92" w:rsidRPr="000651D6">
        <w:rPr>
          <w:rStyle w:val="st"/>
          <w:rFonts w:asciiTheme="majorHAnsi" w:hAnsiTheme="majorHAnsi" w:cs="Times New Roman"/>
        </w:rPr>
        <w:t>, no. 65436/01</w:t>
      </w:r>
      <w:r w:rsidRPr="000651D6">
        <w:rPr>
          <w:rStyle w:val="st"/>
          <w:rFonts w:asciiTheme="majorHAnsi" w:hAnsiTheme="majorHAnsi" w:cs="Times New Roman"/>
        </w:rPr>
        <w:t xml:space="preserve">) </w:t>
      </w:r>
      <w:r w:rsidRPr="000651D6">
        <w:rPr>
          <w:rFonts w:asciiTheme="majorHAnsi" w:eastAsia="Times New Roman" w:hAnsiTheme="majorHAnsi" w:cs="Times New Roman"/>
          <w:lang w:eastAsia="en-IE"/>
        </w:rPr>
        <w:t>the 92-year old applicant failed in his claim, but</w:t>
      </w:r>
      <w:r w:rsidR="003B6863" w:rsidRPr="000651D6">
        <w:rPr>
          <w:rFonts w:asciiTheme="majorHAnsi" w:eastAsia="Times New Roman" w:hAnsiTheme="majorHAnsi" w:cs="Times New Roman"/>
          <w:lang w:eastAsia="en-IE"/>
        </w:rPr>
        <w:t xml:space="preserve"> the Court did not exclude the possibility that in certain circumstances the </w:t>
      </w:r>
      <w:r w:rsidRPr="000651D6">
        <w:rPr>
          <w:rFonts w:asciiTheme="majorHAnsi" w:eastAsia="Times New Roman" w:hAnsiTheme="majorHAnsi" w:cs="Times New Roman"/>
          <w:lang w:eastAsia="en-IE"/>
        </w:rPr>
        <w:t xml:space="preserve">ongoing </w:t>
      </w:r>
      <w:r w:rsidR="003B6863" w:rsidRPr="000651D6">
        <w:rPr>
          <w:rFonts w:asciiTheme="majorHAnsi" w:eastAsia="Times New Roman" w:hAnsiTheme="majorHAnsi" w:cs="Times New Roman"/>
          <w:lang w:eastAsia="en-IE"/>
        </w:rPr>
        <w:t xml:space="preserve">detention of an elderly person might raise an issue under Article 3. </w:t>
      </w:r>
    </w:p>
    <w:p w14:paraId="0C0F00FD" w14:textId="77777777" w:rsidR="003B6863" w:rsidRPr="000651D6" w:rsidRDefault="003B6863" w:rsidP="001E1152">
      <w:pPr>
        <w:spacing w:line="360" w:lineRule="auto"/>
        <w:jc w:val="both"/>
        <w:rPr>
          <w:rFonts w:asciiTheme="majorHAnsi" w:eastAsia="Times New Roman" w:hAnsiTheme="majorHAnsi" w:cs="Times New Roman"/>
          <w:lang w:eastAsia="en-IE"/>
        </w:rPr>
      </w:pPr>
    </w:p>
    <w:p w14:paraId="36A5B032" w14:textId="77777777" w:rsidR="003B6863" w:rsidRPr="000651D6" w:rsidRDefault="007D4CEC" w:rsidP="001E1152">
      <w:pPr>
        <w:pStyle w:val="Default"/>
        <w:spacing w:line="360" w:lineRule="auto"/>
        <w:jc w:val="both"/>
        <w:rPr>
          <w:rFonts w:asciiTheme="majorHAnsi" w:hAnsiTheme="majorHAnsi"/>
        </w:rPr>
      </w:pPr>
      <w:r w:rsidRPr="000651D6">
        <w:rPr>
          <w:rFonts w:asciiTheme="majorHAnsi" w:hAnsiTheme="majorHAnsi"/>
        </w:rPr>
        <w:t>T</w:t>
      </w:r>
      <w:r w:rsidR="003B6863" w:rsidRPr="000651D6">
        <w:rPr>
          <w:rFonts w:asciiTheme="majorHAnsi" w:hAnsiTheme="majorHAnsi"/>
        </w:rPr>
        <w:t>here is no general obligation arising out of Article 3 to release prisoners on health grounds</w:t>
      </w:r>
      <w:r w:rsidR="004E5867" w:rsidRPr="000651D6">
        <w:rPr>
          <w:rFonts w:asciiTheme="majorHAnsi" w:hAnsiTheme="majorHAnsi"/>
        </w:rPr>
        <w:t xml:space="preserve"> (</w:t>
      </w:r>
      <w:r w:rsidR="004E5867" w:rsidRPr="000651D6">
        <w:rPr>
          <w:rFonts w:asciiTheme="majorHAnsi" w:hAnsiTheme="majorHAnsi"/>
          <w:i/>
        </w:rPr>
        <w:t>Khudobin v Russia</w:t>
      </w:r>
      <w:r w:rsidR="004E5867" w:rsidRPr="000651D6">
        <w:rPr>
          <w:rFonts w:asciiTheme="majorHAnsi" w:hAnsiTheme="majorHAnsi"/>
        </w:rPr>
        <w:t>, 26 January 2007, no. 59696/00),</w:t>
      </w:r>
      <w:r w:rsidR="003B6863" w:rsidRPr="000651D6">
        <w:rPr>
          <w:rFonts w:asciiTheme="majorHAnsi" w:hAnsiTheme="majorHAnsi"/>
        </w:rPr>
        <w:t xml:space="preserve"> but if it is decided to keep a seriously ill person in prison, the authorities should demonstrate s</w:t>
      </w:r>
      <w:r w:rsidRPr="000651D6">
        <w:rPr>
          <w:rFonts w:asciiTheme="majorHAnsi" w:hAnsiTheme="majorHAnsi"/>
        </w:rPr>
        <w:t>pecial care in guaranteeing</w:t>
      </w:r>
      <w:r w:rsidR="003B6863" w:rsidRPr="000651D6">
        <w:rPr>
          <w:rFonts w:asciiTheme="majorHAnsi" w:hAnsiTheme="majorHAnsi"/>
        </w:rPr>
        <w:t xml:space="preserve"> conditions of detention that correspond to the </w:t>
      </w:r>
      <w:r w:rsidRPr="000651D6">
        <w:rPr>
          <w:rFonts w:asciiTheme="majorHAnsi" w:hAnsiTheme="majorHAnsi"/>
        </w:rPr>
        <w:t xml:space="preserve">needs arising </w:t>
      </w:r>
      <w:r w:rsidR="00910ECB" w:rsidRPr="000651D6">
        <w:rPr>
          <w:rFonts w:asciiTheme="majorHAnsi" w:hAnsiTheme="majorHAnsi"/>
        </w:rPr>
        <w:t>from a</w:t>
      </w:r>
      <w:r w:rsidR="003B6863" w:rsidRPr="000651D6">
        <w:rPr>
          <w:rFonts w:asciiTheme="majorHAnsi" w:hAnsiTheme="majorHAnsi"/>
        </w:rPr>
        <w:t xml:space="preserve"> person’s disability. </w:t>
      </w:r>
      <w:r w:rsidRPr="000651D6">
        <w:rPr>
          <w:rFonts w:asciiTheme="majorHAnsi" w:hAnsiTheme="majorHAnsi"/>
        </w:rPr>
        <w:t>I</w:t>
      </w:r>
      <w:r w:rsidR="003B6863" w:rsidRPr="000651D6">
        <w:rPr>
          <w:rFonts w:asciiTheme="majorHAnsi" w:hAnsiTheme="majorHAnsi"/>
        </w:rPr>
        <w:t xml:space="preserve">n </w:t>
      </w:r>
      <w:r w:rsidR="003B6863" w:rsidRPr="000651D6">
        <w:rPr>
          <w:rFonts w:asciiTheme="majorHAnsi" w:hAnsiTheme="majorHAnsi"/>
          <w:i/>
        </w:rPr>
        <w:t>Gülay Çetin v. Turkey</w:t>
      </w:r>
      <w:r w:rsidR="004E5867" w:rsidRPr="000651D6">
        <w:rPr>
          <w:rFonts w:asciiTheme="majorHAnsi" w:hAnsiTheme="majorHAnsi"/>
        </w:rPr>
        <w:t xml:space="preserve"> (</w:t>
      </w:r>
      <w:r w:rsidR="004F0E92" w:rsidRPr="000651D6">
        <w:rPr>
          <w:rFonts w:asciiTheme="majorHAnsi" w:hAnsiTheme="majorHAnsi"/>
        </w:rPr>
        <w:t>5 March 2010, no.</w:t>
      </w:r>
      <w:r w:rsidR="004E5867" w:rsidRPr="000651D6">
        <w:rPr>
          <w:rFonts w:asciiTheme="majorHAnsi" w:hAnsiTheme="majorHAnsi"/>
        </w:rPr>
        <w:t xml:space="preserve"> 44084/10</w:t>
      </w:r>
      <w:r w:rsidR="004F0E92" w:rsidRPr="000651D6">
        <w:rPr>
          <w:rFonts w:asciiTheme="majorHAnsi" w:hAnsiTheme="majorHAnsi"/>
        </w:rPr>
        <w:t>)</w:t>
      </w:r>
      <w:r w:rsidRPr="000651D6">
        <w:rPr>
          <w:rFonts w:asciiTheme="majorHAnsi" w:hAnsiTheme="majorHAnsi"/>
        </w:rPr>
        <w:t xml:space="preserve"> </w:t>
      </w:r>
      <w:r w:rsidR="003B6863" w:rsidRPr="000651D6">
        <w:rPr>
          <w:rFonts w:asciiTheme="majorHAnsi" w:hAnsiTheme="majorHAnsi"/>
        </w:rPr>
        <w:t xml:space="preserve">the prisoner involved was </w:t>
      </w:r>
      <w:r w:rsidR="0010162C" w:rsidRPr="000651D6">
        <w:rPr>
          <w:rFonts w:asciiTheme="majorHAnsi" w:hAnsiTheme="majorHAnsi"/>
        </w:rPr>
        <w:t>suffering from advanced cancer</w:t>
      </w:r>
      <w:r w:rsidRPr="000651D6">
        <w:rPr>
          <w:rFonts w:asciiTheme="majorHAnsi" w:hAnsiTheme="majorHAnsi"/>
        </w:rPr>
        <w:t xml:space="preserve"> and died</w:t>
      </w:r>
      <w:r w:rsidR="0010162C" w:rsidRPr="000651D6">
        <w:rPr>
          <w:rFonts w:asciiTheme="majorHAnsi" w:hAnsiTheme="majorHAnsi"/>
        </w:rPr>
        <w:t>.</w:t>
      </w:r>
      <w:r w:rsidRPr="000651D6">
        <w:rPr>
          <w:rFonts w:asciiTheme="majorHAnsi" w:hAnsiTheme="majorHAnsi"/>
        </w:rPr>
        <w:t xml:space="preserve"> T</w:t>
      </w:r>
      <w:r w:rsidR="003B6863" w:rsidRPr="000651D6">
        <w:rPr>
          <w:rFonts w:asciiTheme="majorHAnsi" w:hAnsiTheme="majorHAnsi"/>
        </w:rPr>
        <w:t xml:space="preserve">he Court found the stress inherent in prison life had repercussions on </w:t>
      </w:r>
      <w:r w:rsidR="0010162C" w:rsidRPr="000651D6">
        <w:rPr>
          <w:rFonts w:asciiTheme="majorHAnsi" w:hAnsiTheme="majorHAnsi"/>
        </w:rPr>
        <w:t xml:space="preserve">her life expectancy and health. </w:t>
      </w:r>
      <w:r w:rsidR="00910ECB" w:rsidRPr="000651D6">
        <w:rPr>
          <w:rFonts w:asciiTheme="majorHAnsi" w:hAnsiTheme="majorHAnsi"/>
        </w:rPr>
        <w:t>T</w:t>
      </w:r>
      <w:r w:rsidR="003B6863" w:rsidRPr="000651D6">
        <w:rPr>
          <w:rFonts w:asciiTheme="majorHAnsi" w:hAnsiTheme="majorHAnsi"/>
        </w:rPr>
        <w:t xml:space="preserve">he prisoner had become unable to carry out everyday activities unaided and had been placed under the supervision of people who were not qualified in medical or palliative care. </w:t>
      </w:r>
      <w:r w:rsidRPr="000651D6">
        <w:rPr>
          <w:rFonts w:asciiTheme="majorHAnsi" w:hAnsiTheme="majorHAnsi"/>
        </w:rPr>
        <w:t>The</w:t>
      </w:r>
      <w:r w:rsidR="003B6863" w:rsidRPr="000651D6">
        <w:rPr>
          <w:rFonts w:asciiTheme="majorHAnsi" w:hAnsiTheme="majorHAnsi"/>
        </w:rPr>
        <w:t xml:space="preserve"> authorities had decided to keep the prisoner in detention</w:t>
      </w:r>
      <w:r w:rsidR="0010162C" w:rsidRPr="000651D6">
        <w:rPr>
          <w:rFonts w:asciiTheme="majorHAnsi" w:hAnsiTheme="majorHAnsi"/>
        </w:rPr>
        <w:t>,</w:t>
      </w:r>
      <w:r w:rsidR="003B6863" w:rsidRPr="000651D6">
        <w:rPr>
          <w:rFonts w:asciiTheme="majorHAnsi" w:hAnsiTheme="majorHAnsi"/>
        </w:rPr>
        <w:t xml:space="preserve"> </w:t>
      </w:r>
      <w:r w:rsidRPr="000651D6">
        <w:rPr>
          <w:rFonts w:asciiTheme="majorHAnsi" w:hAnsiTheme="majorHAnsi"/>
        </w:rPr>
        <w:t>and the T</w:t>
      </w:r>
      <w:r w:rsidR="003B6863" w:rsidRPr="000651D6">
        <w:rPr>
          <w:rFonts w:asciiTheme="majorHAnsi" w:hAnsiTheme="majorHAnsi"/>
        </w:rPr>
        <w:t>urkish courts h</w:t>
      </w:r>
      <w:r w:rsidRPr="000651D6">
        <w:rPr>
          <w:rFonts w:asciiTheme="majorHAnsi" w:hAnsiTheme="majorHAnsi"/>
        </w:rPr>
        <w:t>ad refused requests for release. T</w:t>
      </w:r>
      <w:r w:rsidR="003B6863" w:rsidRPr="000651D6">
        <w:rPr>
          <w:rFonts w:asciiTheme="majorHAnsi" w:hAnsiTheme="majorHAnsi"/>
        </w:rPr>
        <w:t xml:space="preserve">he prisoner had been declared unfit to remain in prison but was still not released. As such, she was unable to enjoy the support of her family and </w:t>
      </w:r>
      <w:r w:rsidR="00910ECB" w:rsidRPr="000651D6">
        <w:rPr>
          <w:rFonts w:asciiTheme="majorHAnsi" w:hAnsiTheme="majorHAnsi"/>
        </w:rPr>
        <w:t>spend her final days in dignity.</w:t>
      </w:r>
      <w:r w:rsidR="003B6863" w:rsidRPr="000651D6">
        <w:rPr>
          <w:rFonts w:asciiTheme="majorHAnsi" w:hAnsiTheme="majorHAnsi"/>
        </w:rPr>
        <w:t xml:space="preserve"> </w:t>
      </w:r>
      <w:r w:rsidR="0010162C" w:rsidRPr="000651D6">
        <w:rPr>
          <w:rFonts w:asciiTheme="majorHAnsi" w:hAnsiTheme="majorHAnsi"/>
        </w:rPr>
        <w:t xml:space="preserve">A breach of Article 3 was made out. </w:t>
      </w:r>
    </w:p>
    <w:p w14:paraId="0D65302E" w14:textId="77777777" w:rsidR="003B6863" w:rsidRPr="000651D6" w:rsidRDefault="003B6863" w:rsidP="001E1152">
      <w:pPr>
        <w:spacing w:line="360" w:lineRule="auto"/>
        <w:jc w:val="both"/>
        <w:rPr>
          <w:rFonts w:asciiTheme="majorHAnsi" w:hAnsiTheme="majorHAnsi"/>
        </w:rPr>
      </w:pPr>
    </w:p>
    <w:p w14:paraId="7DF60928" w14:textId="77777777" w:rsidR="003B6863" w:rsidRPr="000651D6" w:rsidRDefault="007D4CEC" w:rsidP="001E1152">
      <w:pPr>
        <w:spacing w:line="360" w:lineRule="auto"/>
        <w:jc w:val="both"/>
        <w:rPr>
          <w:rFonts w:asciiTheme="majorHAnsi" w:eastAsia="Times New Roman" w:hAnsiTheme="majorHAnsi" w:cs="Times New Roman"/>
          <w:lang w:eastAsia="en-IE"/>
        </w:rPr>
      </w:pPr>
      <w:r w:rsidRPr="000651D6">
        <w:rPr>
          <w:rFonts w:asciiTheme="majorHAnsi" w:eastAsia="Times New Roman" w:hAnsiTheme="majorHAnsi" w:cs="Times New Roman"/>
          <w:iCs/>
          <w:lang w:eastAsia="en-IE"/>
        </w:rPr>
        <w:t>I</w:t>
      </w:r>
      <w:r w:rsidR="003B6863" w:rsidRPr="000651D6">
        <w:rPr>
          <w:rFonts w:asciiTheme="majorHAnsi" w:eastAsia="Times New Roman" w:hAnsiTheme="majorHAnsi" w:cs="Times New Roman"/>
          <w:iCs/>
          <w:lang w:eastAsia="en-IE"/>
        </w:rPr>
        <w:t xml:space="preserve">n </w:t>
      </w:r>
      <w:r w:rsidR="003B6863" w:rsidRPr="000651D6">
        <w:rPr>
          <w:rFonts w:asciiTheme="majorHAnsi" w:eastAsia="Times New Roman" w:hAnsiTheme="majorHAnsi" w:cs="Times New Roman"/>
          <w:i/>
          <w:iCs/>
          <w:lang w:eastAsia="en-IE"/>
        </w:rPr>
        <w:t>Farbthus</w:t>
      </w:r>
      <w:r w:rsidR="003B6863" w:rsidRPr="000651D6">
        <w:rPr>
          <w:rFonts w:asciiTheme="majorHAnsi" w:eastAsia="Times New Roman" w:hAnsiTheme="majorHAnsi" w:cs="Times New Roman"/>
          <w:i/>
          <w:lang w:eastAsia="en-IE"/>
        </w:rPr>
        <w:t xml:space="preserve"> v</w:t>
      </w:r>
      <w:r w:rsidR="003B6863" w:rsidRPr="000651D6">
        <w:rPr>
          <w:rFonts w:asciiTheme="majorHAnsi" w:eastAsia="Times New Roman" w:hAnsiTheme="majorHAnsi" w:cs="Times New Roman"/>
          <w:lang w:eastAsia="en-IE"/>
        </w:rPr>
        <w:t xml:space="preserve"> </w:t>
      </w:r>
      <w:r w:rsidR="003B6863" w:rsidRPr="000651D6">
        <w:rPr>
          <w:rFonts w:asciiTheme="majorHAnsi" w:eastAsia="Times New Roman" w:hAnsiTheme="majorHAnsi" w:cs="Times New Roman"/>
          <w:i/>
          <w:iCs/>
          <w:lang w:eastAsia="en-IE"/>
        </w:rPr>
        <w:t>Latvia</w:t>
      </w:r>
      <w:r w:rsidR="004E5867" w:rsidRPr="000651D6">
        <w:rPr>
          <w:rFonts w:asciiTheme="majorHAnsi" w:eastAsia="Times New Roman" w:hAnsiTheme="majorHAnsi" w:cs="Times New Roman"/>
          <w:i/>
          <w:iCs/>
          <w:lang w:eastAsia="en-IE"/>
        </w:rPr>
        <w:t xml:space="preserve"> </w:t>
      </w:r>
      <w:r w:rsidR="004E5867" w:rsidRPr="000651D6">
        <w:rPr>
          <w:rFonts w:asciiTheme="majorHAnsi" w:eastAsia="Times New Roman" w:hAnsiTheme="majorHAnsi" w:cs="Times New Roman"/>
          <w:iCs/>
          <w:lang w:eastAsia="en-IE"/>
        </w:rPr>
        <w:t>(</w:t>
      </w:r>
      <w:r w:rsidR="004E5867" w:rsidRPr="000651D6">
        <w:rPr>
          <w:rStyle w:val="st"/>
          <w:rFonts w:asciiTheme="majorHAnsi" w:hAnsiTheme="majorHAnsi" w:cs="Times New Roman"/>
        </w:rPr>
        <w:t>2 December 2004</w:t>
      </w:r>
      <w:r w:rsidR="004F0E92" w:rsidRPr="000651D6">
        <w:rPr>
          <w:rStyle w:val="st"/>
          <w:rFonts w:asciiTheme="majorHAnsi" w:hAnsiTheme="majorHAnsi" w:cs="Times New Roman"/>
        </w:rPr>
        <w:t>, no. 4672/02)</w:t>
      </w:r>
      <w:r w:rsidR="004E5867" w:rsidRPr="000651D6">
        <w:rPr>
          <w:rStyle w:val="st"/>
          <w:rFonts w:asciiTheme="majorHAnsi" w:hAnsiTheme="majorHAnsi" w:cs="Times New Roman"/>
        </w:rPr>
        <w:t>,</w:t>
      </w:r>
      <w:r w:rsidR="003B6863" w:rsidRPr="000651D6">
        <w:rPr>
          <w:rFonts w:asciiTheme="majorHAnsi" w:eastAsia="Times New Roman" w:hAnsiTheme="majorHAnsi" w:cs="Times New Roman"/>
          <w:lang w:eastAsia="en-IE"/>
        </w:rPr>
        <w:t xml:space="preserve"> the Court held that there had been a violation of Article 3 in circumstances where an 84 year-old prisoner, suffering from very poor hea</w:t>
      </w:r>
      <w:r w:rsidR="0010162C" w:rsidRPr="000651D6">
        <w:rPr>
          <w:rFonts w:asciiTheme="majorHAnsi" w:eastAsia="Times New Roman" w:hAnsiTheme="majorHAnsi" w:cs="Times New Roman"/>
          <w:lang w:eastAsia="en-IE"/>
        </w:rPr>
        <w:t>l</w:t>
      </w:r>
      <w:r w:rsidR="003B6863" w:rsidRPr="000651D6">
        <w:rPr>
          <w:rFonts w:asciiTheme="majorHAnsi" w:eastAsia="Times New Roman" w:hAnsiTheme="majorHAnsi" w:cs="Times New Roman"/>
          <w:lang w:eastAsia="en-IE"/>
        </w:rPr>
        <w:t>th who had been detained in prison and prison hospitals for nearly two years</w:t>
      </w:r>
      <w:r w:rsidR="0010162C" w:rsidRPr="000651D6">
        <w:rPr>
          <w:rFonts w:asciiTheme="majorHAnsi" w:eastAsia="Times New Roman" w:hAnsiTheme="majorHAnsi" w:cs="Times New Roman"/>
          <w:lang w:eastAsia="en-IE"/>
        </w:rPr>
        <w:t>,</w:t>
      </w:r>
      <w:r w:rsidR="003B6863" w:rsidRPr="000651D6">
        <w:rPr>
          <w:rFonts w:asciiTheme="majorHAnsi" w:eastAsia="Times New Roman" w:hAnsiTheme="majorHAnsi" w:cs="Times New Roman"/>
          <w:lang w:eastAsia="en-IE"/>
        </w:rPr>
        <w:t xml:space="preserve"> was refused release by the authorities.  </w:t>
      </w:r>
    </w:p>
    <w:p w14:paraId="21A7E16B" w14:textId="77777777" w:rsidR="003860F7" w:rsidRPr="000651D6" w:rsidRDefault="003860F7" w:rsidP="001E1152">
      <w:pPr>
        <w:spacing w:line="360" w:lineRule="auto"/>
        <w:jc w:val="both"/>
        <w:rPr>
          <w:rFonts w:asciiTheme="majorHAnsi" w:eastAsia="Times New Roman" w:hAnsiTheme="majorHAnsi" w:cs="Times New Roman"/>
          <w:lang w:eastAsia="en-IE"/>
        </w:rPr>
      </w:pPr>
    </w:p>
    <w:p w14:paraId="407F820A" w14:textId="77777777" w:rsidR="003860F7" w:rsidRPr="000651D6" w:rsidRDefault="003860F7" w:rsidP="001E1152">
      <w:pPr>
        <w:spacing w:line="360" w:lineRule="auto"/>
        <w:jc w:val="both"/>
        <w:rPr>
          <w:rFonts w:asciiTheme="majorHAnsi" w:eastAsia="Times New Roman" w:hAnsiTheme="majorHAnsi" w:cs="Times New Roman"/>
          <w:lang w:eastAsia="en-IE"/>
        </w:rPr>
      </w:pPr>
    </w:p>
    <w:p w14:paraId="76AC8E00" w14:textId="77777777" w:rsidR="003860F7" w:rsidRPr="000651D6" w:rsidRDefault="003860F7" w:rsidP="001E1152">
      <w:pPr>
        <w:spacing w:line="360" w:lineRule="auto"/>
        <w:jc w:val="both"/>
        <w:rPr>
          <w:rFonts w:asciiTheme="majorHAnsi" w:eastAsia="Times New Roman" w:hAnsiTheme="majorHAnsi" w:cs="Times New Roman"/>
          <w:lang w:eastAsia="en-IE"/>
        </w:rPr>
      </w:pPr>
    </w:p>
    <w:p w14:paraId="62CA496D" w14:textId="77777777" w:rsidR="00A75578" w:rsidRPr="000651D6" w:rsidRDefault="00A75578" w:rsidP="001E1152">
      <w:pPr>
        <w:spacing w:line="360" w:lineRule="auto"/>
        <w:jc w:val="both"/>
        <w:rPr>
          <w:rFonts w:asciiTheme="majorHAnsi" w:hAnsiTheme="majorHAnsi" w:cs="Times New Roman"/>
          <w:b/>
          <w:color w:val="000000"/>
        </w:rPr>
      </w:pPr>
    </w:p>
    <w:p w14:paraId="056FCB38" w14:textId="77777777" w:rsidR="003B6863" w:rsidRPr="000651D6" w:rsidRDefault="003B6863" w:rsidP="001E1152">
      <w:pPr>
        <w:spacing w:line="360" w:lineRule="auto"/>
        <w:jc w:val="both"/>
        <w:rPr>
          <w:rFonts w:asciiTheme="majorHAnsi" w:hAnsiTheme="majorHAnsi" w:cs="Times New Roman"/>
          <w:i/>
          <w:color w:val="000000"/>
        </w:rPr>
      </w:pPr>
      <w:r w:rsidRPr="000651D6">
        <w:rPr>
          <w:rFonts w:asciiTheme="majorHAnsi" w:hAnsiTheme="majorHAnsi" w:cs="Times New Roman"/>
          <w:i/>
          <w:color w:val="000000"/>
        </w:rPr>
        <w:lastRenderedPageBreak/>
        <w:t>Prisoners with mental illnesses</w:t>
      </w:r>
    </w:p>
    <w:p w14:paraId="2CD3D70C" w14:textId="77777777" w:rsidR="003B6863" w:rsidRPr="000651D6" w:rsidRDefault="003B6863" w:rsidP="001E1152">
      <w:pPr>
        <w:spacing w:line="360" w:lineRule="auto"/>
        <w:jc w:val="both"/>
        <w:rPr>
          <w:rFonts w:asciiTheme="majorHAnsi" w:hAnsiTheme="majorHAnsi"/>
        </w:rPr>
      </w:pPr>
    </w:p>
    <w:p w14:paraId="55EDA792" w14:textId="77777777" w:rsidR="003B6863" w:rsidRPr="000651D6" w:rsidRDefault="003B6863" w:rsidP="001E1152">
      <w:pPr>
        <w:spacing w:line="360" w:lineRule="auto"/>
        <w:jc w:val="both"/>
        <w:rPr>
          <w:rFonts w:asciiTheme="majorHAnsi" w:hAnsiTheme="majorHAnsi"/>
        </w:rPr>
      </w:pPr>
      <w:r w:rsidRPr="000651D6">
        <w:rPr>
          <w:rFonts w:asciiTheme="majorHAnsi" w:hAnsiTheme="majorHAnsi"/>
        </w:rPr>
        <w:t xml:space="preserve">The failure to recognise the particular vulnerability of prisoners with mental illnesses may lead to a finding they have been subjected to inhuman or degrading treatment. </w:t>
      </w:r>
      <w:r w:rsidR="00D64058" w:rsidRPr="000651D6">
        <w:rPr>
          <w:rFonts w:asciiTheme="majorHAnsi" w:hAnsiTheme="majorHAnsi"/>
        </w:rPr>
        <w:t>P</w:t>
      </w:r>
      <w:r w:rsidRPr="000651D6">
        <w:rPr>
          <w:rFonts w:asciiTheme="majorHAnsi" w:hAnsiTheme="majorHAnsi"/>
        </w:rPr>
        <w:t>rison authorities</w:t>
      </w:r>
      <w:r w:rsidRPr="000651D6">
        <w:rPr>
          <w:rFonts w:asciiTheme="majorHAnsi" w:hAnsiTheme="majorHAnsi"/>
          <w:i/>
        </w:rPr>
        <w:t xml:space="preserve"> </w:t>
      </w:r>
      <w:r w:rsidRPr="000651D6">
        <w:rPr>
          <w:rFonts w:asciiTheme="majorHAnsi" w:hAnsiTheme="majorHAnsi"/>
        </w:rPr>
        <w:t>must take into consideration their vulnerability and inability to complain coherently or at all about how they are being affected by any particular treatment</w:t>
      </w:r>
      <w:r w:rsidR="004E5867" w:rsidRPr="000651D6">
        <w:rPr>
          <w:rFonts w:asciiTheme="majorHAnsi" w:hAnsiTheme="majorHAnsi"/>
        </w:rPr>
        <w:t xml:space="preserve"> (</w:t>
      </w:r>
      <w:r w:rsidR="00D64058" w:rsidRPr="000651D6">
        <w:rPr>
          <w:rFonts w:asciiTheme="majorHAnsi" w:hAnsiTheme="majorHAnsi"/>
          <w:i/>
        </w:rPr>
        <w:t xml:space="preserve">Kucheruk v. Ukraine </w:t>
      </w:r>
      <w:r w:rsidR="004E5867" w:rsidRPr="000651D6">
        <w:rPr>
          <w:rFonts w:asciiTheme="majorHAnsi" w:hAnsiTheme="majorHAnsi"/>
        </w:rPr>
        <w:t xml:space="preserve">6 September 2007, no. 2570/04). </w:t>
      </w:r>
    </w:p>
    <w:p w14:paraId="5E4A49AD" w14:textId="7F923768" w:rsidR="00A5092C" w:rsidRPr="000651D6" w:rsidRDefault="00627CE6" w:rsidP="00E36B92">
      <w:pPr>
        <w:pStyle w:val="s30eec3f8"/>
        <w:spacing w:line="360" w:lineRule="auto"/>
        <w:jc w:val="both"/>
        <w:rPr>
          <w:rFonts w:asciiTheme="majorHAnsi" w:hAnsiTheme="majorHAnsi"/>
        </w:rPr>
      </w:pPr>
      <w:r w:rsidRPr="000651D6">
        <w:rPr>
          <w:rFonts w:asciiTheme="majorHAnsi" w:hAnsiTheme="majorHAnsi"/>
        </w:rPr>
        <w:t>The detention of prisoners with mental illnesses must be compatible with their needs</w:t>
      </w:r>
      <w:r w:rsidR="004D044A" w:rsidRPr="000651D6">
        <w:rPr>
          <w:rFonts w:asciiTheme="majorHAnsi" w:hAnsiTheme="majorHAnsi"/>
        </w:rPr>
        <w:t xml:space="preserve"> (</w:t>
      </w:r>
      <w:r w:rsidR="003B6863" w:rsidRPr="000651D6">
        <w:rPr>
          <w:rFonts w:asciiTheme="majorHAnsi" w:hAnsiTheme="majorHAnsi"/>
          <w:i/>
        </w:rPr>
        <w:t>Dybeku v. Albania</w:t>
      </w:r>
      <w:r w:rsidR="004E5867" w:rsidRPr="000651D6">
        <w:rPr>
          <w:rFonts w:asciiTheme="majorHAnsi" w:hAnsiTheme="majorHAnsi"/>
          <w:i/>
        </w:rPr>
        <w:t xml:space="preserve"> </w:t>
      </w:r>
      <w:r w:rsidR="004E5867" w:rsidRPr="000651D6">
        <w:rPr>
          <w:rFonts w:asciiTheme="majorHAnsi" w:hAnsiTheme="majorHAnsi"/>
        </w:rPr>
        <w:t>(</w:t>
      </w:r>
      <w:r w:rsidR="004F0E92" w:rsidRPr="000651D6">
        <w:rPr>
          <w:rFonts w:asciiTheme="majorHAnsi" w:hAnsiTheme="majorHAnsi"/>
        </w:rPr>
        <w:t>18 December</w:t>
      </w:r>
      <w:r w:rsidR="004E5867" w:rsidRPr="000651D6">
        <w:rPr>
          <w:rFonts w:asciiTheme="majorHAnsi" w:hAnsiTheme="majorHAnsi"/>
        </w:rPr>
        <w:t xml:space="preserve"> 2007</w:t>
      </w:r>
      <w:r w:rsidR="004F0E92" w:rsidRPr="000651D6">
        <w:rPr>
          <w:rFonts w:asciiTheme="majorHAnsi" w:hAnsiTheme="majorHAnsi"/>
        </w:rPr>
        <w:t>, no. 41153/06</w:t>
      </w:r>
      <w:r w:rsidR="00E36B92" w:rsidRPr="000651D6">
        <w:rPr>
          <w:rFonts w:asciiTheme="majorHAnsi" w:hAnsiTheme="majorHAnsi"/>
        </w:rPr>
        <w:t xml:space="preserve">; </w:t>
      </w:r>
      <w:r w:rsidR="00E36B92" w:rsidRPr="000651D6">
        <w:rPr>
          <w:rFonts w:asciiTheme="majorHAnsi" w:hAnsiTheme="majorHAnsi"/>
          <w:i/>
        </w:rPr>
        <w:t xml:space="preserve">Riviere v. France </w:t>
      </w:r>
      <w:r w:rsidR="00E36B92" w:rsidRPr="000651D6">
        <w:rPr>
          <w:rFonts w:asciiTheme="majorHAnsi" w:hAnsiTheme="majorHAnsi"/>
        </w:rPr>
        <w:t>(11 July 2006, no. 3834/03</w:t>
      </w:r>
      <w:r w:rsidR="004E5867" w:rsidRPr="000651D6">
        <w:rPr>
          <w:rFonts w:asciiTheme="majorHAnsi" w:hAnsiTheme="majorHAnsi"/>
        </w:rPr>
        <w:t>)</w:t>
      </w:r>
      <w:r w:rsidR="00A5092C" w:rsidRPr="000651D6">
        <w:rPr>
          <w:rFonts w:asciiTheme="majorHAnsi" w:hAnsiTheme="majorHAnsi"/>
        </w:rPr>
        <w:t>.</w:t>
      </w:r>
      <w:r w:rsidR="003B6863" w:rsidRPr="000651D6">
        <w:rPr>
          <w:rFonts w:asciiTheme="majorHAnsi" w:hAnsiTheme="majorHAnsi"/>
          <w:i/>
        </w:rPr>
        <w:t xml:space="preserve"> </w:t>
      </w:r>
      <w:r w:rsidRPr="000651D6">
        <w:rPr>
          <w:rFonts w:asciiTheme="majorHAnsi" w:hAnsiTheme="majorHAnsi"/>
        </w:rPr>
        <w:t>Failure to take measures to ensure that a person’s detention is compatible with his or her mental state, especially when that person is at risk of suicide, can give rise to a beach of Articles 2 and 3. In</w:t>
      </w:r>
      <w:r w:rsidRPr="000651D6">
        <w:rPr>
          <w:rFonts w:asciiTheme="majorHAnsi" w:hAnsiTheme="majorHAnsi"/>
          <w:i/>
        </w:rPr>
        <w:t xml:space="preserve"> </w:t>
      </w:r>
      <w:r w:rsidR="003B6863" w:rsidRPr="000651D6">
        <w:rPr>
          <w:rFonts w:asciiTheme="majorHAnsi" w:hAnsiTheme="majorHAnsi"/>
          <w:i/>
        </w:rPr>
        <w:t>Renolde v. France</w:t>
      </w:r>
      <w:r w:rsidR="004E5867" w:rsidRPr="000651D6">
        <w:rPr>
          <w:rFonts w:asciiTheme="majorHAnsi" w:hAnsiTheme="majorHAnsi"/>
          <w:i/>
        </w:rPr>
        <w:t xml:space="preserve"> </w:t>
      </w:r>
      <w:r w:rsidR="004E5867" w:rsidRPr="000651D6">
        <w:rPr>
          <w:rFonts w:asciiTheme="majorHAnsi" w:hAnsiTheme="majorHAnsi"/>
        </w:rPr>
        <w:t>((2009) 48 EHRR 42)</w:t>
      </w:r>
      <w:r w:rsidR="003B6863" w:rsidRPr="000651D6">
        <w:rPr>
          <w:rFonts w:asciiTheme="majorHAnsi" w:hAnsiTheme="majorHAnsi"/>
        </w:rPr>
        <w:t xml:space="preserve"> </w:t>
      </w:r>
      <w:r w:rsidRPr="000651D6">
        <w:rPr>
          <w:rFonts w:asciiTheme="majorHAnsi" w:hAnsiTheme="majorHAnsi"/>
        </w:rPr>
        <w:t xml:space="preserve">the prisoner </w:t>
      </w:r>
      <w:r w:rsidR="003B6863" w:rsidRPr="000651D6">
        <w:rPr>
          <w:rFonts w:asciiTheme="majorHAnsi" w:hAnsiTheme="majorHAnsi"/>
        </w:rPr>
        <w:t>concerned took his life in his cell. There were several reports available to the prison authorities indicating cogniti</w:t>
      </w:r>
      <w:r w:rsidR="00910ECB" w:rsidRPr="000651D6">
        <w:rPr>
          <w:rFonts w:asciiTheme="majorHAnsi" w:hAnsiTheme="majorHAnsi"/>
        </w:rPr>
        <w:t xml:space="preserve">ve deficiencies and paranoia, and he </w:t>
      </w:r>
      <w:r w:rsidR="003B6863" w:rsidRPr="000651D6">
        <w:rPr>
          <w:rFonts w:asciiTheme="majorHAnsi" w:hAnsiTheme="majorHAnsi"/>
        </w:rPr>
        <w:t>was given medication, but received se</w:t>
      </w:r>
      <w:r w:rsidR="00910ECB" w:rsidRPr="000651D6">
        <w:rPr>
          <w:rFonts w:asciiTheme="majorHAnsi" w:hAnsiTheme="majorHAnsi"/>
        </w:rPr>
        <w:t>veral doses without supervision</w:t>
      </w:r>
      <w:r w:rsidR="003B6863" w:rsidRPr="000651D6">
        <w:rPr>
          <w:rFonts w:asciiTheme="majorHAnsi" w:hAnsiTheme="majorHAnsi"/>
        </w:rPr>
        <w:t xml:space="preserve">. </w:t>
      </w:r>
      <w:r w:rsidR="007D4CEC" w:rsidRPr="000651D6">
        <w:rPr>
          <w:rFonts w:asciiTheme="majorHAnsi" w:hAnsiTheme="majorHAnsi"/>
        </w:rPr>
        <w:t>The autopsy found n</w:t>
      </w:r>
      <w:r w:rsidR="003B6863" w:rsidRPr="000651D6">
        <w:rPr>
          <w:rFonts w:asciiTheme="majorHAnsi" w:hAnsiTheme="majorHAnsi"/>
        </w:rPr>
        <w:t>o medication in his body. The Court reiterated that the vulnerability of the mentally ill called for special protection. This applied all the more when a prisoner with severe disturbance was placed in solitary confinement or a punishm</w:t>
      </w:r>
      <w:r w:rsidR="007D4CEC" w:rsidRPr="000651D6">
        <w:rPr>
          <w:rFonts w:asciiTheme="majorHAnsi" w:hAnsiTheme="majorHAnsi"/>
        </w:rPr>
        <w:t>ent cell for a prolonged period.</w:t>
      </w:r>
      <w:r w:rsidR="001D22F3" w:rsidRPr="000651D6">
        <w:rPr>
          <w:rFonts w:asciiTheme="majorHAnsi" w:hAnsiTheme="majorHAnsi"/>
        </w:rPr>
        <w:t xml:space="preserve"> </w:t>
      </w:r>
    </w:p>
    <w:p w14:paraId="52CD8146" w14:textId="2A76F63F" w:rsidR="00627CE6" w:rsidRPr="000651D6" w:rsidRDefault="003813B8" w:rsidP="001E1152">
      <w:pPr>
        <w:pStyle w:val="JuPara"/>
        <w:spacing w:line="360" w:lineRule="auto"/>
        <w:ind w:firstLine="0"/>
        <w:rPr>
          <w:rFonts w:asciiTheme="majorHAnsi" w:hAnsiTheme="majorHAnsi"/>
          <w:i/>
          <w:szCs w:val="24"/>
          <w:lang w:val="en-US"/>
        </w:rPr>
      </w:pPr>
      <w:r w:rsidRPr="000651D6">
        <w:rPr>
          <w:rFonts w:asciiTheme="majorHAnsi" w:hAnsiTheme="majorHAnsi"/>
          <w:i/>
          <w:szCs w:val="24"/>
          <w:lang w:val="en-US"/>
        </w:rPr>
        <w:t>A</w:t>
      </w:r>
      <w:r w:rsidR="00901E5A" w:rsidRPr="000651D6">
        <w:rPr>
          <w:rFonts w:asciiTheme="majorHAnsi" w:hAnsiTheme="majorHAnsi"/>
          <w:i/>
          <w:szCs w:val="24"/>
          <w:lang w:val="en-US"/>
        </w:rPr>
        <w:t>ccess to rehabilitative programs</w:t>
      </w:r>
    </w:p>
    <w:p w14:paraId="30E529C8" w14:textId="77777777" w:rsidR="00910ECB" w:rsidRPr="000651D6" w:rsidRDefault="00910ECB" w:rsidP="001E1152">
      <w:pPr>
        <w:pStyle w:val="Body"/>
        <w:spacing w:line="360" w:lineRule="auto"/>
        <w:jc w:val="both"/>
        <w:rPr>
          <w:rFonts w:asciiTheme="majorHAnsi" w:hAnsiTheme="majorHAnsi"/>
        </w:rPr>
      </w:pPr>
    </w:p>
    <w:p w14:paraId="62809ED8" w14:textId="355BE48C" w:rsidR="00B8160B" w:rsidRPr="000651D6" w:rsidRDefault="00C85181" w:rsidP="001E1152">
      <w:pPr>
        <w:pStyle w:val="Body"/>
        <w:spacing w:line="360" w:lineRule="auto"/>
        <w:jc w:val="both"/>
        <w:rPr>
          <w:rFonts w:asciiTheme="majorHAnsi" w:hAnsiTheme="majorHAnsi"/>
        </w:rPr>
      </w:pPr>
      <w:r w:rsidRPr="000651D6">
        <w:rPr>
          <w:rFonts w:asciiTheme="majorHAnsi" w:hAnsiTheme="majorHAnsi"/>
        </w:rPr>
        <w:t>Access to rehabilitative programs is a particularly acute issue for those whose offending is linked to a psychiatric illness</w:t>
      </w:r>
      <w:r w:rsidR="00910ECB" w:rsidRPr="000651D6">
        <w:rPr>
          <w:rFonts w:asciiTheme="majorHAnsi" w:hAnsiTheme="majorHAnsi"/>
        </w:rPr>
        <w:t>, and their release is dependent on reducing their level of risk.</w:t>
      </w:r>
      <w:r w:rsidR="004E5867" w:rsidRPr="000651D6">
        <w:rPr>
          <w:rFonts w:asciiTheme="majorHAnsi" w:hAnsiTheme="majorHAnsi"/>
        </w:rPr>
        <w:t xml:space="preserve"> </w:t>
      </w:r>
      <w:r w:rsidR="001D22F3" w:rsidRPr="000651D6">
        <w:rPr>
          <w:rFonts w:asciiTheme="majorHAnsi" w:hAnsiTheme="majorHAnsi"/>
        </w:rPr>
        <w:t>In the case of</w:t>
      </w:r>
      <w:r w:rsidR="00643D45" w:rsidRPr="000651D6">
        <w:rPr>
          <w:rFonts w:asciiTheme="majorHAnsi" w:hAnsiTheme="majorHAnsi"/>
        </w:rPr>
        <w:t xml:space="preserve"> </w:t>
      </w:r>
      <w:r w:rsidR="00643D45" w:rsidRPr="000651D6">
        <w:rPr>
          <w:rFonts w:asciiTheme="majorHAnsi" w:hAnsiTheme="majorHAnsi"/>
          <w:i/>
        </w:rPr>
        <w:t>Murray v. Netherlands</w:t>
      </w:r>
      <w:r w:rsidR="004E5867" w:rsidRPr="000651D6">
        <w:rPr>
          <w:rFonts w:asciiTheme="majorHAnsi" w:hAnsiTheme="majorHAnsi"/>
          <w:i/>
        </w:rPr>
        <w:t xml:space="preserve"> </w:t>
      </w:r>
      <w:r w:rsidR="004E5867" w:rsidRPr="000651D6">
        <w:rPr>
          <w:rFonts w:asciiTheme="majorHAnsi" w:hAnsiTheme="majorHAnsi"/>
        </w:rPr>
        <w:t>(</w:t>
      </w:r>
      <w:r w:rsidR="00A249C8" w:rsidRPr="000651D6">
        <w:rPr>
          <w:rFonts w:asciiTheme="majorHAnsi" w:hAnsiTheme="majorHAnsi"/>
        </w:rPr>
        <w:t xml:space="preserve">26 </w:t>
      </w:r>
      <w:r w:rsidR="004E5867" w:rsidRPr="000651D6">
        <w:rPr>
          <w:rFonts w:asciiTheme="majorHAnsi" w:hAnsiTheme="majorHAnsi"/>
        </w:rPr>
        <w:t>April 2016</w:t>
      </w:r>
      <w:r w:rsidR="00A249C8" w:rsidRPr="000651D6">
        <w:rPr>
          <w:rFonts w:asciiTheme="majorHAnsi" w:hAnsiTheme="majorHAnsi"/>
        </w:rPr>
        <w:t>, no. 10511/10</w:t>
      </w:r>
      <w:r w:rsidR="001D22F3" w:rsidRPr="000651D6">
        <w:rPr>
          <w:rFonts w:asciiTheme="majorHAnsi" w:hAnsiTheme="majorHAnsi"/>
        </w:rPr>
        <w:t xml:space="preserve">), </w:t>
      </w:r>
      <w:r w:rsidR="00643D45" w:rsidRPr="000651D6">
        <w:rPr>
          <w:rFonts w:asciiTheme="majorHAnsi" w:hAnsiTheme="majorHAnsi"/>
        </w:rPr>
        <w:t xml:space="preserve">the applicant was serving a life sentence. He argued that he had </w:t>
      </w:r>
      <w:r w:rsidR="00643D45" w:rsidRPr="000651D6">
        <w:rPr>
          <w:rFonts w:asciiTheme="majorHAnsi" w:hAnsiTheme="majorHAnsi"/>
          <w:i/>
        </w:rPr>
        <w:t>de facto</w:t>
      </w:r>
      <w:r w:rsidR="00643D45" w:rsidRPr="000651D6">
        <w:rPr>
          <w:rFonts w:asciiTheme="majorHAnsi" w:hAnsiTheme="majorHAnsi"/>
        </w:rPr>
        <w:t xml:space="preserve"> no hope of release as he had never been provided with any psychiatric treatment, and his risk of recidivism was deemed too </w:t>
      </w:r>
      <w:r w:rsidR="007D4CEC" w:rsidRPr="000651D6">
        <w:rPr>
          <w:rFonts w:asciiTheme="majorHAnsi" w:hAnsiTheme="majorHAnsi"/>
        </w:rPr>
        <w:t>high to be eligible for release</w:t>
      </w:r>
      <w:r w:rsidRPr="000651D6">
        <w:rPr>
          <w:rFonts w:asciiTheme="majorHAnsi" w:hAnsiTheme="majorHAnsi"/>
        </w:rPr>
        <w:t xml:space="preserve">. </w:t>
      </w:r>
      <w:r w:rsidR="00643D45" w:rsidRPr="000651D6">
        <w:rPr>
          <w:rFonts w:asciiTheme="majorHAnsi" w:hAnsiTheme="majorHAnsi"/>
        </w:rPr>
        <w:t xml:space="preserve"> In the view of the </w:t>
      </w:r>
      <w:r w:rsidR="00910ECB" w:rsidRPr="000651D6">
        <w:rPr>
          <w:rFonts w:asciiTheme="majorHAnsi" w:hAnsiTheme="majorHAnsi"/>
        </w:rPr>
        <w:t>Court,</w:t>
      </w:r>
      <w:r w:rsidR="00643D45" w:rsidRPr="000651D6">
        <w:rPr>
          <w:rFonts w:asciiTheme="majorHAnsi" w:hAnsiTheme="majorHAnsi"/>
        </w:rPr>
        <w:t xml:space="preserve"> there was no ‘right’ to rehabilitation as such</w:t>
      </w:r>
      <w:r w:rsidR="001D22F3" w:rsidRPr="000651D6">
        <w:rPr>
          <w:rFonts w:asciiTheme="majorHAnsi" w:hAnsiTheme="majorHAnsi"/>
        </w:rPr>
        <w:t xml:space="preserve">, but </w:t>
      </w:r>
      <w:r w:rsidR="00643D45" w:rsidRPr="000651D6">
        <w:rPr>
          <w:rFonts w:asciiTheme="majorHAnsi" w:hAnsiTheme="majorHAnsi"/>
        </w:rPr>
        <w:t>convicted persons should be allowed to rehabilitate themselves, and it is a duty on states to make t</w:t>
      </w:r>
      <w:r w:rsidR="00910ECB" w:rsidRPr="000651D6">
        <w:rPr>
          <w:rFonts w:asciiTheme="majorHAnsi" w:hAnsiTheme="majorHAnsi"/>
        </w:rPr>
        <w:t>his possible. Article 3</w:t>
      </w:r>
      <w:r w:rsidR="00643D45" w:rsidRPr="000651D6">
        <w:rPr>
          <w:rFonts w:asciiTheme="majorHAnsi" w:hAnsiTheme="majorHAnsi"/>
        </w:rPr>
        <w:t xml:space="preserve"> requires states to ensure that the health and well-being of prisoners are </w:t>
      </w:r>
      <w:r w:rsidR="00643D45" w:rsidRPr="000651D6">
        <w:rPr>
          <w:rFonts w:asciiTheme="majorHAnsi" w:hAnsiTheme="majorHAnsi"/>
        </w:rPr>
        <w:lastRenderedPageBreak/>
        <w:t>adequately secured, and the vulnerability of those with mental illnesses m</w:t>
      </w:r>
      <w:r w:rsidR="00910ECB" w:rsidRPr="000651D6">
        <w:rPr>
          <w:rFonts w:asciiTheme="majorHAnsi" w:hAnsiTheme="majorHAnsi"/>
        </w:rPr>
        <w:t xml:space="preserve">ust be considered. </w:t>
      </w:r>
    </w:p>
    <w:p w14:paraId="7B5A9F5A" w14:textId="77777777" w:rsidR="00627CE6" w:rsidRPr="000651D6" w:rsidRDefault="00627CE6" w:rsidP="001E1152">
      <w:pPr>
        <w:pStyle w:val="Body"/>
        <w:spacing w:line="360" w:lineRule="auto"/>
        <w:jc w:val="both"/>
        <w:rPr>
          <w:rFonts w:asciiTheme="majorHAnsi" w:hAnsiTheme="majorHAnsi"/>
        </w:rPr>
      </w:pPr>
    </w:p>
    <w:p w14:paraId="5EA04C8F" w14:textId="304C43DD" w:rsidR="00B8160B" w:rsidRPr="000651D6" w:rsidRDefault="003813B8" w:rsidP="001E1152">
      <w:pPr>
        <w:spacing w:line="360" w:lineRule="auto"/>
        <w:jc w:val="both"/>
        <w:rPr>
          <w:rFonts w:asciiTheme="majorHAnsi" w:hAnsiTheme="majorHAnsi"/>
          <w:b/>
        </w:rPr>
      </w:pPr>
      <w:r w:rsidRPr="000651D6">
        <w:rPr>
          <w:rFonts w:asciiTheme="majorHAnsi" w:hAnsiTheme="majorHAnsi"/>
          <w:b/>
        </w:rPr>
        <w:t>Recommendations for improving</w:t>
      </w:r>
      <w:r w:rsidR="007D4CEC" w:rsidRPr="000651D6">
        <w:rPr>
          <w:rFonts w:asciiTheme="majorHAnsi" w:hAnsiTheme="majorHAnsi"/>
          <w:b/>
        </w:rPr>
        <w:t xml:space="preserve"> corre</w:t>
      </w:r>
      <w:r w:rsidRPr="000651D6">
        <w:rPr>
          <w:rFonts w:asciiTheme="majorHAnsi" w:hAnsiTheme="majorHAnsi"/>
          <w:b/>
        </w:rPr>
        <w:t xml:space="preserve">ctional healthcare based on a human rights and </w:t>
      </w:r>
      <w:r w:rsidR="007D4CEC" w:rsidRPr="000651D6">
        <w:rPr>
          <w:rFonts w:asciiTheme="majorHAnsi" w:hAnsiTheme="majorHAnsi"/>
          <w:b/>
        </w:rPr>
        <w:t>European approach</w:t>
      </w:r>
    </w:p>
    <w:p w14:paraId="2D555764" w14:textId="77777777" w:rsidR="00950BBB" w:rsidRPr="000651D6" w:rsidRDefault="00950BBB" w:rsidP="001E1152">
      <w:pPr>
        <w:spacing w:line="360" w:lineRule="auto"/>
        <w:jc w:val="both"/>
        <w:rPr>
          <w:rFonts w:asciiTheme="majorHAnsi" w:hAnsiTheme="majorHAnsi"/>
          <w:b/>
        </w:rPr>
      </w:pPr>
    </w:p>
    <w:p w14:paraId="3E066C39" w14:textId="1E9B05F9" w:rsidR="00950BBB" w:rsidRPr="000651D6" w:rsidRDefault="00950BBB" w:rsidP="001E1152">
      <w:pPr>
        <w:spacing w:line="360" w:lineRule="auto"/>
        <w:jc w:val="both"/>
        <w:rPr>
          <w:rFonts w:asciiTheme="majorHAnsi" w:hAnsiTheme="majorHAnsi"/>
        </w:rPr>
      </w:pPr>
      <w:r w:rsidRPr="000651D6">
        <w:rPr>
          <w:rFonts w:asciiTheme="majorHAnsi" w:hAnsiTheme="majorHAnsi"/>
        </w:rPr>
        <w:t xml:space="preserve">The European approach considered here makes clear that the protection of human dignity and the prevention of inhuman and degrading treatment must be at the forefront of decisions on healthcare in the prison context. </w:t>
      </w:r>
      <w:r w:rsidR="007A1721" w:rsidRPr="000651D6">
        <w:rPr>
          <w:rFonts w:asciiTheme="majorHAnsi" w:hAnsiTheme="majorHAnsi"/>
        </w:rPr>
        <w:t xml:space="preserve">The fact that many of the most robust statements concerning the organization of prison healthcare come from the European Committee for the Prevention of Torture further indicates the value of regular inspection of prisons in promoting better correctional healthcare. </w:t>
      </w:r>
      <w:r w:rsidR="00FC3777" w:rsidRPr="000651D6">
        <w:rPr>
          <w:rFonts w:asciiTheme="majorHAnsi" w:hAnsiTheme="majorHAnsi"/>
        </w:rPr>
        <w:t>The above review gives rise to a number of practical recommendations for the improvement of correctional healthcare.</w:t>
      </w:r>
    </w:p>
    <w:p w14:paraId="46A5F65F" w14:textId="77777777" w:rsidR="00B8160B" w:rsidRPr="000651D6" w:rsidRDefault="00B8160B" w:rsidP="001E1152">
      <w:pPr>
        <w:spacing w:line="360" w:lineRule="auto"/>
        <w:jc w:val="both"/>
        <w:rPr>
          <w:rFonts w:asciiTheme="majorHAnsi" w:hAnsiTheme="majorHAnsi"/>
        </w:rPr>
      </w:pPr>
    </w:p>
    <w:p w14:paraId="67E96DFB" w14:textId="538656A8" w:rsidR="00B8160B" w:rsidRPr="000651D6" w:rsidRDefault="00627CE6" w:rsidP="001E1152">
      <w:pPr>
        <w:pStyle w:val="ListParagraph"/>
        <w:numPr>
          <w:ilvl w:val="0"/>
          <w:numId w:val="10"/>
        </w:numPr>
        <w:spacing w:line="360" w:lineRule="auto"/>
        <w:jc w:val="both"/>
        <w:rPr>
          <w:rFonts w:asciiTheme="majorHAnsi" w:hAnsiTheme="majorHAnsi"/>
          <w:sz w:val="24"/>
          <w:szCs w:val="24"/>
        </w:rPr>
      </w:pPr>
      <w:r w:rsidRPr="000651D6">
        <w:rPr>
          <w:rFonts w:asciiTheme="majorHAnsi" w:hAnsiTheme="majorHAnsi"/>
          <w:sz w:val="24"/>
          <w:szCs w:val="24"/>
        </w:rPr>
        <w:t>A</w:t>
      </w:r>
      <w:r w:rsidR="00B8160B" w:rsidRPr="000651D6">
        <w:rPr>
          <w:rFonts w:asciiTheme="majorHAnsi" w:hAnsiTheme="majorHAnsi"/>
          <w:sz w:val="24"/>
          <w:szCs w:val="24"/>
        </w:rPr>
        <w:t xml:space="preserve">ll correctional authorities should ensure that prisoners </w:t>
      </w:r>
      <w:r w:rsidR="00910ECB" w:rsidRPr="000651D6">
        <w:rPr>
          <w:rFonts w:asciiTheme="majorHAnsi" w:hAnsiTheme="majorHAnsi"/>
          <w:sz w:val="24"/>
          <w:szCs w:val="24"/>
        </w:rPr>
        <w:t>receive adequate and timely trea</w:t>
      </w:r>
      <w:r w:rsidR="00B8160B" w:rsidRPr="000651D6">
        <w:rPr>
          <w:rFonts w:asciiTheme="majorHAnsi" w:hAnsiTheme="majorHAnsi"/>
          <w:sz w:val="24"/>
          <w:szCs w:val="24"/>
        </w:rPr>
        <w:t>t</w:t>
      </w:r>
      <w:r w:rsidR="001D22F3" w:rsidRPr="000651D6">
        <w:rPr>
          <w:rFonts w:asciiTheme="majorHAnsi" w:hAnsiTheme="majorHAnsi"/>
          <w:sz w:val="24"/>
          <w:szCs w:val="24"/>
        </w:rPr>
        <w:t xml:space="preserve">ment; </w:t>
      </w:r>
      <w:r w:rsidR="00910ECB" w:rsidRPr="000651D6">
        <w:rPr>
          <w:rFonts w:asciiTheme="majorHAnsi" w:hAnsiTheme="majorHAnsi"/>
          <w:sz w:val="24"/>
          <w:szCs w:val="24"/>
        </w:rPr>
        <w:t>to do otherwise is inhuman and degrading treatment</w:t>
      </w:r>
      <w:r w:rsidR="00B8160B" w:rsidRPr="000651D6">
        <w:rPr>
          <w:rFonts w:asciiTheme="majorHAnsi" w:hAnsiTheme="majorHAnsi"/>
          <w:sz w:val="24"/>
          <w:szCs w:val="24"/>
        </w:rPr>
        <w:t>;</w:t>
      </w:r>
    </w:p>
    <w:p w14:paraId="012D1D5D" w14:textId="63B74ED5" w:rsidR="00B8160B" w:rsidRPr="000651D6" w:rsidRDefault="00B8160B" w:rsidP="001E1152">
      <w:pPr>
        <w:pStyle w:val="ListParagraph"/>
        <w:numPr>
          <w:ilvl w:val="0"/>
          <w:numId w:val="10"/>
        </w:numPr>
        <w:spacing w:line="360" w:lineRule="auto"/>
        <w:jc w:val="both"/>
        <w:rPr>
          <w:rFonts w:asciiTheme="majorHAnsi" w:hAnsiTheme="majorHAnsi"/>
          <w:sz w:val="24"/>
          <w:szCs w:val="24"/>
        </w:rPr>
      </w:pPr>
      <w:r w:rsidRPr="000651D6">
        <w:rPr>
          <w:rFonts w:asciiTheme="majorHAnsi" w:hAnsiTheme="majorHAnsi"/>
          <w:sz w:val="24"/>
          <w:szCs w:val="24"/>
        </w:rPr>
        <w:t>When a person’s medical condition or advanced age means that their detention is no longer compatible</w:t>
      </w:r>
      <w:r w:rsidR="001D22F3" w:rsidRPr="000651D6">
        <w:rPr>
          <w:rFonts w:asciiTheme="majorHAnsi" w:hAnsiTheme="majorHAnsi"/>
          <w:sz w:val="24"/>
          <w:szCs w:val="24"/>
        </w:rPr>
        <w:t xml:space="preserve"> with</w:t>
      </w:r>
      <w:r w:rsidRPr="000651D6">
        <w:rPr>
          <w:rFonts w:asciiTheme="majorHAnsi" w:hAnsiTheme="majorHAnsi"/>
          <w:sz w:val="24"/>
          <w:szCs w:val="24"/>
        </w:rPr>
        <w:t xml:space="preserve"> human dignity, they should be released; </w:t>
      </w:r>
    </w:p>
    <w:p w14:paraId="3ACC30D5" w14:textId="0BD92603" w:rsidR="00B8160B" w:rsidRPr="000651D6" w:rsidRDefault="001D22F3" w:rsidP="001E1152">
      <w:pPr>
        <w:pStyle w:val="ListParagraph"/>
        <w:numPr>
          <w:ilvl w:val="0"/>
          <w:numId w:val="10"/>
        </w:numPr>
        <w:spacing w:line="360" w:lineRule="auto"/>
        <w:jc w:val="both"/>
        <w:rPr>
          <w:rFonts w:asciiTheme="majorHAnsi" w:hAnsiTheme="majorHAnsi"/>
          <w:sz w:val="24"/>
          <w:szCs w:val="24"/>
        </w:rPr>
      </w:pPr>
      <w:r w:rsidRPr="000651D6">
        <w:rPr>
          <w:rFonts w:asciiTheme="majorHAnsi" w:hAnsiTheme="majorHAnsi"/>
          <w:sz w:val="24"/>
          <w:szCs w:val="24"/>
        </w:rPr>
        <w:t>M</w:t>
      </w:r>
      <w:r w:rsidR="00174E0F" w:rsidRPr="000651D6">
        <w:rPr>
          <w:rFonts w:asciiTheme="majorHAnsi" w:hAnsiTheme="majorHAnsi"/>
          <w:sz w:val="24"/>
          <w:szCs w:val="24"/>
        </w:rPr>
        <w:t xml:space="preserve">eaningful </w:t>
      </w:r>
      <w:r w:rsidR="00B8160B" w:rsidRPr="000651D6">
        <w:rPr>
          <w:rFonts w:asciiTheme="majorHAnsi" w:hAnsiTheme="majorHAnsi"/>
          <w:sz w:val="24"/>
          <w:szCs w:val="24"/>
        </w:rPr>
        <w:t xml:space="preserve">access to </w:t>
      </w:r>
      <w:r w:rsidR="00950BBB" w:rsidRPr="000651D6">
        <w:rPr>
          <w:rFonts w:asciiTheme="majorHAnsi" w:hAnsiTheme="majorHAnsi"/>
          <w:sz w:val="24"/>
          <w:szCs w:val="24"/>
        </w:rPr>
        <w:t>rehabilitative</w:t>
      </w:r>
      <w:r w:rsidR="00174E0F" w:rsidRPr="000651D6">
        <w:rPr>
          <w:rFonts w:asciiTheme="majorHAnsi" w:hAnsiTheme="majorHAnsi"/>
          <w:sz w:val="24"/>
          <w:szCs w:val="24"/>
        </w:rPr>
        <w:t xml:space="preserve"> programs must be provided</w:t>
      </w:r>
      <w:r w:rsidRPr="000651D6">
        <w:rPr>
          <w:rFonts w:asciiTheme="majorHAnsi" w:hAnsiTheme="majorHAnsi"/>
          <w:sz w:val="24"/>
          <w:szCs w:val="24"/>
        </w:rPr>
        <w:t>, especially where this affects release</w:t>
      </w:r>
      <w:r w:rsidR="00B8160B" w:rsidRPr="000651D6">
        <w:rPr>
          <w:rFonts w:asciiTheme="majorHAnsi" w:hAnsiTheme="majorHAnsi"/>
          <w:sz w:val="24"/>
          <w:szCs w:val="24"/>
        </w:rPr>
        <w:t xml:space="preserve">; </w:t>
      </w:r>
    </w:p>
    <w:p w14:paraId="467A3020" w14:textId="46BE03ED" w:rsidR="007D4CEC" w:rsidRPr="000651D6" w:rsidRDefault="007D4CEC" w:rsidP="001E1152">
      <w:pPr>
        <w:pStyle w:val="ListParagraph"/>
        <w:numPr>
          <w:ilvl w:val="0"/>
          <w:numId w:val="10"/>
        </w:numPr>
        <w:spacing w:line="360" w:lineRule="auto"/>
        <w:jc w:val="both"/>
        <w:rPr>
          <w:rFonts w:asciiTheme="majorHAnsi" w:hAnsiTheme="majorHAnsi"/>
          <w:sz w:val="24"/>
          <w:szCs w:val="24"/>
        </w:rPr>
      </w:pPr>
      <w:r w:rsidRPr="000651D6">
        <w:rPr>
          <w:rFonts w:asciiTheme="majorHAnsi" w:hAnsiTheme="majorHAnsi"/>
          <w:sz w:val="24"/>
          <w:szCs w:val="24"/>
        </w:rPr>
        <w:t xml:space="preserve">External </w:t>
      </w:r>
      <w:r w:rsidR="007A1721" w:rsidRPr="000651D6">
        <w:rPr>
          <w:rFonts w:asciiTheme="majorHAnsi" w:hAnsiTheme="majorHAnsi"/>
          <w:sz w:val="24"/>
          <w:szCs w:val="24"/>
        </w:rPr>
        <w:t xml:space="preserve">and independent </w:t>
      </w:r>
      <w:r w:rsidRPr="000651D6">
        <w:rPr>
          <w:rFonts w:asciiTheme="majorHAnsi" w:hAnsiTheme="majorHAnsi"/>
          <w:sz w:val="24"/>
          <w:szCs w:val="24"/>
        </w:rPr>
        <w:t>inspection bodies should</w:t>
      </w:r>
      <w:r w:rsidR="007A1721" w:rsidRPr="000651D6">
        <w:rPr>
          <w:rFonts w:asciiTheme="majorHAnsi" w:hAnsiTheme="majorHAnsi"/>
          <w:sz w:val="24"/>
          <w:szCs w:val="24"/>
        </w:rPr>
        <w:t xml:space="preserve"> be established,</w:t>
      </w:r>
      <w:r w:rsidRPr="000651D6">
        <w:rPr>
          <w:rFonts w:asciiTheme="majorHAnsi" w:hAnsiTheme="majorHAnsi"/>
          <w:sz w:val="24"/>
          <w:szCs w:val="24"/>
        </w:rPr>
        <w:t xml:space="preserve"> have unfettered acce</w:t>
      </w:r>
      <w:r w:rsidR="007A1721" w:rsidRPr="000651D6">
        <w:rPr>
          <w:rFonts w:asciiTheme="majorHAnsi" w:hAnsiTheme="majorHAnsi"/>
          <w:sz w:val="24"/>
          <w:szCs w:val="24"/>
        </w:rPr>
        <w:t>ss to prison</w:t>
      </w:r>
      <w:r w:rsidRPr="000651D6">
        <w:rPr>
          <w:rFonts w:asciiTheme="majorHAnsi" w:hAnsiTheme="majorHAnsi"/>
          <w:sz w:val="24"/>
          <w:szCs w:val="24"/>
        </w:rPr>
        <w:t>s</w:t>
      </w:r>
      <w:r w:rsidR="007A1721" w:rsidRPr="000651D6">
        <w:rPr>
          <w:rFonts w:asciiTheme="majorHAnsi" w:hAnsiTheme="majorHAnsi"/>
          <w:sz w:val="24"/>
          <w:szCs w:val="24"/>
        </w:rPr>
        <w:t>, and have a remit in monitoring the delivery of correctional healthcare</w:t>
      </w:r>
      <w:r w:rsidRPr="000651D6">
        <w:rPr>
          <w:rFonts w:asciiTheme="majorHAnsi" w:hAnsiTheme="majorHAnsi"/>
          <w:sz w:val="24"/>
          <w:szCs w:val="24"/>
        </w:rPr>
        <w:t>;</w:t>
      </w:r>
    </w:p>
    <w:p w14:paraId="58950B46" w14:textId="39E73A66" w:rsidR="00B8160B" w:rsidRPr="000651D6" w:rsidRDefault="007D3050" w:rsidP="001E1152">
      <w:pPr>
        <w:pStyle w:val="ListParagraph"/>
        <w:numPr>
          <w:ilvl w:val="0"/>
          <w:numId w:val="10"/>
        </w:numPr>
        <w:spacing w:line="360" w:lineRule="auto"/>
        <w:jc w:val="both"/>
        <w:rPr>
          <w:rFonts w:asciiTheme="majorHAnsi" w:hAnsiTheme="majorHAnsi"/>
          <w:sz w:val="24"/>
          <w:szCs w:val="24"/>
        </w:rPr>
      </w:pPr>
      <w:r w:rsidRPr="000651D6">
        <w:rPr>
          <w:rFonts w:asciiTheme="majorHAnsi" w:hAnsiTheme="majorHAnsi"/>
          <w:sz w:val="24"/>
          <w:szCs w:val="24"/>
        </w:rPr>
        <w:t xml:space="preserve">More engagement between </w:t>
      </w:r>
      <w:r w:rsidR="00174E0F" w:rsidRPr="000651D6">
        <w:rPr>
          <w:rFonts w:asciiTheme="majorHAnsi" w:hAnsiTheme="majorHAnsi"/>
          <w:sz w:val="24"/>
          <w:szCs w:val="24"/>
        </w:rPr>
        <w:t xml:space="preserve">scholars and practitioners in </w:t>
      </w:r>
      <w:r w:rsidRPr="000651D6">
        <w:rPr>
          <w:rFonts w:asciiTheme="majorHAnsi" w:hAnsiTheme="majorHAnsi"/>
          <w:sz w:val="24"/>
          <w:szCs w:val="24"/>
        </w:rPr>
        <w:t>human rights</w:t>
      </w:r>
      <w:r w:rsidR="00950BBB" w:rsidRPr="000651D6">
        <w:rPr>
          <w:rFonts w:asciiTheme="majorHAnsi" w:hAnsiTheme="majorHAnsi"/>
          <w:sz w:val="24"/>
          <w:szCs w:val="24"/>
        </w:rPr>
        <w:t xml:space="preserve"> an</w:t>
      </w:r>
      <w:r w:rsidR="00CA1AA9" w:rsidRPr="000651D6">
        <w:rPr>
          <w:rFonts w:asciiTheme="majorHAnsi" w:hAnsiTheme="majorHAnsi"/>
          <w:sz w:val="24"/>
          <w:szCs w:val="24"/>
        </w:rPr>
        <w:t>d correctional health, including</w:t>
      </w:r>
      <w:r w:rsidRPr="000651D6">
        <w:rPr>
          <w:rFonts w:asciiTheme="majorHAnsi" w:hAnsiTheme="majorHAnsi"/>
          <w:sz w:val="24"/>
          <w:szCs w:val="24"/>
        </w:rPr>
        <w:t xml:space="preserve"> </w:t>
      </w:r>
      <w:r w:rsidR="00CA1AA9" w:rsidRPr="000651D6">
        <w:rPr>
          <w:rFonts w:asciiTheme="majorHAnsi" w:hAnsiTheme="majorHAnsi"/>
          <w:sz w:val="24"/>
          <w:szCs w:val="24"/>
        </w:rPr>
        <w:t xml:space="preserve">training of healthcare professionals in human rights and collaboration in research, </w:t>
      </w:r>
      <w:r w:rsidRPr="000651D6">
        <w:rPr>
          <w:rFonts w:asciiTheme="majorHAnsi" w:hAnsiTheme="majorHAnsi"/>
          <w:sz w:val="24"/>
          <w:szCs w:val="24"/>
        </w:rPr>
        <w:t>is necessary for the mut</w:t>
      </w:r>
      <w:r w:rsidR="007D4CEC" w:rsidRPr="000651D6">
        <w:rPr>
          <w:rFonts w:asciiTheme="majorHAnsi" w:hAnsiTheme="majorHAnsi"/>
          <w:sz w:val="24"/>
          <w:szCs w:val="24"/>
        </w:rPr>
        <w:t>ual enhancement of both fields.</w:t>
      </w:r>
      <w:r w:rsidR="00CA1AA9" w:rsidRPr="000651D6">
        <w:rPr>
          <w:rFonts w:asciiTheme="majorHAnsi" w:hAnsiTheme="majorHAnsi"/>
          <w:sz w:val="24"/>
          <w:szCs w:val="24"/>
        </w:rPr>
        <w:t xml:space="preserve"> </w:t>
      </w:r>
    </w:p>
    <w:p w14:paraId="54D08412" w14:textId="77777777" w:rsidR="003860F7" w:rsidRPr="000651D6" w:rsidRDefault="003860F7" w:rsidP="003860F7">
      <w:pPr>
        <w:pStyle w:val="ListParagraph"/>
        <w:spacing w:line="360" w:lineRule="auto"/>
        <w:jc w:val="both"/>
        <w:rPr>
          <w:rFonts w:asciiTheme="majorHAnsi" w:hAnsiTheme="majorHAnsi"/>
          <w:sz w:val="24"/>
          <w:szCs w:val="24"/>
        </w:rPr>
      </w:pPr>
    </w:p>
    <w:p w14:paraId="3C40EC3C" w14:textId="77777777" w:rsidR="00FC3777" w:rsidRPr="000651D6" w:rsidRDefault="00FC3777" w:rsidP="001E1152">
      <w:pPr>
        <w:spacing w:line="360" w:lineRule="auto"/>
        <w:jc w:val="both"/>
        <w:rPr>
          <w:rFonts w:asciiTheme="majorHAnsi" w:hAnsiTheme="majorHAnsi"/>
          <w:b/>
        </w:rPr>
      </w:pPr>
    </w:p>
    <w:p w14:paraId="68DE597D" w14:textId="77777777" w:rsidR="002A583A" w:rsidRPr="000651D6" w:rsidRDefault="003E6693" w:rsidP="001E1152">
      <w:pPr>
        <w:spacing w:line="360" w:lineRule="auto"/>
        <w:jc w:val="both"/>
        <w:rPr>
          <w:rFonts w:asciiTheme="majorHAnsi" w:hAnsiTheme="majorHAnsi"/>
        </w:rPr>
      </w:pPr>
      <w:r w:rsidRPr="000651D6">
        <w:rPr>
          <w:rFonts w:asciiTheme="majorHAnsi" w:hAnsiTheme="majorHAnsi"/>
          <w:b/>
        </w:rPr>
        <w:lastRenderedPageBreak/>
        <w:t>Conclusion</w:t>
      </w:r>
    </w:p>
    <w:p w14:paraId="351C012E" w14:textId="77777777" w:rsidR="002A583A" w:rsidRPr="000651D6" w:rsidRDefault="002A583A" w:rsidP="001E1152">
      <w:pPr>
        <w:spacing w:line="360" w:lineRule="auto"/>
        <w:jc w:val="both"/>
        <w:rPr>
          <w:rFonts w:asciiTheme="majorHAnsi" w:hAnsiTheme="majorHAnsi"/>
          <w:b/>
        </w:rPr>
      </w:pPr>
    </w:p>
    <w:p w14:paraId="0E66035A" w14:textId="3DCA6E37" w:rsidR="00627CE6" w:rsidRPr="000651D6" w:rsidRDefault="002A583A" w:rsidP="001E1152">
      <w:pPr>
        <w:spacing w:line="360" w:lineRule="auto"/>
        <w:jc w:val="both"/>
        <w:rPr>
          <w:rFonts w:asciiTheme="majorHAnsi" w:hAnsiTheme="majorHAnsi"/>
        </w:rPr>
      </w:pPr>
      <w:r w:rsidRPr="000651D6">
        <w:rPr>
          <w:rFonts w:asciiTheme="majorHAnsi" w:hAnsiTheme="majorHAnsi"/>
        </w:rPr>
        <w:t xml:space="preserve">The cases and human rights instruments described here provide us with considerable practical guidance on how to organize correctional healthcare. </w:t>
      </w:r>
      <w:r w:rsidR="00174E0F" w:rsidRPr="000651D6">
        <w:rPr>
          <w:rFonts w:asciiTheme="majorHAnsi" w:hAnsiTheme="majorHAnsi"/>
        </w:rPr>
        <w:t>T</w:t>
      </w:r>
      <w:r w:rsidR="00627CE6" w:rsidRPr="000651D6">
        <w:rPr>
          <w:rFonts w:asciiTheme="majorHAnsi" w:hAnsiTheme="majorHAnsi"/>
        </w:rPr>
        <w:t xml:space="preserve">he European approach provides a model for correctional authorities everywhere, </w:t>
      </w:r>
      <w:r w:rsidR="0048452F" w:rsidRPr="000651D6">
        <w:rPr>
          <w:rFonts w:asciiTheme="majorHAnsi" w:hAnsiTheme="majorHAnsi"/>
        </w:rPr>
        <w:t>but to suggest a simple transplantation of European principles to other context</w:t>
      </w:r>
      <w:r w:rsidR="00FE48C4" w:rsidRPr="000651D6">
        <w:rPr>
          <w:rFonts w:asciiTheme="majorHAnsi" w:hAnsiTheme="majorHAnsi"/>
        </w:rPr>
        <w:t>s</w:t>
      </w:r>
      <w:r w:rsidR="0048452F" w:rsidRPr="000651D6">
        <w:rPr>
          <w:rFonts w:asciiTheme="majorHAnsi" w:hAnsiTheme="majorHAnsi"/>
        </w:rPr>
        <w:t xml:space="preserve"> would be foolhardy (Smith, 2016</w:t>
      </w:r>
      <w:r w:rsidR="00FE48C4" w:rsidRPr="000651D6">
        <w:rPr>
          <w:rFonts w:asciiTheme="majorHAnsi" w:hAnsiTheme="majorHAnsi"/>
        </w:rPr>
        <w:t xml:space="preserve">), as would a naïve assumption that human rights principles </w:t>
      </w:r>
      <w:r w:rsidR="002454AC" w:rsidRPr="000651D6">
        <w:rPr>
          <w:rFonts w:asciiTheme="majorHAnsi" w:hAnsiTheme="majorHAnsi"/>
        </w:rPr>
        <w:t xml:space="preserve">or international law </w:t>
      </w:r>
      <w:r w:rsidR="00FE48C4" w:rsidRPr="000651D6">
        <w:rPr>
          <w:rFonts w:asciiTheme="majorHAnsi" w:hAnsiTheme="majorHAnsi"/>
        </w:rPr>
        <w:t>are universally embraced (Stover, Peskin and Koenig, 2016)</w:t>
      </w:r>
      <w:r w:rsidR="0048452F" w:rsidRPr="000651D6">
        <w:rPr>
          <w:rFonts w:asciiTheme="majorHAnsi" w:hAnsiTheme="majorHAnsi"/>
        </w:rPr>
        <w:t xml:space="preserve">. Principles from elsewhere, however, </w:t>
      </w:r>
      <w:r w:rsidR="00FE48C4" w:rsidRPr="000651D6">
        <w:rPr>
          <w:rFonts w:asciiTheme="majorHAnsi" w:hAnsiTheme="majorHAnsi"/>
        </w:rPr>
        <w:t xml:space="preserve">also </w:t>
      </w:r>
      <w:r w:rsidR="0048452F" w:rsidRPr="000651D6">
        <w:rPr>
          <w:rFonts w:asciiTheme="majorHAnsi" w:hAnsiTheme="majorHAnsi"/>
        </w:rPr>
        <w:t xml:space="preserve">hold out the promise of </w:t>
      </w:r>
      <w:r w:rsidR="00174E0F" w:rsidRPr="000651D6">
        <w:rPr>
          <w:rFonts w:asciiTheme="majorHAnsi" w:hAnsiTheme="majorHAnsi"/>
        </w:rPr>
        <w:t xml:space="preserve">a foundation of human rights </w:t>
      </w:r>
      <w:r w:rsidR="0048452F" w:rsidRPr="000651D6">
        <w:rPr>
          <w:rFonts w:asciiTheme="majorHAnsi" w:hAnsiTheme="majorHAnsi"/>
        </w:rPr>
        <w:t>in correctional healthcare</w:t>
      </w:r>
      <w:r w:rsidR="00627CE6" w:rsidRPr="000651D6">
        <w:rPr>
          <w:rFonts w:asciiTheme="majorHAnsi" w:hAnsiTheme="majorHAnsi"/>
        </w:rPr>
        <w:t xml:space="preserve">. </w:t>
      </w:r>
      <w:r w:rsidR="001D22F3" w:rsidRPr="000651D6">
        <w:rPr>
          <w:rFonts w:asciiTheme="majorHAnsi" w:hAnsiTheme="majorHAnsi"/>
        </w:rPr>
        <w:t>T</w:t>
      </w:r>
      <w:r w:rsidR="00627CE6" w:rsidRPr="000651D6">
        <w:rPr>
          <w:rFonts w:asciiTheme="majorHAnsi" w:hAnsiTheme="majorHAnsi"/>
        </w:rPr>
        <w:t>he Supreme Court</w:t>
      </w:r>
      <w:r w:rsidR="001D22F3" w:rsidRPr="000651D6">
        <w:rPr>
          <w:rFonts w:asciiTheme="majorHAnsi" w:hAnsiTheme="majorHAnsi"/>
        </w:rPr>
        <w:t xml:space="preserve"> of the United States</w:t>
      </w:r>
      <w:r w:rsidR="00627CE6" w:rsidRPr="000651D6">
        <w:rPr>
          <w:rFonts w:asciiTheme="majorHAnsi" w:hAnsiTheme="majorHAnsi"/>
        </w:rPr>
        <w:t xml:space="preserve"> has </w:t>
      </w:r>
      <w:r w:rsidR="007D4CEC" w:rsidRPr="000651D6">
        <w:rPr>
          <w:rFonts w:asciiTheme="majorHAnsi" w:hAnsiTheme="majorHAnsi"/>
        </w:rPr>
        <w:t xml:space="preserve">found that, admittedly extremely inadequate, healthcare </w:t>
      </w:r>
      <w:r w:rsidR="003813B8" w:rsidRPr="000651D6">
        <w:rPr>
          <w:rFonts w:asciiTheme="majorHAnsi" w:hAnsiTheme="majorHAnsi"/>
        </w:rPr>
        <w:t>breached</w:t>
      </w:r>
      <w:r w:rsidR="007D4CEC" w:rsidRPr="000651D6">
        <w:rPr>
          <w:rFonts w:asciiTheme="majorHAnsi" w:hAnsiTheme="majorHAnsi"/>
        </w:rPr>
        <w:t xml:space="preserve"> the Eighth Amendment to the Constitution. In </w:t>
      </w:r>
      <w:r w:rsidR="007D4CEC" w:rsidRPr="000651D6">
        <w:rPr>
          <w:rFonts w:asciiTheme="majorHAnsi" w:hAnsiTheme="majorHAnsi"/>
          <w:i/>
        </w:rPr>
        <w:t xml:space="preserve">Brown v. Plata </w:t>
      </w:r>
      <w:r w:rsidR="00174E0F" w:rsidRPr="000651D6">
        <w:rPr>
          <w:rFonts w:asciiTheme="majorHAnsi" w:hAnsiTheme="majorHAnsi"/>
        </w:rPr>
        <w:t>(131 S.Ct.1910, 1922 (2011)</w:t>
      </w:r>
      <w:r w:rsidR="001D22F3" w:rsidRPr="000651D6">
        <w:rPr>
          <w:rFonts w:asciiTheme="majorHAnsi" w:hAnsiTheme="majorHAnsi"/>
        </w:rPr>
        <w:t>)</w:t>
      </w:r>
      <w:r w:rsidR="00174E0F" w:rsidRPr="000651D6">
        <w:rPr>
          <w:rFonts w:asciiTheme="majorHAnsi" w:hAnsiTheme="majorHAnsi"/>
        </w:rPr>
        <w:t xml:space="preserve"> </w:t>
      </w:r>
      <w:r w:rsidR="001D22F3" w:rsidRPr="000651D6">
        <w:rPr>
          <w:rFonts w:asciiTheme="majorHAnsi" w:hAnsiTheme="majorHAnsi"/>
        </w:rPr>
        <w:t xml:space="preserve">the lack of minimal, adequate care for </w:t>
      </w:r>
      <w:r w:rsidR="007D4CEC" w:rsidRPr="000651D6">
        <w:rPr>
          <w:rFonts w:asciiTheme="majorHAnsi" w:hAnsiTheme="majorHAnsi"/>
        </w:rPr>
        <w:t xml:space="preserve">prisoners with serious mental illness infringed </w:t>
      </w:r>
      <w:r w:rsidR="00A5092C" w:rsidRPr="000651D6">
        <w:rPr>
          <w:rFonts w:asciiTheme="majorHAnsi" w:hAnsiTheme="majorHAnsi"/>
        </w:rPr>
        <w:t xml:space="preserve">the right to be free from cruel and unusual punishment, with Justice Kennedy holding that prisoners retain the essence of human dignity inherent in all persons (at p.12). </w:t>
      </w:r>
      <w:r w:rsidR="007D4CEC" w:rsidRPr="000651D6">
        <w:rPr>
          <w:rFonts w:asciiTheme="majorHAnsi" w:hAnsiTheme="majorHAnsi"/>
        </w:rPr>
        <w:t xml:space="preserve"> </w:t>
      </w:r>
    </w:p>
    <w:p w14:paraId="7A9B4BAA" w14:textId="77777777" w:rsidR="00627CE6" w:rsidRPr="000651D6" w:rsidRDefault="00627CE6" w:rsidP="001E1152">
      <w:pPr>
        <w:spacing w:line="360" w:lineRule="auto"/>
        <w:jc w:val="both"/>
        <w:rPr>
          <w:rFonts w:asciiTheme="majorHAnsi" w:hAnsiTheme="majorHAnsi"/>
        </w:rPr>
      </w:pPr>
    </w:p>
    <w:p w14:paraId="65FFE56B" w14:textId="67A12029" w:rsidR="00174E0F" w:rsidRPr="000651D6" w:rsidRDefault="00792FD4" w:rsidP="001E1152">
      <w:pPr>
        <w:spacing w:line="360" w:lineRule="auto"/>
        <w:jc w:val="both"/>
        <w:rPr>
          <w:rFonts w:asciiTheme="majorHAnsi" w:hAnsiTheme="majorHAnsi"/>
        </w:rPr>
      </w:pPr>
      <w:r w:rsidRPr="000651D6">
        <w:rPr>
          <w:rFonts w:asciiTheme="majorHAnsi" w:hAnsiTheme="majorHAnsi"/>
        </w:rPr>
        <w:t xml:space="preserve">Linking the </w:t>
      </w:r>
      <w:r w:rsidR="003813B8" w:rsidRPr="000651D6">
        <w:rPr>
          <w:rFonts w:asciiTheme="majorHAnsi" w:hAnsiTheme="majorHAnsi"/>
        </w:rPr>
        <w:t xml:space="preserve">rights of those in prison with concepts of </w:t>
      </w:r>
      <w:r w:rsidR="00174E0F" w:rsidRPr="000651D6">
        <w:rPr>
          <w:rFonts w:asciiTheme="majorHAnsi" w:hAnsiTheme="majorHAnsi"/>
        </w:rPr>
        <w:t>dignity and</w:t>
      </w:r>
      <w:r w:rsidR="007D4CEC" w:rsidRPr="000651D6">
        <w:rPr>
          <w:rFonts w:asciiTheme="majorHAnsi" w:hAnsiTheme="majorHAnsi"/>
        </w:rPr>
        <w:t xml:space="preserve"> </w:t>
      </w:r>
      <w:r w:rsidRPr="000651D6">
        <w:rPr>
          <w:rFonts w:asciiTheme="majorHAnsi" w:hAnsiTheme="majorHAnsi"/>
        </w:rPr>
        <w:t xml:space="preserve">the rule of law </w:t>
      </w:r>
      <w:r w:rsidR="0086035F" w:rsidRPr="000651D6">
        <w:rPr>
          <w:rFonts w:asciiTheme="majorHAnsi" w:hAnsiTheme="majorHAnsi"/>
        </w:rPr>
        <w:t xml:space="preserve">connects prison with the rest of society, an idea of </w:t>
      </w:r>
      <w:r w:rsidR="003813B8" w:rsidRPr="000651D6">
        <w:rPr>
          <w:rFonts w:asciiTheme="majorHAnsi" w:hAnsiTheme="majorHAnsi"/>
        </w:rPr>
        <w:t>global significance</w:t>
      </w:r>
      <w:r w:rsidR="0086035F" w:rsidRPr="000651D6">
        <w:rPr>
          <w:rFonts w:asciiTheme="majorHAnsi" w:hAnsiTheme="majorHAnsi"/>
        </w:rPr>
        <w:t xml:space="preserve">. </w:t>
      </w:r>
      <w:r w:rsidR="00661B38" w:rsidRPr="000651D6">
        <w:rPr>
          <w:rFonts w:asciiTheme="majorHAnsi" w:hAnsiTheme="majorHAnsi"/>
        </w:rPr>
        <w:t>As</w:t>
      </w:r>
      <w:r w:rsidR="0086035F" w:rsidRPr="000651D6">
        <w:rPr>
          <w:rFonts w:asciiTheme="majorHAnsi" w:hAnsiTheme="majorHAnsi"/>
        </w:rPr>
        <w:t xml:space="preserve"> </w:t>
      </w:r>
      <w:r w:rsidR="00661B38" w:rsidRPr="000651D6">
        <w:rPr>
          <w:rFonts w:asciiTheme="majorHAnsi" w:hAnsiTheme="majorHAnsi"/>
        </w:rPr>
        <w:t>Montross reminds us: “</w:t>
      </w:r>
      <w:r w:rsidR="00661B38" w:rsidRPr="000651D6">
        <w:rPr>
          <w:rFonts w:asciiTheme="majorHAnsi" w:hAnsiTheme="majorHAnsi" w:cs="Arial"/>
          <w:color w:val="262626"/>
          <w:lang w:val="en-US"/>
        </w:rPr>
        <w:t xml:space="preserve">physicians … are uniquely positioned to call attention to the circumstances that result in our patients being housed in places of punishment rather than places of healing” (2016: 1409). </w:t>
      </w:r>
      <w:r w:rsidR="00B50443" w:rsidRPr="000651D6">
        <w:rPr>
          <w:rFonts w:asciiTheme="majorHAnsi" w:hAnsiTheme="majorHAnsi" w:cs="Arial"/>
          <w:color w:val="262626"/>
          <w:lang w:val="en-US"/>
        </w:rPr>
        <w:t xml:space="preserve">The European approach of </w:t>
      </w:r>
      <w:r w:rsidR="00A5092C" w:rsidRPr="000651D6">
        <w:rPr>
          <w:rFonts w:asciiTheme="majorHAnsi" w:hAnsiTheme="majorHAnsi" w:cs="Arial"/>
          <w:color w:val="262626"/>
          <w:lang w:val="en-US"/>
        </w:rPr>
        <w:t xml:space="preserve">prison </w:t>
      </w:r>
      <w:r w:rsidR="00B50443" w:rsidRPr="000651D6">
        <w:rPr>
          <w:rFonts w:asciiTheme="majorHAnsi" w:hAnsiTheme="majorHAnsi" w:cs="Arial"/>
          <w:color w:val="262626"/>
          <w:lang w:val="en-US"/>
        </w:rPr>
        <w:t>inspection, combined with strong</w:t>
      </w:r>
      <w:r w:rsidR="00A5092C" w:rsidRPr="000651D6">
        <w:rPr>
          <w:rFonts w:asciiTheme="majorHAnsi" w:hAnsiTheme="majorHAnsi" w:cs="Arial"/>
          <w:color w:val="262626"/>
          <w:lang w:val="en-US"/>
        </w:rPr>
        <w:t xml:space="preserve"> and evidence-based</w:t>
      </w:r>
      <w:r w:rsidR="00B50443" w:rsidRPr="000651D6">
        <w:rPr>
          <w:rFonts w:asciiTheme="majorHAnsi" w:hAnsiTheme="majorHAnsi" w:cs="Arial"/>
          <w:color w:val="262626"/>
          <w:lang w:val="en-US"/>
        </w:rPr>
        <w:t xml:space="preserve"> statements as to the requisite standard</w:t>
      </w:r>
      <w:r w:rsidR="00A5092C" w:rsidRPr="000651D6">
        <w:rPr>
          <w:rFonts w:asciiTheme="majorHAnsi" w:hAnsiTheme="majorHAnsi" w:cs="Arial"/>
          <w:color w:val="262626"/>
          <w:lang w:val="en-US"/>
        </w:rPr>
        <w:t xml:space="preserve"> for correctional healthcare</w:t>
      </w:r>
      <w:r w:rsidR="00B50443" w:rsidRPr="000651D6">
        <w:rPr>
          <w:rFonts w:asciiTheme="majorHAnsi" w:hAnsiTheme="majorHAnsi" w:cs="Arial"/>
          <w:color w:val="262626"/>
          <w:lang w:val="en-US"/>
        </w:rPr>
        <w:t xml:space="preserve"> has provided its nations with a way of incorporating European values into their correctional systems. </w:t>
      </w:r>
      <w:r w:rsidR="00661B38" w:rsidRPr="000651D6">
        <w:rPr>
          <w:rFonts w:asciiTheme="majorHAnsi" w:hAnsiTheme="majorHAnsi" w:cs="Arial"/>
          <w:color w:val="262626"/>
          <w:lang w:val="en-US"/>
        </w:rPr>
        <w:t xml:space="preserve">The European human rights principles examined here can act as a beacon for those </w:t>
      </w:r>
      <w:r w:rsidR="00174E0F" w:rsidRPr="000651D6">
        <w:rPr>
          <w:rFonts w:asciiTheme="majorHAnsi" w:hAnsiTheme="majorHAnsi"/>
        </w:rPr>
        <w:t xml:space="preserve">who </w:t>
      </w:r>
      <w:r w:rsidR="0086035F" w:rsidRPr="000651D6">
        <w:rPr>
          <w:rFonts w:asciiTheme="majorHAnsi" w:hAnsiTheme="majorHAnsi"/>
        </w:rPr>
        <w:t xml:space="preserve">struggle every day to live out </w:t>
      </w:r>
      <w:r w:rsidR="00174E0F" w:rsidRPr="000651D6">
        <w:rPr>
          <w:rFonts w:asciiTheme="majorHAnsi" w:hAnsiTheme="majorHAnsi"/>
        </w:rPr>
        <w:t xml:space="preserve">their </w:t>
      </w:r>
      <w:r w:rsidR="00A70634" w:rsidRPr="000651D6">
        <w:rPr>
          <w:rFonts w:asciiTheme="majorHAnsi" w:hAnsiTheme="majorHAnsi"/>
        </w:rPr>
        <w:t>commitment to see</w:t>
      </w:r>
      <w:r w:rsidR="0086035F" w:rsidRPr="000651D6">
        <w:rPr>
          <w:rFonts w:asciiTheme="majorHAnsi" w:hAnsiTheme="majorHAnsi"/>
        </w:rPr>
        <w:t xml:space="preserve"> the patient, and not</w:t>
      </w:r>
      <w:r w:rsidR="002E6B16" w:rsidRPr="000651D6">
        <w:rPr>
          <w:rFonts w:asciiTheme="majorHAnsi" w:hAnsiTheme="majorHAnsi"/>
        </w:rPr>
        <w:t xml:space="preserve"> only</w:t>
      </w:r>
      <w:r w:rsidR="0086035F" w:rsidRPr="000651D6">
        <w:rPr>
          <w:rFonts w:asciiTheme="majorHAnsi" w:hAnsiTheme="majorHAnsi"/>
        </w:rPr>
        <w:t xml:space="preserve"> the prisoner</w:t>
      </w:r>
      <w:r w:rsidR="00B50443" w:rsidRPr="000651D6">
        <w:rPr>
          <w:rFonts w:asciiTheme="majorHAnsi" w:hAnsiTheme="majorHAnsi"/>
        </w:rPr>
        <w:t>, and a guide for all those responsible for correctional healthcare</w:t>
      </w:r>
      <w:r w:rsidR="0086035F" w:rsidRPr="000651D6">
        <w:rPr>
          <w:rFonts w:asciiTheme="majorHAnsi" w:hAnsiTheme="majorHAnsi"/>
        </w:rPr>
        <w:t xml:space="preserve">. </w:t>
      </w:r>
    </w:p>
    <w:p w14:paraId="2511380D" w14:textId="77777777" w:rsidR="00174E0F" w:rsidRPr="000651D6" w:rsidRDefault="00174E0F" w:rsidP="001E1152">
      <w:pPr>
        <w:spacing w:line="360" w:lineRule="auto"/>
        <w:jc w:val="both"/>
        <w:rPr>
          <w:rFonts w:asciiTheme="majorHAnsi" w:hAnsiTheme="majorHAnsi"/>
          <w:b/>
        </w:rPr>
      </w:pPr>
    </w:p>
    <w:p w14:paraId="4F83C52B" w14:textId="4D6DAC8F" w:rsidR="00FC3777" w:rsidRPr="000651D6" w:rsidRDefault="00FC3777">
      <w:pPr>
        <w:rPr>
          <w:rFonts w:asciiTheme="majorHAnsi" w:hAnsiTheme="majorHAnsi"/>
          <w:b/>
        </w:rPr>
      </w:pPr>
      <w:r w:rsidRPr="000651D6">
        <w:rPr>
          <w:rFonts w:asciiTheme="majorHAnsi" w:hAnsiTheme="majorHAnsi"/>
          <w:b/>
        </w:rPr>
        <w:br w:type="page"/>
      </w:r>
    </w:p>
    <w:p w14:paraId="0381B601" w14:textId="77777777" w:rsidR="00FB49BC" w:rsidRPr="000651D6" w:rsidRDefault="00FB49BC" w:rsidP="00063AB9">
      <w:pPr>
        <w:spacing w:line="360" w:lineRule="auto"/>
        <w:jc w:val="both"/>
        <w:rPr>
          <w:rFonts w:asciiTheme="majorHAnsi" w:hAnsiTheme="majorHAnsi"/>
          <w:b/>
        </w:rPr>
      </w:pPr>
    </w:p>
    <w:p w14:paraId="20A02011" w14:textId="37B65E49" w:rsidR="00E77A88" w:rsidRPr="000651D6" w:rsidRDefault="009425D5" w:rsidP="00063AB9">
      <w:pPr>
        <w:spacing w:line="360" w:lineRule="auto"/>
        <w:jc w:val="both"/>
        <w:rPr>
          <w:rFonts w:asciiTheme="majorHAnsi" w:hAnsiTheme="majorHAnsi"/>
          <w:b/>
        </w:rPr>
      </w:pPr>
      <w:r w:rsidRPr="000651D6">
        <w:rPr>
          <w:rFonts w:asciiTheme="majorHAnsi" w:hAnsiTheme="majorHAnsi"/>
          <w:b/>
        </w:rPr>
        <w:t>Bibliography</w:t>
      </w:r>
    </w:p>
    <w:p w14:paraId="39FB01BF" w14:textId="0AFFFC2F" w:rsidR="00E77A88" w:rsidRPr="000651D6" w:rsidRDefault="00E77A88" w:rsidP="00063AB9">
      <w:pPr>
        <w:pStyle w:val="FootnoteText"/>
        <w:spacing w:line="360" w:lineRule="auto"/>
        <w:jc w:val="both"/>
        <w:rPr>
          <w:rFonts w:asciiTheme="majorHAnsi" w:hAnsiTheme="majorHAnsi"/>
          <w:lang w:eastAsia="en-IE"/>
        </w:rPr>
      </w:pPr>
      <w:r w:rsidRPr="000651D6">
        <w:rPr>
          <w:rFonts w:asciiTheme="majorHAnsi" w:hAnsiTheme="majorHAnsi"/>
          <w:lang w:eastAsia="en-IE"/>
        </w:rPr>
        <w:t>CPT, (2015), CPT Standards, “Substantive” sections of the CPT’s General Reports, CPT/Inf/E (2002) 1 Rev 2015</w:t>
      </w:r>
      <w:r w:rsidR="00063AB9" w:rsidRPr="000651D6">
        <w:rPr>
          <w:rFonts w:asciiTheme="majorHAnsi" w:hAnsiTheme="majorHAnsi"/>
          <w:lang w:eastAsia="en-IE"/>
        </w:rPr>
        <w:t xml:space="preserve"> (available at: </w:t>
      </w:r>
      <w:r w:rsidR="00063AB9" w:rsidRPr="000651D6">
        <w:rPr>
          <w:rFonts w:asciiTheme="majorHAnsi" w:hAnsiTheme="majorHAnsi"/>
          <w:lang w:eastAsia="en-IE"/>
        </w:rPr>
        <w:fldChar w:fldCharType="begin"/>
      </w:r>
      <w:r w:rsidR="00063AB9" w:rsidRPr="000651D6">
        <w:rPr>
          <w:rFonts w:asciiTheme="majorHAnsi" w:hAnsiTheme="majorHAnsi"/>
          <w:lang w:eastAsia="en-IE"/>
        </w:rPr>
        <w:instrText xml:space="preserve"> HYPERLINK "http://www.cpt.coe.int/en/documents/eng-standards.pdf" </w:instrText>
      </w:r>
      <w:r w:rsidR="00063AB9" w:rsidRPr="000651D6">
        <w:rPr>
          <w:rFonts w:asciiTheme="majorHAnsi" w:hAnsiTheme="majorHAnsi"/>
          <w:lang w:eastAsia="en-IE"/>
        </w:rPr>
        <w:fldChar w:fldCharType="separate"/>
      </w:r>
      <w:r w:rsidR="00063AB9" w:rsidRPr="000651D6">
        <w:rPr>
          <w:rStyle w:val="Hyperlink"/>
          <w:rFonts w:asciiTheme="majorHAnsi" w:hAnsiTheme="majorHAnsi"/>
          <w:lang w:eastAsia="en-IE"/>
        </w:rPr>
        <w:t>http://www.cpt.coe.int/en/documents/eng-standards.pdf</w:t>
      </w:r>
      <w:r w:rsidR="00063AB9" w:rsidRPr="000651D6">
        <w:rPr>
          <w:rFonts w:asciiTheme="majorHAnsi" w:hAnsiTheme="majorHAnsi"/>
          <w:lang w:eastAsia="en-IE"/>
        </w:rPr>
        <w:fldChar w:fldCharType="end"/>
      </w:r>
      <w:r w:rsidR="00063AB9" w:rsidRPr="000651D6">
        <w:rPr>
          <w:rFonts w:asciiTheme="majorHAnsi" w:hAnsiTheme="majorHAnsi"/>
          <w:lang w:eastAsia="en-IE"/>
        </w:rPr>
        <w:t>, last accessed December 2 2016)</w:t>
      </w:r>
      <w:r w:rsidRPr="000651D6">
        <w:rPr>
          <w:rFonts w:asciiTheme="majorHAnsi" w:hAnsiTheme="majorHAnsi"/>
          <w:lang w:eastAsia="en-IE"/>
        </w:rPr>
        <w:t xml:space="preserve">. </w:t>
      </w:r>
    </w:p>
    <w:p w14:paraId="6D7EC07E" w14:textId="77777777" w:rsidR="00E77A88" w:rsidRPr="000651D6" w:rsidRDefault="00E77A88" w:rsidP="00063AB9">
      <w:pPr>
        <w:pStyle w:val="FootnoteText"/>
        <w:spacing w:line="360" w:lineRule="auto"/>
        <w:jc w:val="both"/>
        <w:rPr>
          <w:rFonts w:asciiTheme="majorHAnsi" w:hAnsiTheme="majorHAnsi"/>
          <w:lang w:eastAsia="en-IE"/>
        </w:rPr>
      </w:pPr>
      <w:r w:rsidRPr="000651D6">
        <w:rPr>
          <w:rFonts w:asciiTheme="majorHAnsi" w:hAnsiTheme="majorHAnsi"/>
          <w:lang w:eastAsia="en-IE"/>
        </w:rPr>
        <w:t xml:space="preserve">Daems, T. (2016), “Slaves and States: Torture Prevention in Contemporary Europe” </w:t>
      </w:r>
      <w:r w:rsidRPr="000651D6">
        <w:rPr>
          <w:rFonts w:asciiTheme="majorHAnsi" w:hAnsiTheme="majorHAnsi"/>
          <w:i/>
          <w:lang w:eastAsia="en-IE"/>
        </w:rPr>
        <w:t>British Journal of Criminology</w:t>
      </w:r>
      <w:r w:rsidRPr="000651D6">
        <w:rPr>
          <w:rFonts w:asciiTheme="majorHAnsi" w:hAnsiTheme="majorHAnsi"/>
          <w:lang w:eastAsia="en-IE"/>
        </w:rPr>
        <w:t>, 56(5), advance access.</w:t>
      </w:r>
    </w:p>
    <w:p w14:paraId="18B1623C" w14:textId="77777777" w:rsidR="00FC3777" w:rsidRPr="000651D6" w:rsidRDefault="00FC3777" w:rsidP="00063AB9">
      <w:pPr>
        <w:pStyle w:val="FootnoteText"/>
        <w:spacing w:line="360" w:lineRule="auto"/>
        <w:jc w:val="both"/>
        <w:rPr>
          <w:rFonts w:asciiTheme="majorHAnsi" w:hAnsiTheme="majorHAnsi"/>
        </w:rPr>
      </w:pPr>
      <w:proofErr w:type="spellStart"/>
      <w:r w:rsidRPr="000651D6">
        <w:rPr>
          <w:rFonts w:asciiTheme="majorHAnsi" w:hAnsiTheme="majorHAnsi"/>
          <w:lang w:val="en-US" w:eastAsia="en-IE"/>
        </w:rPr>
        <w:t>Daems</w:t>
      </w:r>
      <w:proofErr w:type="spellEnd"/>
      <w:r w:rsidRPr="000651D6">
        <w:rPr>
          <w:rFonts w:asciiTheme="majorHAnsi" w:hAnsiTheme="majorHAnsi"/>
          <w:lang w:val="en-US" w:eastAsia="en-IE"/>
        </w:rPr>
        <w:t xml:space="preserve">, T., van </w:t>
      </w:r>
      <w:proofErr w:type="spellStart"/>
      <w:r w:rsidRPr="000651D6">
        <w:rPr>
          <w:rFonts w:asciiTheme="majorHAnsi" w:hAnsiTheme="majorHAnsi"/>
          <w:lang w:val="en-US" w:eastAsia="en-IE"/>
        </w:rPr>
        <w:t>Zyl</w:t>
      </w:r>
      <w:proofErr w:type="spellEnd"/>
      <w:r w:rsidRPr="000651D6">
        <w:rPr>
          <w:rFonts w:asciiTheme="majorHAnsi" w:hAnsiTheme="majorHAnsi"/>
          <w:lang w:val="en-US" w:eastAsia="en-IE"/>
        </w:rPr>
        <w:t xml:space="preserve"> </w:t>
      </w:r>
      <w:proofErr w:type="spellStart"/>
      <w:r w:rsidRPr="000651D6">
        <w:rPr>
          <w:rFonts w:asciiTheme="majorHAnsi" w:hAnsiTheme="majorHAnsi"/>
          <w:lang w:val="en-US" w:eastAsia="en-IE"/>
        </w:rPr>
        <w:t>Smit</w:t>
      </w:r>
      <w:proofErr w:type="spellEnd"/>
      <w:r w:rsidRPr="000651D6">
        <w:rPr>
          <w:rFonts w:asciiTheme="majorHAnsi" w:hAnsiTheme="majorHAnsi"/>
          <w:lang w:val="en-US" w:eastAsia="en-IE"/>
        </w:rPr>
        <w:t xml:space="preserve">, D. and </w:t>
      </w:r>
      <w:proofErr w:type="spellStart"/>
      <w:r w:rsidRPr="000651D6">
        <w:rPr>
          <w:rFonts w:asciiTheme="majorHAnsi" w:hAnsiTheme="majorHAnsi"/>
          <w:lang w:val="en-US" w:eastAsia="en-IE"/>
        </w:rPr>
        <w:t>Snacken</w:t>
      </w:r>
      <w:proofErr w:type="spellEnd"/>
      <w:r w:rsidRPr="000651D6">
        <w:rPr>
          <w:rFonts w:asciiTheme="majorHAnsi" w:hAnsiTheme="majorHAnsi"/>
          <w:lang w:val="en-US" w:eastAsia="en-IE"/>
        </w:rPr>
        <w:t xml:space="preserve">, S. (2013), </w:t>
      </w:r>
      <w:r w:rsidRPr="000651D6">
        <w:rPr>
          <w:rFonts w:asciiTheme="majorHAnsi" w:hAnsiTheme="majorHAnsi"/>
          <w:i/>
          <w:iCs/>
          <w:lang w:val="en-US" w:eastAsia="en-IE"/>
        </w:rPr>
        <w:t>European Penology</w:t>
      </w:r>
      <w:proofErr w:type="gramStart"/>
      <w:r w:rsidRPr="000651D6">
        <w:rPr>
          <w:rFonts w:asciiTheme="majorHAnsi" w:hAnsiTheme="majorHAnsi"/>
          <w:i/>
          <w:iCs/>
          <w:lang w:val="en-US" w:eastAsia="en-IE"/>
        </w:rPr>
        <w:t>?</w:t>
      </w:r>
      <w:r w:rsidRPr="000651D6">
        <w:rPr>
          <w:rFonts w:asciiTheme="majorHAnsi" w:hAnsiTheme="majorHAnsi"/>
          <w:lang w:val="en-US" w:eastAsia="en-IE"/>
        </w:rPr>
        <w:t>,</w:t>
      </w:r>
      <w:proofErr w:type="gramEnd"/>
      <w:r w:rsidRPr="000651D6">
        <w:rPr>
          <w:rFonts w:asciiTheme="majorHAnsi" w:hAnsiTheme="majorHAnsi"/>
          <w:lang w:val="en-US" w:eastAsia="en-IE"/>
        </w:rPr>
        <w:t xml:space="preserve"> Hart 2013.</w:t>
      </w:r>
    </w:p>
    <w:p w14:paraId="21B39E47" w14:textId="55484448" w:rsidR="00FC3777" w:rsidRPr="000651D6" w:rsidRDefault="00FC3777" w:rsidP="00063AB9">
      <w:pPr>
        <w:pStyle w:val="FootnoteText"/>
        <w:spacing w:line="360" w:lineRule="auto"/>
        <w:jc w:val="both"/>
        <w:rPr>
          <w:rFonts w:asciiTheme="majorHAnsi" w:hAnsiTheme="majorHAnsi"/>
          <w:lang w:eastAsia="en-IE"/>
        </w:rPr>
      </w:pPr>
      <w:proofErr w:type="spellStart"/>
      <w:proofErr w:type="gramStart"/>
      <w:r w:rsidRPr="000651D6">
        <w:rPr>
          <w:rFonts w:asciiTheme="majorHAnsi" w:hAnsiTheme="majorHAnsi"/>
          <w:lang w:val="en-US" w:eastAsia="en-IE"/>
        </w:rPr>
        <w:t>Girling</w:t>
      </w:r>
      <w:proofErr w:type="spellEnd"/>
      <w:r w:rsidRPr="000651D6">
        <w:rPr>
          <w:rFonts w:asciiTheme="majorHAnsi" w:hAnsiTheme="majorHAnsi"/>
          <w:lang w:val="en-US" w:eastAsia="en-IE"/>
        </w:rPr>
        <w:t xml:space="preserve">, E. (2006), “European identity, penal sensibilities, and communities of sentiment”, In S Armstrong and L </w:t>
      </w:r>
      <w:proofErr w:type="spellStart"/>
      <w:r w:rsidRPr="000651D6">
        <w:rPr>
          <w:rFonts w:asciiTheme="majorHAnsi" w:hAnsiTheme="majorHAnsi"/>
          <w:lang w:val="en-US" w:eastAsia="en-IE"/>
        </w:rPr>
        <w:t>McAra</w:t>
      </w:r>
      <w:proofErr w:type="spellEnd"/>
      <w:r w:rsidRPr="000651D6">
        <w:rPr>
          <w:rFonts w:asciiTheme="majorHAnsi" w:hAnsiTheme="majorHAnsi"/>
          <w:lang w:val="en-US" w:eastAsia="en-IE"/>
        </w:rPr>
        <w:t xml:space="preserve"> (eds.), </w:t>
      </w:r>
      <w:r w:rsidRPr="000651D6">
        <w:rPr>
          <w:rFonts w:asciiTheme="majorHAnsi" w:hAnsiTheme="majorHAnsi"/>
          <w:i/>
          <w:iCs/>
          <w:lang w:val="en-US" w:eastAsia="en-IE"/>
        </w:rPr>
        <w:t>Perspectives on Punishment: The Contours of Control</w:t>
      </w:r>
      <w:r w:rsidRPr="000651D6">
        <w:rPr>
          <w:rFonts w:asciiTheme="majorHAnsi" w:hAnsiTheme="majorHAnsi"/>
          <w:lang w:val="en-US" w:eastAsia="en-IE"/>
        </w:rPr>
        <w:t>, Oxford University Press.</w:t>
      </w:r>
      <w:proofErr w:type="gramEnd"/>
      <w:r w:rsidRPr="000651D6">
        <w:rPr>
          <w:rFonts w:asciiTheme="majorHAnsi" w:hAnsiTheme="majorHAnsi"/>
          <w:lang w:val="en-US" w:eastAsia="en-IE"/>
        </w:rPr>
        <w:t xml:space="preserve"> </w:t>
      </w:r>
    </w:p>
    <w:p w14:paraId="32ABA63F" w14:textId="77777777" w:rsidR="00E77A88" w:rsidRPr="000651D6" w:rsidRDefault="00E77A88" w:rsidP="00063AB9">
      <w:pPr>
        <w:tabs>
          <w:tab w:val="left" w:pos="5867"/>
        </w:tabs>
        <w:spacing w:line="360" w:lineRule="auto"/>
        <w:jc w:val="both"/>
        <w:rPr>
          <w:rFonts w:asciiTheme="majorHAnsi" w:hAnsiTheme="majorHAnsi"/>
        </w:rPr>
      </w:pPr>
      <w:r w:rsidRPr="000651D6">
        <w:rPr>
          <w:rFonts w:asciiTheme="majorHAnsi" w:hAnsiTheme="majorHAnsi"/>
        </w:rPr>
        <w:t xml:space="preserve">Guetzkow, J. and Schoon, E. (2015), “If You Build It, They Will Fill It: The Consequences of Prison Overcrowding Litigation”, 49(2), pp. 401-432. </w:t>
      </w:r>
    </w:p>
    <w:p w14:paraId="1E5FDFEF" w14:textId="77777777" w:rsidR="00E77A88" w:rsidRPr="000651D6" w:rsidRDefault="00E77A88" w:rsidP="00063AB9">
      <w:pPr>
        <w:spacing w:line="360" w:lineRule="auto"/>
        <w:jc w:val="both"/>
        <w:rPr>
          <w:rFonts w:asciiTheme="majorHAnsi" w:hAnsiTheme="majorHAnsi"/>
        </w:rPr>
      </w:pPr>
      <w:r w:rsidRPr="000651D6">
        <w:rPr>
          <w:rFonts w:asciiTheme="majorHAnsi" w:hAnsiTheme="majorHAnsi"/>
        </w:rPr>
        <w:t xml:space="preserve">Johal, K. (2014), “Judges Behind Bars: The Intrusiveness Requirements Restriction on the Implementation of Relief under the Prison Litigation Reform Act” </w:t>
      </w:r>
      <w:r w:rsidRPr="000651D6">
        <w:rPr>
          <w:rFonts w:asciiTheme="majorHAnsi" w:hAnsiTheme="majorHAnsi"/>
          <w:i/>
        </w:rPr>
        <w:t>Columbia Law Review</w:t>
      </w:r>
      <w:r w:rsidRPr="000651D6">
        <w:rPr>
          <w:rFonts w:asciiTheme="majorHAnsi" w:hAnsiTheme="majorHAnsi"/>
        </w:rPr>
        <w:t xml:space="preserve">, 114(3), pp.715-754. </w:t>
      </w:r>
    </w:p>
    <w:p w14:paraId="5F1E9130" w14:textId="77777777" w:rsidR="00E77A88" w:rsidRPr="000651D6" w:rsidRDefault="00E77A88" w:rsidP="00063AB9">
      <w:pPr>
        <w:spacing w:line="360" w:lineRule="auto"/>
        <w:jc w:val="both"/>
        <w:rPr>
          <w:rFonts w:asciiTheme="majorHAnsi" w:hAnsiTheme="majorHAnsi"/>
        </w:rPr>
      </w:pPr>
      <w:r w:rsidRPr="000651D6">
        <w:rPr>
          <w:rFonts w:asciiTheme="majorHAnsi" w:hAnsiTheme="majorHAnsi"/>
        </w:rPr>
        <w:t>Kerr, L. (2015)</w:t>
      </w:r>
      <w:r w:rsidR="002454AC" w:rsidRPr="000651D6">
        <w:rPr>
          <w:rFonts w:asciiTheme="majorHAnsi" w:hAnsiTheme="majorHAnsi"/>
        </w:rPr>
        <w:t>,</w:t>
      </w:r>
      <w:r w:rsidRPr="000651D6">
        <w:rPr>
          <w:rFonts w:asciiTheme="majorHAnsi" w:hAnsiTheme="majorHAnsi"/>
        </w:rPr>
        <w:t xml:space="preserve"> “The chronic failure to control prisoner isolation in US and Canadian Law” </w:t>
      </w:r>
      <w:r w:rsidRPr="000651D6">
        <w:rPr>
          <w:rFonts w:asciiTheme="majorHAnsi" w:hAnsiTheme="majorHAnsi"/>
          <w:i/>
        </w:rPr>
        <w:t>Queen’s Law Journal</w:t>
      </w:r>
      <w:r w:rsidRPr="000651D6">
        <w:rPr>
          <w:rFonts w:asciiTheme="majorHAnsi" w:hAnsiTheme="majorHAnsi"/>
        </w:rPr>
        <w:t xml:space="preserve">, 40(2), pp. 483-530. </w:t>
      </w:r>
    </w:p>
    <w:p w14:paraId="32B4D593" w14:textId="2D7193FE" w:rsidR="002454AC" w:rsidRPr="000651D6" w:rsidRDefault="00E77A88" w:rsidP="00063AB9">
      <w:pPr>
        <w:pStyle w:val="FootnoteText"/>
        <w:spacing w:line="360" w:lineRule="auto"/>
        <w:jc w:val="both"/>
        <w:rPr>
          <w:rFonts w:asciiTheme="majorHAnsi" w:hAnsiTheme="majorHAnsi"/>
          <w:lang w:eastAsia="en-IE"/>
        </w:rPr>
      </w:pPr>
      <w:r w:rsidRPr="000651D6">
        <w:rPr>
          <w:rFonts w:asciiTheme="majorHAnsi" w:hAnsiTheme="majorHAnsi"/>
          <w:lang w:eastAsia="en-IE"/>
        </w:rPr>
        <w:t>Lehtmets</w:t>
      </w:r>
      <w:r w:rsidR="00FB49BC" w:rsidRPr="000651D6">
        <w:rPr>
          <w:rFonts w:asciiTheme="majorHAnsi" w:hAnsiTheme="majorHAnsi"/>
          <w:lang w:eastAsia="en-IE"/>
        </w:rPr>
        <w:t>, A,</w:t>
      </w:r>
      <w:r w:rsidRPr="000651D6">
        <w:rPr>
          <w:rFonts w:asciiTheme="majorHAnsi" w:hAnsiTheme="majorHAnsi"/>
          <w:lang w:eastAsia="en-IE"/>
        </w:rPr>
        <w:t xml:space="preserve"> and Pont</w:t>
      </w:r>
      <w:r w:rsidR="00FB49BC" w:rsidRPr="000651D6">
        <w:rPr>
          <w:rFonts w:asciiTheme="majorHAnsi" w:hAnsiTheme="majorHAnsi"/>
          <w:lang w:eastAsia="en-IE"/>
        </w:rPr>
        <w:t>, J.</w:t>
      </w:r>
      <w:r w:rsidRPr="000651D6">
        <w:rPr>
          <w:rFonts w:asciiTheme="majorHAnsi" w:hAnsiTheme="majorHAnsi"/>
          <w:lang w:eastAsia="en-IE"/>
        </w:rPr>
        <w:t xml:space="preserve"> (2015), A manual for health-care workers and other prison staff with responsibility for prisoners’ well-being, Council of Europe, Strasbourg. </w:t>
      </w:r>
    </w:p>
    <w:p w14:paraId="3B3D542D" w14:textId="4F376395" w:rsidR="001D22F3" w:rsidRPr="000651D6" w:rsidRDefault="001D22F3" w:rsidP="00063AB9">
      <w:pPr>
        <w:spacing w:line="360" w:lineRule="auto"/>
        <w:jc w:val="both"/>
        <w:rPr>
          <w:rFonts w:asciiTheme="majorHAnsi" w:hAnsiTheme="majorHAnsi"/>
          <w:lang w:eastAsia="en-IE"/>
        </w:rPr>
      </w:pPr>
      <w:r w:rsidRPr="000651D6">
        <w:rPr>
          <w:rFonts w:asciiTheme="majorHAnsi" w:hAnsiTheme="majorHAnsi"/>
          <w:lang w:eastAsia="en-IE"/>
        </w:rPr>
        <w:t>Lovell</w:t>
      </w:r>
      <w:r w:rsidR="003813B8" w:rsidRPr="000651D6">
        <w:rPr>
          <w:rFonts w:asciiTheme="majorHAnsi" w:hAnsiTheme="majorHAnsi"/>
          <w:lang w:eastAsia="en-IE"/>
        </w:rPr>
        <w:t>, D. (2015), “</w:t>
      </w:r>
      <w:r w:rsidR="003813B8" w:rsidRPr="000651D6">
        <w:rPr>
          <w:rFonts w:asciiTheme="majorHAnsi" w:hAnsiTheme="majorHAnsi" w:cs="Georgia"/>
          <w:lang w:val="en-US"/>
        </w:rPr>
        <w:t>Isolation Vignettes: Practical Applications of Strict Scrutiny.</w:t>
      </w:r>
      <w:r w:rsidR="003813B8" w:rsidRPr="000651D6">
        <w:rPr>
          <w:rFonts w:asciiTheme="majorHAnsi" w:hAnsiTheme="majorHAnsi"/>
          <w:lang w:val="en-US"/>
        </w:rPr>
        <w:t xml:space="preserve"> Criminal Justice Research Review”, 16(3), pp. 48-50.</w:t>
      </w:r>
    </w:p>
    <w:p w14:paraId="3D38DFA6" w14:textId="4EBF26DD" w:rsidR="003813B8" w:rsidRPr="000651D6" w:rsidRDefault="001D22F3" w:rsidP="00063AB9">
      <w:pPr>
        <w:spacing w:line="360" w:lineRule="auto"/>
        <w:jc w:val="both"/>
        <w:rPr>
          <w:rFonts w:asciiTheme="majorHAnsi" w:hAnsiTheme="majorHAnsi"/>
          <w:lang w:eastAsia="en-IE"/>
        </w:rPr>
      </w:pPr>
      <w:r w:rsidRPr="000651D6">
        <w:rPr>
          <w:rFonts w:asciiTheme="majorHAnsi" w:hAnsiTheme="majorHAnsi"/>
          <w:lang w:eastAsia="en-IE"/>
        </w:rPr>
        <w:t>Mont</w:t>
      </w:r>
      <w:r w:rsidR="003813B8" w:rsidRPr="000651D6">
        <w:rPr>
          <w:rFonts w:asciiTheme="majorHAnsi" w:hAnsiTheme="majorHAnsi"/>
          <w:lang w:eastAsia="en-IE"/>
        </w:rPr>
        <w:t xml:space="preserve">ross, C. (2016), “Hard Time or Hospital Treatment Mental Illness and the Criminal Justice System” </w:t>
      </w:r>
      <w:r w:rsidR="003813B8" w:rsidRPr="000651D6">
        <w:rPr>
          <w:rFonts w:asciiTheme="majorHAnsi" w:hAnsiTheme="majorHAnsi"/>
          <w:i/>
          <w:lang w:eastAsia="en-IE"/>
        </w:rPr>
        <w:t>New England Journal of Medicine</w:t>
      </w:r>
      <w:r w:rsidR="003813B8" w:rsidRPr="000651D6">
        <w:rPr>
          <w:rFonts w:asciiTheme="majorHAnsi" w:hAnsiTheme="majorHAnsi"/>
          <w:lang w:eastAsia="en-IE"/>
        </w:rPr>
        <w:t>, 375(15), pp.1407-1409</w:t>
      </w:r>
      <w:r w:rsidR="006B5982" w:rsidRPr="000651D6">
        <w:rPr>
          <w:rFonts w:asciiTheme="majorHAnsi" w:hAnsiTheme="majorHAnsi"/>
          <w:lang w:eastAsia="en-IE"/>
        </w:rPr>
        <w:t>.</w:t>
      </w:r>
    </w:p>
    <w:p w14:paraId="16DF630B" w14:textId="19DC9B4C" w:rsidR="006B5982" w:rsidRPr="000651D6" w:rsidRDefault="006B5982" w:rsidP="00063AB9">
      <w:pPr>
        <w:spacing w:line="360" w:lineRule="auto"/>
        <w:jc w:val="both"/>
        <w:rPr>
          <w:rFonts w:asciiTheme="majorHAnsi" w:hAnsiTheme="majorHAnsi" w:cs="Georgia"/>
          <w:i/>
          <w:iCs/>
          <w:color w:val="262626"/>
          <w:lang w:val="en-US"/>
        </w:rPr>
      </w:pPr>
      <w:r w:rsidRPr="000651D6">
        <w:rPr>
          <w:rFonts w:asciiTheme="majorHAnsi" w:hAnsiTheme="majorHAnsi" w:cs="Georgia"/>
          <w:iCs/>
          <w:color w:val="262626"/>
          <w:lang w:val="en-US"/>
        </w:rPr>
        <w:t xml:space="preserve">Rogan, M. (2015), “The European Court of Human Rights, gross disproportionality and long prison sentences after </w:t>
      </w:r>
      <w:proofErr w:type="spellStart"/>
      <w:r w:rsidRPr="000651D6">
        <w:rPr>
          <w:rFonts w:asciiTheme="majorHAnsi" w:hAnsiTheme="majorHAnsi" w:cs="Georgia"/>
          <w:iCs/>
          <w:color w:val="262626"/>
          <w:lang w:val="en-US"/>
        </w:rPr>
        <w:t>Vinter</w:t>
      </w:r>
      <w:proofErr w:type="spellEnd"/>
      <w:r w:rsidRPr="000651D6">
        <w:rPr>
          <w:rFonts w:asciiTheme="majorHAnsi" w:hAnsiTheme="majorHAnsi" w:cs="Georgia"/>
          <w:iCs/>
          <w:color w:val="262626"/>
          <w:lang w:val="en-US"/>
        </w:rPr>
        <w:t xml:space="preserve"> v United Kingdom” </w:t>
      </w:r>
      <w:r w:rsidRPr="000651D6">
        <w:rPr>
          <w:rFonts w:asciiTheme="majorHAnsi" w:hAnsiTheme="majorHAnsi" w:cs="Georgia"/>
          <w:i/>
          <w:iCs/>
          <w:color w:val="262626"/>
          <w:lang w:val="en-US"/>
        </w:rPr>
        <w:t>Public Law</w:t>
      </w:r>
      <w:r w:rsidR="00063AB9" w:rsidRPr="000651D6">
        <w:rPr>
          <w:rFonts w:asciiTheme="majorHAnsi" w:hAnsiTheme="majorHAnsi" w:cs="Georgia"/>
          <w:i/>
          <w:iCs/>
          <w:color w:val="262626"/>
          <w:lang w:val="en-US"/>
        </w:rPr>
        <w:t>, 1,</w:t>
      </w:r>
      <w:r w:rsidRPr="000651D6">
        <w:rPr>
          <w:rFonts w:asciiTheme="majorHAnsi" w:hAnsiTheme="majorHAnsi" w:cs="Georgia"/>
          <w:iCs/>
          <w:color w:val="262626"/>
          <w:lang w:val="en-US"/>
        </w:rPr>
        <w:t xml:space="preserve"> </w:t>
      </w:r>
      <w:r w:rsidR="00063AB9" w:rsidRPr="000651D6">
        <w:rPr>
          <w:rFonts w:asciiTheme="majorHAnsi" w:hAnsiTheme="majorHAnsi" w:cs="Georgia"/>
          <w:iCs/>
          <w:color w:val="262626"/>
          <w:lang w:val="en-US"/>
        </w:rPr>
        <w:t xml:space="preserve">pp. </w:t>
      </w:r>
      <w:r w:rsidRPr="000651D6">
        <w:rPr>
          <w:rFonts w:asciiTheme="majorHAnsi" w:hAnsiTheme="majorHAnsi" w:cs="Georgia"/>
          <w:iCs/>
          <w:color w:val="262626"/>
          <w:lang w:val="en-US"/>
        </w:rPr>
        <w:t>22</w:t>
      </w:r>
      <w:r w:rsidR="00063AB9" w:rsidRPr="000651D6">
        <w:rPr>
          <w:rFonts w:asciiTheme="majorHAnsi" w:hAnsiTheme="majorHAnsi" w:cs="Georgia"/>
          <w:iCs/>
          <w:color w:val="262626"/>
          <w:lang w:val="en-US"/>
        </w:rPr>
        <w:t>-39.</w:t>
      </w:r>
    </w:p>
    <w:p w14:paraId="5E723AE6" w14:textId="3F3E63D6" w:rsidR="00E77A88" w:rsidRPr="000651D6" w:rsidRDefault="00E77A88" w:rsidP="00063AB9">
      <w:pPr>
        <w:spacing w:line="360" w:lineRule="auto"/>
        <w:jc w:val="both"/>
        <w:rPr>
          <w:rFonts w:asciiTheme="majorHAnsi" w:hAnsiTheme="majorHAnsi"/>
        </w:rPr>
      </w:pPr>
      <w:r w:rsidRPr="000651D6">
        <w:rPr>
          <w:rFonts w:asciiTheme="majorHAnsi" w:hAnsiTheme="majorHAnsi"/>
        </w:rPr>
        <w:t xml:space="preserve">Schlanger, M. (2015), “Prisoners’ Rights Lawyers’ Strategies for Preserving the Role of the Courts”, </w:t>
      </w:r>
      <w:r w:rsidRPr="000651D6">
        <w:rPr>
          <w:rFonts w:asciiTheme="majorHAnsi" w:hAnsiTheme="majorHAnsi"/>
          <w:i/>
        </w:rPr>
        <w:t>University of Miami Law Review</w:t>
      </w:r>
      <w:r w:rsidRPr="000651D6">
        <w:rPr>
          <w:rFonts w:asciiTheme="majorHAnsi" w:hAnsiTheme="majorHAnsi"/>
        </w:rPr>
        <w:t xml:space="preserve">, 69(2), pp. 519-557. </w:t>
      </w:r>
    </w:p>
    <w:p w14:paraId="5F4A62DE" w14:textId="3E9E071D" w:rsidR="002454AC" w:rsidRPr="000651D6" w:rsidRDefault="003813B8" w:rsidP="00063AB9">
      <w:pPr>
        <w:spacing w:line="360" w:lineRule="auto"/>
        <w:jc w:val="both"/>
        <w:rPr>
          <w:rFonts w:asciiTheme="majorHAnsi" w:hAnsiTheme="majorHAnsi" w:cs="Georgia"/>
          <w:color w:val="343434"/>
          <w:lang w:val="en-US"/>
        </w:rPr>
      </w:pPr>
      <w:r w:rsidRPr="000651D6">
        <w:rPr>
          <w:rFonts w:asciiTheme="majorHAnsi" w:hAnsiTheme="majorHAnsi"/>
        </w:rPr>
        <w:t>Smith, P.S.</w:t>
      </w:r>
      <w:r w:rsidR="002454AC" w:rsidRPr="000651D6">
        <w:rPr>
          <w:rFonts w:asciiTheme="majorHAnsi" w:hAnsiTheme="majorHAnsi"/>
        </w:rPr>
        <w:t xml:space="preserve"> (2016),</w:t>
      </w:r>
      <w:r w:rsidR="001D22F3" w:rsidRPr="000651D6">
        <w:rPr>
          <w:rFonts w:asciiTheme="majorHAnsi" w:hAnsiTheme="majorHAnsi"/>
        </w:rPr>
        <w:t xml:space="preserve"> “Prisons </w:t>
      </w:r>
      <w:r w:rsidR="001D22F3" w:rsidRPr="000651D6">
        <w:rPr>
          <w:rFonts w:asciiTheme="majorHAnsi" w:hAnsiTheme="majorHAnsi" w:cs="Georgia"/>
          <w:color w:val="343434"/>
          <w:lang w:val="en-US"/>
        </w:rPr>
        <w:t xml:space="preserve"> and Human Rights: Past, Present and Future Challenges” in Leanne Weber, Ela</w:t>
      </w:r>
      <w:r w:rsidRPr="000651D6">
        <w:rPr>
          <w:rFonts w:asciiTheme="majorHAnsi" w:hAnsiTheme="majorHAnsi" w:cs="Georgia"/>
          <w:color w:val="343434"/>
          <w:lang w:val="en-US"/>
        </w:rPr>
        <w:t xml:space="preserve">ine </w:t>
      </w:r>
      <w:proofErr w:type="spellStart"/>
      <w:r w:rsidRPr="000651D6">
        <w:rPr>
          <w:rFonts w:asciiTheme="majorHAnsi" w:hAnsiTheme="majorHAnsi" w:cs="Georgia"/>
          <w:color w:val="343434"/>
          <w:lang w:val="en-US"/>
        </w:rPr>
        <w:t>Fishwick</w:t>
      </w:r>
      <w:proofErr w:type="spellEnd"/>
      <w:r w:rsidRPr="000651D6">
        <w:rPr>
          <w:rFonts w:asciiTheme="majorHAnsi" w:hAnsiTheme="majorHAnsi" w:cs="Georgia"/>
          <w:color w:val="343434"/>
          <w:lang w:val="en-US"/>
        </w:rPr>
        <w:t xml:space="preserve">, </w:t>
      </w:r>
      <w:proofErr w:type="spellStart"/>
      <w:r w:rsidRPr="000651D6">
        <w:rPr>
          <w:rFonts w:asciiTheme="majorHAnsi" w:hAnsiTheme="majorHAnsi" w:cs="Georgia"/>
          <w:color w:val="343434"/>
          <w:lang w:val="en-US"/>
        </w:rPr>
        <w:t>Marinella</w:t>
      </w:r>
      <w:proofErr w:type="spellEnd"/>
      <w:r w:rsidRPr="000651D6">
        <w:rPr>
          <w:rFonts w:asciiTheme="majorHAnsi" w:hAnsiTheme="majorHAnsi" w:cs="Georgia"/>
          <w:color w:val="343434"/>
          <w:lang w:val="en-US"/>
        </w:rPr>
        <w:t xml:space="preserve"> </w:t>
      </w:r>
      <w:proofErr w:type="spellStart"/>
      <w:r w:rsidRPr="000651D6">
        <w:rPr>
          <w:rFonts w:asciiTheme="majorHAnsi" w:hAnsiTheme="majorHAnsi" w:cs="Georgia"/>
          <w:color w:val="343434"/>
          <w:lang w:val="en-US"/>
        </w:rPr>
        <w:t>Marmo</w:t>
      </w:r>
      <w:proofErr w:type="spellEnd"/>
      <w:r w:rsidRPr="000651D6">
        <w:rPr>
          <w:rFonts w:asciiTheme="majorHAnsi" w:hAnsiTheme="majorHAnsi" w:cs="Georgia"/>
          <w:color w:val="343434"/>
          <w:lang w:val="en-US"/>
        </w:rPr>
        <w:t xml:space="preserve"> (e</w:t>
      </w:r>
      <w:r w:rsidR="001D22F3" w:rsidRPr="000651D6">
        <w:rPr>
          <w:rFonts w:asciiTheme="majorHAnsi" w:hAnsiTheme="majorHAnsi" w:cs="Georgia"/>
          <w:color w:val="343434"/>
          <w:lang w:val="en-US"/>
        </w:rPr>
        <w:t xml:space="preserve">ds.), </w:t>
      </w:r>
      <w:proofErr w:type="gramStart"/>
      <w:r w:rsidR="00FB49BC" w:rsidRPr="000651D6">
        <w:rPr>
          <w:rFonts w:asciiTheme="majorHAnsi" w:hAnsiTheme="majorHAnsi" w:cs="Georgia"/>
          <w:i/>
          <w:iCs/>
          <w:color w:val="343434"/>
          <w:lang w:val="en-US"/>
        </w:rPr>
        <w:t xml:space="preserve">The </w:t>
      </w:r>
      <w:proofErr w:type="spellStart"/>
      <w:r w:rsidR="001D22F3" w:rsidRPr="000651D6">
        <w:rPr>
          <w:rFonts w:asciiTheme="majorHAnsi" w:hAnsiTheme="majorHAnsi" w:cs="Georgia"/>
          <w:i/>
          <w:iCs/>
          <w:color w:val="343434"/>
          <w:lang w:val="en-US"/>
        </w:rPr>
        <w:t>Routledge</w:t>
      </w:r>
      <w:proofErr w:type="spellEnd"/>
      <w:r w:rsidR="001D22F3" w:rsidRPr="000651D6">
        <w:rPr>
          <w:rFonts w:asciiTheme="majorHAnsi" w:hAnsiTheme="majorHAnsi" w:cs="Georgia"/>
          <w:i/>
          <w:iCs/>
          <w:color w:val="343434"/>
          <w:lang w:val="en-US"/>
        </w:rPr>
        <w:t xml:space="preserve"> International Handbook of Criminology and Human Rights</w:t>
      </w:r>
      <w:r w:rsidR="001D22F3" w:rsidRPr="000651D6">
        <w:rPr>
          <w:rFonts w:asciiTheme="majorHAnsi" w:hAnsiTheme="majorHAnsi" w:cs="Georgia"/>
          <w:color w:val="343434"/>
          <w:lang w:val="en-US"/>
        </w:rPr>
        <w:t xml:space="preserve">, </w:t>
      </w:r>
      <w:proofErr w:type="spellStart"/>
      <w:r w:rsidR="001D22F3" w:rsidRPr="000651D6">
        <w:rPr>
          <w:rFonts w:asciiTheme="majorHAnsi" w:hAnsiTheme="majorHAnsi" w:cs="Georgia"/>
          <w:color w:val="343434"/>
          <w:lang w:val="en-US"/>
        </w:rPr>
        <w:t>Routledge</w:t>
      </w:r>
      <w:proofErr w:type="spellEnd"/>
      <w:r w:rsidR="001D22F3" w:rsidRPr="000651D6">
        <w:rPr>
          <w:rFonts w:asciiTheme="majorHAnsi" w:hAnsiTheme="majorHAnsi" w:cs="Georgia"/>
          <w:color w:val="343434"/>
          <w:lang w:val="en-US"/>
        </w:rPr>
        <w:t>.</w:t>
      </w:r>
      <w:proofErr w:type="gramEnd"/>
    </w:p>
    <w:p w14:paraId="68125FE0" w14:textId="02F4362D" w:rsidR="00FC3777" w:rsidRPr="000651D6" w:rsidRDefault="00FC3777" w:rsidP="00063AB9">
      <w:pPr>
        <w:spacing w:line="360" w:lineRule="auto"/>
        <w:jc w:val="both"/>
        <w:rPr>
          <w:rFonts w:asciiTheme="majorHAnsi" w:hAnsiTheme="majorHAnsi"/>
        </w:rPr>
      </w:pPr>
      <w:proofErr w:type="spellStart"/>
      <w:r w:rsidRPr="000651D6">
        <w:rPr>
          <w:rFonts w:asciiTheme="majorHAnsi" w:hAnsiTheme="majorHAnsi"/>
          <w:lang w:val="en-US" w:eastAsia="en-IE"/>
        </w:rPr>
        <w:lastRenderedPageBreak/>
        <w:t>Snacken</w:t>
      </w:r>
      <w:proofErr w:type="spellEnd"/>
      <w:r w:rsidRPr="000651D6">
        <w:rPr>
          <w:rFonts w:asciiTheme="majorHAnsi" w:hAnsiTheme="majorHAnsi"/>
          <w:lang w:val="en-US" w:eastAsia="en-IE"/>
        </w:rPr>
        <w:t xml:space="preserve">, S. (2010), "Resisting </w:t>
      </w:r>
      <w:proofErr w:type="spellStart"/>
      <w:r w:rsidRPr="000651D6">
        <w:rPr>
          <w:rFonts w:asciiTheme="majorHAnsi" w:hAnsiTheme="majorHAnsi"/>
          <w:lang w:val="en-US" w:eastAsia="en-IE"/>
        </w:rPr>
        <w:t>punitiveness</w:t>
      </w:r>
      <w:proofErr w:type="spellEnd"/>
      <w:r w:rsidRPr="000651D6">
        <w:rPr>
          <w:rFonts w:asciiTheme="majorHAnsi" w:hAnsiTheme="majorHAnsi"/>
          <w:lang w:val="en-US" w:eastAsia="en-IE"/>
        </w:rPr>
        <w:t xml:space="preserve"> in Europe?" 14</w:t>
      </w:r>
      <w:r w:rsidR="000651D6" w:rsidRPr="000651D6">
        <w:rPr>
          <w:rFonts w:asciiTheme="majorHAnsi" w:hAnsiTheme="majorHAnsi"/>
          <w:lang w:val="en-US" w:eastAsia="en-IE"/>
        </w:rPr>
        <w:t>,</w:t>
      </w:r>
      <w:r w:rsidRPr="000651D6">
        <w:rPr>
          <w:rFonts w:asciiTheme="majorHAnsi" w:hAnsiTheme="majorHAnsi"/>
          <w:lang w:val="en-US" w:eastAsia="en-IE"/>
        </w:rPr>
        <w:t xml:space="preserve"> </w:t>
      </w:r>
      <w:r w:rsidRPr="000651D6">
        <w:rPr>
          <w:rFonts w:asciiTheme="majorHAnsi" w:hAnsiTheme="majorHAnsi"/>
          <w:i/>
          <w:lang w:val="en-US" w:eastAsia="en-IE"/>
        </w:rPr>
        <w:t>Theoretical Criminology</w:t>
      </w:r>
      <w:r w:rsidRPr="000651D6">
        <w:rPr>
          <w:rFonts w:asciiTheme="majorHAnsi" w:hAnsiTheme="majorHAnsi"/>
          <w:lang w:val="en-US" w:eastAsia="en-IE"/>
        </w:rPr>
        <w:t>, pp. 273-292.</w:t>
      </w:r>
    </w:p>
    <w:p w14:paraId="43BFCC45" w14:textId="75472FA6" w:rsidR="002454AC" w:rsidRPr="000651D6" w:rsidRDefault="001D22F3" w:rsidP="00063AB9">
      <w:pPr>
        <w:spacing w:line="360" w:lineRule="auto"/>
        <w:jc w:val="both"/>
        <w:rPr>
          <w:rFonts w:asciiTheme="majorHAnsi" w:hAnsiTheme="majorHAnsi"/>
        </w:rPr>
      </w:pPr>
      <w:r w:rsidRPr="000651D6">
        <w:rPr>
          <w:rFonts w:asciiTheme="majorHAnsi" w:hAnsiTheme="majorHAnsi"/>
        </w:rPr>
        <w:t>Stover,</w:t>
      </w:r>
      <w:r w:rsidR="003813B8" w:rsidRPr="000651D6">
        <w:rPr>
          <w:rFonts w:asciiTheme="majorHAnsi" w:hAnsiTheme="majorHAnsi"/>
        </w:rPr>
        <w:t xml:space="preserve"> E.,</w:t>
      </w:r>
      <w:r w:rsidRPr="000651D6">
        <w:rPr>
          <w:rFonts w:asciiTheme="majorHAnsi" w:hAnsiTheme="majorHAnsi"/>
        </w:rPr>
        <w:t xml:space="preserve"> Peskin</w:t>
      </w:r>
      <w:r w:rsidR="003813B8" w:rsidRPr="000651D6">
        <w:rPr>
          <w:rFonts w:asciiTheme="majorHAnsi" w:hAnsiTheme="majorHAnsi"/>
        </w:rPr>
        <w:t>, V.</w:t>
      </w:r>
      <w:r w:rsidR="002454AC" w:rsidRPr="000651D6">
        <w:rPr>
          <w:rFonts w:asciiTheme="majorHAnsi" w:hAnsiTheme="majorHAnsi"/>
        </w:rPr>
        <w:t xml:space="preserve"> and Koenig, </w:t>
      </w:r>
      <w:r w:rsidR="003813B8" w:rsidRPr="000651D6">
        <w:rPr>
          <w:rFonts w:asciiTheme="majorHAnsi" w:hAnsiTheme="majorHAnsi"/>
        </w:rPr>
        <w:t xml:space="preserve">A. </w:t>
      </w:r>
      <w:r w:rsidR="002454AC" w:rsidRPr="000651D6">
        <w:rPr>
          <w:rFonts w:asciiTheme="majorHAnsi" w:hAnsiTheme="majorHAnsi"/>
        </w:rPr>
        <w:t>(2016),</w:t>
      </w:r>
      <w:r w:rsidR="003813B8" w:rsidRPr="000651D6">
        <w:rPr>
          <w:rFonts w:asciiTheme="majorHAnsi" w:hAnsiTheme="majorHAnsi"/>
        </w:rPr>
        <w:t xml:space="preserve"> Hiding in Plain Sight: The Pursuit of War Criminals from Nuremberg to the War on Terror, University of California Press.</w:t>
      </w:r>
    </w:p>
    <w:p w14:paraId="62C2DB21" w14:textId="0DC64E9C" w:rsidR="000651D6" w:rsidRPr="000651D6" w:rsidRDefault="000651D6" w:rsidP="00063AB9">
      <w:pPr>
        <w:spacing w:line="360" w:lineRule="auto"/>
        <w:jc w:val="both"/>
        <w:rPr>
          <w:rFonts w:asciiTheme="majorHAnsi" w:hAnsiTheme="majorHAnsi"/>
        </w:rPr>
      </w:pPr>
      <w:r w:rsidRPr="000651D6">
        <w:rPr>
          <w:rFonts w:asciiTheme="majorHAnsi" w:hAnsiTheme="majorHAnsi"/>
        </w:rPr>
        <w:t>van Zyl Smit,</w:t>
      </w:r>
      <w:r w:rsidRPr="000651D6">
        <w:rPr>
          <w:rFonts w:asciiTheme="majorHAnsi" w:hAnsiTheme="majorHAnsi"/>
        </w:rPr>
        <w:t xml:space="preserve"> D (2013),</w:t>
      </w:r>
      <w:r w:rsidRPr="000651D6">
        <w:rPr>
          <w:rFonts w:asciiTheme="majorHAnsi" w:hAnsiTheme="majorHAnsi"/>
        </w:rPr>
        <w:t xml:space="preserve"> </w:t>
      </w:r>
      <w:r w:rsidRPr="000651D6">
        <w:rPr>
          <w:rFonts w:asciiTheme="majorHAnsi" w:hAnsiTheme="majorHAnsi"/>
        </w:rPr>
        <w:t>“</w:t>
      </w:r>
      <w:r w:rsidRPr="000651D6">
        <w:rPr>
          <w:rFonts w:asciiTheme="majorHAnsi" w:hAnsiTheme="majorHAnsi"/>
        </w:rPr>
        <w:t>Punishment and Human Rights</w:t>
      </w:r>
      <w:r w:rsidRPr="000651D6">
        <w:rPr>
          <w:rFonts w:asciiTheme="majorHAnsi" w:hAnsiTheme="majorHAnsi"/>
        </w:rPr>
        <w:t>”</w:t>
      </w:r>
      <w:r w:rsidRPr="000651D6">
        <w:rPr>
          <w:rFonts w:asciiTheme="majorHAnsi" w:hAnsiTheme="majorHAnsi"/>
        </w:rPr>
        <w:t xml:space="preserve"> in </w:t>
      </w:r>
      <w:r w:rsidRPr="000651D6">
        <w:rPr>
          <w:rFonts w:asciiTheme="majorHAnsi" w:hAnsiTheme="majorHAnsi"/>
        </w:rPr>
        <w:t xml:space="preserve"> R. </w:t>
      </w:r>
      <w:r w:rsidRPr="000651D6">
        <w:rPr>
          <w:rFonts w:asciiTheme="majorHAnsi" w:hAnsiTheme="majorHAnsi"/>
        </w:rPr>
        <w:t xml:space="preserve">Sparks and </w:t>
      </w:r>
      <w:r w:rsidRPr="000651D6">
        <w:rPr>
          <w:rFonts w:asciiTheme="majorHAnsi" w:hAnsiTheme="majorHAnsi"/>
        </w:rPr>
        <w:t xml:space="preserve">J. </w:t>
      </w:r>
      <w:r w:rsidRPr="000651D6">
        <w:rPr>
          <w:rFonts w:asciiTheme="majorHAnsi" w:hAnsiTheme="majorHAnsi"/>
        </w:rPr>
        <w:t>Simon</w:t>
      </w:r>
      <w:r w:rsidRPr="000651D6">
        <w:rPr>
          <w:rFonts w:asciiTheme="majorHAnsi" w:hAnsiTheme="majorHAnsi"/>
        </w:rPr>
        <w:t xml:space="preserve"> (eds), </w:t>
      </w:r>
      <w:r w:rsidRPr="000651D6">
        <w:rPr>
          <w:rFonts w:asciiTheme="majorHAnsi" w:hAnsiTheme="majorHAnsi"/>
          <w:i/>
        </w:rPr>
        <w:t xml:space="preserve">The Sage Handbook of Punishment and Society, </w:t>
      </w:r>
      <w:r w:rsidRPr="000651D6">
        <w:rPr>
          <w:rFonts w:asciiTheme="majorHAnsi" w:hAnsiTheme="majorHAnsi"/>
        </w:rPr>
        <w:t xml:space="preserve">Sage Publications. </w:t>
      </w:r>
    </w:p>
    <w:p w14:paraId="082A7F1F" w14:textId="045FC7E6" w:rsidR="006B5982" w:rsidRPr="000651D6" w:rsidRDefault="006B5982" w:rsidP="00063AB9">
      <w:pPr>
        <w:pStyle w:val="FootnoteText"/>
        <w:spacing w:line="360" w:lineRule="auto"/>
        <w:jc w:val="both"/>
        <w:rPr>
          <w:rFonts w:asciiTheme="majorHAnsi" w:hAnsiTheme="majorHAnsi"/>
        </w:rPr>
      </w:pPr>
      <w:proofErr w:type="gramStart"/>
      <w:r w:rsidRPr="000651D6">
        <w:rPr>
          <w:rFonts w:asciiTheme="majorHAnsi" w:hAnsiTheme="majorHAnsi"/>
          <w:lang w:val="en-US" w:eastAsia="en-IE"/>
        </w:rPr>
        <w:t>van</w:t>
      </w:r>
      <w:proofErr w:type="gramEnd"/>
      <w:r w:rsidRPr="000651D6">
        <w:rPr>
          <w:rFonts w:asciiTheme="majorHAnsi" w:hAnsiTheme="majorHAnsi"/>
          <w:lang w:val="en-US" w:eastAsia="en-IE"/>
        </w:rPr>
        <w:t xml:space="preserve"> </w:t>
      </w:r>
      <w:proofErr w:type="spellStart"/>
      <w:r w:rsidRPr="000651D6">
        <w:rPr>
          <w:rFonts w:asciiTheme="majorHAnsi" w:hAnsiTheme="majorHAnsi"/>
          <w:lang w:val="en-US" w:eastAsia="en-IE"/>
        </w:rPr>
        <w:t>Zyl</w:t>
      </w:r>
      <w:proofErr w:type="spellEnd"/>
      <w:r w:rsidRPr="000651D6">
        <w:rPr>
          <w:rFonts w:asciiTheme="majorHAnsi" w:hAnsiTheme="majorHAnsi"/>
          <w:lang w:val="en-US" w:eastAsia="en-IE"/>
        </w:rPr>
        <w:t xml:space="preserve"> </w:t>
      </w:r>
      <w:proofErr w:type="spellStart"/>
      <w:r w:rsidRPr="000651D6">
        <w:rPr>
          <w:rFonts w:asciiTheme="majorHAnsi" w:hAnsiTheme="majorHAnsi"/>
          <w:lang w:val="en-US" w:eastAsia="en-IE"/>
        </w:rPr>
        <w:t>Smit</w:t>
      </w:r>
      <w:proofErr w:type="spellEnd"/>
      <w:r w:rsidRPr="000651D6">
        <w:rPr>
          <w:rFonts w:asciiTheme="majorHAnsi" w:hAnsiTheme="majorHAnsi"/>
          <w:lang w:val="en-US" w:eastAsia="en-IE"/>
        </w:rPr>
        <w:t xml:space="preserve">, D., </w:t>
      </w:r>
      <w:proofErr w:type="spellStart"/>
      <w:r w:rsidRPr="000651D6">
        <w:rPr>
          <w:rFonts w:asciiTheme="majorHAnsi" w:hAnsiTheme="majorHAnsi"/>
          <w:lang w:val="en-US" w:eastAsia="en-IE"/>
        </w:rPr>
        <w:t>Weatherby</w:t>
      </w:r>
      <w:proofErr w:type="spellEnd"/>
      <w:r w:rsidRPr="000651D6">
        <w:rPr>
          <w:rFonts w:asciiTheme="majorHAnsi" w:hAnsiTheme="majorHAnsi"/>
          <w:lang w:val="en-US" w:eastAsia="en-IE"/>
        </w:rPr>
        <w:t xml:space="preserve">, P., and Creighton, S. (2014), “Whole Life Sentences and the Tide of European Human Rights Jurisprudence: What Is to Be Done?” </w:t>
      </w:r>
      <w:proofErr w:type="gramStart"/>
      <w:r w:rsidRPr="000651D6">
        <w:rPr>
          <w:rFonts w:asciiTheme="majorHAnsi" w:hAnsiTheme="majorHAnsi"/>
          <w:lang w:val="en-US" w:eastAsia="en-IE"/>
        </w:rPr>
        <w:t>Human Rights Law Review 14(1) 59-84.</w:t>
      </w:r>
      <w:proofErr w:type="gramEnd"/>
    </w:p>
    <w:p w14:paraId="68D5C728" w14:textId="37555E47" w:rsidR="00FC3777" w:rsidRPr="000651D6" w:rsidRDefault="00122BAA" w:rsidP="00063AB9">
      <w:pPr>
        <w:pStyle w:val="FootnoteText"/>
        <w:spacing w:line="360" w:lineRule="auto"/>
        <w:jc w:val="both"/>
        <w:rPr>
          <w:rFonts w:asciiTheme="majorHAnsi" w:hAnsiTheme="majorHAnsi"/>
        </w:rPr>
      </w:pPr>
      <w:r>
        <w:rPr>
          <w:rFonts w:asciiTheme="majorHAnsi" w:hAnsiTheme="majorHAnsi"/>
        </w:rPr>
        <w:t>van Z</w:t>
      </w:r>
      <w:r w:rsidR="00FC3777" w:rsidRPr="000651D6">
        <w:rPr>
          <w:rFonts w:asciiTheme="majorHAnsi" w:hAnsiTheme="majorHAnsi"/>
        </w:rPr>
        <w:t xml:space="preserve">yl Smit, D. and Snacken, S. (2009), </w:t>
      </w:r>
      <w:r w:rsidR="00FC3777" w:rsidRPr="000651D6">
        <w:rPr>
          <w:rFonts w:asciiTheme="majorHAnsi" w:hAnsiTheme="majorHAnsi"/>
          <w:i/>
          <w:iCs/>
        </w:rPr>
        <w:t>Principles of European Prison Law and Policy: Penology and Human Rights</w:t>
      </w:r>
      <w:r w:rsidR="00FC3777" w:rsidRPr="000651D6">
        <w:rPr>
          <w:rFonts w:asciiTheme="majorHAnsi" w:hAnsiTheme="majorHAnsi"/>
        </w:rPr>
        <w:t xml:space="preserve">, Oxford University Press 2009. </w:t>
      </w:r>
    </w:p>
    <w:p w14:paraId="518D782D" w14:textId="77777777" w:rsidR="00FC3777" w:rsidRPr="000651D6" w:rsidRDefault="00FC3777" w:rsidP="00FC3777">
      <w:pPr>
        <w:pStyle w:val="FootnoteText"/>
        <w:jc w:val="both"/>
        <w:rPr>
          <w:rFonts w:asciiTheme="majorHAnsi" w:hAnsiTheme="majorHAnsi"/>
          <w:lang w:val="en-US" w:eastAsia="en-IE"/>
        </w:rPr>
      </w:pPr>
    </w:p>
    <w:p w14:paraId="26AA2839" w14:textId="77777777" w:rsidR="00FC3777" w:rsidRPr="000651D6" w:rsidRDefault="00FC3777" w:rsidP="001E1152">
      <w:pPr>
        <w:spacing w:line="360" w:lineRule="auto"/>
        <w:jc w:val="both"/>
        <w:rPr>
          <w:rFonts w:asciiTheme="majorHAnsi" w:hAnsiTheme="majorHAnsi"/>
        </w:rPr>
      </w:pPr>
    </w:p>
    <w:p w14:paraId="300C42F1" w14:textId="77777777" w:rsidR="00E77A88" w:rsidRPr="000651D6" w:rsidRDefault="00E77A88" w:rsidP="001E1152">
      <w:pPr>
        <w:pStyle w:val="FootnoteText"/>
        <w:spacing w:line="360" w:lineRule="auto"/>
        <w:jc w:val="both"/>
        <w:rPr>
          <w:rFonts w:asciiTheme="majorHAnsi" w:hAnsiTheme="majorHAnsi"/>
        </w:rPr>
      </w:pPr>
    </w:p>
    <w:p w14:paraId="6170E327" w14:textId="77777777" w:rsidR="00E77A88" w:rsidRPr="000651D6" w:rsidRDefault="00E77A88" w:rsidP="001E1152">
      <w:pPr>
        <w:tabs>
          <w:tab w:val="left" w:pos="5867"/>
        </w:tabs>
        <w:spacing w:line="360" w:lineRule="auto"/>
        <w:jc w:val="both"/>
        <w:rPr>
          <w:rFonts w:asciiTheme="majorHAnsi" w:hAnsiTheme="majorHAnsi"/>
        </w:rPr>
      </w:pPr>
    </w:p>
    <w:p w14:paraId="42C73392" w14:textId="77777777" w:rsidR="00E77A88" w:rsidRPr="000651D6" w:rsidRDefault="00E77A88" w:rsidP="001E1152">
      <w:pPr>
        <w:tabs>
          <w:tab w:val="left" w:pos="5867"/>
        </w:tabs>
        <w:spacing w:line="360" w:lineRule="auto"/>
        <w:jc w:val="both"/>
        <w:rPr>
          <w:rFonts w:asciiTheme="majorHAnsi" w:hAnsiTheme="majorHAnsi"/>
        </w:rPr>
      </w:pPr>
    </w:p>
    <w:p w14:paraId="6F125129" w14:textId="77777777" w:rsidR="00E77A88" w:rsidRPr="000651D6" w:rsidRDefault="00E77A88" w:rsidP="001E1152">
      <w:pPr>
        <w:spacing w:line="360" w:lineRule="auto"/>
        <w:jc w:val="both"/>
        <w:rPr>
          <w:rFonts w:asciiTheme="majorHAnsi" w:hAnsiTheme="majorHAnsi"/>
        </w:rPr>
      </w:pPr>
    </w:p>
    <w:p w14:paraId="2CC08C07" w14:textId="77777777" w:rsidR="009E4647" w:rsidRPr="000651D6" w:rsidRDefault="009E4647" w:rsidP="001E1152">
      <w:pPr>
        <w:spacing w:line="360" w:lineRule="auto"/>
        <w:jc w:val="both"/>
        <w:rPr>
          <w:rFonts w:asciiTheme="majorHAnsi" w:hAnsiTheme="majorHAnsi"/>
        </w:rPr>
      </w:pPr>
    </w:p>
    <w:p w14:paraId="71C8C560" w14:textId="77777777" w:rsidR="0065634E" w:rsidRPr="000651D6" w:rsidRDefault="0065634E" w:rsidP="001E1152">
      <w:pPr>
        <w:spacing w:line="360" w:lineRule="auto"/>
        <w:jc w:val="both"/>
        <w:rPr>
          <w:rFonts w:asciiTheme="majorHAnsi" w:hAnsiTheme="majorHAnsi"/>
        </w:rPr>
      </w:pPr>
    </w:p>
    <w:sectPr w:rsidR="0065634E" w:rsidRPr="000651D6" w:rsidSect="00627CE6">
      <w:footerReference w:type="even" r:id="rId8"/>
      <w:footerReference w:type="default" r:id="rId9"/>
      <w:pgSz w:w="11900" w:h="16840"/>
      <w:pgMar w:top="1440" w:right="1797" w:bottom="1440" w:left="1797"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A26F664" w14:textId="77777777" w:rsidR="00A634A8" w:rsidRDefault="00A634A8">
      <w:r>
        <w:separator/>
      </w:r>
    </w:p>
  </w:endnote>
  <w:endnote w:type="continuationSeparator" w:id="0">
    <w:p w14:paraId="51A3E842" w14:textId="77777777" w:rsidR="00A634A8" w:rsidRDefault="00A634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ambria">
    <w:panose1 w:val="02040503050406030204"/>
    <w:charset w:val="00"/>
    <w:family w:val="auto"/>
    <w:pitch w:val="variable"/>
    <w:sig w:usb0="E00002FF" w:usb1="400004FF"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4E"/>
    <w:family w:val="auto"/>
    <w:pitch w:val="variable"/>
    <w:sig w:usb0="00000001" w:usb1="08070000" w:usb2="00000010" w:usb3="00000000" w:csb0="00020000" w:csb1="00000000"/>
  </w:font>
  <w:font w:name="ＭＳ ゴシック">
    <w:charset w:val="4E"/>
    <w:family w:val="auto"/>
    <w:pitch w:val="variable"/>
    <w:sig w:usb0="00000001" w:usb1="08070000" w:usb2="00000010" w:usb3="00000000" w:csb0="00020000" w:csb1="00000000"/>
  </w:font>
  <w:font w:name="Tahoma">
    <w:panose1 w:val="020B0604030504040204"/>
    <w:charset w:val="00"/>
    <w:family w:val="auto"/>
    <w:pitch w:val="variable"/>
    <w:sig w:usb0="00000003" w:usb1="00000000" w:usb2="00000000" w:usb3="00000000" w:csb0="00000001" w:csb1="00000000"/>
  </w:font>
  <w:font w:name="Georgia">
    <w:panose1 w:val="02040502050405020303"/>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5032549" w14:textId="77777777" w:rsidR="00A634A8" w:rsidRDefault="00A634A8" w:rsidP="00D64AD0">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end"/>
    </w:r>
  </w:p>
  <w:p w14:paraId="64BA0F13" w14:textId="77777777" w:rsidR="00A634A8" w:rsidRDefault="00A634A8" w:rsidP="00D64AD0">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AF59EB9" w14:textId="77777777" w:rsidR="00A634A8" w:rsidRDefault="00A634A8" w:rsidP="00D64AD0">
    <w:pPr>
      <w:pStyle w:val="Footer"/>
      <w:framePr w:wrap="around" w:vAnchor="text" w:hAnchor="margin" w:xAlign="right" w:y="1"/>
      <w:rPr>
        <w:rStyle w:val="PageNumber"/>
        <w:sz w:val="24"/>
        <w:szCs w:val="24"/>
      </w:rPr>
    </w:pPr>
    <w:r>
      <w:rPr>
        <w:rStyle w:val="PageNumber"/>
      </w:rPr>
      <w:fldChar w:fldCharType="begin"/>
    </w:r>
    <w:r>
      <w:rPr>
        <w:rStyle w:val="PageNumber"/>
      </w:rPr>
      <w:instrText xml:space="preserve">PAGE  </w:instrText>
    </w:r>
    <w:r>
      <w:rPr>
        <w:rStyle w:val="PageNumber"/>
      </w:rPr>
      <w:fldChar w:fldCharType="separate"/>
    </w:r>
    <w:r w:rsidR="00753F4D">
      <w:rPr>
        <w:rStyle w:val="PageNumber"/>
        <w:noProof/>
      </w:rPr>
      <w:t>5</w:t>
    </w:r>
    <w:r>
      <w:rPr>
        <w:rStyle w:val="PageNumber"/>
      </w:rPr>
      <w:fldChar w:fldCharType="end"/>
    </w:r>
  </w:p>
  <w:p w14:paraId="6BD71C8F" w14:textId="77777777" w:rsidR="00A634A8" w:rsidRDefault="00A634A8" w:rsidP="00D64AD0">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E48F61A" w14:textId="77777777" w:rsidR="00A634A8" w:rsidRDefault="00A634A8">
      <w:r>
        <w:separator/>
      </w:r>
    </w:p>
  </w:footnote>
  <w:footnote w:type="continuationSeparator" w:id="0">
    <w:p w14:paraId="39ADDF5E" w14:textId="77777777" w:rsidR="00A634A8" w:rsidRDefault="00A634A8">
      <w:r>
        <w:continuationSeparator/>
      </w:r>
    </w:p>
  </w:footnote>
  <w:footnote w:id="1">
    <w:p w14:paraId="27EAF47E" w14:textId="0B19543D" w:rsidR="00A634A8" w:rsidRPr="00A06ECB" w:rsidRDefault="00A634A8" w:rsidP="00A06ECB">
      <w:pPr>
        <w:pStyle w:val="FootnoteText"/>
        <w:jc w:val="both"/>
        <w:rPr>
          <w:rFonts w:asciiTheme="majorHAnsi" w:hAnsiTheme="majorHAnsi"/>
          <w:sz w:val="20"/>
          <w:szCs w:val="20"/>
        </w:rPr>
      </w:pPr>
      <w:r w:rsidRPr="00A06ECB">
        <w:rPr>
          <w:rStyle w:val="FootnoteReference"/>
          <w:rFonts w:asciiTheme="majorHAnsi" w:hAnsiTheme="majorHAnsi"/>
          <w:sz w:val="20"/>
          <w:szCs w:val="20"/>
        </w:rPr>
        <w:footnoteRef/>
      </w:r>
      <w:r w:rsidRPr="00A06ECB">
        <w:rPr>
          <w:rFonts w:asciiTheme="majorHAnsi" w:hAnsiTheme="majorHAnsi"/>
          <w:sz w:val="20"/>
          <w:szCs w:val="20"/>
        </w:rPr>
        <w:t xml:space="preserve"> Not every case or legal instrument relevant to correctional healthcare can be explored here. Examples of those containing the most fundamental principles are presented. </w:t>
      </w:r>
    </w:p>
  </w:footnote>
  <w:footnote w:id="2">
    <w:p w14:paraId="7BB25E56" w14:textId="459D711F" w:rsidR="00A634A8" w:rsidRPr="00A06ECB" w:rsidRDefault="00A634A8" w:rsidP="00A06ECB">
      <w:pPr>
        <w:pStyle w:val="FootnoteText"/>
        <w:jc w:val="both"/>
        <w:rPr>
          <w:rFonts w:asciiTheme="majorHAnsi" w:hAnsiTheme="majorHAnsi"/>
          <w:sz w:val="20"/>
          <w:szCs w:val="20"/>
        </w:rPr>
      </w:pPr>
      <w:r w:rsidRPr="00A06ECB">
        <w:rPr>
          <w:rStyle w:val="FootnoteReference"/>
          <w:rFonts w:asciiTheme="majorHAnsi" w:hAnsiTheme="majorHAnsi"/>
          <w:sz w:val="20"/>
          <w:szCs w:val="20"/>
        </w:rPr>
        <w:footnoteRef/>
      </w:r>
      <w:r w:rsidRPr="00A06ECB">
        <w:rPr>
          <w:rFonts w:asciiTheme="majorHAnsi" w:hAnsiTheme="majorHAnsi"/>
          <w:sz w:val="20"/>
          <w:szCs w:val="20"/>
        </w:rPr>
        <w:t xml:space="preserve"> The article takes the approach that the best proxy for a European consensus on these matters is the position of the Council of Europe. </w:t>
      </w:r>
    </w:p>
  </w:footnote>
  <w:footnote w:id="3">
    <w:p w14:paraId="04D9FDE9" w14:textId="44097F96" w:rsidR="00A634A8" w:rsidRPr="00A06ECB" w:rsidRDefault="00A634A8" w:rsidP="00A06ECB">
      <w:pPr>
        <w:jc w:val="both"/>
        <w:rPr>
          <w:rFonts w:asciiTheme="majorHAnsi" w:hAnsiTheme="majorHAnsi"/>
          <w:sz w:val="20"/>
          <w:szCs w:val="20"/>
        </w:rPr>
      </w:pPr>
      <w:r w:rsidRPr="00A06ECB">
        <w:rPr>
          <w:rStyle w:val="FootnoteReference"/>
          <w:rFonts w:asciiTheme="majorHAnsi" w:hAnsiTheme="majorHAnsi"/>
          <w:sz w:val="20"/>
          <w:szCs w:val="20"/>
        </w:rPr>
        <w:footnoteRef/>
      </w:r>
      <w:r w:rsidRPr="00A06ECB">
        <w:rPr>
          <w:rFonts w:asciiTheme="majorHAnsi" w:hAnsiTheme="majorHAnsi"/>
          <w:sz w:val="20"/>
          <w:szCs w:val="20"/>
        </w:rPr>
        <w:t xml:space="preserve"> As the institutions of the European Union have yet to examine the area of in the same level of detail, the position of the EU will not be addressed. </w:t>
      </w:r>
    </w:p>
  </w:footnote>
  <w:footnote w:id="4">
    <w:p w14:paraId="39EE8014" w14:textId="77777777" w:rsidR="00A634A8" w:rsidRPr="00A06ECB" w:rsidRDefault="00A634A8" w:rsidP="00A06ECB">
      <w:pPr>
        <w:pStyle w:val="FootnoteText"/>
        <w:jc w:val="both"/>
        <w:rPr>
          <w:rFonts w:asciiTheme="majorHAnsi" w:hAnsiTheme="majorHAnsi"/>
          <w:sz w:val="20"/>
          <w:szCs w:val="20"/>
        </w:rPr>
      </w:pPr>
      <w:r w:rsidRPr="00A06ECB">
        <w:rPr>
          <w:rStyle w:val="FootnoteReference"/>
          <w:rFonts w:asciiTheme="majorHAnsi" w:hAnsiTheme="majorHAnsi"/>
          <w:sz w:val="20"/>
          <w:szCs w:val="20"/>
        </w:rPr>
        <w:footnoteRef/>
      </w:r>
      <w:r w:rsidRPr="00A06ECB">
        <w:rPr>
          <w:rFonts w:asciiTheme="majorHAnsi" w:hAnsiTheme="majorHAnsi"/>
          <w:sz w:val="20"/>
          <w:szCs w:val="20"/>
        </w:rPr>
        <w:t xml:space="preserve"> See </w:t>
      </w:r>
      <w:hyperlink r:id="rId1" w:history="1">
        <w:r w:rsidRPr="00A06ECB">
          <w:rPr>
            <w:rStyle w:val="Hyperlink"/>
            <w:rFonts w:asciiTheme="majorHAnsi" w:hAnsiTheme="majorHAnsi"/>
            <w:sz w:val="20"/>
            <w:szCs w:val="20"/>
          </w:rPr>
          <w:t>www.cpt.coe.int</w:t>
        </w:r>
      </w:hyperlink>
      <w:r w:rsidRPr="00A06ECB">
        <w:rPr>
          <w:rFonts w:asciiTheme="majorHAnsi" w:hAnsiTheme="majorHAnsi"/>
          <w:sz w:val="20"/>
          <w:szCs w:val="20"/>
        </w:rPr>
        <w:t>.</w:t>
      </w:r>
    </w:p>
  </w:footnote>
  <w:footnote w:id="5">
    <w:p w14:paraId="68026B6C" w14:textId="694F7274" w:rsidR="00A634A8" w:rsidRPr="00A06ECB" w:rsidRDefault="00A634A8" w:rsidP="00FC3777">
      <w:pPr>
        <w:pStyle w:val="NormalWeb"/>
        <w:jc w:val="both"/>
        <w:rPr>
          <w:rFonts w:asciiTheme="majorHAnsi" w:eastAsiaTheme="minorEastAsia" w:hAnsiTheme="majorHAnsi"/>
          <w:sz w:val="20"/>
          <w:szCs w:val="20"/>
          <w:lang w:eastAsia="en-US"/>
        </w:rPr>
      </w:pPr>
      <w:r w:rsidRPr="00A06ECB">
        <w:rPr>
          <w:rStyle w:val="FootnoteReference"/>
          <w:rFonts w:asciiTheme="majorHAnsi" w:hAnsiTheme="majorHAnsi"/>
          <w:sz w:val="20"/>
          <w:szCs w:val="20"/>
        </w:rPr>
        <w:footnoteRef/>
      </w:r>
      <w:r w:rsidRPr="00A06ECB">
        <w:rPr>
          <w:rFonts w:asciiTheme="majorHAnsi" w:hAnsiTheme="majorHAnsi"/>
          <w:sz w:val="20"/>
          <w:szCs w:val="20"/>
        </w:rPr>
        <w:t xml:space="preserve"> </w:t>
      </w:r>
      <w:r w:rsidRPr="00A06ECB">
        <w:rPr>
          <w:rFonts w:asciiTheme="majorHAnsi" w:hAnsiTheme="majorHAnsi"/>
          <w:sz w:val="20"/>
          <w:szCs w:val="20"/>
          <w:lang w:val="en-US"/>
        </w:rPr>
        <w:t xml:space="preserve">Though not a norm exclusive to Europe, it is important to note that the United Nations Standard Minimum Rules for the Treatment of Prisoners </w:t>
      </w:r>
      <w:r>
        <w:rPr>
          <w:rFonts w:asciiTheme="majorHAnsi" w:hAnsiTheme="majorHAnsi"/>
          <w:sz w:val="20"/>
          <w:szCs w:val="20"/>
          <w:lang w:val="en-US"/>
        </w:rPr>
        <w:t xml:space="preserve">(the Mandela Rules) </w:t>
      </w:r>
      <w:r w:rsidRPr="00A06ECB">
        <w:rPr>
          <w:rFonts w:asciiTheme="majorHAnsi" w:hAnsiTheme="majorHAnsi"/>
          <w:sz w:val="20"/>
          <w:szCs w:val="20"/>
          <w:lang w:val="en-US"/>
        </w:rPr>
        <w:t xml:space="preserve">(2015) states: </w:t>
      </w:r>
      <w:r>
        <w:rPr>
          <w:rFonts w:asciiTheme="majorHAnsi" w:hAnsiTheme="majorHAnsi"/>
          <w:sz w:val="20"/>
          <w:szCs w:val="20"/>
          <w:lang w:val="en-US"/>
        </w:rPr>
        <w:t>“</w:t>
      </w:r>
      <w:r w:rsidRPr="00A06ECB">
        <w:rPr>
          <w:rFonts w:asciiTheme="majorHAnsi" w:eastAsiaTheme="minorEastAsia" w:hAnsiTheme="majorHAnsi"/>
          <w:sz w:val="20"/>
          <w:szCs w:val="20"/>
          <w:lang w:eastAsia="en-US"/>
        </w:rPr>
        <w:t xml:space="preserve">Clinical decisions may only be taken by the responsible health-care professionals and may not be overruled or ignored by non-medical prison staff </w:t>
      </w:r>
      <w:r>
        <w:rPr>
          <w:rFonts w:asciiTheme="majorHAnsi" w:eastAsiaTheme="minorEastAsia" w:hAnsiTheme="majorHAnsi"/>
          <w:sz w:val="20"/>
          <w:szCs w:val="20"/>
          <w:lang w:eastAsia="en-US"/>
        </w:rPr>
        <w:t xml:space="preserve">“ </w:t>
      </w:r>
      <w:r w:rsidRPr="00A06ECB">
        <w:rPr>
          <w:rFonts w:asciiTheme="majorHAnsi" w:eastAsiaTheme="minorEastAsia" w:hAnsiTheme="majorHAnsi"/>
          <w:sz w:val="20"/>
          <w:szCs w:val="20"/>
          <w:lang w:eastAsia="en-US"/>
        </w:rPr>
        <w:t>(rule 27.2).</w:t>
      </w:r>
    </w:p>
    <w:p w14:paraId="3FE00A8A" w14:textId="77777777" w:rsidR="00A634A8" w:rsidRPr="00A06ECB" w:rsidRDefault="00A634A8" w:rsidP="00FC3777">
      <w:pPr>
        <w:pStyle w:val="FootnoteText"/>
        <w:jc w:val="both"/>
        <w:rPr>
          <w:rFonts w:asciiTheme="majorHAnsi" w:hAnsiTheme="majorHAnsi"/>
          <w:sz w:val="20"/>
          <w:szCs w:val="20"/>
          <w:lang w:val="en-US"/>
        </w:rPr>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14576F1D"/>
    <w:multiLevelType w:val="hybridMultilevel"/>
    <w:tmpl w:val="DE502C88"/>
    <w:lvl w:ilvl="0" w:tplc="0409000F">
      <w:start w:val="1"/>
      <w:numFmt w:val="decimal"/>
      <w:lvlText w:val="%1."/>
      <w:lvlJc w:val="left"/>
      <w:pPr>
        <w:tabs>
          <w:tab w:val="num" w:pos="927"/>
        </w:tabs>
        <w:ind w:left="927" w:hanging="360"/>
      </w:pPr>
      <w:rPr>
        <w:rFonts w:hint="default"/>
      </w:rPr>
    </w:lvl>
    <w:lvl w:ilvl="1" w:tplc="B4280E36">
      <w:start w:val="1"/>
      <w:numFmt w:val="lowerLetter"/>
      <w:lvlText w:val="%2."/>
      <w:lvlJc w:val="left"/>
      <w:pPr>
        <w:tabs>
          <w:tab w:val="num" w:pos="1800"/>
        </w:tabs>
        <w:ind w:left="1800" w:hanging="720"/>
      </w:pPr>
      <w:rPr>
        <w:rFonts w:ascii="Arial" w:eastAsia="Times New Roman" w:hAnsi="Arial" w:cs="Symbol"/>
      </w:rPr>
    </w:lvl>
    <w:lvl w:ilvl="2" w:tplc="389C29DC">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1ADC188B"/>
    <w:multiLevelType w:val="hybridMultilevel"/>
    <w:tmpl w:val="72A8161C"/>
    <w:lvl w:ilvl="0" w:tplc="04090001">
      <w:start w:val="1"/>
      <w:numFmt w:val="bullet"/>
      <w:lvlText w:val=""/>
      <w:lvlJc w:val="left"/>
      <w:pPr>
        <w:ind w:left="720" w:hanging="360"/>
      </w:pPr>
      <w:rPr>
        <w:rFonts w:ascii="Symbol" w:hAnsi="Symbol"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3E1C664D"/>
    <w:multiLevelType w:val="hybridMultilevel"/>
    <w:tmpl w:val="14B819A6"/>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4">
    <w:nsid w:val="4CE4122C"/>
    <w:multiLevelType w:val="hybridMultilevel"/>
    <w:tmpl w:val="00484A42"/>
    <w:lvl w:ilvl="0" w:tplc="CE344030">
      <w:start w:val="2"/>
      <w:numFmt w:val="bullet"/>
      <w:lvlText w:val="-"/>
      <w:lvlJc w:val="left"/>
      <w:pPr>
        <w:ind w:left="720" w:hanging="360"/>
      </w:pPr>
      <w:rPr>
        <w:rFonts w:ascii="Calibri" w:eastAsiaTheme="minorHAnsi" w:hAnsi="Calibri" w:cstheme="minorBidi"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nsid w:val="51BF5CFC"/>
    <w:multiLevelType w:val="multilevel"/>
    <w:tmpl w:val="F3025E2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54BD2D07"/>
    <w:multiLevelType w:val="hybridMultilevel"/>
    <w:tmpl w:val="14BAA18A"/>
    <w:lvl w:ilvl="0" w:tplc="5C5C8B5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553315E0"/>
    <w:multiLevelType w:val="hybridMultilevel"/>
    <w:tmpl w:val="BE2F29D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nsid w:val="62E115BE"/>
    <w:multiLevelType w:val="hybridMultilevel"/>
    <w:tmpl w:val="44A4980E"/>
    <w:lvl w:ilvl="0" w:tplc="2F40F33E">
      <w:start w:val="1"/>
      <w:numFmt w:val="decimal"/>
      <w:lvlText w:val="%1."/>
      <w:lvlJc w:val="left"/>
      <w:pPr>
        <w:ind w:left="1080" w:hanging="360"/>
      </w:pPr>
      <w:rPr>
        <w:rFonts w:hint="default"/>
      </w:rPr>
    </w:lvl>
    <w:lvl w:ilvl="1" w:tplc="18090019">
      <w:start w:val="1"/>
      <w:numFmt w:val="lowerLetter"/>
      <w:lvlText w:val="%2."/>
      <w:lvlJc w:val="left"/>
      <w:pPr>
        <w:ind w:left="1800" w:hanging="360"/>
      </w:pPr>
    </w:lvl>
    <w:lvl w:ilvl="2" w:tplc="1809001B" w:tentative="1">
      <w:start w:val="1"/>
      <w:numFmt w:val="lowerRoman"/>
      <w:lvlText w:val="%3."/>
      <w:lvlJc w:val="right"/>
      <w:pPr>
        <w:ind w:left="2520" w:hanging="180"/>
      </w:pPr>
    </w:lvl>
    <w:lvl w:ilvl="3" w:tplc="1809000F" w:tentative="1">
      <w:start w:val="1"/>
      <w:numFmt w:val="decimal"/>
      <w:lvlText w:val="%4."/>
      <w:lvlJc w:val="left"/>
      <w:pPr>
        <w:ind w:left="3240" w:hanging="360"/>
      </w:pPr>
    </w:lvl>
    <w:lvl w:ilvl="4" w:tplc="18090019" w:tentative="1">
      <w:start w:val="1"/>
      <w:numFmt w:val="lowerLetter"/>
      <w:lvlText w:val="%5."/>
      <w:lvlJc w:val="left"/>
      <w:pPr>
        <w:ind w:left="3960" w:hanging="360"/>
      </w:pPr>
    </w:lvl>
    <w:lvl w:ilvl="5" w:tplc="1809001B" w:tentative="1">
      <w:start w:val="1"/>
      <w:numFmt w:val="lowerRoman"/>
      <w:lvlText w:val="%6."/>
      <w:lvlJc w:val="right"/>
      <w:pPr>
        <w:ind w:left="4680" w:hanging="180"/>
      </w:pPr>
    </w:lvl>
    <w:lvl w:ilvl="6" w:tplc="1809000F" w:tentative="1">
      <w:start w:val="1"/>
      <w:numFmt w:val="decimal"/>
      <w:lvlText w:val="%7."/>
      <w:lvlJc w:val="left"/>
      <w:pPr>
        <w:ind w:left="5400" w:hanging="360"/>
      </w:pPr>
    </w:lvl>
    <w:lvl w:ilvl="7" w:tplc="18090019" w:tentative="1">
      <w:start w:val="1"/>
      <w:numFmt w:val="lowerLetter"/>
      <w:lvlText w:val="%8."/>
      <w:lvlJc w:val="left"/>
      <w:pPr>
        <w:ind w:left="6120" w:hanging="360"/>
      </w:pPr>
    </w:lvl>
    <w:lvl w:ilvl="8" w:tplc="1809001B" w:tentative="1">
      <w:start w:val="1"/>
      <w:numFmt w:val="lowerRoman"/>
      <w:lvlText w:val="%9."/>
      <w:lvlJc w:val="right"/>
      <w:pPr>
        <w:ind w:left="6840" w:hanging="180"/>
      </w:pPr>
    </w:lvl>
  </w:abstractNum>
  <w:abstractNum w:abstractNumId="9">
    <w:nsid w:val="63E87D80"/>
    <w:multiLevelType w:val="hybridMultilevel"/>
    <w:tmpl w:val="ADEE112E"/>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0">
    <w:nsid w:val="72947846"/>
    <w:multiLevelType w:val="hybridMultilevel"/>
    <w:tmpl w:val="C56097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7C7723DA"/>
    <w:multiLevelType w:val="multilevel"/>
    <w:tmpl w:val="8552144A"/>
    <w:lvl w:ilvl="0">
      <w:start w:val="1"/>
      <w:numFmt w:val="decimal"/>
      <w:lvlText w:val="%1."/>
      <w:lvlJc w:val="left"/>
      <w:pPr>
        <w:ind w:left="360" w:hanging="360"/>
      </w:pPr>
      <w:rPr>
        <w:rFonts w:hint="default"/>
        <w:sz w:val="24"/>
      </w:rPr>
    </w:lvl>
    <w:lvl w:ilvl="1">
      <w:start w:val="1"/>
      <w:numFmt w:val="decimal"/>
      <w:lvlText w:val="%1.%2."/>
      <w:lvlJc w:val="left"/>
      <w:pPr>
        <w:ind w:left="574" w:hanging="432"/>
      </w:pPr>
      <w:rPr>
        <w:rFonts w:hint="default"/>
        <w:b w:val="0"/>
      </w:rPr>
    </w:lvl>
    <w:lvl w:ilvl="2">
      <w:start w:val="1"/>
      <w:numFmt w:val="decimal"/>
      <w:lvlText w:val="%1.%2.%3."/>
      <w:lvlJc w:val="left"/>
      <w:pPr>
        <w:ind w:left="646" w:hanging="504"/>
      </w:pPr>
      <w:rPr>
        <w:rFonts w:hint="default"/>
        <w:b w:val="0"/>
        <w:i w:val="0"/>
      </w:rPr>
    </w:lvl>
    <w:lvl w:ilvl="3">
      <w:start w:val="1"/>
      <w:numFmt w:val="lowerRoman"/>
      <w:lvlText w:val="(%4)"/>
      <w:lvlJc w:val="righ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7"/>
  </w:num>
  <w:num w:numId="3">
    <w:abstractNumId w:val="3"/>
  </w:num>
  <w:num w:numId="4">
    <w:abstractNumId w:val="9"/>
  </w:num>
  <w:num w:numId="5">
    <w:abstractNumId w:val="4"/>
  </w:num>
  <w:num w:numId="6">
    <w:abstractNumId w:val="0"/>
  </w:num>
  <w:num w:numId="7">
    <w:abstractNumId w:val="11"/>
  </w:num>
  <w:num w:numId="8">
    <w:abstractNumId w:val="1"/>
  </w:num>
  <w:num w:numId="9">
    <w:abstractNumId w:val="2"/>
  </w:num>
  <w:num w:numId="10">
    <w:abstractNumId w:val="6"/>
  </w:num>
  <w:num w:numId="11">
    <w:abstractNumId w:val="10"/>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proofState w:spelling="clean" w:grammar="clean"/>
  <w:defaultTabStop w:val="720"/>
  <w:drawingGridHorizontalSpacing w:val="360"/>
  <w:drawingGridVerticalSpacing w:val="360"/>
  <w:displayHorizontalDrawingGridEvery w:val="0"/>
  <w:displayVerticalDrawingGridEvery w:val="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15CA"/>
    <w:rsid w:val="00035A59"/>
    <w:rsid w:val="00047C48"/>
    <w:rsid w:val="00063AB9"/>
    <w:rsid w:val="000651D6"/>
    <w:rsid w:val="00070D23"/>
    <w:rsid w:val="00092903"/>
    <w:rsid w:val="000C6636"/>
    <w:rsid w:val="000F7F9D"/>
    <w:rsid w:val="0010162C"/>
    <w:rsid w:val="00122BAA"/>
    <w:rsid w:val="001253DE"/>
    <w:rsid w:val="00174E0F"/>
    <w:rsid w:val="001927DA"/>
    <w:rsid w:val="001962A5"/>
    <w:rsid w:val="001A66F7"/>
    <w:rsid w:val="001D22F3"/>
    <w:rsid w:val="001E1152"/>
    <w:rsid w:val="001F30B2"/>
    <w:rsid w:val="0020534E"/>
    <w:rsid w:val="00237183"/>
    <w:rsid w:val="002454AC"/>
    <w:rsid w:val="00262247"/>
    <w:rsid w:val="00275110"/>
    <w:rsid w:val="00286CA1"/>
    <w:rsid w:val="002A583A"/>
    <w:rsid w:val="002B15CA"/>
    <w:rsid w:val="002C65EB"/>
    <w:rsid w:val="002E2FF4"/>
    <w:rsid w:val="002E6B16"/>
    <w:rsid w:val="002F60E6"/>
    <w:rsid w:val="0030144F"/>
    <w:rsid w:val="00352964"/>
    <w:rsid w:val="003813B8"/>
    <w:rsid w:val="003860F7"/>
    <w:rsid w:val="003B6863"/>
    <w:rsid w:val="003C5859"/>
    <w:rsid w:val="003D754F"/>
    <w:rsid w:val="003E6693"/>
    <w:rsid w:val="003F3EF1"/>
    <w:rsid w:val="00407F81"/>
    <w:rsid w:val="004231E0"/>
    <w:rsid w:val="00432BF9"/>
    <w:rsid w:val="00434DE0"/>
    <w:rsid w:val="0048452F"/>
    <w:rsid w:val="004C0A0A"/>
    <w:rsid w:val="004D044A"/>
    <w:rsid w:val="004D2B78"/>
    <w:rsid w:val="004E5867"/>
    <w:rsid w:val="004F0E92"/>
    <w:rsid w:val="005207E7"/>
    <w:rsid w:val="005314B0"/>
    <w:rsid w:val="00564A1D"/>
    <w:rsid w:val="00572B9B"/>
    <w:rsid w:val="00582A1C"/>
    <w:rsid w:val="005A69AC"/>
    <w:rsid w:val="005D64BB"/>
    <w:rsid w:val="005F6E2F"/>
    <w:rsid w:val="00607BA3"/>
    <w:rsid w:val="00627CE6"/>
    <w:rsid w:val="006413D9"/>
    <w:rsid w:val="00643D45"/>
    <w:rsid w:val="00650F08"/>
    <w:rsid w:val="0065634E"/>
    <w:rsid w:val="00661B38"/>
    <w:rsid w:val="006A3A2F"/>
    <w:rsid w:val="006B5982"/>
    <w:rsid w:val="00716B02"/>
    <w:rsid w:val="00727A25"/>
    <w:rsid w:val="007327D8"/>
    <w:rsid w:val="00753F4D"/>
    <w:rsid w:val="00755F19"/>
    <w:rsid w:val="00787FC1"/>
    <w:rsid w:val="00792FD4"/>
    <w:rsid w:val="007A1721"/>
    <w:rsid w:val="007D3050"/>
    <w:rsid w:val="007D4CEC"/>
    <w:rsid w:val="00802E1A"/>
    <w:rsid w:val="00853401"/>
    <w:rsid w:val="0086035F"/>
    <w:rsid w:val="00861104"/>
    <w:rsid w:val="00867E73"/>
    <w:rsid w:val="008B49A5"/>
    <w:rsid w:val="00901E5A"/>
    <w:rsid w:val="00910ECB"/>
    <w:rsid w:val="0094086E"/>
    <w:rsid w:val="009425D5"/>
    <w:rsid w:val="00950BBB"/>
    <w:rsid w:val="00952901"/>
    <w:rsid w:val="009B3BD4"/>
    <w:rsid w:val="009D0571"/>
    <w:rsid w:val="009D7280"/>
    <w:rsid w:val="009E4647"/>
    <w:rsid w:val="009F5ADA"/>
    <w:rsid w:val="009F73DB"/>
    <w:rsid w:val="00A06ECB"/>
    <w:rsid w:val="00A22750"/>
    <w:rsid w:val="00A249C8"/>
    <w:rsid w:val="00A34A5F"/>
    <w:rsid w:val="00A3574F"/>
    <w:rsid w:val="00A5092C"/>
    <w:rsid w:val="00A634A8"/>
    <w:rsid w:val="00A70634"/>
    <w:rsid w:val="00A75578"/>
    <w:rsid w:val="00A850F0"/>
    <w:rsid w:val="00AA00F1"/>
    <w:rsid w:val="00AB6807"/>
    <w:rsid w:val="00B23DB0"/>
    <w:rsid w:val="00B23EE2"/>
    <w:rsid w:val="00B317DA"/>
    <w:rsid w:val="00B3621F"/>
    <w:rsid w:val="00B4293A"/>
    <w:rsid w:val="00B50443"/>
    <w:rsid w:val="00B63D1F"/>
    <w:rsid w:val="00B76F5C"/>
    <w:rsid w:val="00B80FFF"/>
    <w:rsid w:val="00B8160B"/>
    <w:rsid w:val="00BA2081"/>
    <w:rsid w:val="00BB7A89"/>
    <w:rsid w:val="00BD325D"/>
    <w:rsid w:val="00BF3B86"/>
    <w:rsid w:val="00C07708"/>
    <w:rsid w:val="00C82504"/>
    <w:rsid w:val="00C85181"/>
    <w:rsid w:val="00CA1AA9"/>
    <w:rsid w:val="00CA4665"/>
    <w:rsid w:val="00CA684A"/>
    <w:rsid w:val="00D246EF"/>
    <w:rsid w:val="00D373BC"/>
    <w:rsid w:val="00D64058"/>
    <w:rsid w:val="00D64AD0"/>
    <w:rsid w:val="00D96793"/>
    <w:rsid w:val="00D969E3"/>
    <w:rsid w:val="00DD0EF3"/>
    <w:rsid w:val="00E36B92"/>
    <w:rsid w:val="00E77A88"/>
    <w:rsid w:val="00E943DE"/>
    <w:rsid w:val="00EA410E"/>
    <w:rsid w:val="00EB2009"/>
    <w:rsid w:val="00EB5DBF"/>
    <w:rsid w:val="00F00CE9"/>
    <w:rsid w:val="00F060E8"/>
    <w:rsid w:val="00F06738"/>
    <w:rsid w:val="00F200DF"/>
    <w:rsid w:val="00F51EE5"/>
    <w:rsid w:val="00F95EF0"/>
    <w:rsid w:val="00FB49BC"/>
    <w:rsid w:val="00FC3777"/>
    <w:rsid w:val="00FE48C4"/>
  </w:rsids>
  <m:mathPr>
    <m:mathFont m:val="Cambria Math"/>
    <m:brkBin m:val="before"/>
    <m:brkBinSub m:val="--"/>
    <m:smallFrac/>
    <m:dispDef/>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6DEDA4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I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B6863"/>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6863"/>
    <w:rPr>
      <w:rFonts w:asciiTheme="majorHAnsi" w:eastAsiaTheme="majorEastAsia" w:hAnsiTheme="majorHAnsi" w:cstheme="majorBidi"/>
      <w:b/>
      <w:bCs/>
      <w:color w:val="4F81BD" w:themeColor="accent1"/>
      <w:sz w:val="26"/>
      <w:szCs w:val="26"/>
      <w:lang w:val="en-IE"/>
    </w:rPr>
  </w:style>
  <w:style w:type="paragraph" w:styleId="FootnoteText">
    <w:name w:val="footnote text"/>
    <w:basedOn w:val="Normal"/>
    <w:link w:val="FootnoteTextChar"/>
    <w:uiPriority w:val="99"/>
    <w:unhideWhenUsed/>
    <w:rsid w:val="00A34A5F"/>
  </w:style>
  <w:style w:type="character" w:customStyle="1" w:styleId="FootnoteTextChar">
    <w:name w:val="Footnote Text Char"/>
    <w:basedOn w:val="DefaultParagraphFont"/>
    <w:link w:val="FootnoteText"/>
    <w:uiPriority w:val="99"/>
    <w:rsid w:val="00A34A5F"/>
  </w:style>
  <w:style w:type="character" w:styleId="FootnoteReference">
    <w:name w:val="footnote reference"/>
    <w:basedOn w:val="DefaultParagraphFont"/>
    <w:uiPriority w:val="99"/>
    <w:unhideWhenUsed/>
    <w:rsid w:val="00A34A5F"/>
    <w:rPr>
      <w:vertAlign w:val="superscript"/>
    </w:rPr>
  </w:style>
  <w:style w:type="character" w:customStyle="1" w:styleId="FootnoteTextChar1">
    <w:name w:val="Footnote Text Char1"/>
    <w:aliases w:val="Footnote Text Char Char"/>
    <w:basedOn w:val="DefaultParagraphFont"/>
    <w:uiPriority w:val="99"/>
    <w:semiHidden/>
    <w:locked/>
    <w:rsid w:val="00582A1C"/>
    <w:rPr>
      <w:rFonts w:cs="Times New Roman"/>
      <w:sz w:val="20"/>
      <w:szCs w:val="20"/>
    </w:rPr>
  </w:style>
  <w:style w:type="character" w:styleId="Hyperlink">
    <w:name w:val="Hyperlink"/>
    <w:basedOn w:val="DefaultParagraphFont"/>
    <w:uiPriority w:val="99"/>
    <w:unhideWhenUsed/>
    <w:rsid w:val="00D246EF"/>
    <w:rPr>
      <w:color w:val="0000FF" w:themeColor="hyperlink"/>
      <w:u w:val="single"/>
    </w:rPr>
  </w:style>
  <w:style w:type="paragraph" w:customStyle="1" w:styleId="s30eec3f8">
    <w:name w:val="s30eec3f8"/>
    <w:basedOn w:val="Normal"/>
    <w:rsid w:val="00D246EF"/>
    <w:pPr>
      <w:spacing w:before="100" w:beforeAutospacing="1" w:after="100" w:afterAutospacing="1"/>
    </w:pPr>
    <w:rPr>
      <w:rFonts w:ascii="Times New Roman" w:eastAsia="Times New Roman" w:hAnsi="Times New Roman" w:cs="Times New Roman"/>
      <w:lang w:eastAsia="en-IE"/>
    </w:rPr>
  </w:style>
  <w:style w:type="paragraph" w:customStyle="1" w:styleId="Default">
    <w:name w:val="Default"/>
    <w:rsid w:val="00D246EF"/>
    <w:pPr>
      <w:autoSpaceDE w:val="0"/>
      <w:autoSpaceDN w:val="0"/>
      <w:adjustRightInd w:val="0"/>
    </w:pPr>
    <w:rPr>
      <w:rFonts w:ascii="Times New Roman" w:hAnsi="Times New Roman" w:cs="Times New Roman"/>
      <w:color w:val="000000"/>
    </w:rPr>
  </w:style>
  <w:style w:type="character" w:customStyle="1" w:styleId="st">
    <w:name w:val="st"/>
    <w:basedOn w:val="DefaultParagraphFont"/>
    <w:rsid w:val="003B6863"/>
  </w:style>
  <w:style w:type="paragraph" w:styleId="ListParagraph">
    <w:name w:val="List Paragraph"/>
    <w:basedOn w:val="Normal"/>
    <w:uiPriority w:val="34"/>
    <w:qFormat/>
    <w:rsid w:val="003B6863"/>
    <w:pPr>
      <w:spacing w:after="200" w:line="276" w:lineRule="auto"/>
      <w:ind w:left="720"/>
      <w:contextualSpacing/>
    </w:pPr>
    <w:rPr>
      <w:sz w:val="22"/>
      <w:szCs w:val="22"/>
    </w:rPr>
  </w:style>
  <w:style w:type="paragraph" w:styleId="Header">
    <w:name w:val="header"/>
    <w:basedOn w:val="Normal"/>
    <w:link w:val="HeaderChar"/>
    <w:semiHidden/>
    <w:unhideWhenUsed/>
    <w:rsid w:val="003B6863"/>
    <w:pPr>
      <w:tabs>
        <w:tab w:val="center" w:pos="4513"/>
        <w:tab w:val="right" w:pos="9026"/>
      </w:tabs>
    </w:pPr>
    <w:rPr>
      <w:sz w:val="22"/>
      <w:szCs w:val="22"/>
    </w:rPr>
  </w:style>
  <w:style w:type="character" w:customStyle="1" w:styleId="HeaderChar">
    <w:name w:val="Header Char"/>
    <w:basedOn w:val="DefaultParagraphFont"/>
    <w:link w:val="Header"/>
    <w:semiHidden/>
    <w:rsid w:val="003B6863"/>
    <w:rPr>
      <w:sz w:val="22"/>
      <w:szCs w:val="22"/>
      <w:lang w:val="en-IE"/>
    </w:rPr>
  </w:style>
  <w:style w:type="paragraph" w:styleId="Footer">
    <w:name w:val="footer"/>
    <w:basedOn w:val="Normal"/>
    <w:link w:val="FooterChar"/>
    <w:unhideWhenUsed/>
    <w:rsid w:val="003B6863"/>
    <w:pPr>
      <w:tabs>
        <w:tab w:val="center" w:pos="4513"/>
        <w:tab w:val="right" w:pos="9026"/>
      </w:tabs>
    </w:pPr>
    <w:rPr>
      <w:sz w:val="22"/>
      <w:szCs w:val="22"/>
    </w:rPr>
  </w:style>
  <w:style w:type="character" w:customStyle="1" w:styleId="FooterChar">
    <w:name w:val="Footer Char"/>
    <w:basedOn w:val="DefaultParagraphFont"/>
    <w:link w:val="Footer"/>
    <w:rsid w:val="003B6863"/>
    <w:rPr>
      <w:sz w:val="22"/>
      <w:szCs w:val="22"/>
      <w:lang w:val="en-IE"/>
    </w:rPr>
  </w:style>
  <w:style w:type="paragraph" w:styleId="CommentText">
    <w:name w:val="annotation text"/>
    <w:basedOn w:val="Normal"/>
    <w:link w:val="CommentTextChar"/>
    <w:unhideWhenUsed/>
    <w:rsid w:val="003B6863"/>
    <w:pPr>
      <w:spacing w:after="200"/>
    </w:pPr>
    <w:rPr>
      <w:sz w:val="20"/>
      <w:szCs w:val="20"/>
    </w:rPr>
  </w:style>
  <w:style w:type="character" w:customStyle="1" w:styleId="CommentTextChar">
    <w:name w:val="Comment Text Char"/>
    <w:basedOn w:val="DefaultParagraphFont"/>
    <w:link w:val="CommentText"/>
    <w:rsid w:val="003B6863"/>
    <w:rPr>
      <w:sz w:val="20"/>
      <w:szCs w:val="20"/>
      <w:lang w:val="en-IE"/>
    </w:rPr>
  </w:style>
  <w:style w:type="paragraph" w:styleId="BalloonText">
    <w:name w:val="Balloon Text"/>
    <w:basedOn w:val="Normal"/>
    <w:link w:val="BalloonTextChar"/>
    <w:uiPriority w:val="99"/>
    <w:semiHidden/>
    <w:unhideWhenUsed/>
    <w:rsid w:val="003B6863"/>
    <w:rPr>
      <w:rFonts w:ascii="Tahoma" w:hAnsi="Tahoma" w:cs="Tahoma"/>
      <w:sz w:val="16"/>
      <w:szCs w:val="16"/>
    </w:rPr>
  </w:style>
  <w:style w:type="character" w:customStyle="1" w:styleId="BalloonTextChar">
    <w:name w:val="Balloon Text Char"/>
    <w:basedOn w:val="DefaultParagraphFont"/>
    <w:link w:val="BalloonText"/>
    <w:uiPriority w:val="99"/>
    <w:semiHidden/>
    <w:rsid w:val="003B6863"/>
    <w:rPr>
      <w:rFonts w:ascii="Tahoma" w:hAnsi="Tahoma" w:cs="Tahoma"/>
      <w:sz w:val="16"/>
      <w:szCs w:val="16"/>
      <w:lang w:val="en-IE"/>
    </w:rPr>
  </w:style>
  <w:style w:type="paragraph" w:styleId="EndnoteText">
    <w:name w:val="endnote text"/>
    <w:basedOn w:val="Normal"/>
    <w:link w:val="EndnoteTextChar"/>
    <w:uiPriority w:val="99"/>
    <w:semiHidden/>
    <w:unhideWhenUsed/>
    <w:rsid w:val="003B6863"/>
    <w:rPr>
      <w:sz w:val="20"/>
      <w:szCs w:val="20"/>
    </w:rPr>
  </w:style>
  <w:style w:type="character" w:customStyle="1" w:styleId="EndnoteTextChar">
    <w:name w:val="Endnote Text Char"/>
    <w:basedOn w:val="DefaultParagraphFont"/>
    <w:link w:val="EndnoteText"/>
    <w:uiPriority w:val="99"/>
    <w:semiHidden/>
    <w:rsid w:val="003B6863"/>
    <w:rPr>
      <w:sz w:val="20"/>
      <w:szCs w:val="20"/>
      <w:lang w:val="en-IE"/>
    </w:rPr>
  </w:style>
  <w:style w:type="paragraph" w:customStyle="1" w:styleId="JuPara">
    <w:name w:val="Ju_Para"/>
    <w:aliases w:val="Left,First line:  0 cm"/>
    <w:basedOn w:val="Normal"/>
    <w:link w:val="JuParaChar"/>
    <w:rsid w:val="003B6863"/>
    <w:pPr>
      <w:suppressAutoHyphens/>
      <w:ind w:firstLine="284"/>
      <w:jc w:val="both"/>
    </w:pPr>
    <w:rPr>
      <w:rFonts w:ascii="Times New Roman" w:eastAsia="Times New Roman" w:hAnsi="Times New Roman" w:cs="Times New Roman"/>
      <w:szCs w:val="20"/>
      <w:lang w:val="en-GB" w:eastAsia="fr-FR"/>
    </w:rPr>
  </w:style>
  <w:style w:type="character" w:customStyle="1" w:styleId="JuParaChar">
    <w:name w:val="Ju_Para Char"/>
    <w:basedOn w:val="DefaultParagraphFont"/>
    <w:link w:val="JuPara"/>
    <w:rsid w:val="003B6863"/>
    <w:rPr>
      <w:rFonts w:ascii="Times New Roman" w:eastAsia="Times New Roman" w:hAnsi="Times New Roman" w:cs="Times New Roman"/>
      <w:szCs w:val="20"/>
      <w:lang w:val="en-GB" w:eastAsia="fr-FR"/>
    </w:rPr>
  </w:style>
  <w:style w:type="character" w:customStyle="1" w:styleId="ju--005fpara----char--char">
    <w:name w:val="ju--005fpara----char--char"/>
    <w:basedOn w:val="DefaultParagraphFont"/>
    <w:rsid w:val="003B6863"/>
  </w:style>
  <w:style w:type="paragraph" w:customStyle="1" w:styleId="JuHa">
    <w:name w:val="Ju_H_a"/>
    <w:basedOn w:val="Normal"/>
    <w:next w:val="JuPara"/>
    <w:rsid w:val="003B6863"/>
    <w:pPr>
      <w:keepNext/>
      <w:keepLines/>
      <w:tabs>
        <w:tab w:val="left" w:pos="975"/>
      </w:tabs>
      <w:suppressAutoHyphens/>
      <w:spacing w:before="240" w:after="120"/>
      <w:ind w:left="975" w:hanging="340"/>
      <w:jc w:val="both"/>
    </w:pPr>
    <w:rPr>
      <w:rFonts w:ascii="Times New Roman" w:eastAsia="Times New Roman" w:hAnsi="Times New Roman" w:cs="Times New Roman"/>
      <w:b/>
      <w:sz w:val="20"/>
      <w:szCs w:val="20"/>
      <w:lang w:val="en-GB" w:eastAsia="fr-FR"/>
    </w:rPr>
  </w:style>
  <w:style w:type="character" w:customStyle="1" w:styleId="ju-005fpara--char">
    <w:name w:val="ju-005fpara--char"/>
    <w:basedOn w:val="DefaultParagraphFont"/>
    <w:rsid w:val="003B6863"/>
  </w:style>
  <w:style w:type="character" w:customStyle="1" w:styleId="JuParaCar">
    <w:name w:val="Ju_Para Car"/>
    <w:basedOn w:val="DefaultParagraphFont"/>
    <w:rsid w:val="003B6863"/>
    <w:rPr>
      <w:sz w:val="24"/>
      <w:lang w:val="fr-FR" w:eastAsia="fr-FR" w:bidi="ar-SA"/>
    </w:rPr>
  </w:style>
  <w:style w:type="character" w:customStyle="1" w:styleId="ju-005fpara-002cleft-002cfirst-0020line-003a-0020-00200-0020cm--char">
    <w:name w:val="ju-005fpara-002cleft-002cfirst-0020line-003a-0020-00200-0020cm--char"/>
    <w:basedOn w:val="DefaultParagraphFont"/>
    <w:rsid w:val="003B6863"/>
  </w:style>
  <w:style w:type="character" w:customStyle="1" w:styleId="longtext">
    <w:name w:val="long_text"/>
    <w:basedOn w:val="DefaultParagraphFont"/>
    <w:rsid w:val="003B6863"/>
  </w:style>
  <w:style w:type="character" w:customStyle="1" w:styleId="hps">
    <w:name w:val="hps"/>
    <w:basedOn w:val="DefaultParagraphFont"/>
    <w:rsid w:val="003B6863"/>
  </w:style>
  <w:style w:type="paragraph" w:styleId="NormalWeb">
    <w:name w:val="Normal (Web)"/>
    <w:basedOn w:val="Normal"/>
    <w:uiPriority w:val="99"/>
    <w:unhideWhenUsed/>
    <w:rsid w:val="003B6863"/>
    <w:pPr>
      <w:spacing w:before="100" w:beforeAutospacing="1" w:after="100" w:afterAutospacing="1"/>
    </w:pPr>
    <w:rPr>
      <w:rFonts w:ascii="Times New Roman" w:eastAsia="Times New Roman" w:hAnsi="Times New Roman" w:cs="Times New Roman"/>
      <w:lang w:eastAsia="en-IE"/>
    </w:rPr>
  </w:style>
  <w:style w:type="character" w:customStyle="1" w:styleId="hit">
    <w:name w:val="hit"/>
    <w:basedOn w:val="DefaultParagraphFont"/>
    <w:rsid w:val="003B6863"/>
  </w:style>
  <w:style w:type="character" w:customStyle="1" w:styleId="column01">
    <w:name w:val="column01"/>
    <w:basedOn w:val="DefaultParagraphFont"/>
    <w:rsid w:val="003B6863"/>
  </w:style>
  <w:style w:type="character" w:customStyle="1" w:styleId="s6b621b36">
    <w:name w:val="s6b621b36"/>
    <w:basedOn w:val="DefaultParagraphFont"/>
    <w:rsid w:val="003B6863"/>
  </w:style>
  <w:style w:type="character" w:styleId="EndnoteReference">
    <w:name w:val="endnote reference"/>
    <w:basedOn w:val="DefaultParagraphFont"/>
    <w:uiPriority w:val="99"/>
    <w:semiHidden/>
    <w:unhideWhenUsed/>
    <w:rsid w:val="003B6863"/>
    <w:rPr>
      <w:vertAlign w:val="superscript"/>
    </w:rPr>
  </w:style>
  <w:style w:type="character" w:styleId="PlaceholderText">
    <w:name w:val="Placeholder Text"/>
    <w:basedOn w:val="DefaultParagraphFont"/>
    <w:uiPriority w:val="99"/>
    <w:semiHidden/>
    <w:rsid w:val="003B6863"/>
    <w:rPr>
      <w:color w:val="808080"/>
    </w:rPr>
  </w:style>
  <w:style w:type="character" w:customStyle="1" w:styleId="sb8d990e2">
    <w:name w:val="sb8d990e2"/>
    <w:basedOn w:val="DefaultParagraphFont"/>
    <w:rsid w:val="003B6863"/>
  </w:style>
  <w:style w:type="character" w:customStyle="1" w:styleId="searchterm">
    <w:name w:val="searchterm"/>
    <w:basedOn w:val="DefaultParagraphFont"/>
    <w:rsid w:val="003B6863"/>
  </w:style>
  <w:style w:type="character" w:styleId="Strong">
    <w:name w:val="Strong"/>
    <w:basedOn w:val="DefaultParagraphFont"/>
    <w:uiPriority w:val="22"/>
    <w:qFormat/>
    <w:rsid w:val="003B6863"/>
    <w:rPr>
      <w:b/>
      <w:bCs/>
    </w:rPr>
  </w:style>
  <w:style w:type="paragraph" w:customStyle="1" w:styleId="Body">
    <w:name w:val="Body"/>
    <w:rsid w:val="00643D45"/>
    <w:pPr>
      <w:pBdr>
        <w:top w:val="nil"/>
        <w:left w:val="nil"/>
        <w:bottom w:val="nil"/>
        <w:right w:val="nil"/>
        <w:between w:val="nil"/>
        <w:bar w:val="nil"/>
      </w:pBdr>
    </w:pPr>
    <w:rPr>
      <w:rFonts w:ascii="Cambria" w:eastAsia="Cambria" w:hAnsi="Cambria" w:cs="Cambria"/>
      <w:color w:val="000000"/>
      <w:u w:color="000000"/>
      <w:bdr w:val="nil"/>
    </w:rPr>
  </w:style>
  <w:style w:type="paragraph" w:styleId="NoSpacing">
    <w:name w:val="No Spacing"/>
    <w:uiPriority w:val="99"/>
    <w:qFormat/>
    <w:rsid w:val="00901E5A"/>
    <w:rPr>
      <w:sz w:val="22"/>
      <w:szCs w:val="22"/>
    </w:rPr>
  </w:style>
  <w:style w:type="character" w:styleId="PageNumber">
    <w:name w:val="page number"/>
    <w:basedOn w:val="DefaultParagraphFont"/>
    <w:rsid w:val="00901E5A"/>
  </w:style>
  <w:style w:type="character" w:styleId="CommentReference">
    <w:name w:val="annotation reference"/>
    <w:basedOn w:val="DefaultParagraphFont"/>
    <w:rsid w:val="00901E5A"/>
    <w:rPr>
      <w:sz w:val="18"/>
      <w:szCs w:val="18"/>
    </w:rPr>
  </w:style>
  <w:style w:type="paragraph" w:styleId="CommentSubject">
    <w:name w:val="annotation subject"/>
    <w:basedOn w:val="CommentText"/>
    <w:next w:val="CommentText"/>
    <w:link w:val="CommentSubjectChar"/>
    <w:rsid w:val="00901E5A"/>
    <w:pPr>
      <w:spacing w:after="0"/>
    </w:pPr>
    <w:rPr>
      <w:b/>
      <w:bCs/>
      <w:lang w:val="en-US"/>
    </w:rPr>
  </w:style>
  <w:style w:type="character" w:customStyle="1" w:styleId="CommentSubjectChar">
    <w:name w:val="Comment Subject Char"/>
    <w:basedOn w:val="CommentTextChar"/>
    <w:link w:val="CommentSubject"/>
    <w:rsid w:val="00901E5A"/>
    <w:rPr>
      <w:rFonts w:eastAsiaTheme="minorEastAsia"/>
      <w:b/>
      <w:bCs/>
      <w:sz w:val="20"/>
      <w:szCs w:val="20"/>
      <w:lang w:val="en-IE" w:eastAsia="ja-JP"/>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IE"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footer" w:uiPriority="0"/>
    <w:lsdException w:name="caption" w:uiPriority="35" w:qFormat="1"/>
    <w:lsdException w:name="annotation reference" w:uiPriority="0"/>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annotation subject" w:uiPriority="0"/>
    <w:lsdException w:name="No List" w:uiPriority="0"/>
    <w:lsdException w:name="Table Grid" w:semiHidden="0" w:uiPriority="59" w:unhideWhenUsed="0"/>
    <w:lsdException w:name="Placeholder Text" w:unhideWhenUsed="0"/>
    <w:lsdException w:name="No Spacing"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2">
    <w:name w:val="heading 2"/>
    <w:basedOn w:val="Normal"/>
    <w:next w:val="Normal"/>
    <w:link w:val="Heading2Char"/>
    <w:uiPriority w:val="9"/>
    <w:unhideWhenUsed/>
    <w:qFormat/>
    <w:rsid w:val="003B6863"/>
    <w:pPr>
      <w:keepNext/>
      <w:keepLines/>
      <w:spacing w:before="200" w:line="276" w:lineRule="auto"/>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B6863"/>
    <w:rPr>
      <w:rFonts w:asciiTheme="majorHAnsi" w:eastAsiaTheme="majorEastAsia" w:hAnsiTheme="majorHAnsi" w:cstheme="majorBidi"/>
      <w:b/>
      <w:bCs/>
      <w:color w:val="4F81BD" w:themeColor="accent1"/>
      <w:sz w:val="26"/>
      <w:szCs w:val="26"/>
      <w:lang w:val="en-IE"/>
    </w:rPr>
  </w:style>
  <w:style w:type="paragraph" w:styleId="FootnoteText">
    <w:name w:val="footnote text"/>
    <w:basedOn w:val="Normal"/>
    <w:link w:val="FootnoteTextChar"/>
    <w:uiPriority w:val="99"/>
    <w:unhideWhenUsed/>
    <w:rsid w:val="00A34A5F"/>
  </w:style>
  <w:style w:type="character" w:customStyle="1" w:styleId="FootnoteTextChar">
    <w:name w:val="Footnote Text Char"/>
    <w:basedOn w:val="DefaultParagraphFont"/>
    <w:link w:val="FootnoteText"/>
    <w:uiPriority w:val="99"/>
    <w:rsid w:val="00A34A5F"/>
  </w:style>
  <w:style w:type="character" w:styleId="FootnoteReference">
    <w:name w:val="footnote reference"/>
    <w:basedOn w:val="DefaultParagraphFont"/>
    <w:uiPriority w:val="99"/>
    <w:unhideWhenUsed/>
    <w:rsid w:val="00A34A5F"/>
    <w:rPr>
      <w:vertAlign w:val="superscript"/>
    </w:rPr>
  </w:style>
  <w:style w:type="character" w:customStyle="1" w:styleId="FootnoteTextChar1">
    <w:name w:val="Footnote Text Char1"/>
    <w:aliases w:val="Footnote Text Char Char"/>
    <w:basedOn w:val="DefaultParagraphFont"/>
    <w:uiPriority w:val="99"/>
    <w:semiHidden/>
    <w:locked/>
    <w:rsid w:val="00582A1C"/>
    <w:rPr>
      <w:rFonts w:cs="Times New Roman"/>
      <w:sz w:val="20"/>
      <w:szCs w:val="20"/>
    </w:rPr>
  </w:style>
  <w:style w:type="character" w:styleId="Hyperlink">
    <w:name w:val="Hyperlink"/>
    <w:basedOn w:val="DefaultParagraphFont"/>
    <w:uiPriority w:val="99"/>
    <w:unhideWhenUsed/>
    <w:rsid w:val="00D246EF"/>
    <w:rPr>
      <w:color w:val="0000FF" w:themeColor="hyperlink"/>
      <w:u w:val="single"/>
    </w:rPr>
  </w:style>
  <w:style w:type="paragraph" w:customStyle="1" w:styleId="s30eec3f8">
    <w:name w:val="s30eec3f8"/>
    <w:basedOn w:val="Normal"/>
    <w:rsid w:val="00D246EF"/>
    <w:pPr>
      <w:spacing w:before="100" w:beforeAutospacing="1" w:after="100" w:afterAutospacing="1"/>
    </w:pPr>
    <w:rPr>
      <w:rFonts w:ascii="Times New Roman" w:eastAsia="Times New Roman" w:hAnsi="Times New Roman" w:cs="Times New Roman"/>
      <w:lang w:eastAsia="en-IE"/>
    </w:rPr>
  </w:style>
  <w:style w:type="paragraph" w:customStyle="1" w:styleId="Default">
    <w:name w:val="Default"/>
    <w:rsid w:val="00D246EF"/>
    <w:pPr>
      <w:autoSpaceDE w:val="0"/>
      <w:autoSpaceDN w:val="0"/>
      <w:adjustRightInd w:val="0"/>
    </w:pPr>
    <w:rPr>
      <w:rFonts w:ascii="Times New Roman" w:hAnsi="Times New Roman" w:cs="Times New Roman"/>
      <w:color w:val="000000"/>
    </w:rPr>
  </w:style>
  <w:style w:type="character" w:customStyle="1" w:styleId="st">
    <w:name w:val="st"/>
    <w:basedOn w:val="DefaultParagraphFont"/>
    <w:rsid w:val="003B6863"/>
  </w:style>
  <w:style w:type="paragraph" w:styleId="ListParagraph">
    <w:name w:val="List Paragraph"/>
    <w:basedOn w:val="Normal"/>
    <w:uiPriority w:val="34"/>
    <w:qFormat/>
    <w:rsid w:val="003B6863"/>
    <w:pPr>
      <w:spacing w:after="200" w:line="276" w:lineRule="auto"/>
      <w:ind w:left="720"/>
      <w:contextualSpacing/>
    </w:pPr>
    <w:rPr>
      <w:sz w:val="22"/>
      <w:szCs w:val="22"/>
    </w:rPr>
  </w:style>
  <w:style w:type="paragraph" w:styleId="Header">
    <w:name w:val="header"/>
    <w:basedOn w:val="Normal"/>
    <w:link w:val="HeaderChar"/>
    <w:semiHidden/>
    <w:unhideWhenUsed/>
    <w:rsid w:val="003B6863"/>
    <w:pPr>
      <w:tabs>
        <w:tab w:val="center" w:pos="4513"/>
        <w:tab w:val="right" w:pos="9026"/>
      </w:tabs>
    </w:pPr>
    <w:rPr>
      <w:sz w:val="22"/>
      <w:szCs w:val="22"/>
    </w:rPr>
  </w:style>
  <w:style w:type="character" w:customStyle="1" w:styleId="HeaderChar">
    <w:name w:val="Header Char"/>
    <w:basedOn w:val="DefaultParagraphFont"/>
    <w:link w:val="Header"/>
    <w:semiHidden/>
    <w:rsid w:val="003B6863"/>
    <w:rPr>
      <w:sz w:val="22"/>
      <w:szCs w:val="22"/>
      <w:lang w:val="en-IE"/>
    </w:rPr>
  </w:style>
  <w:style w:type="paragraph" w:styleId="Footer">
    <w:name w:val="footer"/>
    <w:basedOn w:val="Normal"/>
    <w:link w:val="FooterChar"/>
    <w:unhideWhenUsed/>
    <w:rsid w:val="003B6863"/>
    <w:pPr>
      <w:tabs>
        <w:tab w:val="center" w:pos="4513"/>
        <w:tab w:val="right" w:pos="9026"/>
      </w:tabs>
    </w:pPr>
    <w:rPr>
      <w:sz w:val="22"/>
      <w:szCs w:val="22"/>
    </w:rPr>
  </w:style>
  <w:style w:type="character" w:customStyle="1" w:styleId="FooterChar">
    <w:name w:val="Footer Char"/>
    <w:basedOn w:val="DefaultParagraphFont"/>
    <w:link w:val="Footer"/>
    <w:rsid w:val="003B6863"/>
    <w:rPr>
      <w:sz w:val="22"/>
      <w:szCs w:val="22"/>
      <w:lang w:val="en-IE"/>
    </w:rPr>
  </w:style>
  <w:style w:type="paragraph" w:styleId="CommentText">
    <w:name w:val="annotation text"/>
    <w:basedOn w:val="Normal"/>
    <w:link w:val="CommentTextChar"/>
    <w:unhideWhenUsed/>
    <w:rsid w:val="003B6863"/>
    <w:pPr>
      <w:spacing w:after="200"/>
    </w:pPr>
    <w:rPr>
      <w:sz w:val="20"/>
      <w:szCs w:val="20"/>
    </w:rPr>
  </w:style>
  <w:style w:type="character" w:customStyle="1" w:styleId="CommentTextChar">
    <w:name w:val="Comment Text Char"/>
    <w:basedOn w:val="DefaultParagraphFont"/>
    <w:link w:val="CommentText"/>
    <w:rsid w:val="003B6863"/>
    <w:rPr>
      <w:sz w:val="20"/>
      <w:szCs w:val="20"/>
      <w:lang w:val="en-IE"/>
    </w:rPr>
  </w:style>
  <w:style w:type="paragraph" w:styleId="BalloonText">
    <w:name w:val="Balloon Text"/>
    <w:basedOn w:val="Normal"/>
    <w:link w:val="BalloonTextChar"/>
    <w:uiPriority w:val="99"/>
    <w:semiHidden/>
    <w:unhideWhenUsed/>
    <w:rsid w:val="003B6863"/>
    <w:rPr>
      <w:rFonts w:ascii="Tahoma" w:hAnsi="Tahoma" w:cs="Tahoma"/>
      <w:sz w:val="16"/>
      <w:szCs w:val="16"/>
    </w:rPr>
  </w:style>
  <w:style w:type="character" w:customStyle="1" w:styleId="BalloonTextChar">
    <w:name w:val="Balloon Text Char"/>
    <w:basedOn w:val="DefaultParagraphFont"/>
    <w:link w:val="BalloonText"/>
    <w:uiPriority w:val="99"/>
    <w:semiHidden/>
    <w:rsid w:val="003B6863"/>
    <w:rPr>
      <w:rFonts w:ascii="Tahoma" w:hAnsi="Tahoma" w:cs="Tahoma"/>
      <w:sz w:val="16"/>
      <w:szCs w:val="16"/>
      <w:lang w:val="en-IE"/>
    </w:rPr>
  </w:style>
  <w:style w:type="paragraph" w:styleId="EndnoteText">
    <w:name w:val="endnote text"/>
    <w:basedOn w:val="Normal"/>
    <w:link w:val="EndnoteTextChar"/>
    <w:uiPriority w:val="99"/>
    <w:semiHidden/>
    <w:unhideWhenUsed/>
    <w:rsid w:val="003B6863"/>
    <w:rPr>
      <w:sz w:val="20"/>
      <w:szCs w:val="20"/>
    </w:rPr>
  </w:style>
  <w:style w:type="character" w:customStyle="1" w:styleId="EndnoteTextChar">
    <w:name w:val="Endnote Text Char"/>
    <w:basedOn w:val="DefaultParagraphFont"/>
    <w:link w:val="EndnoteText"/>
    <w:uiPriority w:val="99"/>
    <w:semiHidden/>
    <w:rsid w:val="003B6863"/>
    <w:rPr>
      <w:sz w:val="20"/>
      <w:szCs w:val="20"/>
      <w:lang w:val="en-IE"/>
    </w:rPr>
  </w:style>
  <w:style w:type="paragraph" w:customStyle="1" w:styleId="JuPara">
    <w:name w:val="Ju_Para"/>
    <w:aliases w:val="Left,First line:  0 cm"/>
    <w:basedOn w:val="Normal"/>
    <w:link w:val="JuParaChar"/>
    <w:rsid w:val="003B6863"/>
    <w:pPr>
      <w:suppressAutoHyphens/>
      <w:ind w:firstLine="284"/>
      <w:jc w:val="both"/>
    </w:pPr>
    <w:rPr>
      <w:rFonts w:ascii="Times New Roman" w:eastAsia="Times New Roman" w:hAnsi="Times New Roman" w:cs="Times New Roman"/>
      <w:szCs w:val="20"/>
      <w:lang w:val="en-GB" w:eastAsia="fr-FR"/>
    </w:rPr>
  </w:style>
  <w:style w:type="character" w:customStyle="1" w:styleId="JuParaChar">
    <w:name w:val="Ju_Para Char"/>
    <w:basedOn w:val="DefaultParagraphFont"/>
    <w:link w:val="JuPara"/>
    <w:rsid w:val="003B6863"/>
    <w:rPr>
      <w:rFonts w:ascii="Times New Roman" w:eastAsia="Times New Roman" w:hAnsi="Times New Roman" w:cs="Times New Roman"/>
      <w:szCs w:val="20"/>
      <w:lang w:val="en-GB" w:eastAsia="fr-FR"/>
    </w:rPr>
  </w:style>
  <w:style w:type="character" w:customStyle="1" w:styleId="ju--005fpara----char--char">
    <w:name w:val="ju--005fpara----char--char"/>
    <w:basedOn w:val="DefaultParagraphFont"/>
    <w:rsid w:val="003B6863"/>
  </w:style>
  <w:style w:type="paragraph" w:customStyle="1" w:styleId="JuHa">
    <w:name w:val="Ju_H_a"/>
    <w:basedOn w:val="Normal"/>
    <w:next w:val="JuPara"/>
    <w:rsid w:val="003B6863"/>
    <w:pPr>
      <w:keepNext/>
      <w:keepLines/>
      <w:tabs>
        <w:tab w:val="left" w:pos="975"/>
      </w:tabs>
      <w:suppressAutoHyphens/>
      <w:spacing w:before="240" w:after="120"/>
      <w:ind w:left="975" w:hanging="340"/>
      <w:jc w:val="both"/>
    </w:pPr>
    <w:rPr>
      <w:rFonts w:ascii="Times New Roman" w:eastAsia="Times New Roman" w:hAnsi="Times New Roman" w:cs="Times New Roman"/>
      <w:b/>
      <w:sz w:val="20"/>
      <w:szCs w:val="20"/>
      <w:lang w:val="en-GB" w:eastAsia="fr-FR"/>
    </w:rPr>
  </w:style>
  <w:style w:type="character" w:customStyle="1" w:styleId="ju-005fpara--char">
    <w:name w:val="ju-005fpara--char"/>
    <w:basedOn w:val="DefaultParagraphFont"/>
    <w:rsid w:val="003B6863"/>
  </w:style>
  <w:style w:type="character" w:customStyle="1" w:styleId="JuParaCar">
    <w:name w:val="Ju_Para Car"/>
    <w:basedOn w:val="DefaultParagraphFont"/>
    <w:rsid w:val="003B6863"/>
    <w:rPr>
      <w:sz w:val="24"/>
      <w:lang w:val="fr-FR" w:eastAsia="fr-FR" w:bidi="ar-SA"/>
    </w:rPr>
  </w:style>
  <w:style w:type="character" w:customStyle="1" w:styleId="ju-005fpara-002cleft-002cfirst-0020line-003a-0020-00200-0020cm--char">
    <w:name w:val="ju-005fpara-002cleft-002cfirst-0020line-003a-0020-00200-0020cm--char"/>
    <w:basedOn w:val="DefaultParagraphFont"/>
    <w:rsid w:val="003B6863"/>
  </w:style>
  <w:style w:type="character" w:customStyle="1" w:styleId="longtext">
    <w:name w:val="long_text"/>
    <w:basedOn w:val="DefaultParagraphFont"/>
    <w:rsid w:val="003B6863"/>
  </w:style>
  <w:style w:type="character" w:customStyle="1" w:styleId="hps">
    <w:name w:val="hps"/>
    <w:basedOn w:val="DefaultParagraphFont"/>
    <w:rsid w:val="003B6863"/>
  </w:style>
  <w:style w:type="paragraph" w:styleId="NormalWeb">
    <w:name w:val="Normal (Web)"/>
    <w:basedOn w:val="Normal"/>
    <w:uiPriority w:val="99"/>
    <w:unhideWhenUsed/>
    <w:rsid w:val="003B6863"/>
    <w:pPr>
      <w:spacing w:before="100" w:beforeAutospacing="1" w:after="100" w:afterAutospacing="1"/>
    </w:pPr>
    <w:rPr>
      <w:rFonts w:ascii="Times New Roman" w:eastAsia="Times New Roman" w:hAnsi="Times New Roman" w:cs="Times New Roman"/>
      <w:lang w:eastAsia="en-IE"/>
    </w:rPr>
  </w:style>
  <w:style w:type="character" w:customStyle="1" w:styleId="hit">
    <w:name w:val="hit"/>
    <w:basedOn w:val="DefaultParagraphFont"/>
    <w:rsid w:val="003B6863"/>
  </w:style>
  <w:style w:type="character" w:customStyle="1" w:styleId="column01">
    <w:name w:val="column01"/>
    <w:basedOn w:val="DefaultParagraphFont"/>
    <w:rsid w:val="003B6863"/>
  </w:style>
  <w:style w:type="character" w:customStyle="1" w:styleId="s6b621b36">
    <w:name w:val="s6b621b36"/>
    <w:basedOn w:val="DefaultParagraphFont"/>
    <w:rsid w:val="003B6863"/>
  </w:style>
  <w:style w:type="character" w:styleId="EndnoteReference">
    <w:name w:val="endnote reference"/>
    <w:basedOn w:val="DefaultParagraphFont"/>
    <w:uiPriority w:val="99"/>
    <w:semiHidden/>
    <w:unhideWhenUsed/>
    <w:rsid w:val="003B6863"/>
    <w:rPr>
      <w:vertAlign w:val="superscript"/>
    </w:rPr>
  </w:style>
  <w:style w:type="character" w:styleId="PlaceholderText">
    <w:name w:val="Placeholder Text"/>
    <w:basedOn w:val="DefaultParagraphFont"/>
    <w:uiPriority w:val="99"/>
    <w:semiHidden/>
    <w:rsid w:val="003B6863"/>
    <w:rPr>
      <w:color w:val="808080"/>
    </w:rPr>
  </w:style>
  <w:style w:type="character" w:customStyle="1" w:styleId="sb8d990e2">
    <w:name w:val="sb8d990e2"/>
    <w:basedOn w:val="DefaultParagraphFont"/>
    <w:rsid w:val="003B6863"/>
  </w:style>
  <w:style w:type="character" w:customStyle="1" w:styleId="searchterm">
    <w:name w:val="searchterm"/>
    <w:basedOn w:val="DefaultParagraphFont"/>
    <w:rsid w:val="003B6863"/>
  </w:style>
  <w:style w:type="character" w:styleId="Strong">
    <w:name w:val="Strong"/>
    <w:basedOn w:val="DefaultParagraphFont"/>
    <w:uiPriority w:val="22"/>
    <w:qFormat/>
    <w:rsid w:val="003B6863"/>
    <w:rPr>
      <w:b/>
      <w:bCs/>
    </w:rPr>
  </w:style>
  <w:style w:type="paragraph" w:customStyle="1" w:styleId="Body">
    <w:name w:val="Body"/>
    <w:rsid w:val="00643D45"/>
    <w:pPr>
      <w:pBdr>
        <w:top w:val="nil"/>
        <w:left w:val="nil"/>
        <w:bottom w:val="nil"/>
        <w:right w:val="nil"/>
        <w:between w:val="nil"/>
        <w:bar w:val="nil"/>
      </w:pBdr>
    </w:pPr>
    <w:rPr>
      <w:rFonts w:ascii="Cambria" w:eastAsia="Cambria" w:hAnsi="Cambria" w:cs="Cambria"/>
      <w:color w:val="000000"/>
      <w:u w:color="000000"/>
      <w:bdr w:val="nil"/>
    </w:rPr>
  </w:style>
  <w:style w:type="paragraph" w:styleId="NoSpacing">
    <w:name w:val="No Spacing"/>
    <w:uiPriority w:val="99"/>
    <w:qFormat/>
    <w:rsid w:val="00901E5A"/>
    <w:rPr>
      <w:sz w:val="22"/>
      <w:szCs w:val="22"/>
    </w:rPr>
  </w:style>
  <w:style w:type="character" w:styleId="PageNumber">
    <w:name w:val="page number"/>
    <w:basedOn w:val="DefaultParagraphFont"/>
    <w:rsid w:val="00901E5A"/>
  </w:style>
  <w:style w:type="character" w:styleId="CommentReference">
    <w:name w:val="annotation reference"/>
    <w:basedOn w:val="DefaultParagraphFont"/>
    <w:rsid w:val="00901E5A"/>
    <w:rPr>
      <w:sz w:val="18"/>
      <w:szCs w:val="18"/>
    </w:rPr>
  </w:style>
  <w:style w:type="paragraph" w:styleId="CommentSubject">
    <w:name w:val="annotation subject"/>
    <w:basedOn w:val="CommentText"/>
    <w:next w:val="CommentText"/>
    <w:link w:val="CommentSubjectChar"/>
    <w:rsid w:val="00901E5A"/>
    <w:pPr>
      <w:spacing w:after="0"/>
    </w:pPr>
    <w:rPr>
      <w:b/>
      <w:bCs/>
      <w:lang w:val="en-US"/>
    </w:rPr>
  </w:style>
  <w:style w:type="character" w:customStyle="1" w:styleId="CommentSubjectChar">
    <w:name w:val="Comment Subject Char"/>
    <w:basedOn w:val="CommentTextChar"/>
    <w:link w:val="CommentSubject"/>
    <w:rsid w:val="00901E5A"/>
    <w:rPr>
      <w:rFonts w:eastAsiaTheme="minorEastAsia"/>
      <w:b/>
      <w:bCs/>
      <w:sz w:val="20"/>
      <w:szCs w:val="20"/>
      <w:lang w:val="en-IE"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299866">
      <w:bodyDiv w:val="1"/>
      <w:marLeft w:val="0"/>
      <w:marRight w:val="0"/>
      <w:marTop w:val="0"/>
      <w:marBottom w:val="0"/>
      <w:divBdr>
        <w:top w:val="none" w:sz="0" w:space="0" w:color="auto"/>
        <w:left w:val="none" w:sz="0" w:space="0" w:color="auto"/>
        <w:bottom w:val="none" w:sz="0" w:space="0" w:color="auto"/>
        <w:right w:val="none" w:sz="0" w:space="0" w:color="auto"/>
      </w:divBdr>
      <w:divsChild>
        <w:div w:id="2090730250">
          <w:marLeft w:val="0"/>
          <w:marRight w:val="0"/>
          <w:marTop w:val="0"/>
          <w:marBottom w:val="0"/>
          <w:divBdr>
            <w:top w:val="none" w:sz="0" w:space="0" w:color="auto"/>
            <w:left w:val="none" w:sz="0" w:space="0" w:color="auto"/>
            <w:bottom w:val="none" w:sz="0" w:space="0" w:color="auto"/>
            <w:right w:val="none" w:sz="0" w:space="0" w:color="auto"/>
          </w:divBdr>
          <w:divsChild>
            <w:div w:id="500390891">
              <w:marLeft w:val="0"/>
              <w:marRight w:val="0"/>
              <w:marTop w:val="0"/>
              <w:marBottom w:val="0"/>
              <w:divBdr>
                <w:top w:val="none" w:sz="0" w:space="0" w:color="auto"/>
                <w:left w:val="none" w:sz="0" w:space="0" w:color="auto"/>
                <w:bottom w:val="none" w:sz="0" w:space="0" w:color="auto"/>
                <w:right w:val="none" w:sz="0" w:space="0" w:color="auto"/>
              </w:divBdr>
              <w:divsChild>
                <w:div w:id="18242783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13024811">
      <w:bodyDiv w:val="1"/>
      <w:marLeft w:val="0"/>
      <w:marRight w:val="0"/>
      <w:marTop w:val="0"/>
      <w:marBottom w:val="0"/>
      <w:divBdr>
        <w:top w:val="none" w:sz="0" w:space="0" w:color="auto"/>
        <w:left w:val="none" w:sz="0" w:space="0" w:color="auto"/>
        <w:bottom w:val="none" w:sz="0" w:space="0" w:color="auto"/>
        <w:right w:val="none" w:sz="0" w:space="0" w:color="auto"/>
      </w:divBdr>
      <w:divsChild>
        <w:div w:id="671102403">
          <w:marLeft w:val="0"/>
          <w:marRight w:val="0"/>
          <w:marTop w:val="0"/>
          <w:marBottom w:val="0"/>
          <w:divBdr>
            <w:top w:val="none" w:sz="0" w:space="0" w:color="auto"/>
            <w:left w:val="none" w:sz="0" w:space="0" w:color="auto"/>
            <w:bottom w:val="none" w:sz="0" w:space="0" w:color="auto"/>
            <w:right w:val="none" w:sz="0" w:space="0" w:color="auto"/>
          </w:divBdr>
          <w:divsChild>
            <w:div w:id="934172776">
              <w:marLeft w:val="0"/>
              <w:marRight w:val="0"/>
              <w:marTop w:val="0"/>
              <w:marBottom w:val="0"/>
              <w:divBdr>
                <w:top w:val="none" w:sz="0" w:space="0" w:color="auto"/>
                <w:left w:val="none" w:sz="0" w:space="0" w:color="auto"/>
                <w:bottom w:val="none" w:sz="0" w:space="0" w:color="auto"/>
                <w:right w:val="none" w:sz="0" w:space="0" w:color="auto"/>
              </w:divBdr>
              <w:divsChild>
                <w:div w:id="18941915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8627209">
      <w:bodyDiv w:val="1"/>
      <w:marLeft w:val="0"/>
      <w:marRight w:val="0"/>
      <w:marTop w:val="0"/>
      <w:marBottom w:val="0"/>
      <w:divBdr>
        <w:top w:val="none" w:sz="0" w:space="0" w:color="auto"/>
        <w:left w:val="none" w:sz="0" w:space="0" w:color="auto"/>
        <w:bottom w:val="none" w:sz="0" w:space="0" w:color="auto"/>
        <w:right w:val="none" w:sz="0" w:space="0" w:color="auto"/>
      </w:divBdr>
      <w:divsChild>
        <w:div w:id="2127305842">
          <w:marLeft w:val="0"/>
          <w:marRight w:val="0"/>
          <w:marTop w:val="0"/>
          <w:marBottom w:val="0"/>
          <w:divBdr>
            <w:top w:val="none" w:sz="0" w:space="0" w:color="auto"/>
            <w:left w:val="none" w:sz="0" w:space="0" w:color="auto"/>
            <w:bottom w:val="none" w:sz="0" w:space="0" w:color="auto"/>
            <w:right w:val="none" w:sz="0" w:space="0" w:color="auto"/>
          </w:divBdr>
          <w:divsChild>
            <w:div w:id="2044280840">
              <w:marLeft w:val="0"/>
              <w:marRight w:val="0"/>
              <w:marTop w:val="0"/>
              <w:marBottom w:val="0"/>
              <w:divBdr>
                <w:top w:val="none" w:sz="0" w:space="0" w:color="auto"/>
                <w:left w:val="none" w:sz="0" w:space="0" w:color="auto"/>
                <w:bottom w:val="none" w:sz="0" w:space="0" w:color="auto"/>
                <w:right w:val="none" w:sz="0" w:space="0" w:color="auto"/>
              </w:divBdr>
              <w:divsChild>
                <w:div w:id="2062943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9235794">
      <w:bodyDiv w:val="1"/>
      <w:marLeft w:val="0"/>
      <w:marRight w:val="0"/>
      <w:marTop w:val="0"/>
      <w:marBottom w:val="0"/>
      <w:divBdr>
        <w:top w:val="none" w:sz="0" w:space="0" w:color="auto"/>
        <w:left w:val="none" w:sz="0" w:space="0" w:color="auto"/>
        <w:bottom w:val="none" w:sz="0" w:space="0" w:color="auto"/>
        <w:right w:val="none" w:sz="0" w:space="0" w:color="auto"/>
      </w:divBdr>
      <w:divsChild>
        <w:div w:id="1497454190">
          <w:marLeft w:val="0"/>
          <w:marRight w:val="0"/>
          <w:marTop w:val="0"/>
          <w:marBottom w:val="0"/>
          <w:divBdr>
            <w:top w:val="none" w:sz="0" w:space="0" w:color="auto"/>
            <w:left w:val="none" w:sz="0" w:space="0" w:color="auto"/>
            <w:bottom w:val="none" w:sz="0" w:space="0" w:color="auto"/>
            <w:right w:val="none" w:sz="0" w:space="0" w:color="auto"/>
          </w:divBdr>
          <w:divsChild>
            <w:div w:id="26834217">
              <w:marLeft w:val="0"/>
              <w:marRight w:val="0"/>
              <w:marTop w:val="0"/>
              <w:marBottom w:val="0"/>
              <w:divBdr>
                <w:top w:val="none" w:sz="0" w:space="0" w:color="auto"/>
                <w:left w:val="none" w:sz="0" w:space="0" w:color="auto"/>
                <w:bottom w:val="none" w:sz="0" w:space="0" w:color="auto"/>
                <w:right w:val="none" w:sz="0" w:space="0" w:color="auto"/>
              </w:divBdr>
              <w:divsChild>
                <w:div w:id="549272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72182368">
      <w:bodyDiv w:val="1"/>
      <w:marLeft w:val="0"/>
      <w:marRight w:val="0"/>
      <w:marTop w:val="0"/>
      <w:marBottom w:val="0"/>
      <w:divBdr>
        <w:top w:val="none" w:sz="0" w:space="0" w:color="auto"/>
        <w:left w:val="none" w:sz="0" w:space="0" w:color="auto"/>
        <w:bottom w:val="none" w:sz="0" w:space="0" w:color="auto"/>
        <w:right w:val="none" w:sz="0" w:space="0" w:color="auto"/>
      </w:divBdr>
      <w:divsChild>
        <w:div w:id="947784451">
          <w:marLeft w:val="0"/>
          <w:marRight w:val="0"/>
          <w:marTop w:val="0"/>
          <w:marBottom w:val="0"/>
          <w:divBdr>
            <w:top w:val="none" w:sz="0" w:space="0" w:color="auto"/>
            <w:left w:val="none" w:sz="0" w:space="0" w:color="auto"/>
            <w:bottom w:val="none" w:sz="0" w:space="0" w:color="auto"/>
            <w:right w:val="none" w:sz="0" w:space="0" w:color="auto"/>
          </w:divBdr>
          <w:divsChild>
            <w:div w:id="48460893">
              <w:marLeft w:val="0"/>
              <w:marRight w:val="0"/>
              <w:marTop w:val="0"/>
              <w:marBottom w:val="0"/>
              <w:divBdr>
                <w:top w:val="none" w:sz="0" w:space="0" w:color="auto"/>
                <w:left w:val="none" w:sz="0" w:space="0" w:color="auto"/>
                <w:bottom w:val="none" w:sz="0" w:space="0" w:color="auto"/>
                <w:right w:val="none" w:sz="0" w:space="0" w:color="auto"/>
              </w:divBdr>
              <w:divsChild>
                <w:div w:id="1527061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_rels/footnotes.xml.rels><?xml version="1.0" encoding="UTF-8" standalone="yes"?>
<Relationships xmlns="http://schemas.openxmlformats.org/package/2006/relationships"><Relationship Id="rId1" Type="http://schemas.openxmlformats.org/officeDocument/2006/relationships/hyperlink" Target="http://www.cpt.coe.i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61</TotalTime>
  <Pages>12</Pages>
  <Words>3242</Words>
  <Characters>18481</Characters>
  <Application>Microsoft Macintosh Word</Application>
  <DocSecurity>0</DocSecurity>
  <Lines>154</Lines>
  <Paragraphs>43</Paragraphs>
  <ScaleCrop>false</ScaleCrop>
  <HeadingPairs>
    <vt:vector size="2" baseType="variant">
      <vt:variant>
        <vt:lpstr>Title</vt:lpstr>
      </vt:variant>
      <vt:variant>
        <vt:i4>1</vt:i4>
      </vt:variant>
    </vt:vector>
  </HeadingPairs>
  <TitlesOfParts>
    <vt:vector size="1" baseType="lpstr">
      <vt:lpstr/>
    </vt:vector>
  </TitlesOfParts>
  <Company>DIT</Company>
  <LinksUpToDate>false</LinksUpToDate>
  <CharactersWithSpaces>21680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Mary Rogan</dc:creator>
  <cp:lastModifiedBy>Mary Rogan</cp:lastModifiedBy>
  <cp:revision>13</cp:revision>
  <dcterms:created xsi:type="dcterms:W3CDTF">2016-12-02T14:54:00Z</dcterms:created>
  <dcterms:modified xsi:type="dcterms:W3CDTF">2016-12-02T17:16:00Z</dcterms:modified>
</cp:coreProperties>
</file>