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1329F7" w14:textId="5F201265" w:rsidR="002F5F39" w:rsidRPr="002F5F39" w:rsidRDefault="00D629CC" w:rsidP="00446D63">
      <w:pPr>
        <w:spacing w:line="480" w:lineRule="auto"/>
        <w:jc w:val="center"/>
        <w:outlineLvl w:val="0"/>
        <w:rPr>
          <w:b/>
          <w:color w:val="000000" w:themeColor="text1"/>
        </w:rPr>
      </w:pPr>
      <w:r>
        <w:rPr>
          <w:b/>
          <w:color w:val="000000" w:themeColor="text1"/>
        </w:rPr>
        <w:t>‘</w:t>
      </w:r>
      <w:r w:rsidR="002F5F39">
        <w:rPr>
          <w:b/>
          <w:color w:val="000000" w:themeColor="text1"/>
        </w:rPr>
        <w:t xml:space="preserve">Five Pounds </w:t>
      </w:r>
      <w:r>
        <w:rPr>
          <w:b/>
          <w:color w:val="000000" w:themeColor="text1"/>
        </w:rPr>
        <w:t xml:space="preserve">for a </w:t>
      </w:r>
      <w:proofErr w:type="spellStart"/>
      <w:r>
        <w:rPr>
          <w:b/>
          <w:color w:val="000000" w:themeColor="text1"/>
        </w:rPr>
        <w:t>Swadler’s</w:t>
      </w:r>
      <w:proofErr w:type="spellEnd"/>
      <w:r>
        <w:rPr>
          <w:b/>
          <w:color w:val="000000" w:themeColor="text1"/>
        </w:rPr>
        <w:t xml:space="preserve"> Head’: </w:t>
      </w:r>
      <w:r w:rsidR="00E9198F">
        <w:rPr>
          <w:b/>
          <w:color w:val="000000" w:themeColor="text1"/>
        </w:rPr>
        <w:t>The Cork Anti-Methodist Riots of</w:t>
      </w:r>
      <w:r w:rsidR="003F5853">
        <w:rPr>
          <w:b/>
          <w:color w:val="000000" w:themeColor="text1"/>
        </w:rPr>
        <w:t xml:space="preserve"> 1749-50</w:t>
      </w:r>
    </w:p>
    <w:p w14:paraId="383DCEEF" w14:textId="77777777" w:rsidR="002F5F39" w:rsidRDefault="002F5F39" w:rsidP="003F5853">
      <w:pPr>
        <w:jc w:val="both"/>
        <w:rPr>
          <w:color w:val="000000" w:themeColor="text1"/>
        </w:rPr>
      </w:pPr>
    </w:p>
    <w:p w14:paraId="00B42C27" w14:textId="76B60FF3" w:rsidR="00754ED3" w:rsidRDefault="00B20EEA" w:rsidP="000C6A47">
      <w:pPr>
        <w:spacing w:line="480" w:lineRule="auto"/>
        <w:jc w:val="both"/>
        <w:rPr>
          <w:color w:val="000000" w:themeColor="text1"/>
        </w:rPr>
      </w:pPr>
      <w:r w:rsidRPr="004B7390">
        <w:rPr>
          <w:color w:val="000000" w:themeColor="text1"/>
        </w:rPr>
        <w:t>For eighteenth-century Methodist preachers, the threat of violence was an everyday fact of life.</w:t>
      </w:r>
      <w:r w:rsidR="009A672B">
        <w:rPr>
          <w:color w:val="000000" w:themeColor="text1"/>
        </w:rPr>
        <w:t xml:space="preserve"> </w:t>
      </w:r>
      <w:r w:rsidR="0099079B" w:rsidRPr="004B7390">
        <w:rPr>
          <w:color w:val="000000" w:themeColor="text1"/>
        </w:rPr>
        <w:t>I</w:t>
      </w:r>
      <w:r w:rsidR="000D141B">
        <w:rPr>
          <w:color w:val="000000" w:themeColor="text1"/>
        </w:rPr>
        <w:t xml:space="preserve">n 1740, William Seward, </w:t>
      </w:r>
      <w:r w:rsidR="0047390C">
        <w:rPr>
          <w:color w:val="000000" w:themeColor="text1"/>
        </w:rPr>
        <w:t xml:space="preserve">George </w:t>
      </w:r>
      <w:r w:rsidR="0099079B" w:rsidRPr="004B7390">
        <w:rPr>
          <w:color w:val="000000" w:themeColor="text1"/>
        </w:rPr>
        <w:t>Whitefield’s unofficial publicity agent, was ston</w:t>
      </w:r>
      <w:r w:rsidR="004904BF" w:rsidRPr="004B7390">
        <w:rPr>
          <w:color w:val="000000" w:themeColor="text1"/>
        </w:rPr>
        <w:t xml:space="preserve">ed to death at Hay-on-Wye, </w:t>
      </w:r>
      <w:r w:rsidR="0099079B" w:rsidRPr="004B7390">
        <w:rPr>
          <w:color w:val="000000" w:themeColor="text1"/>
        </w:rPr>
        <w:t xml:space="preserve">rendering him the first Methodist </w:t>
      </w:r>
      <w:r w:rsidR="00DD55CC">
        <w:rPr>
          <w:color w:val="000000" w:themeColor="text1"/>
        </w:rPr>
        <w:t>‘</w:t>
      </w:r>
      <w:r w:rsidR="0099079B" w:rsidRPr="004B7390">
        <w:rPr>
          <w:color w:val="000000" w:themeColor="text1"/>
        </w:rPr>
        <w:t>martyr</w:t>
      </w:r>
      <w:r w:rsidR="00DD55CC">
        <w:rPr>
          <w:color w:val="000000" w:themeColor="text1"/>
        </w:rPr>
        <w:t>’</w:t>
      </w:r>
      <w:r w:rsidR="0099079B" w:rsidRPr="004B7390">
        <w:rPr>
          <w:color w:val="000000" w:themeColor="text1"/>
        </w:rPr>
        <w:t>. During this period,</w:t>
      </w:r>
      <w:r w:rsidR="00387E3F" w:rsidRPr="004B7390">
        <w:rPr>
          <w:color w:val="000000" w:themeColor="text1"/>
        </w:rPr>
        <w:t xml:space="preserve"> Met</w:t>
      </w:r>
      <w:r w:rsidR="00DB021F" w:rsidRPr="004B7390">
        <w:rPr>
          <w:color w:val="000000" w:themeColor="text1"/>
        </w:rPr>
        <w:t xml:space="preserve">hodism sparked riots in </w:t>
      </w:r>
      <w:r w:rsidR="00213120">
        <w:rPr>
          <w:color w:val="000000" w:themeColor="text1"/>
        </w:rPr>
        <w:t xml:space="preserve">English </w:t>
      </w:r>
      <w:r w:rsidR="00387E3F" w:rsidRPr="004B7390">
        <w:rPr>
          <w:color w:val="000000" w:themeColor="text1"/>
        </w:rPr>
        <w:t>provincial</w:t>
      </w:r>
      <w:r w:rsidR="00213120">
        <w:rPr>
          <w:color w:val="000000" w:themeColor="text1"/>
        </w:rPr>
        <w:t xml:space="preserve"> </w:t>
      </w:r>
      <w:r w:rsidR="00DB021F" w:rsidRPr="004B7390">
        <w:rPr>
          <w:color w:val="000000" w:themeColor="text1"/>
        </w:rPr>
        <w:t xml:space="preserve">towns, such as Wednesbury, Staffordshire (1743), and rural settlements, such </w:t>
      </w:r>
      <w:r w:rsidR="00CE650E">
        <w:rPr>
          <w:color w:val="000000" w:themeColor="text1"/>
        </w:rPr>
        <w:t xml:space="preserve">as </w:t>
      </w:r>
      <w:r w:rsidR="00DB021F" w:rsidRPr="004B7390">
        <w:rPr>
          <w:color w:val="000000" w:themeColor="text1"/>
        </w:rPr>
        <w:t>the Pendle Forest region of Lancashire (1748).</w:t>
      </w:r>
      <w:r w:rsidR="00011597" w:rsidRPr="004B7390">
        <w:rPr>
          <w:color w:val="000000" w:themeColor="text1"/>
        </w:rPr>
        <w:t xml:space="preserve"> In </w:t>
      </w:r>
      <w:r w:rsidR="00770F20">
        <w:rPr>
          <w:color w:val="000000" w:themeColor="text1"/>
        </w:rPr>
        <w:t xml:space="preserve">1745, </w:t>
      </w:r>
      <w:r w:rsidR="0099079B" w:rsidRPr="004B7390">
        <w:rPr>
          <w:color w:val="000000" w:themeColor="text1"/>
        </w:rPr>
        <w:t xml:space="preserve">John </w:t>
      </w:r>
      <w:r w:rsidR="00011597" w:rsidRPr="004B7390">
        <w:rPr>
          <w:color w:val="000000" w:themeColor="text1"/>
        </w:rPr>
        <w:t xml:space="preserve">Wesley published </w:t>
      </w:r>
      <w:r w:rsidR="006B1F88" w:rsidRPr="004B7390">
        <w:rPr>
          <w:i/>
          <w:color w:val="000000" w:themeColor="text1"/>
        </w:rPr>
        <w:t>Modern Christianity</w:t>
      </w:r>
      <w:r w:rsidR="006B1F88" w:rsidRPr="004B7390">
        <w:rPr>
          <w:color w:val="000000" w:themeColor="text1"/>
        </w:rPr>
        <w:t>, which included testimonies from his followers, including numerous women, who des</w:t>
      </w:r>
      <w:r w:rsidR="00B5036B">
        <w:rPr>
          <w:color w:val="000000" w:themeColor="text1"/>
        </w:rPr>
        <w:t>cribed the suffering inflict</w:t>
      </w:r>
      <w:r w:rsidR="007D420B">
        <w:rPr>
          <w:color w:val="000000" w:themeColor="text1"/>
        </w:rPr>
        <w:t>ed on them by the Wednesbury rioters</w:t>
      </w:r>
      <w:r w:rsidR="006B1F88" w:rsidRPr="004B7390">
        <w:rPr>
          <w:color w:val="000000" w:themeColor="text1"/>
        </w:rPr>
        <w:t>.</w:t>
      </w:r>
      <w:r w:rsidR="001A305A" w:rsidRPr="004B7390">
        <w:rPr>
          <w:color w:val="000000" w:themeColor="text1"/>
        </w:rPr>
        <w:t xml:space="preserve"> Various accounts described the alleged duplicity of the ecclesiastical and secular authorities, including a curate who accompanied the mob, a chu</w:t>
      </w:r>
      <w:r w:rsidR="00B5036B">
        <w:rPr>
          <w:color w:val="000000" w:themeColor="text1"/>
        </w:rPr>
        <w:t>rchwarden who bribed the rioters</w:t>
      </w:r>
      <w:r w:rsidR="001A305A" w:rsidRPr="004B7390">
        <w:rPr>
          <w:color w:val="000000" w:themeColor="text1"/>
        </w:rPr>
        <w:t xml:space="preserve"> with ale, and an uncooperative JP</w:t>
      </w:r>
      <w:r w:rsidR="00CB0967">
        <w:rPr>
          <w:color w:val="000000" w:themeColor="text1"/>
        </w:rPr>
        <w:t xml:space="preserve"> who failed to stop the rioters</w:t>
      </w:r>
      <w:r w:rsidR="001A305A" w:rsidRPr="004B7390">
        <w:rPr>
          <w:color w:val="000000" w:themeColor="text1"/>
        </w:rPr>
        <w:t>.</w:t>
      </w:r>
      <w:r w:rsidR="00754ED3" w:rsidRPr="004B7390">
        <w:rPr>
          <w:rStyle w:val="FootnoteReference"/>
          <w:color w:val="000000" w:themeColor="text1"/>
        </w:rPr>
        <w:footnoteReference w:id="1"/>
      </w:r>
      <w:r w:rsidR="00754ED3" w:rsidRPr="004B7390">
        <w:rPr>
          <w:color w:val="000000" w:themeColor="text1"/>
        </w:rPr>
        <w:t xml:space="preserve"> Wesley’s response was balanced by an anti-Methodist account of the riots, which described the seemingly provocative agenda of invasive </w:t>
      </w:r>
      <w:r w:rsidR="003004EF">
        <w:rPr>
          <w:color w:val="000000" w:themeColor="text1"/>
        </w:rPr>
        <w:t xml:space="preserve">evangelical </w:t>
      </w:r>
      <w:r w:rsidR="00754ED3" w:rsidRPr="004B7390">
        <w:rPr>
          <w:color w:val="000000" w:themeColor="text1"/>
        </w:rPr>
        <w:t>preach</w:t>
      </w:r>
      <w:r w:rsidR="00754ED3">
        <w:rPr>
          <w:color w:val="000000" w:themeColor="text1"/>
        </w:rPr>
        <w:t>ers – one of whom, apparently, philandered</w:t>
      </w:r>
      <w:r w:rsidR="00754ED3" w:rsidRPr="004B7390">
        <w:rPr>
          <w:color w:val="000000" w:themeColor="text1"/>
        </w:rPr>
        <w:t xml:space="preserve"> with a collier’s wife.</w:t>
      </w:r>
      <w:r w:rsidR="00754ED3" w:rsidRPr="004B7390">
        <w:rPr>
          <w:rStyle w:val="FootnoteReference"/>
          <w:color w:val="000000" w:themeColor="text1"/>
        </w:rPr>
        <w:footnoteReference w:id="2"/>
      </w:r>
      <w:r w:rsidR="00754ED3" w:rsidRPr="004B7390">
        <w:rPr>
          <w:color w:val="000000" w:themeColor="text1"/>
        </w:rPr>
        <w:t xml:space="preserve"> </w:t>
      </w:r>
      <w:r w:rsidR="00754ED3">
        <w:rPr>
          <w:color w:val="000000" w:themeColor="text1"/>
        </w:rPr>
        <w:t xml:space="preserve">Our knowledge of anti-Methodist violence in eighteenth-century England has benefited from the scholarship of </w:t>
      </w:r>
      <w:r w:rsidR="00754ED3" w:rsidRPr="004B7390">
        <w:rPr>
          <w:color w:val="000000" w:themeColor="text1"/>
        </w:rPr>
        <w:t>J</w:t>
      </w:r>
      <w:r w:rsidR="00754ED3">
        <w:rPr>
          <w:color w:val="000000" w:themeColor="text1"/>
        </w:rPr>
        <w:t>ohn Walsh and Michael Snape, which places</w:t>
      </w:r>
      <w:r w:rsidR="00754ED3" w:rsidRPr="004B7390">
        <w:rPr>
          <w:color w:val="000000" w:themeColor="text1"/>
        </w:rPr>
        <w:t xml:space="preserve"> </w:t>
      </w:r>
      <w:r w:rsidR="00754ED3">
        <w:rPr>
          <w:color w:val="000000" w:themeColor="text1"/>
        </w:rPr>
        <w:t xml:space="preserve">anti-Methodist mobs </w:t>
      </w:r>
      <w:r w:rsidR="00754ED3" w:rsidRPr="004B7390">
        <w:rPr>
          <w:color w:val="000000" w:themeColor="text1"/>
        </w:rPr>
        <w:t>within the wider context of</w:t>
      </w:r>
      <w:r w:rsidR="00754ED3">
        <w:rPr>
          <w:color w:val="000000" w:themeColor="text1"/>
        </w:rPr>
        <w:t xml:space="preserve"> popular religious protest in</w:t>
      </w:r>
      <w:r w:rsidR="00754ED3" w:rsidRPr="004B7390">
        <w:rPr>
          <w:color w:val="000000" w:themeColor="text1"/>
        </w:rPr>
        <w:t xml:space="preserve"> eighteenth-century </w:t>
      </w:r>
      <w:r w:rsidR="00754ED3">
        <w:rPr>
          <w:color w:val="000000" w:themeColor="text1"/>
        </w:rPr>
        <w:t>England</w:t>
      </w:r>
      <w:r w:rsidR="00754ED3" w:rsidRPr="004B7390">
        <w:rPr>
          <w:color w:val="000000" w:themeColor="text1"/>
        </w:rPr>
        <w:t>.</w:t>
      </w:r>
      <w:r w:rsidR="00754ED3">
        <w:rPr>
          <w:color w:val="000000" w:themeColor="text1"/>
        </w:rPr>
        <w:t xml:space="preserve"> As both scholars have argued, anti-Methodist violence in England often stemmed from collective memories of Puritanism, and fears of an imminent Jacobite invasion. Crucially, Snape has shown that, in the case of anti-Methodist rioting in Colne, Lancashire, in 1748, it was the ‘people’ – rather than the local clergy and ruling elites – who provided the main stimulus for this violence.</w:t>
      </w:r>
      <w:r w:rsidR="00754ED3">
        <w:rPr>
          <w:rStyle w:val="FootnoteReference"/>
          <w:color w:val="000000" w:themeColor="text1"/>
        </w:rPr>
        <w:footnoteReference w:id="3"/>
      </w:r>
    </w:p>
    <w:p w14:paraId="5EA1D235" w14:textId="519FAC7F" w:rsidR="00754ED3" w:rsidRDefault="00754ED3" w:rsidP="00607EBD">
      <w:pPr>
        <w:spacing w:line="480" w:lineRule="auto"/>
        <w:ind w:firstLine="720"/>
        <w:jc w:val="both"/>
        <w:rPr>
          <w:color w:val="000000" w:themeColor="text1"/>
        </w:rPr>
      </w:pPr>
      <w:r>
        <w:rPr>
          <w:color w:val="000000" w:themeColor="text1"/>
        </w:rPr>
        <w:lastRenderedPageBreak/>
        <w:t xml:space="preserve">Yet, virtually no scholarly attention has been devoted to </w:t>
      </w:r>
      <w:r w:rsidRPr="004B7390">
        <w:rPr>
          <w:color w:val="000000" w:themeColor="text1"/>
        </w:rPr>
        <w:t>the</w:t>
      </w:r>
      <w:r>
        <w:rPr>
          <w:color w:val="000000" w:themeColor="text1"/>
        </w:rPr>
        <w:t xml:space="preserve"> longest</w:t>
      </w:r>
      <w:r w:rsidRPr="004B7390">
        <w:rPr>
          <w:color w:val="000000" w:themeColor="text1"/>
        </w:rPr>
        <w:t xml:space="preserve"> </w:t>
      </w:r>
      <w:r w:rsidR="006816A8">
        <w:rPr>
          <w:color w:val="000000" w:themeColor="text1"/>
        </w:rPr>
        <w:t>outbreak of</w:t>
      </w:r>
      <w:r>
        <w:rPr>
          <w:color w:val="000000" w:themeColor="text1"/>
        </w:rPr>
        <w:t xml:space="preserve"> </w:t>
      </w:r>
      <w:r w:rsidRPr="004B7390">
        <w:rPr>
          <w:color w:val="000000" w:themeColor="text1"/>
        </w:rPr>
        <w:t>anti-Methodist riot</w:t>
      </w:r>
      <w:r w:rsidR="006816A8">
        <w:rPr>
          <w:color w:val="000000" w:themeColor="text1"/>
        </w:rPr>
        <w:t>ing</w:t>
      </w:r>
      <w:r w:rsidRPr="004B7390">
        <w:rPr>
          <w:color w:val="000000" w:themeColor="text1"/>
        </w:rPr>
        <w:t xml:space="preserve">, which occurred, not in England, but in the city of Cork, Ireland, between </w:t>
      </w:r>
      <w:r w:rsidR="00F81589">
        <w:rPr>
          <w:color w:val="000000" w:themeColor="text1"/>
        </w:rPr>
        <w:t xml:space="preserve">April </w:t>
      </w:r>
      <w:r w:rsidRPr="004B7390">
        <w:rPr>
          <w:color w:val="000000" w:themeColor="text1"/>
        </w:rPr>
        <w:t xml:space="preserve">1749 and </w:t>
      </w:r>
      <w:r w:rsidR="00F81589">
        <w:rPr>
          <w:color w:val="000000" w:themeColor="text1"/>
        </w:rPr>
        <w:t xml:space="preserve">June </w:t>
      </w:r>
      <w:r w:rsidRPr="004B7390">
        <w:rPr>
          <w:color w:val="000000" w:themeColor="text1"/>
        </w:rPr>
        <w:t>1750.</w:t>
      </w:r>
      <w:r>
        <w:rPr>
          <w:color w:val="000000" w:themeColor="text1"/>
        </w:rPr>
        <w:t xml:space="preserve"> </w:t>
      </w:r>
      <w:r w:rsidR="00AA0F89">
        <w:rPr>
          <w:color w:val="000000" w:themeColor="text1"/>
        </w:rPr>
        <w:t xml:space="preserve">The rioters’ alleged atrocities included </w:t>
      </w:r>
      <w:r w:rsidR="00253E2C">
        <w:rPr>
          <w:color w:val="000000" w:themeColor="text1"/>
        </w:rPr>
        <w:t xml:space="preserve">numerous </w:t>
      </w:r>
      <w:r w:rsidR="00A64043">
        <w:rPr>
          <w:color w:val="000000" w:themeColor="text1"/>
        </w:rPr>
        <w:t>acts of violence against men and women</w:t>
      </w:r>
      <w:r w:rsidR="00AA0F89">
        <w:rPr>
          <w:color w:val="000000" w:themeColor="text1"/>
        </w:rPr>
        <w:t xml:space="preserve"> (at least </w:t>
      </w:r>
      <w:r w:rsidR="00253E2C">
        <w:rPr>
          <w:color w:val="000000" w:themeColor="text1"/>
        </w:rPr>
        <w:t>two</w:t>
      </w:r>
      <w:r w:rsidR="00AA0F89">
        <w:rPr>
          <w:color w:val="000000" w:themeColor="text1"/>
        </w:rPr>
        <w:t xml:space="preserve"> </w:t>
      </w:r>
      <w:r w:rsidR="00A64043">
        <w:rPr>
          <w:color w:val="000000" w:themeColor="text1"/>
        </w:rPr>
        <w:t>female victims</w:t>
      </w:r>
      <w:r w:rsidR="00AA0F89">
        <w:rPr>
          <w:color w:val="000000" w:themeColor="text1"/>
        </w:rPr>
        <w:t xml:space="preserve"> apparently </w:t>
      </w:r>
      <w:r w:rsidR="00796CA8">
        <w:rPr>
          <w:color w:val="000000" w:themeColor="text1"/>
        </w:rPr>
        <w:t>experienced miscarriages</w:t>
      </w:r>
      <w:r w:rsidR="00AA0F89">
        <w:rPr>
          <w:color w:val="000000" w:themeColor="text1"/>
        </w:rPr>
        <w:t xml:space="preserve">), </w:t>
      </w:r>
      <w:r w:rsidR="000B494E">
        <w:rPr>
          <w:color w:val="000000" w:themeColor="text1"/>
        </w:rPr>
        <w:t xml:space="preserve">damage to </w:t>
      </w:r>
      <w:r w:rsidR="00D1190F">
        <w:rPr>
          <w:color w:val="000000" w:themeColor="text1"/>
        </w:rPr>
        <w:t xml:space="preserve">various </w:t>
      </w:r>
      <w:r w:rsidR="000B494E">
        <w:rPr>
          <w:color w:val="000000" w:themeColor="text1"/>
        </w:rPr>
        <w:t>propert</w:t>
      </w:r>
      <w:r w:rsidR="00D1190F">
        <w:rPr>
          <w:color w:val="000000" w:themeColor="text1"/>
        </w:rPr>
        <w:t>ies</w:t>
      </w:r>
      <w:r w:rsidR="009034BA">
        <w:rPr>
          <w:color w:val="000000" w:themeColor="text1"/>
        </w:rPr>
        <w:t>,</w:t>
      </w:r>
      <w:r w:rsidR="00AA0F89">
        <w:rPr>
          <w:color w:val="000000" w:themeColor="text1"/>
        </w:rPr>
        <w:t xml:space="preserve"> and</w:t>
      </w:r>
      <w:r w:rsidR="00D1190F">
        <w:rPr>
          <w:color w:val="000000" w:themeColor="text1"/>
        </w:rPr>
        <w:t xml:space="preserve"> the</w:t>
      </w:r>
      <w:r w:rsidR="00AA0F89">
        <w:rPr>
          <w:color w:val="000000" w:themeColor="text1"/>
        </w:rPr>
        <w:t xml:space="preserve"> murder</w:t>
      </w:r>
      <w:r w:rsidR="00D1190F">
        <w:rPr>
          <w:color w:val="000000" w:themeColor="text1"/>
        </w:rPr>
        <w:t xml:space="preserve"> of a soldier</w:t>
      </w:r>
      <w:r w:rsidR="00AA0F89">
        <w:rPr>
          <w:color w:val="000000" w:themeColor="text1"/>
        </w:rPr>
        <w:t xml:space="preserve">. </w:t>
      </w:r>
      <w:r w:rsidRPr="004B7390">
        <w:rPr>
          <w:color w:val="000000" w:themeColor="text1"/>
        </w:rPr>
        <w:t>What little has been published about the</w:t>
      </w:r>
      <w:r>
        <w:rPr>
          <w:color w:val="000000" w:themeColor="text1"/>
        </w:rPr>
        <w:t xml:space="preserve"> Cork riots has </w:t>
      </w:r>
      <w:r w:rsidRPr="004B7390">
        <w:rPr>
          <w:color w:val="000000" w:themeColor="text1"/>
        </w:rPr>
        <w:t>appeared</w:t>
      </w:r>
      <w:r>
        <w:rPr>
          <w:color w:val="000000" w:themeColor="text1"/>
        </w:rPr>
        <w:t xml:space="preserve"> mostly in Methodist hagiographies, which have portrayed the riots</w:t>
      </w:r>
      <w:r w:rsidRPr="004B7390">
        <w:rPr>
          <w:color w:val="000000" w:themeColor="text1"/>
        </w:rPr>
        <w:t xml:space="preserve"> as a providential battle between godly Methodists and evil rioters</w:t>
      </w:r>
      <w:r>
        <w:rPr>
          <w:color w:val="000000" w:themeColor="text1"/>
        </w:rPr>
        <w:t>, and claimed that the latter acted at the behest of Cork’s corporation and Anglican clergy</w:t>
      </w:r>
      <w:r w:rsidRPr="004B7390">
        <w:rPr>
          <w:color w:val="000000" w:themeColor="text1"/>
        </w:rPr>
        <w:t>.</w:t>
      </w:r>
      <w:r>
        <w:rPr>
          <w:rStyle w:val="FootnoteReference"/>
          <w:color w:val="000000" w:themeColor="text1"/>
        </w:rPr>
        <w:footnoteReference w:id="4"/>
      </w:r>
      <w:r>
        <w:rPr>
          <w:color w:val="000000" w:themeColor="text1"/>
        </w:rPr>
        <w:t xml:space="preserve"> Rather than interpreting the Cork riots in a Methodist ‘bubble’, this paper locates these disturbances as part of a lineage of urban violence and popular protest in early modern Ireland.</w:t>
      </w:r>
      <w:r w:rsidRPr="004B7390">
        <w:rPr>
          <w:color w:val="000000" w:themeColor="text1"/>
        </w:rPr>
        <w:t xml:space="preserve"> </w:t>
      </w:r>
      <w:r>
        <w:rPr>
          <w:color w:val="000000" w:themeColor="text1"/>
        </w:rPr>
        <w:t xml:space="preserve">Historians of early modern violence constantly face two interlinked obstacles: the silence of perpetrators, and the ‘grain of </w:t>
      </w:r>
      <w:proofErr w:type="spellStart"/>
      <w:r>
        <w:rPr>
          <w:color w:val="000000" w:themeColor="text1"/>
        </w:rPr>
        <w:t>bias’</w:t>
      </w:r>
      <w:proofErr w:type="spellEnd"/>
      <w:r>
        <w:rPr>
          <w:color w:val="000000" w:themeColor="text1"/>
        </w:rPr>
        <w:t xml:space="preserve"> in the accounts of victims – the latter of which often form the bulk of our primary literature. Several scholars, notably Clodagh Tait and John Walter, have sought to recover the motivations and strategies of early modern Irish mobs.</w:t>
      </w:r>
      <w:r w:rsidRPr="00665A07">
        <w:rPr>
          <w:color w:val="000000" w:themeColor="text1"/>
        </w:rPr>
        <w:t xml:space="preserve"> </w:t>
      </w:r>
      <w:r>
        <w:rPr>
          <w:color w:val="000000" w:themeColor="text1"/>
        </w:rPr>
        <w:t>Rather than viewing them as disengaged plebeian rioters, who simply followed orders from their social superiors, both scholars have illuminated the ways in which mobs used protest and violence as a means of shaping their local politics. These studies have also highlighted the theatricality of aggressors, whose motivations stemmed from various religious, political, social, economic and ethnic grievances.</w:t>
      </w:r>
      <w:r>
        <w:rPr>
          <w:rStyle w:val="FootnoteReference"/>
          <w:color w:val="000000" w:themeColor="text1"/>
        </w:rPr>
        <w:footnoteReference w:id="5"/>
      </w:r>
      <w:r>
        <w:rPr>
          <w:color w:val="000000" w:themeColor="text1"/>
        </w:rPr>
        <w:t xml:space="preserve"> </w:t>
      </w:r>
    </w:p>
    <w:p w14:paraId="2878AF5D" w14:textId="79F67097" w:rsidR="00754ED3" w:rsidRDefault="00754ED3" w:rsidP="00A71FF4">
      <w:pPr>
        <w:spacing w:line="480" w:lineRule="auto"/>
        <w:ind w:firstLine="720"/>
        <w:jc w:val="both"/>
        <w:rPr>
          <w:color w:val="000000" w:themeColor="text1"/>
        </w:rPr>
      </w:pPr>
      <w:r>
        <w:rPr>
          <w:color w:val="000000" w:themeColor="text1"/>
        </w:rPr>
        <w:t>While studies of urban violence and popular protest in eighteenth-century Ireland are burgeoning, the persistence of religious violence during this period has gained little scholarly attention.</w:t>
      </w:r>
      <w:r>
        <w:rPr>
          <w:rStyle w:val="FootnoteReference"/>
          <w:color w:val="000000" w:themeColor="text1"/>
        </w:rPr>
        <w:footnoteReference w:id="6"/>
      </w:r>
      <w:r>
        <w:rPr>
          <w:color w:val="000000" w:themeColor="text1"/>
        </w:rPr>
        <w:t xml:space="preserve"> Religious tensions, of course, sometimes played a subordinate role in eighteenth-</w:t>
      </w:r>
      <w:r>
        <w:rPr>
          <w:color w:val="000000" w:themeColor="text1"/>
        </w:rPr>
        <w:lastRenderedPageBreak/>
        <w:t xml:space="preserve">century riots. This was true of one of the most prolonged outbreaks of urban violence in mid-eighteenth-century Ireland: the territorial battles between the (predominantly Catholic) butchers of Ormond Market and the (predominantly Protestant) weavers of Liberties in Dublin. Both gangs displayed solidarity </w:t>
      </w:r>
      <w:r>
        <w:t>in 1734, when they collaborated in the ritual execution of ‘Gallows Paul’ Farrell, a constable, who was despised across Dublin.</w:t>
      </w:r>
      <w:r>
        <w:rPr>
          <w:rStyle w:val="FootnoteReference"/>
        </w:rPr>
        <w:footnoteReference w:id="7"/>
      </w:r>
      <w:r>
        <w:rPr>
          <w:color w:val="000000" w:themeColor="text1"/>
        </w:rPr>
        <w:t xml:space="preserve"> On other occasions, riots stemmed from the indiscipline of soldiers.</w:t>
      </w:r>
      <w:r>
        <w:rPr>
          <w:rStyle w:val="FootnoteReference"/>
          <w:color w:val="000000" w:themeColor="text1"/>
        </w:rPr>
        <w:footnoteReference w:id="8"/>
      </w:r>
      <w:r>
        <w:rPr>
          <w:color w:val="000000" w:themeColor="text1"/>
        </w:rPr>
        <w:t xml:space="preserve"> Some scholars have attributed the apparent decline of religious violence during the eighteenth century to relatively harmonious relationships between Protestant landlords and Catholic tenants. Thomas Bartlett, for instance, describes eighteenth-century Ireland as a ‘moral economy’, in which ‘paternalism was, in general, rewarded with deference.’</w:t>
      </w:r>
      <w:r>
        <w:rPr>
          <w:rStyle w:val="FootnoteReference"/>
          <w:color w:val="000000" w:themeColor="text1"/>
        </w:rPr>
        <w:footnoteReference w:id="9"/>
      </w:r>
      <w:r>
        <w:rPr>
          <w:color w:val="000000" w:themeColor="text1"/>
        </w:rPr>
        <w:t xml:space="preserve"> Without denying that Catholic-Protestant tensions remained high between the sixteen-nineties and seventeen-eighties, Sean Connolly describes this period as a time of ‘sudden calm’, in which the Protestant elites displayed a ‘wary confidence in the face of a real, but containable, threat.’ Connolly downplays the importance of the penal laws, which, he claims, were largely unenforced, and, therefore, barely shaped the ‘structure of Irish society’.</w:t>
      </w:r>
      <w:r>
        <w:rPr>
          <w:rStyle w:val="FootnoteReference"/>
          <w:color w:val="000000" w:themeColor="text1"/>
        </w:rPr>
        <w:footnoteReference w:id="10"/>
      </w:r>
      <w:r>
        <w:rPr>
          <w:color w:val="000000" w:themeColor="text1"/>
        </w:rPr>
        <w:t xml:space="preserve"> Ian McBride, on the other hand, argues convincingly that the penal laws played a fundamental psychological role in setting boundaries between the Protestant elites and the majority Catholic population. In return for </w:t>
      </w:r>
      <w:r w:rsidR="007540BC">
        <w:rPr>
          <w:color w:val="000000" w:themeColor="text1"/>
        </w:rPr>
        <w:t xml:space="preserve">an outward </w:t>
      </w:r>
      <w:r w:rsidR="00A34973">
        <w:rPr>
          <w:color w:val="000000" w:themeColor="text1"/>
        </w:rPr>
        <w:t xml:space="preserve">show of </w:t>
      </w:r>
      <w:r>
        <w:rPr>
          <w:color w:val="000000" w:themeColor="text1"/>
        </w:rPr>
        <w:t>‘deference and supplication’, Catholics were granted ‘</w:t>
      </w:r>
      <w:r w:rsidRPr="00D87178">
        <w:rPr>
          <w:i/>
          <w:color w:val="000000" w:themeColor="text1"/>
        </w:rPr>
        <w:t>de facto</w:t>
      </w:r>
      <w:r>
        <w:rPr>
          <w:color w:val="000000" w:themeColor="text1"/>
        </w:rPr>
        <w:t xml:space="preserve"> toleration’</w:t>
      </w:r>
      <w:r w:rsidR="00A34973">
        <w:rPr>
          <w:color w:val="000000" w:themeColor="text1"/>
        </w:rPr>
        <w:t xml:space="preserve"> by the state.</w:t>
      </w:r>
      <w:r>
        <w:rPr>
          <w:rStyle w:val="FootnoteReference"/>
          <w:color w:val="000000" w:themeColor="text1"/>
        </w:rPr>
        <w:footnoteReference w:id="11"/>
      </w:r>
      <w:r>
        <w:rPr>
          <w:color w:val="000000" w:themeColor="text1"/>
        </w:rPr>
        <w:t xml:space="preserve"> </w:t>
      </w:r>
    </w:p>
    <w:p w14:paraId="396ABC9F" w14:textId="7498DFB8" w:rsidR="00754ED3" w:rsidRDefault="00754ED3" w:rsidP="00AD48A1">
      <w:pPr>
        <w:spacing w:line="480" w:lineRule="auto"/>
        <w:ind w:firstLine="720"/>
        <w:jc w:val="both"/>
        <w:rPr>
          <w:color w:val="000000" w:themeColor="text1"/>
        </w:rPr>
      </w:pPr>
      <w:r>
        <w:rPr>
          <w:color w:val="000000" w:themeColor="text1"/>
        </w:rPr>
        <w:t xml:space="preserve">As has been shown by McBride and, more recently, Timothy Watt, Catholics were usually anything but deferential following sporadic attempts at Protestant coercion. In 1715, </w:t>
      </w:r>
      <w:r>
        <w:rPr>
          <w:color w:val="000000" w:themeColor="text1"/>
        </w:rPr>
        <w:lastRenderedPageBreak/>
        <w:t>for instance, rioters rescued a Franciscan friar as he was being transported to jail in County Roscommon.</w:t>
      </w:r>
      <w:r>
        <w:rPr>
          <w:rStyle w:val="FootnoteReference"/>
          <w:color w:val="000000" w:themeColor="text1"/>
        </w:rPr>
        <w:footnoteReference w:id="12"/>
      </w:r>
      <w:r>
        <w:rPr>
          <w:color w:val="000000" w:themeColor="text1"/>
        </w:rPr>
        <w:t xml:space="preserve"> In 1734, two separate riots occurred in County Donegal following the arrest of a priest (one of whom was killed in the fracas).</w:t>
      </w:r>
      <w:r>
        <w:rPr>
          <w:rStyle w:val="FootnoteReference"/>
          <w:color w:val="000000" w:themeColor="text1"/>
        </w:rPr>
        <w:footnoteReference w:id="13"/>
      </w:r>
      <w:r>
        <w:rPr>
          <w:color w:val="000000" w:themeColor="text1"/>
        </w:rPr>
        <w:t xml:space="preserve"> In a letter to William Wake, archbishop of Canterbury, dated 12 July 1727, William King, archbishop of Dublin, claimed that ‘hazard and mischief’ was an ‘obstacle’ that constantly prevented the Irish Church from executing the penal laws. In most locations, the ‘papists’ were able, ‘at any time’, to ‘bring a mob together from very remote places’. Anybody branded a ‘priest catcher’ could expect ‘five hundred or six hundred unknown faces to fall on him’. Was it more than just a coincidence that King voiced these sentiments on the anniversary of the Battle of </w:t>
      </w:r>
      <w:proofErr w:type="spellStart"/>
      <w:r>
        <w:rPr>
          <w:color w:val="000000" w:themeColor="text1"/>
        </w:rPr>
        <w:t>Aughrim</w:t>
      </w:r>
      <w:proofErr w:type="spellEnd"/>
      <w:r>
        <w:rPr>
          <w:color w:val="000000" w:themeColor="text1"/>
        </w:rPr>
        <w:t xml:space="preserve"> (1691), which cemented William III’s victory over the </w:t>
      </w:r>
      <w:proofErr w:type="spellStart"/>
      <w:r>
        <w:rPr>
          <w:color w:val="000000" w:themeColor="text1"/>
        </w:rPr>
        <w:t>Jacobites</w:t>
      </w:r>
      <w:proofErr w:type="spellEnd"/>
      <w:r>
        <w:rPr>
          <w:color w:val="000000" w:themeColor="text1"/>
        </w:rPr>
        <w:t xml:space="preserve"> in Ireland? Clearly, by the beginning of the eighteenth century, religious motivations for crowd action had not become a thing of the past in Ireland.</w:t>
      </w:r>
      <w:r>
        <w:rPr>
          <w:rStyle w:val="FootnoteReference"/>
          <w:color w:val="000000" w:themeColor="text1"/>
        </w:rPr>
        <w:footnoteReference w:id="14"/>
      </w:r>
      <w:r>
        <w:rPr>
          <w:color w:val="000000" w:themeColor="text1"/>
        </w:rPr>
        <w:t xml:space="preserve"> </w:t>
      </w:r>
    </w:p>
    <w:p w14:paraId="5A672D01" w14:textId="31BC9D7D" w:rsidR="00754ED3" w:rsidRDefault="00754ED3" w:rsidP="000229C7">
      <w:pPr>
        <w:spacing w:line="480" w:lineRule="auto"/>
        <w:ind w:firstLine="720"/>
        <w:jc w:val="both"/>
        <w:rPr>
          <w:color w:val="000000" w:themeColor="text1"/>
        </w:rPr>
      </w:pPr>
      <w:r>
        <w:rPr>
          <w:color w:val="000000" w:themeColor="text1"/>
        </w:rPr>
        <w:t xml:space="preserve">This paper further illuminates the persistence of religious violence in eighteenth-century Ireland by offering a fundamental reappraisal of the Cork anti-Methodist riots. As with many early modern Irish riots, there are precious few primary sources relating to the Cork riots. Most of the existing sources, unsurprisingly, were written by Methodists. This lack of sources, inevitably, means that a study of the Cork riots generates more questions than answers. Nevertheless, an analysis of these disturbances is important because it helps to shed light on several significant aspects of religion, politics and society in eighteenth-century Ireland, such as the persistence of Jacobitism and anti-Jacobitism during the late seventeen-forties. Crucially, it builds on the scholarship of Tait and Walter by suggesting that the rioters acted independently of Cork’s corporation, and were, therefore, fuelled predominantly by their own politico-religious agenda. Furthermore, by exploring the Irish dimension to early anti-Methodist violence, this study elucidates common grievances that transcended both spatial and </w:t>
      </w:r>
      <w:r>
        <w:rPr>
          <w:color w:val="000000" w:themeColor="text1"/>
        </w:rPr>
        <w:lastRenderedPageBreak/>
        <w:t>denominational boundaries. At the same time, it illuminates the ways in which anti-Methodism differed in this predominantly Catholic setting, where efforts at Protestant conversion had long fallen by the wayside. It also provides</w:t>
      </w:r>
      <w:r w:rsidRPr="004B7390">
        <w:rPr>
          <w:color w:val="000000" w:themeColor="text1"/>
        </w:rPr>
        <w:t xml:space="preserve"> a rare</w:t>
      </w:r>
      <w:r>
        <w:rPr>
          <w:color w:val="000000" w:themeColor="text1"/>
        </w:rPr>
        <w:t xml:space="preserve"> glimpse into the ways in which</w:t>
      </w:r>
      <w:r w:rsidRPr="004B7390">
        <w:rPr>
          <w:color w:val="000000" w:themeColor="text1"/>
        </w:rPr>
        <w:t xml:space="preserve"> Methodists</w:t>
      </w:r>
      <w:r>
        <w:rPr>
          <w:color w:val="000000" w:themeColor="text1"/>
        </w:rPr>
        <w:t xml:space="preserve"> – particularly Methodist women – articulated</w:t>
      </w:r>
      <w:r w:rsidRPr="004B7390">
        <w:rPr>
          <w:color w:val="000000" w:themeColor="text1"/>
        </w:rPr>
        <w:t xml:space="preserve"> and interpreted experiences of persecution</w:t>
      </w:r>
      <w:r>
        <w:rPr>
          <w:color w:val="000000" w:themeColor="text1"/>
        </w:rPr>
        <w:t xml:space="preserve"> from Catholic rioters. B</w:t>
      </w:r>
      <w:r w:rsidRPr="004B7390">
        <w:rPr>
          <w:color w:val="000000" w:themeColor="text1"/>
        </w:rPr>
        <w:t xml:space="preserve">y </w:t>
      </w:r>
      <w:r>
        <w:rPr>
          <w:color w:val="000000" w:themeColor="text1"/>
        </w:rPr>
        <w:t>exploring</w:t>
      </w:r>
      <w:r w:rsidRPr="004B7390">
        <w:rPr>
          <w:color w:val="000000" w:themeColor="text1"/>
        </w:rPr>
        <w:t xml:space="preserve"> the ways in which the charge of ‘popery’ was hurled between Methodists and their Protestant oppon</w:t>
      </w:r>
      <w:r>
        <w:rPr>
          <w:color w:val="000000" w:themeColor="text1"/>
        </w:rPr>
        <w:t>ents in Cork, it highlights</w:t>
      </w:r>
      <w:r w:rsidRPr="004B7390">
        <w:rPr>
          <w:color w:val="000000" w:themeColor="text1"/>
        </w:rPr>
        <w:t xml:space="preserve"> the multifaceted nature of </w:t>
      </w:r>
      <w:r>
        <w:rPr>
          <w:color w:val="000000" w:themeColor="text1"/>
        </w:rPr>
        <w:t>eighteenth-century anti-Catholicism, thereby questioning the extent to which anti-popery fuelled Protestant cohesion in Ireland</w:t>
      </w:r>
      <w:r w:rsidRPr="004B7390">
        <w:rPr>
          <w:color w:val="000000" w:themeColor="text1"/>
        </w:rPr>
        <w:t>.</w:t>
      </w:r>
      <w:r>
        <w:rPr>
          <w:rStyle w:val="FootnoteReference"/>
          <w:color w:val="000000" w:themeColor="text1"/>
        </w:rPr>
        <w:footnoteReference w:id="15"/>
      </w:r>
      <w:r w:rsidRPr="004B7390">
        <w:rPr>
          <w:color w:val="000000" w:themeColor="text1"/>
        </w:rPr>
        <w:t xml:space="preserve"> </w:t>
      </w:r>
    </w:p>
    <w:p w14:paraId="51A054D0" w14:textId="20BF84CE" w:rsidR="00754ED3" w:rsidRPr="004B7390" w:rsidRDefault="00754ED3" w:rsidP="0006288C">
      <w:pPr>
        <w:spacing w:line="480" w:lineRule="auto"/>
        <w:ind w:firstLine="720"/>
        <w:jc w:val="both"/>
        <w:rPr>
          <w:color w:val="000000" w:themeColor="text1"/>
        </w:rPr>
      </w:pPr>
      <w:r>
        <w:rPr>
          <w:color w:val="000000" w:themeColor="text1"/>
        </w:rPr>
        <w:t xml:space="preserve">Also, by discussing the role played by Anglo-Irish anti-Methodist networks, it enhances our understanding of the ways in which opposition to evangelical preachers in Ireland was sometimes informed by events in England. Finally, </w:t>
      </w:r>
      <w:r w:rsidRPr="004B7390">
        <w:rPr>
          <w:color w:val="000000" w:themeColor="text1"/>
        </w:rPr>
        <w:t xml:space="preserve">through discussions of interactions between </w:t>
      </w:r>
      <w:r>
        <w:rPr>
          <w:color w:val="000000" w:themeColor="text1"/>
        </w:rPr>
        <w:t>Cork Methodists and Baptists, this paper highlights another Protestant group which</w:t>
      </w:r>
      <w:r w:rsidRPr="004B7390">
        <w:rPr>
          <w:color w:val="000000" w:themeColor="text1"/>
        </w:rPr>
        <w:t xml:space="preserve"> suffered at the </w:t>
      </w:r>
      <w:r>
        <w:rPr>
          <w:color w:val="000000" w:themeColor="text1"/>
        </w:rPr>
        <w:t>hands of anti-Methodist rioters</w:t>
      </w:r>
      <w:r w:rsidRPr="004B7390">
        <w:rPr>
          <w:color w:val="000000" w:themeColor="text1"/>
        </w:rPr>
        <w:t>.</w:t>
      </w:r>
      <w:r>
        <w:rPr>
          <w:color w:val="000000" w:themeColor="text1"/>
        </w:rPr>
        <w:t xml:space="preserve"> </w:t>
      </w:r>
      <w:r>
        <w:t>In 1756, Cork’s Baptist congregation started compiling a church book for ‘the internal corporate consumption’ of their members. Intended as a ‘morale booster for the congregation’, the book described numerous events in the church’s history. Much of its information was derived from the ‘oral traditions of long-established families’ in the congregation. Accounts of early interactions between Methodists and Baptists, as described in the church book, are significant because they elucidate the ways in which Methodists sometimes fuelled opposition.</w:t>
      </w:r>
      <w:r>
        <w:rPr>
          <w:rStyle w:val="FootnoteReference"/>
        </w:rPr>
        <w:footnoteReference w:id="16"/>
      </w:r>
      <w:r>
        <w:t xml:space="preserve"> Before analysing the events of the Cork riots, it is essential to examine the religious, political and social context in which they occurred. </w:t>
      </w:r>
      <w:r w:rsidRPr="004B7390">
        <w:rPr>
          <w:color w:val="000000" w:themeColor="text1"/>
        </w:rPr>
        <w:t xml:space="preserve"> </w:t>
      </w:r>
    </w:p>
    <w:p w14:paraId="54F90837" w14:textId="77777777" w:rsidR="00754ED3" w:rsidRDefault="00754ED3" w:rsidP="005879D5">
      <w:pPr>
        <w:jc w:val="both"/>
        <w:rPr>
          <w:color w:val="000000" w:themeColor="text1"/>
        </w:rPr>
      </w:pPr>
    </w:p>
    <w:p w14:paraId="5965F0CD" w14:textId="5AC22F63" w:rsidR="00754ED3" w:rsidRDefault="00754ED3" w:rsidP="00617368">
      <w:pPr>
        <w:spacing w:line="480" w:lineRule="auto"/>
        <w:jc w:val="both"/>
        <w:rPr>
          <w:color w:val="000000" w:themeColor="text1"/>
        </w:rPr>
      </w:pPr>
      <w:r>
        <w:rPr>
          <w:color w:val="000000" w:themeColor="text1"/>
        </w:rPr>
        <w:t xml:space="preserve">Seventeenth-century Cork witnessed two cataclysmic upheavals. Despite the relatively limited impact of the 1641 rebellion on the city, Cork Catholics were vilified by Protestants on both </w:t>
      </w:r>
      <w:r>
        <w:rPr>
          <w:color w:val="000000" w:themeColor="text1"/>
        </w:rPr>
        <w:lastRenderedPageBreak/>
        <w:t xml:space="preserve">sides of the Irish sea. In the wake of the rebellion, Tristram </w:t>
      </w:r>
      <w:proofErr w:type="spellStart"/>
      <w:r>
        <w:rPr>
          <w:color w:val="000000" w:themeColor="text1"/>
        </w:rPr>
        <w:t>Whetcombe</w:t>
      </w:r>
      <w:proofErr w:type="spellEnd"/>
      <w:r>
        <w:rPr>
          <w:color w:val="000000" w:themeColor="text1"/>
        </w:rPr>
        <w:t xml:space="preserve">, a Cork merchant, published </w:t>
      </w:r>
      <w:r w:rsidRPr="00226D0D">
        <w:rPr>
          <w:i/>
          <w:color w:val="000000" w:themeColor="text1"/>
        </w:rPr>
        <w:t>The Rebels Turkish Tyranny</w:t>
      </w:r>
      <w:r>
        <w:rPr>
          <w:color w:val="000000" w:themeColor="text1"/>
        </w:rPr>
        <w:t xml:space="preserve"> (1641), which appeared in London. </w:t>
      </w:r>
      <w:proofErr w:type="spellStart"/>
      <w:r>
        <w:rPr>
          <w:color w:val="000000" w:themeColor="text1"/>
        </w:rPr>
        <w:t>Whetcombe</w:t>
      </w:r>
      <w:proofErr w:type="spellEnd"/>
      <w:r>
        <w:rPr>
          <w:color w:val="000000" w:themeColor="text1"/>
        </w:rPr>
        <w:t xml:space="preserve"> described various alleged atrocities, including an incident in which one ‘religious godly woman’ was thrown ‘down upon the floor’ by a rebel, who ‘ravished’ her before her ‘husband’s face’. </w:t>
      </w:r>
      <w:proofErr w:type="spellStart"/>
      <w:r>
        <w:rPr>
          <w:color w:val="000000" w:themeColor="text1"/>
        </w:rPr>
        <w:t>Whetcombe’s</w:t>
      </w:r>
      <w:proofErr w:type="spellEnd"/>
      <w:r>
        <w:rPr>
          <w:color w:val="000000" w:themeColor="text1"/>
        </w:rPr>
        <w:t xml:space="preserve"> graphic account of the rebellion did not correspond with his deposition, taken on 28 October 1642, in which he listed only his financial losses.</w:t>
      </w:r>
      <w:r>
        <w:rPr>
          <w:rStyle w:val="FootnoteReference"/>
          <w:color w:val="000000" w:themeColor="text1"/>
        </w:rPr>
        <w:footnoteReference w:id="17"/>
      </w:r>
      <w:r>
        <w:rPr>
          <w:color w:val="000000" w:themeColor="text1"/>
        </w:rPr>
        <w:t xml:space="preserve"> More powerful and long-lasting, however, were the actions of </w:t>
      </w:r>
      <w:proofErr w:type="spellStart"/>
      <w:r>
        <w:rPr>
          <w:color w:val="000000" w:themeColor="text1"/>
        </w:rPr>
        <w:t>Murrough</w:t>
      </w:r>
      <w:proofErr w:type="spellEnd"/>
      <w:r>
        <w:rPr>
          <w:color w:val="000000" w:themeColor="text1"/>
        </w:rPr>
        <w:t xml:space="preserve"> O’Brien, Lord </w:t>
      </w:r>
      <w:proofErr w:type="spellStart"/>
      <w:r>
        <w:rPr>
          <w:color w:val="000000" w:themeColor="text1"/>
        </w:rPr>
        <w:t>Inchiquin</w:t>
      </w:r>
      <w:proofErr w:type="spellEnd"/>
      <w:r>
        <w:rPr>
          <w:color w:val="000000" w:themeColor="text1"/>
        </w:rPr>
        <w:t xml:space="preserve">, who expelled Cork’s Catholic population in 1644. </w:t>
      </w:r>
      <w:proofErr w:type="spellStart"/>
      <w:r>
        <w:rPr>
          <w:color w:val="000000" w:themeColor="text1"/>
        </w:rPr>
        <w:t>Inchiquin</w:t>
      </w:r>
      <w:proofErr w:type="spellEnd"/>
      <w:r>
        <w:rPr>
          <w:color w:val="000000" w:themeColor="text1"/>
        </w:rPr>
        <w:t xml:space="preserve"> claimed to have uncovered a ‘popish’ plot to deliver the walled city to the Catholic Confederacy. This repressive regime continued throughout the Cromwellian years, in which most of the land in the city and county transferred into Protestant hands. Upon the restoration of the monarchy, many Catholics were permitted back into the city, albeit as tenants, who were excluded from public office.</w:t>
      </w:r>
    </w:p>
    <w:p w14:paraId="1AFD52A6" w14:textId="36D3C8E8" w:rsidR="00754ED3" w:rsidRDefault="00754ED3" w:rsidP="002A7AC3">
      <w:pPr>
        <w:spacing w:line="480" w:lineRule="auto"/>
        <w:ind w:firstLine="720"/>
        <w:jc w:val="both"/>
        <w:rPr>
          <w:color w:val="000000" w:themeColor="text1"/>
        </w:rPr>
      </w:pPr>
      <w:r>
        <w:rPr>
          <w:color w:val="000000" w:themeColor="text1"/>
        </w:rPr>
        <w:t xml:space="preserve">In 1685, this situation changed radically upon the accession of James II, who was furious that his co-religionists occupied such a subordinate place in Cork’s governance and trade. After refusing to admit Catholics as freemen, Cork Corporation was dissolved and re-established in 1687. Under the terms of a royal charter, the corporation was prevented from discriminating against Catholics. Thus, for the remainder of James’s reign, most of the seats on the city’s council were occupied by Catholics. Nevertheless, Cork Catholics were disappointed to find that they were unable to regain lands seized during the 1640s and 1650s. Their anger and resentment generated feelings of insecurity among Cork Protestants. These fears were heightened by the Glorious Revolution. In September 1690, Cork’s walls were penetrated by Williamite forces. Several suburbs were destroyed, and approximately 4,000 townspeople were temporarily imprisoned in churches. Disease and malnutrition ravaged the </w:t>
      </w:r>
      <w:r>
        <w:rPr>
          <w:color w:val="000000" w:themeColor="text1"/>
        </w:rPr>
        <w:lastRenderedPageBreak/>
        <w:t xml:space="preserve">city. Following the </w:t>
      </w:r>
      <w:proofErr w:type="spellStart"/>
      <w:r>
        <w:rPr>
          <w:color w:val="000000" w:themeColor="text1"/>
        </w:rPr>
        <w:t>Jacobites</w:t>
      </w:r>
      <w:proofErr w:type="spellEnd"/>
      <w:r>
        <w:rPr>
          <w:color w:val="000000" w:themeColor="text1"/>
        </w:rPr>
        <w:t>’ defeat, Cork Catholics were once again excluded from the corporation. For Cork Protestants, however, this was an uneasy victory.</w:t>
      </w:r>
      <w:r>
        <w:rPr>
          <w:rStyle w:val="FootnoteReference"/>
          <w:color w:val="000000" w:themeColor="text1"/>
        </w:rPr>
        <w:footnoteReference w:id="18"/>
      </w:r>
      <w:r>
        <w:rPr>
          <w:color w:val="000000" w:themeColor="text1"/>
        </w:rPr>
        <w:t xml:space="preserve"> </w:t>
      </w:r>
    </w:p>
    <w:p w14:paraId="1627B135" w14:textId="6B67469B" w:rsidR="00754ED3" w:rsidRPr="005D2098" w:rsidRDefault="00754ED3" w:rsidP="005D2098">
      <w:pPr>
        <w:spacing w:line="480" w:lineRule="auto"/>
        <w:ind w:firstLine="720"/>
        <w:jc w:val="both"/>
        <w:rPr>
          <w:color w:val="000000" w:themeColor="text1"/>
        </w:rPr>
      </w:pPr>
      <w:r>
        <w:rPr>
          <w:color w:val="000000" w:themeColor="text1"/>
        </w:rPr>
        <w:t xml:space="preserve">Indeed, fears of reprisals from Cork’s majority Catholic population continued into the early decades of the eighteenth century – a period in which the city witnessed religious, political and economic tensions. </w:t>
      </w:r>
      <w:r w:rsidRPr="004B7390">
        <w:rPr>
          <w:color w:val="000000" w:themeColor="text1"/>
        </w:rPr>
        <w:t>Th</w:t>
      </w:r>
      <w:r>
        <w:rPr>
          <w:color w:val="000000" w:themeColor="text1"/>
        </w:rPr>
        <w:t>roughout this time, Cork’s merchant elite remained</w:t>
      </w:r>
      <w:r w:rsidRPr="004B7390">
        <w:rPr>
          <w:color w:val="000000" w:themeColor="text1"/>
        </w:rPr>
        <w:t xml:space="preserve"> dominated by members of the Church of Ireland. However, despite growing Protestant immigration from England and the continent, Cork’s Catholic population continued to tower over it</w:t>
      </w:r>
      <w:r>
        <w:rPr>
          <w:color w:val="000000" w:themeColor="text1"/>
        </w:rPr>
        <w:t xml:space="preserve">s Protestant population. </w:t>
      </w:r>
      <w:r w:rsidR="001C17E9">
        <w:rPr>
          <w:color w:val="000000" w:themeColor="text1"/>
        </w:rPr>
        <w:t>By</w:t>
      </w:r>
      <w:r>
        <w:rPr>
          <w:color w:val="000000" w:themeColor="text1"/>
        </w:rPr>
        <w:t xml:space="preserve"> 1736</w:t>
      </w:r>
      <w:r w:rsidRPr="004B7390">
        <w:rPr>
          <w:color w:val="000000" w:themeColor="text1"/>
        </w:rPr>
        <w:t>, P</w:t>
      </w:r>
      <w:r>
        <w:rPr>
          <w:color w:val="000000" w:themeColor="text1"/>
        </w:rPr>
        <w:t>rotestants formed only</w:t>
      </w:r>
      <w:r w:rsidRPr="004B7390">
        <w:rPr>
          <w:color w:val="000000" w:themeColor="text1"/>
        </w:rPr>
        <w:t xml:space="preserve"> a third of Cork’s population.</w:t>
      </w:r>
      <w:r w:rsidRPr="004B7390">
        <w:rPr>
          <w:rStyle w:val="FootnoteReference"/>
          <w:color w:val="000000" w:themeColor="text1"/>
        </w:rPr>
        <w:footnoteReference w:id="19"/>
      </w:r>
      <w:r w:rsidRPr="004B7390">
        <w:rPr>
          <w:color w:val="000000" w:themeColor="text1"/>
        </w:rPr>
        <w:t xml:space="preserve"> </w:t>
      </w:r>
      <w:r>
        <w:rPr>
          <w:color w:val="000000" w:themeColor="text1"/>
        </w:rPr>
        <w:t>Thus, assertion of Protestant power</w:t>
      </w:r>
      <w:r w:rsidRPr="004B7390">
        <w:rPr>
          <w:color w:val="000000" w:themeColor="text1"/>
        </w:rPr>
        <w:t xml:space="preserve"> carried risks. In 1720, Sir James Cotter, a vocal Jacobite and member of the Munster Catholic gentry, was indicted and executed for allegedly raping</w:t>
      </w:r>
      <w:r>
        <w:rPr>
          <w:color w:val="000000" w:themeColor="text1"/>
        </w:rPr>
        <w:t xml:space="preserve"> </w:t>
      </w:r>
      <w:r w:rsidRPr="004B7390">
        <w:rPr>
          <w:color w:val="000000" w:themeColor="text1"/>
        </w:rPr>
        <w:t xml:space="preserve">Elizabeth Squibb, a Quaker. Many Catholics – both in Ireland and England – viewed the charges as fabricated. In retaliation, Catholic mobs attacked Cork City’s Quaker </w:t>
      </w:r>
      <w:r w:rsidR="0014586F">
        <w:rPr>
          <w:color w:val="000000" w:themeColor="text1"/>
        </w:rPr>
        <w:t>community</w:t>
      </w:r>
      <w:r w:rsidRPr="004B7390">
        <w:rPr>
          <w:color w:val="000000" w:themeColor="text1"/>
        </w:rPr>
        <w:t>.</w:t>
      </w:r>
      <w:r>
        <w:rPr>
          <w:color w:val="000000" w:themeColor="text1"/>
        </w:rPr>
        <w:t xml:space="preserve"> Two Quaker women were assaulted.</w:t>
      </w:r>
      <w:r w:rsidRPr="004B7390">
        <w:rPr>
          <w:color w:val="000000" w:themeColor="text1"/>
        </w:rPr>
        <w:t xml:space="preserve"> </w:t>
      </w:r>
      <w:r>
        <w:rPr>
          <w:color w:val="000000" w:themeColor="text1"/>
        </w:rPr>
        <w:t>Numerous others were threatened. Nailed to the Cork</w:t>
      </w:r>
      <w:r w:rsidRPr="004B7390">
        <w:rPr>
          <w:color w:val="000000" w:themeColor="text1"/>
        </w:rPr>
        <w:t xml:space="preserve"> meeting</w:t>
      </w:r>
      <w:r>
        <w:rPr>
          <w:color w:val="000000" w:themeColor="text1"/>
        </w:rPr>
        <w:t>-</w:t>
      </w:r>
      <w:r w:rsidRPr="004B7390">
        <w:rPr>
          <w:color w:val="000000" w:themeColor="text1"/>
        </w:rPr>
        <w:t>house was a revenge note, which closed with the statement: ‘God save King James III of England, to whom you will soon pay anguish and punis</w:t>
      </w:r>
      <w:r>
        <w:t>h in this matter.’ Seemingly powerless, the mayor of Cork attempted to stop the attacks by appealing (in vain) to the recusant clergy.</w:t>
      </w:r>
      <w:r>
        <w:rPr>
          <w:rStyle w:val="FootnoteReference"/>
        </w:rPr>
        <w:footnoteReference w:id="20"/>
      </w:r>
      <w:r>
        <w:t xml:space="preserve"> Following the Cotter affair, attempted crackdowns on influential Cork Catholics were rare and insignificant. In 1723, Viscount Perceval contemplated a ‘parliamentary proposal to banish all unregistered priests’ in the county, but quickly realised that – without ‘better endeavours’ to ‘convert the natives’ – such an initiative was pointless. </w:t>
      </w:r>
      <w:r w:rsidR="005C17B5">
        <w:t>I</w:t>
      </w:r>
      <w:r>
        <w:t xml:space="preserve">n 1729, </w:t>
      </w:r>
      <w:r w:rsidR="005958C1">
        <w:t>Cork</w:t>
      </w:r>
      <w:r>
        <w:t xml:space="preserve"> Catholics – acting under the direction of their bishop, Thaddeus </w:t>
      </w:r>
      <w:proofErr w:type="spellStart"/>
      <w:r>
        <w:t>MacCarthy</w:t>
      </w:r>
      <w:proofErr w:type="spellEnd"/>
      <w:r>
        <w:t xml:space="preserve"> – built </w:t>
      </w:r>
      <w:r>
        <w:lastRenderedPageBreak/>
        <w:t xml:space="preserve">two new churches in the city. Clearly, in return for their </w:t>
      </w:r>
      <w:r w:rsidR="00A34973">
        <w:t xml:space="preserve">outward </w:t>
      </w:r>
      <w:r>
        <w:t>deference</w:t>
      </w:r>
      <w:r w:rsidR="00A34973">
        <w:t xml:space="preserve"> to the Protestant establishment</w:t>
      </w:r>
      <w:r>
        <w:t xml:space="preserve">, Cork Catholics were experiencing the </w:t>
      </w:r>
      <w:r w:rsidR="00D36870">
        <w:t>‘</w:t>
      </w:r>
      <w:r w:rsidRPr="00402283">
        <w:rPr>
          <w:i/>
        </w:rPr>
        <w:t>de facto</w:t>
      </w:r>
      <w:r>
        <w:t xml:space="preserve"> toleration</w:t>
      </w:r>
      <w:r w:rsidR="00D36870">
        <w:t>’</w:t>
      </w:r>
      <w:r>
        <w:t xml:space="preserve"> described by McBride. Politico-religious tensions, of course, remained high</w:t>
      </w:r>
      <w:r w:rsidR="00A34973">
        <w:t xml:space="preserve"> in the city</w:t>
      </w:r>
      <w:r w:rsidR="005518CD">
        <w:t xml:space="preserve"> and county</w:t>
      </w:r>
      <w:r>
        <w:t>.</w:t>
      </w:r>
      <w:r>
        <w:rPr>
          <w:rStyle w:val="FootnoteReference"/>
        </w:rPr>
        <w:footnoteReference w:id="21"/>
      </w:r>
      <w:r>
        <w:t xml:space="preserve"> </w:t>
      </w:r>
    </w:p>
    <w:p w14:paraId="29A85DAD" w14:textId="5E05F290" w:rsidR="00754ED3" w:rsidRDefault="00754ED3" w:rsidP="00F36873">
      <w:pPr>
        <w:spacing w:line="480" w:lineRule="auto"/>
        <w:ind w:firstLine="720"/>
        <w:jc w:val="both"/>
      </w:pPr>
      <w:r>
        <w:t>Despite occupying ‘the nearest landfall’ for a possible French or Spanish invasion, South Munster Catholics largely restricted their public displays of Jacobitism to ‘treasonable utterances’. These utterances were often conveyed in Irish language ballads, which drew on collective memories of patriotic heroism against English oppression and unwavering loyalty to the Roman Catholic Church. One should not, however, underestimate the mixture of helplessness and alarm that was felt by many Cork Protestants, especially during the mid-seventeen-forties. Amid France’s attempted invasion of Britain in February 1744, the Privy Council ordered all JPs and urban corporations to enforce the penal laws and report the number of Catholic priests in their jurisdictions. Within a month of the proclamation, only one priest was arrested in the Cork region. The perceived futility of the proclamation can be discerned from Cork Corporation’s report to Dublin. It stated that, while only sixteen ‘popish’ priests were known by name to them, there were ‘great numbers’ of others ‘swarming about this city’.</w:t>
      </w:r>
      <w:r>
        <w:rPr>
          <w:rStyle w:val="FootnoteReference"/>
        </w:rPr>
        <w:footnoteReference w:id="22"/>
      </w:r>
      <w:r>
        <w:t xml:space="preserve"> Other contemporaries claimed that, during the mid-seventeen-forties, invasion scares caused a ‘great flurry’ among Cork Protestants on the one hand and ‘insolent’ anticipations of deliverance among Cork Catholics on the other.</w:t>
      </w:r>
      <w:r>
        <w:rPr>
          <w:rStyle w:val="FootnoteReference"/>
        </w:rPr>
        <w:footnoteReference w:id="23"/>
      </w:r>
      <w:r>
        <w:t xml:space="preserve"> It was also around the middle decades of the eighteenth century that Cork witnessed the gradual emergence of an assertive Catholic elite, who exploited the butter trade’s dependence on produce from Catholic-managed farms. Thus, it is no overstatement that, even in the late seventeen-forties, the city’s Protestant community remained gripped by a siege mentality.</w:t>
      </w:r>
      <w:r>
        <w:rPr>
          <w:rStyle w:val="FootnoteReference"/>
        </w:rPr>
        <w:footnoteReference w:id="24"/>
      </w:r>
      <w:r>
        <w:t xml:space="preserve"> </w:t>
      </w:r>
    </w:p>
    <w:p w14:paraId="6C6E761A" w14:textId="0A8CD54D" w:rsidR="00754ED3" w:rsidRDefault="00754ED3" w:rsidP="00617368">
      <w:pPr>
        <w:spacing w:line="480" w:lineRule="auto"/>
        <w:ind w:firstLine="720"/>
        <w:jc w:val="both"/>
      </w:pPr>
      <w:r>
        <w:lastRenderedPageBreak/>
        <w:t>Sometimes, urban disorder stemmed more from economic than religious factors (though the two were not always mutually exclusive). Fuelled by a poor harvest, food rioting gripped Cork in January 1710. This unrest was followed by another food riot in 1729, which culminated in a bloody battle between the mob and the army. As with Dublin, Drogheda and many other towns, Cork witnessed further food rioting amidst the 1740-41 famine, which was triggered by the ‘Great Frost’. Unsurprisingly, Ireland’s poor Catholic population was hit hardest by the famine.</w:t>
      </w:r>
      <w:r>
        <w:rPr>
          <w:rStyle w:val="FootnoteReference"/>
        </w:rPr>
        <w:footnoteReference w:id="25"/>
      </w:r>
      <w:r>
        <w:t xml:space="preserve"> Also, disorder occasionally stemmed from the city’s garrison. On the morning of 2 November 1748, several ‘Constables of the watch’ and their ‘assistants’ were ‘assaulted, wounded, and falsely imprisoned’ by Robert Fitzgerald, an army lieutenant, while they attempted to apprehend a ‘gang of thieves and robbers’ who had recently ‘infested’ the city. Attempting to ‘preserve the peace’, the mayor, Daniel Crone, and a sheriff, John Reilly, met Fitzgerald, who ‘insulted’, ‘abused’ and ‘threatened’ them. Clearly, by the late seventeen-forties, urban violence was not something which the people of Cork would have viewed as particularly unusual. As shall be seen, tensions between the army and townspeople, along with fears of a Jacobite uprising, featured prominently in the Cork anti-Methodist riots.</w:t>
      </w:r>
      <w:r>
        <w:rPr>
          <w:rStyle w:val="FootnoteReference"/>
        </w:rPr>
        <w:footnoteReference w:id="26"/>
      </w:r>
    </w:p>
    <w:p w14:paraId="3CD4FD65" w14:textId="7B942F0E" w:rsidR="00754ED3" w:rsidRDefault="00754ED3" w:rsidP="00617368">
      <w:pPr>
        <w:spacing w:line="480" w:lineRule="auto"/>
        <w:ind w:firstLine="720"/>
        <w:jc w:val="both"/>
      </w:pPr>
      <w:r>
        <w:t xml:space="preserve">Methodism’s origins in Ireland can be traced back to 1746, when Benjamin La Trobe, a Baptist-turned-Moravian, formed in Dublin a religious society modelled on the Methodists. The following year, John </w:t>
      </w:r>
      <w:proofErr w:type="spellStart"/>
      <w:r>
        <w:t>Cennick</w:t>
      </w:r>
      <w:proofErr w:type="spellEnd"/>
      <w:r>
        <w:t xml:space="preserve">, a Moravian lay preacher and former follower of Whitefield, was invited to speak at one of the society’s meetings. </w:t>
      </w:r>
      <w:proofErr w:type="spellStart"/>
      <w:r>
        <w:t>Cennick</w:t>
      </w:r>
      <w:proofErr w:type="spellEnd"/>
      <w:r>
        <w:t xml:space="preserve"> was branded a ‘</w:t>
      </w:r>
      <w:proofErr w:type="spellStart"/>
      <w:r>
        <w:t>Swaddler</w:t>
      </w:r>
      <w:proofErr w:type="spellEnd"/>
      <w:r>
        <w:t xml:space="preserve">’ for preaching on the passage: ‘Ye shall find the babe </w:t>
      </w:r>
      <w:proofErr w:type="spellStart"/>
      <w:r>
        <w:t>wrapt</w:t>
      </w:r>
      <w:proofErr w:type="spellEnd"/>
      <w:r>
        <w:t xml:space="preserve"> in </w:t>
      </w:r>
      <w:proofErr w:type="spellStart"/>
      <w:r>
        <w:t>Swadling</w:t>
      </w:r>
      <w:proofErr w:type="spellEnd"/>
      <w:r>
        <w:t>-clothes, lying in a Manger (Luke 2:12).’ Thus, ‘</w:t>
      </w:r>
      <w:proofErr w:type="spellStart"/>
      <w:r>
        <w:t>Swaddler</w:t>
      </w:r>
      <w:proofErr w:type="spellEnd"/>
      <w:r>
        <w:t xml:space="preserve">’ became the main pejorative term for evangelicals in Ireland. On 9 August 1747, John Wesley landed in Dublin, and commenced the first of his twenty-one visits to Ireland. Prior to Wesley’s arrival, two of his preachers, Jonathan Reeves and John </w:t>
      </w:r>
      <w:proofErr w:type="spellStart"/>
      <w:r>
        <w:lastRenderedPageBreak/>
        <w:t>Trembath</w:t>
      </w:r>
      <w:proofErr w:type="spellEnd"/>
      <w:r>
        <w:t>, had commenced work in Ireland.</w:t>
      </w:r>
      <w:r>
        <w:rPr>
          <w:rStyle w:val="FootnoteReference"/>
        </w:rPr>
        <w:footnoteReference w:id="27"/>
      </w:r>
      <w:r>
        <w:t xml:space="preserve"> From the onset, Methodism attracted hostility. In the Autumn of 1747, rioters in Dublin attacked a former Lutheran chapel which had become a Methodist meeting-house. In the wake of the attack, </w:t>
      </w:r>
      <w:proofErr w:type="spellStart"/>
      <w:r>
        <w:t>Trembath</w:t>
      </w:r>
      <w:proofErr w:type="spellEnd"/>
      <w:r>
        <w:t xml:space="preserve"> – who had been left to oversee the chapel – reportedly declared that anyone who was ‘not ready to die at any moment’ was not ‘fit to be a preacher’ in Ireland.</w:t>
      </w:r>
      <w:r>
        <w:rPr>
          <w:rStyle w:val="FootnoteReference"/>
        </w:rPr>
        <w:footnoteReference w:id="28"/>
      </w:r>
      <w:r>
        <w:t xml:space="preserve"> Nevertheless, attacks on Dublin Methodists quickly abated. We have seen that, in Dublin, riots stemmed more from territorial than religious rivalries. While visiting the city on 12 July 1749, Wesley expressed his joyful surprise that Dublin Methodists had not been molested by Catholic mobs that day, which was the anniversary of the Battle of </w:t>
      </w:r>
      <w:proofErr w:type="spellStart"/>
      <w:r>
        <w:t>Aughrim</w:t>
      </w:r>
      <w:proofErr w:type="spellEnd"/>
      <w:r>
        <w:t>.</w:t>
      </w:r>
      <w:r>
        <w:rPr>
          <w:rStyle w:val="FootnoteReference"/>
        </w:rPr>
        <w:footnoteReference w:id="29"/>
      </w:r>
      <w:r>
        <w:t xml:space="preserve"> Also, by 1750, Dublin’s Protestant and Catholic populations were almost even. Methodism’s ‘hot’ Protestantism</w:t>
      </w:r>
      <w:r w:rsidR="00085747">
        <w:t xml:space="preserve">, however, was far more divisive </w:t>
      </w:r>
      <w:r w:rsidR="00A378E8">
        <w:t>among</w:t>
      </w:r>
      <w:r>
        <w:t xml:space="preserve"> </w:t>
      </w:r>
      <w:r w:rsidR="00BF385B">
        <w:t>the</w:t>
      </w:r>
      <w:r w:rsidR="00A378E8">
        <w:t xml:space="preserve"> majority Catholic community</w:t>
      </w:r>
      <w:r w:rsidR="00BF385B">
        <w:t xml:space="preserve"> of Cork</w:t>
      </w:r>
      <w:r w:rsidR="00494856">
        <w:t xml:space="preserve"> city</w:t>
      </w:r>
      <w:r>
        <w:t>.</w:t>
      </w:r>
      <w:r>
        <w:rPr>
          <w:rStyle w:val="FootnoteReference"/>
        </w:rPr>
        <w:footnoteReference w:id="30"/>
      </w:r>
    </w:p>
    <w:p w14:paraId="25462790" w14:textId="096B4D59" w:rsidR="00754ED3" w:rsidRDefault="00754ED3" w:rsidP="00617368">
      <w:pPr>
        <w:spacing w:line="480" w:lineRule="auto"/>
        <w:ind w:firstLine="720"/>
        <w:jc w:val="both"/>
      </w:pPr>
      <w:r>
        <w:t xml:space="preserve">Details of Methodism’s origins in Cork remain sketchy. As a significant centre of printing in Ireland, Cork received occasional items of news regarding Methodism’s rise in England. Not all this news was positive. At some point, probably around 1740, a popular anti-Methodist work by Joseph Trapp, a High Church Tory and Oxford poet, entitled </w:t>
      </w:r>
      <w:r w:rsidRPr="00432128">
        <w:rPr>
          <w:i/>
        </w:rPr>
        <w:t>The Nature, Folly, Sin, and Danger of Being Righteous Over-Much</w:t>
      </w:r>
      <w:r>
        <w:t xml:space="preserve"> (1739), was republished in Cork. Reflecting on the passage: ‘Be not righteous over much (Ecclesiastes 7:16)’, Trapp condemned evangelical self-denial, which he linked to the teachings of the mystical Non-Juror, William Law. The fact that this text was republished in Cork not only illuminates the existence of trans-national anti-Methodist networks, it also shows that, before Methodism’s arrival in the city, at </w:t>
      </w:r>
      <w:r>
        <w:lastRenderedPageBreak/>
        <w:t>least some of the townspeople would have held preconceived ideas regarding this movement.</w:t>
      </w:r>
      <w:r>
        <w:rPr>
          <w:rStyle w:val="FootnoteReference"/>
        </w:rPr>
        <w:footnoteReference w:id="31"/>
      </w:r>
      <w:r>
        <w:t xml:space="preserve"> In a 1747 publication, Reeves claimed that Methodism had arrived in the city a ‘few months’ earlier through ‘two or three of his [God’s] Servants.’ Due to the intervention of these preachers, individuals who were previously ‘drunkards, common swearers, fornicators, thieves’ and ‘Sabbath breakers’ had been ‘</w:t>
      </w:r>
      <w:proofErr w:type="spellStart"/>
      <w:r>
        <w:t>reclaim’d</w:t>
      </w:r>
      <w:proofErr w:type="spellEnd"/>
      <w:r>
        <w:t xml:space="preserve"> from the error of their ways’. Also, ‘men who before spent the produce of their labours at the ale-house, or on lewd women’ had started providing ‘for themselves and </w:t>
      </w:r>
      <w:r w:rsidR="00736FEF">
        <w:t xml:space="preserve">[their] </w:t>
      </w:r>
      <w:r>
        <w:t>families’. Finally, ‘those who before went very seldom or never to the Church’ were now ‘crowding the Church three times every Sunday’.</w:t>
      </w:r>
      <w:r>
        <w:rPr>
          <w:rStyle w:val="FootnoteReference"/>
        </w:rPr>
        <w:footnoteReference w:id="32"/>
      </w:r>
      <w:r>
        <w:t xml:space="preserve"> </w:t>
      </w:r>
    </w:p>
    <w:p w14:paraId="39A5EFA0" w14:textId="106C85DC" w:rsidR="00754ED3" w:rsidRDefault="00754ED3" w:rsidP="00AD5EE1">
      <w:pPr>
        <w:spacing w:line="480" w:lineRule="auto"/>
        <w:ind w:firstLine="720"/>
        <w:jc w:val="both"/>
      </w:pPr>
      <w:r>
        <w:t>Nevertheless, Reeves was aware that Methodism had also attracted ‘three sorts’ of objections from the townspeople. First, some attacks centred on the lay status of several Methodist preachers. Reeves did not deny that he and other lay preachers were not permitted to ‘administer the Sacraments’. However, using the analogy of a ‘blind man going down a precipice to destruction’, he stressed that it was his ‘duty’ to encourage those in ‘danger’ to ‘shun’ it, thus ‘preventing some of them from perishing’.</w:t>
      </w:r>
      <w:r>
        <w:rPr>
          <w:rStyle w:val="FootnoteReference"/>
        </w:rPr>
        <w:footnoteReference w:id="33"/>
      </w:r>
      <w:r>
        <w:t xml:space="preserve"> Second, some criticisms focused on Methodist doctrines, which, according to Reeves, were ‘Doctrines of the Church of England’, as taught in the Thirty-Nine Articles of Religion and the Homilies. Article XIII, for instance, affirmed the belief that ‘Works done before the grace of Christ’ were ‘not pleasing to God’.</w:t>
      </w:r>
      <w:r>
        <w:rPr>
          <w:rStyle w:val="FootnoteReference"/>
        </w:rPr>
        <w:footnoteReference w:id="34"/>
      </w:r>
      <w:r>
        <w:t xml:space="preserve"> Third, Reeves addressed criticisms of Methodist practices. He denied that ‘fields or any public places’ were ‘improper’ locations for preaching. Alluding to Luke 14:23, Reeves claimed that, as a ‘shepherd’, it was his duty to ‘</w:t>
      </w:r>
      <w:r w:rsidRPr="000C1418">
        <w:rPr>
          <w:i/>
        </w:rPr>
        <w:t>go out into the Highways and Hedges</w:t>
      </w:r>
      <w:r>
        <w:t>’ in search of wandering ‘sheep’, and ‘</w:t>
      </w:r>
      <w:proofErr w:type="spellStart"/>
      <w:r w:rsidRPr="000C1418">
        <w:rPr>
          <w:i/>
        </w:rPr>
        <w:t>compell</w:t>
      </w:r>
      <w:proofErr w:type="spellEnd"/>
      <w:r w:rsidRPr="000C1418">
        <w:rPr>
          <w:i/>
        </w:rPr>
        <w:t xml:space="preserve"> them to come in</w:t>
      </w:r>
      <w:r>
        <w:t xml:space="preserve">.’ Reeves also defended the timing of Methodist services. By ‘preaching so early in the morning’, preachers ensured that services </w:t>
      </w:r>
      <w:r>
        <w:lastRenderedPageBreak/>
        <w:t>were ‘done by 6 o’clock’, allowing all to ‘go timely to their labour’. Services were similarly conducted in the evening to prevent disruptions to ‘daily labour’ and the indulgence of nocturnal ‘follies’.</w:t>
      </w:r>
      <w:r>
        <w:rPr>
          <w:rStyle w:val="FootnoteReference"/>
        </w:rPr>
        <w:footnoteReference w:id="35"/>
      </w:r>
      <w:r>
        <w:t xml:space="preserve"> </w:t>
      </w:r>
    </w:p>
    <w:p w14:paraId="22FCB16F" w14:textId="1810CE35" w:rsidR="00754ED3" w:rsidRDefault="00754ED3" w:rsidP="0009511C">
      <w:pPr>
        <w:spacing w:line="480" w:lineRule="auto"/>
        <w:ind w:firstLine="720"/>
        <w:jc w:val="both"/>
        <w:rPr>
          <w:b/>
        </w:rPr>
      </w:pPr>
      <w:r>
        <w:t xml:space="preserve">On 2 June 1748, two of John Wesley’s other preachers, Robert </w:t>
      </w:r>
      <w:proofErr w:type="spellStart"/>
      <w:r>
        <w:t>Swindells</w:t>
      </w:r>
      <w:proofErr w:type="spellEnd"/>
      <w:r>
        <w:t xml:space="preserve"> and Thomas Williams, arrived in Cork, where they preached to a ‘quiet, attentive congregation.’ They continued to preach in the town for a fortnight. Between 20 August and 19 September 1748, Charles Wesley paid his first (and only) visit to Cork. In a letter, dated 21 August 1748, to William </w:t>
      </w:r>
      <w:proofErr w:type="spellStart"/>
      <w:r>
        <w:t>Lunell</w:t>
      </w:r>
      <w:proofErr w:type="spellEnd"/>
      <w:r>
        <w:t>, a Dublin banker and Methodist convert, Charles claimed to have preached to ‘above 7000 listening souls at 5 this morning.’ While this figure is dubious, we can assume that his preaching would have been heard by many Catholics.</w:t>
      </w:r>
      <w:r>
        <w:rPr>
          <w:rStyle w:val="FootnoteReference"/>
        </w:rPr>
        <w:footnoteReference w:id="36"/>
      </w:r>
      <w:r>
        <w:t xml:space="preserve"> John Wesley later claimed that, due to the evangelistic activities of his brother and other Methodist preachers, many former ‘papists’ in Cork had ‘relinquished the Church of Rome.’ The Methodists’ ‘eschatological fervour’ to convert Catholics ran counter to the cautious pragmatism of the Church of Ireland, which – despite having had the ambition of winning the allegiance of the Irish people to Protestantism – was not a missionary church in practice. Thus, we can assume that these missionary endeavours alarmed Cork’s corporation and Anglican clergy.</w:t>
      </w:r>
      <w:r>
        <w:rPr>
          <w:rStyle w:val="FootnoteReference"/>
        </w:rPr>
        <w:footnoteReference w:id="37"/>
      </w:r>
      <w:r>
        <w:t xml:space="preserve"> In another letter, dated 17 September 1748, to his future wife, Sarah Gwynne of Garth in mid-Wales, Charles reported that not a single ‘enemy’ had dared to ‘appear’ against the Methodists during his stay in Cork. He conceded, however, that there were many ‘secret’ enemies in the city, whom, he predicted, would ‘show themselves when the Lord permits’. Less than a year later, his prediction came true.</w:t>
      </w:r>
      <w:r>
        <w:rPr>
          <w:rStyle w:val="FootnoteReference"/>
        </w:rPr>
        <w:footnoteReference w:id="38"/>
      </w:r>
      <w:r>
        <w:t xml:space="preserve">   </w:t>
      </w:r>
    </w:p>
    <w:p w14:paraId="532FB468" w14:textId="7BE4B6C2" w:rsidR="00754ED3" w:rsidRPr="00617368" w:rsidRDefault="00754ED3" w:rsidP="005879D5">
      <w:pPr>
        <w:rPr>
          <w:b/>
        </w:rPr>
      </w:pPr>
    </w:p>
    <w:p w14:paraId="5DD14316" w14:textId="02393A26" w:rsidR="00754ED3" w:rsidRDefault="00754ED3" w:rsidP="00E402F9">
      <w:pPr>
        <w:spacing w:line="480" w:lineRule="auto"/>
        <w:jc w:val="both"/>
      </w:pPr>
      <w:r>
        <w:lastRenderedPageBreak/>
        <w:t>The Cork riots commenced in April 1749. The most prominent ringleader was Nicholas Butler, a ‘papist’ weaver-turned-ballad singer, who bragged about having driven ‘</w:t>
      </w:r>
      <w:proofErr w:type="spellStart"/>
      <w:r>
        <w:t>Swaddlers</w:t>
      </w:r>
      <w:proofErr w:type="spellEnd"/>
      <w:r>
        <w:t xml:space="preserve"> out of several towns already’. During the riots, Butler dressed as a parson, carrying ‘Ballads in one hand and a Bible in the other’.</w:t>
      </w:r>
      <w:r>
        <w:rPr>
          <w:rStyle w:val="FootnoteReference"/>
        </w:rPr>
        <w:footnoteReference w:id="39"/>
      </w:r>
      <w:r>
        <w:t xml:space="preserve"> Butler’s quirkiness has captured the attention of Methodist hagiographers, who have usually been deprived of a chief villain in their discussions of anti-Methodist riots. However, rather than viewing Butler’s eccentricity as something that was innovative or peculiar to these riots, such mockery needs to be located as part of a long tradition of ‘performative violence’ and ‘street theatre’ in early modern England and Ireland. For instance, Butler’s ballad singing can be likened to earlier accounts of ‘piping and singing’ during the 1641 rebellion.</w:t>
      </w:r>
      <w:r>
        <w:rPr>
          <w:rStyle w:val="FootnoteReference"/>
        </w:rPr>
        <w:footnoteReference w:id="40"/>
      </w:r>
      <w:r>
        <w:t xml:space="preserve"> By posing as a parson, Butler was adopting a theatrical tactic which was reminiscent of some of Richard Bingham’s soldiers, who, in 1589, had similarly mocked the activities of peace commissioners by parading around the streets of Galway, dressed in clerical and women’s clothing.</w:t>
      </w:r>
      <w:r>
        <w:rPr>
          <w:rStyle w:val="FootnoteReference"/>
        </w:rPr>
        <w:footnoteReference w:id="41"/>
      </w:r>
      <w:r>
        <w:t xml:space="preserve"> In North East England, during the Second Bishops’ War (1640), three Scottish troopers arrived in Dalton, where they ridiculed Charles I’s ‘popish’ ritualism by dressing in surplices, and ‘baptising’ a horse by pouring ale over its head.</w:t>
      </w:r>
      <w:r>
        <w:rPr>
          <w:rStyle w:val="FootnoteReference"/>
        </w:rPr>
        <w:footnoteReference w:id="42"/>
      </w:r>
      <w:r>
        <w:t xml:space="preserve"> In Limerick in 1710, some drunken soldiers responded to the recent </w:t>
      </w:r>
      <w:proofErr w:type="spellStart"/>
      <w:r>
        <w:t>Sacheverell</w:t>
      </w:r>
      <w:proofErr w:type="spellEnd"/>
      <w:r>
        <w:t xml:space="preserve"> affair in England by mocking Bishop Thomas Smyth, a Tory High Churchman. On one September evening, Smyth was awoken to hear the soldiers singing and beating ‘frying pans’ and ‘brass candlesticks’. On another evening, he was further alarmed to see soldiers posing as spirits by </w:t>
      </w:r>
      <w:r>
        <w:lastRenderedPageBreak/>
        <w:t>dressing in white garments or stripping naked. Thus, not only did theatrical violence and protest transcend confessional and spatial boundaries, it also continued into the eighteenth century.</w:t>
      </w:r>
      <w:r>
        <w:rPr>
          <w:rStyle w:val="FootnoteReference"/>
        </w:rPr>
        <w:footnoteReference w:id="43"/>
      </w:r>
    </w:p>
    <w:p w14:paraId="7D821B2A" w14:textId="0CF1A057" w:rsidR="00754ED3" w:rsidRDefault="00754ED3" w:rsidP="00BC0690">
      <w:pPr>
        <w:spacing w:line="480" w:lineRule="auto"/>
        <w:ind w:firstLine="720"/>
        <w:jc w:val="both"/>
      </w:pPr>
      <w:r>
        <w:t>The ‘vast majority’ of the Cork anti-Methodist rioters were, according to John Wesley, ‘papists’ from the rival Blackpool and Fair Lane gangs, who apparently united under Butler’s leadership (though violence between rival Cork gangs continued amid the riots).</w:t>
      </w:r>
      <w:r>
        <w:rPr>
          <w:rStyle w:val="FootnoteReference"/>
        </w:rPr>
        <w:footnoteReference w:id="44"/>
      </w:r>
      <w:r>
        <w:t xml:space="preserve"> Wesley’s description of the rioters implies that at least a few of them were Protestants, thus bringing their motives into question. In what context would Cork Catholics and Protestants collaborate in mob violence? It is possible that, as with the Ormond and Liberty Boys of Dublin, religious differences were side-lined in favour of concerns over territorial control. Influential gang leaders may have felt that their authority was threatened by these alien preachers, who were preaching on </w:t>
      </w:r>
      <w:r w:rsidRPr="00E32838">
        <w:rPr>
          <w:i/>
        </w:rPr>
        <w:t>their</w:t>
      </w:r>
      <w:r>
        <w:t xml:space="preserve"> streets to seemingly sizeable crowds. Yet, there is little evidence to suggest that the Cork riots were sparked by territorial concerns. Rather, as will be seen, contemporary accounts strongly suggest that the riots stemmed largely from politico-religious grievances – more specifically, shared opposition to the ‘hotter’ sort of Protestants. It was not unknown for Catholics and High Church Anglicans to collaborate in mob violence. During the </w:t>
      </w:r>
      <w:proofErr w:type="spellStart"/>
      <w:r>
        <w:t>Sacheverell</w:t>
      </w:r>
      <w:proofErr w:type="spellEnd"/>
      <w:r>
        <w:t xml:space="preserve"> riots of 1710, Jacobite mobs consisting of Tory Anglicans and Catholics had besieged Dissenting meeting-houses in numerous English towns.</w:t>
      </w:r>
      <w:r>
        <w:rPr>
          <w:rStyle w:val="FootnoteReference"/>
        </w:rPr>
        <w:footnoteReference w:id="45"/>
      </w:r>
      <w:r>
        <w:t xml:space="preserve"> The fact that ballad singers played a fundamental role in disseminating pro-Stuart propaganda in Britain and Ireland adds credence to the possibility that Butler was fuelled by a Jacobite agenda.</w:t>
      </w:r>
      <w:r>
        <w:rPr>
          <w:rStyle w:val="FootnoteReference"/>
        </w:rPr>
        <w:footnoteReference w:id="46"/>
      </w:r>
      <w:r>
        <w:t xml:space="preserve"> </w:t>
      </w:r>
    </w:p>
    <w:p w14:paraId="20FB6D33" w14:textId="560E9938" w:rsidR="00754ED3" w:rsidRPr="00C061A8" w:rsidRDefault="00754ED3" w:rsidP="00C43236">
      <w:pPr>
        <w:spacing w:line="480" w:lineRule="auto"/>
        <w:ind w:firstLine="720"/>
        <w:jc w:val="both"/>
      </w:pPr>
      <w:r>
        <w:rPr>
          <w:color w:val="000000" w:themeColor="text1"/>
        </w:rPr>
        <w:lastRenderedPageBreak/>
        <w:t xml:space="preserve">The cause of the Cork riots was a contentious issue. </w:t>
      </w:r>
      <w:r>
        <w:t xml:space="preserve">Several contemporaries – and subsequent Methodist historians – claimed that the city’s corporation and Anglican clergy were the </w:t>
      </w:r>
      <w:r w:rsidRPr="00696032">
        <w:rPr>
          <w:i/>
        </w:rPr>
        <w:t>real</w:t>
      </w:r>
      <w:r>
        <w:t xml:space="preserve"> masterminds behind the riots, and that Butler was simply acting at their behest. However, this traditional model of a disengaged plebeian mob, who simply took orders from their social superiors, is inconsistent with the politico-religious dynamics of eighteenth-century Cork. Even if we assume that Butler </w:t>
      </w:r>
      <w:r w:rsidRPr="00E936CA">
        <w:rPr>
          <w:i/>
        </w:rPr>
        <w:t>was</w:t>
      </w:r>
      <w:r>
        <w:t xml:space="preserve"> on the corporation’s payroll, this assumption fails to explain why his mob was stirred into action. What pre-existing religious, social and political tensions was he exploiting? Also, as will be shown, Butler was not the only ringleader in the riots. </w:t>
      </w:r>
      <w:r>
        <w:rPr>
          <w:color w:val="000000" w:themeColor="text1"/>
        </w:rPr>
        <w:t xml:space="preserve">In two letters to John Wesley – </w:t>
      </w:r>
      <w:r w:rsidRPr="00E92299">
        <w:rPr>
          <w:color w:val="000000" w:themeColor="text1"/>
        </w:rPr>
        <w:t>which h</w:t>
      </w:r>
      <w:r>
        <w:rPr>
          <w:color w:val="000000" w:themeColor="text1"/>
        </w:rPr>
        <w:t>e published under the pseudonyms</w:t>
      </w:r>
      <w:r w:rsidRPr="00E92299">
        <w:rPr>
          <w:color w:val="000000" w:themeColor="text1"/>
        </w:rPr>
        <w:t xml:space="preserve"> ‘George Fisher’ and ‘</w:t>
      </w:r>
      <w:proofErr w:type="spellStart"/>
      <w:r w:rsidRPr="00E92299">
        <w:rPr>
          <w:rFonts w:eastAsia="Times New Roman"/>
          <w:bCs/>
          <w:color w:val="000000" w:themeColor="text1"/>
          <w:shd w:val="clear" w:color="auto" w:fill="FFFFFF"/>
        </w:rPr>
        <w:t>Philalethes</w:t>
      </w:r>
      <w:proofErr w:type="spellEnd"/>
      <w:r w:rsidRPr="00E92299">
        <w:rPr>
          <w:color w:val="000000" w:themeColor="text1"/>
        </w:rPr>
        <w:t>’</w:t>
      </w:r>
      <w:r>
        <w:rPr>
          <w:color w:val="000000" w:themeColor="text1"/>
        </w:rPr>
        <w:t xml:space="preserve"> (‘lover of truth’) – </w:t>
      </w:r>
      <w:r w:rsidRPr="00E92299">
        <w:rPr>
          <w:color w:val="000000" w:themeColor="text1"/>
        </w:rPr>
        <w:t>John</w:t>
      </w:r>
      <w:r>
        <w:rPr>
          <w:color w:val="000000" w:themeColor="text1"/>
        </w:rPr>
        <w:t xml:space="preserve"> Baily, rector of </w:t>
      </w:r>
      <w:proofErr w:type="spellStart"/>
      <w:r>
        <w:rPr>
          <w:color w:val="000000" w:themeColor="text1"/>
        </w:rPr>
        <w:t>Kilcully</w:t>
      </w:r>
      <w:proofErr w:type="spellEnd"/>
      <w:r>
        <w:rPr>
          <w:color w:val="000000" w:themeColor="text1"/>
        </w:rPr>
        <w:t>, Cork, claimed that the riots were sparked by the controversial practices and doctrines of Methodist preachers</w:t>
      </w:r>
      <w:r w:rsidRPr="00E92299">
        <w:rPr>
          <w:color w:val="000000" w:themeColor="text1"/>
        </w:rPr>
        <w:t>.</w:t>
      </w:r>
      <w:r>
        <w:rPr>
          <w:color w:val="000000" w:themeColor="text1"/>
        </w:rPr>
        <w:t xml:space="preserve"> While</w:t>
      </w:r>
      <w:r w:rsidRPr="00E92299">
        <w:rPr>
          <w:color w:val="000000" w:themeColor="text1"/>
        </w:rPr>
        <w:t xml:space="preserve"> neither of Baily’s letters </w:t>
      </w:r>
      <w:r>
        <w:rPr>
          <w:color w:val="000000" w:themeColor="text1"/>
        </w:rPr>
        <w:t>have survived, we can partially reconstruct their content by exploring Wesley’s response to them. Writing from Limerick on 8 June 1750, Wesley claimed that – where all his previous adversaries had written to him as ‘gentlemen’ – Baily had written in a ‘language’ to which he was ‘not accustomed’. Wesley mockingly assured Baily that his ‘good Allies’, the gangs of ‘</w:t>
      </w:r>
      <w:r w:rsidRPr="00DC1B7C">
        <w:rPr>
          <w:i/>
          <w:color w:val="000000" w:themeColor="text1"/>
        </w:rPr>
        <w:t>Blackpool</w:t>
      </w:r>
      <w:r>
        <w:rPr>
          <w:color w:val="000000" w:themeColor="text1"/>
        </w:rPr>
        <w:t xml:space="preserve"> and </w:t>
      </w:r>
      <w:r w:rsidRPr="00DC1B7C">
        <w:rPr>
          <w:i/>
          <w:color w:val="000000" w:themeColor="text1"/>
        </w:rPr>
        <w:t>Fair-lane</w:t>
      </w:r>
      <w:r>
        <w:rPr>
          <w:color w:val="000000" w:themeColor="text1"/>
        </w:rPr>
        <w:t xml:space="preserve">’, would endorse the polemical ‘weapons’ he had deployed. Despite its blatant partisanship, Wesley’s response to Baily is a significant text because, out of all the surviving sources, it provides the most in-depth account of the Cork riots. Indeed, this publication contains Wesley’s transcriptions of some of the </w:t>
      </w:r>
      <w:r>
        <w:t>twenty-eight depositions which</w:t>
      </w:r>
      <w:r>
        <w:rPr>
          <w:color w:val="000000" w:themeColor="text1"/>
        </w:rPr>
        <w:t xml:space="preserve"> </w:t>
      </w:r>
      <w:r>
        <w:t>were ‘laid before the Grand Jury’ by the Methodists on 19 August 1749. Not only do these depositions cite numerous instances in which violence was inflicted on Methodists, they also allude to the corporation’s alleged complicity in the riots.</w:t>
      </w:r>
      <w:r>
        <w:rPr>
          <w:rStyle w:val="FootnoteReference"/>
        </w:rPr>
        <w:footnoteReference w:id="47"/>
      </w:r>
      <w:r>
        <w:t xml:space="preserve"> </w:t>
      </w:r>
    </w:p>
    <w:p w14:paraId="293BC6F0" w14:textId="0DB5DBCC" w:rsidR="00754ED3" w:rsidRDefault="00754ED3" w:rsidP="00576191">
      <w:pPr>
        <w:spacing w:line="480" w:lineRule="auto"/>
        <w:ind w:firstLine="720"/>
        <w:jc w:val="both"/>
      </w:pPr>
      <w:r>
        <w:t xml:space="preserve">Elizabeth </w:t>
      </w:r>
      <w:proofErr w:type="spellStart"/>
      <w:r>
        <w:t>Holleran</w:t>
      </w:r>
      <w:proofErr w:type="spellEnd"/>
      <w:r>
        <w:t xml:space="preserve"> deposed that, on 3 May 1749, Sheriff Reilly ‘ordered his Bailiff to carry her to </w:t>
      </w:r>
      <w:r w:rsidRPr="00351C38">
        <w:rPr>
          <w:i/>
        </w:rPr>
        <w:t>Bridewell</w:t>
      </w:r>
      <w:r>
        <w:t xml:space="preserve"> [prison]’ after she complained about Butler. Thomas Jones, a merchant, </w:t>
      </w:r>
      <w:r>
        <w:lastRenderedPageBreak/>
        <w:t>claimed that, on that same day, Butler’s mob attacked his home. Jones asked Mayor Crone to ‘put a stop’ to the riots, and enquired whether he had endorsed Butler’s actions. The seemingly recalcitrant Crone responded that ‘he neither gave him Leave, neither did he hinder him’. The following day, Butler’s mob threw dirt at some Methodists as they left a meeting. On this occasion, Crone agreed to disperse the mob. This respite, however, was only temporary. During a riot that occurred on 5 May 1749, Jones followed Crone to an ‘ale-house’, where the ‘Woman of the House’ initially denied his presence. The persistent Jones refused to leave until he had seen Crone, who was eventually forced to reveal his presence, and order Butler ‘down from the place where he stood’. Daniel Sullivan deposed that, on 29 May 1749, ‘</w:t>
      </w:r>
      <w:r w:rsidRPr="0074329C">
        <w:rPr>
          <w:i/>
        </w:rPr>
        <w:t>Butler</w:t>
      </w:r>
      <w:r>
        <w:t xml:space="preserve"> came with a greater Mob than before’. Upon arriving, reluctantly, at the scene, Mayor Crone gained a ‘Huzza’ from the mob after declaring that Sullivan and others were at fault for ‘entertaining these preachers’ in their houses. Addressing Crone, Sullivan observed that, ‘under a Protestant Government; if I had a Priest saying Mass in every room of it, my house would not be touched’. Crone replied: ‘the Priests are tolerated; but you are not. You talk too much; go in, and shut up your Doors’.</w:t>
      </w:r>
      <w:r>
        <w:rPr>
          <w:rStyle w:val="FootnoteReference"/>
        </w:rPr>
        <w:footnoteReference w:id="48"/>
      </w:r>
      <w:r>
        <w:t xml:space="preserve"> Methodist hagiographers have cited these various accounts to justify their allegation that the corporation was complicit in the riots. However, given the pre-existing tensions between Catholics and Protestants in the city, these accounts can also be interpreted as a sign of the corporation’s pragmatism in the face of a majority Catholic population, with whom they were enjoying relatively cordial relations.</w:t>
      </w:r>
      <w:r>
        <w:rPr>
          <w:rStyle w:val="FootnoteReference"/>
        </w:rPr>
        <w:footnoteReference w:id="49"/>
      </w:r>
      <w:r>
        <w:t xml:space="preserve"> A markedly different picture of Cork Corporation was painted in a short item, published originally in an unknown Dublin newspaper on 23 May 1749, and re-published in the </w:t>
      </w:r>
      <w:r w:rsidRPr="00B8126C">
        <w:rPr>
          <w:i/>
        </w:rPr>
        <w:t>Penny London Post</w:t>
      </w:r>
      <w:r>
        <w:t xml:space="preserve"> on 31 May 1749. According to this report, it was thanks to the ‘timely Interposition of the Mayor, who was obliged to bring a </w:t>
      </w:r>
      <w:r>
        <w:lastRenderedPageBreak/>
        <w:t>Party of the Army to quell them [the mob]’, that the ‘Meeting-House of the Methodists’ had not recently been ‘pulled down’ in the riots.</w:t>
      </w:r>
      <w:r>
        <w:rPr>
          <w:rStyle w:val="FootnoteReference"/>
        </w:rPr>
        <w:footnoteReference w:id="50"/>
      </w:r>
      <w:r>
        <w:t xml:space="preserve">     </w:t>
      </w:r>
    </w:p>
    <w:p w14:paraId="189E52C8" w14:textId="11F262BE" w:rsidR="00754ED3" w:rsidRDefault="00754ED3" w:rsidP="00943043">
      <w:pPr>
        <w:spacing w:line="480" w:lineRule="auto"/>
        <w:ind w:firstLine="720"/>
        <w:jc w:val="both"/>
      </w:pPr>
      <w:r>
        <w:t xml:space="preserve">As with Wesley’s published accounts of the Wednesbury riots, several of the Cork depositions provided graphic accounts of women suffering violence at the hands of the mob. John Stockdale, a ‘Tallow-chandler’, deposed that, on 5 May 1749, Butler’s mob cut him ‘in several places’, covering his ‘face in a gore of blood’. They then threw his wife to the ground, forcing Stockdale to beg them ‘not to kill’ her. We have seen that, in the wake of the 1641 rebellion, Tristram </w:t>
      </w:r>
      <w:proofErr w:type="spellStart"/>
      <w:r>
        <w:t>Whetcombe</w:t>
      </w:r>
      <w:proofErr w:type="spellEnd"/>
      <w:r>
        <w:t xml:space="preserve"> had provided a strikingly similar account of a husband who was forced to watch as his ‘godly’ wife was assaulted. By describing the apparent powerlessness of these husbands, both authors were clearly playing on contemporary notions of masculinity, which would have resonated particularly with their male readers. Daniel Sullivan, another Methodist, described how one ‘woman whom they had beaten, miscarried, and narrowly escaped with [her] Life.’ Ann </w:t>
      </w:r>
      <w:proofErr w:type="spellStart"/>
      <w:r>
        <w:t>Cooshea</w:t>
      </w:r>
      <w:proofErr w:type="spellEnd"/>
      <w:r>
        <w:t xml:space="preserve"> deposed that, ‘on or about the 12</w:t>
      </w:r>
      <w:r w:rsidRPr="005426FF">
        <w:rPr>
          <w:vertAlign w:val="superscript"/>
        </w:rPr>
        <w:t>th</w:t>
      </w:r>
      <w:r>
        <w:t xml:space="preserve"> of </w:t>
      </w:r>
      <w:r w:rsidRPr="007C2B15">
        <w:rPr>
          <w:i/>
        </w:rPr>
        <w:t>June</w:t>
      </w:r>
      <w:r>
        <w:rPr>
          <w:i/>
        </w:rPr>
        <w:t xml:space="preserve"> </w:t>
      </w:r>
      <w:r>
        <w:t>[1749]’, Butler called her family ‘</w:t>
      </w:r>
      <w:proofErr w:type="spellStart"/>
      <w:r>
        <w:t>Heretick</w:t>
      </w:r>
      <w:proofErr w:type="spellEnd"/>
      <w:r>
        <w:t xml:space="preserve"> Bitches’, and threw a ‘great stone’, which ‘struck her on the Head with such Force, that it deprived her of her Senses for some time.’ A similar account described how Butler ‘dragged’ Ann Hughes ‘up and down’, and ‘stabbed and cut her in both her Arms’ with his sword.</w:t>
      </w:r>
      <w:r>
        <w:rPr>
          <w:rStyle w:val="FootnoteReference"/>
        </w:rPr>
        <w:footnoteReference w:id="51"/>
      </w:r>
      <w:r>
        <w:t xml:space="preserve"> Like earlier Protestants who described persecution – notably John Foxe (1516-1587) – Wesley clearly sought to manipulate his readers’ emotions and anxieties by illuminating the brutal suffering endured by the godly (particularly godly women).</w:t>
      </w:r>
      <w:r>
        <w:rPr>
          <w:rStyle w:val="FootnoteReference"/>
        </w:rPr>
        <w:footnoteReference w:id="52"/>
      </w:r>
      <w:r>
        <w:t xml:space="preserve"> The apparent stoicism of Cork Methodists, combined with their descriptions of the rioters’ fury, would have evoked images of ‘Christian passivity’. Such emotional imagery was characteristic of many of the 1641 depositions, which were subsequently utilised by anti-</w:t>
      </w:r>
      <w:r>
        <w:lastRenderedPageBreak/>
        <w:t>Catholic authors in England. Thus, the Cork Methodist depositions need to be located as part of a long tradition of Protestant persecution narratives</w:t>
      </w:r>
      <w:r w:rsidR="00951E5E">
        <w:t xml:space="preserve"> in England and Ireland</w:t>
      </w:r>
      <w:r>
        <w:t>.</w:t>
      </w:r>
      <w:r>
        <w:rPr>
          <w:rStyle w:val="FootnoteReference"/>
        </w:rPr>
        <w:footnoteReference w:id="53"/>
      </w:r>
      <w:r>
        <w:t xml:space="preserve">    </w:t>
      </w:r>
    </w:p>
    <w:p w14:paraId="427E66C6" w14:textId="1EB6917C" w:rsidR="00754ED3" w:rsidRDefault="00754ED3" w:rsidP="0009511C">
      <w:pPr>
        <w:spacing w:line="480" w:lineRule="auto"/>
        <w:ind w:firstLine="720"/>
        <w:jc w:val="both"/>
      </w:pPr>
      <w:r>
        <w:t>In addition to committing violence against individuals, it was also claimed that the Cork rioters destroyed religious property. According to one deponent, on 31 May 1749, Butler’s mob broke into a Methodist meeting-house to ‘tear up the Pews, Benches and Floor, Part of which they afterwards burnt in the open street’. In a letter to his brother, Charles, John Wesley noted that the rioters had been careful to save the expensive ‘double planks’, which they ‘carried off for their own use’. Evidently, both the deponent and Wesley described this incident merely as an act of vandalism and theft. Following the 1641 rebellion, Protestant deponents had similarly portrayed Catholic iconoclasts simply as vandals, despite the presence of clear religious motivations. Thus, it is plausible to assume that there was a religious dimension to the Cork rioters’ attack on the Methodist meeting-house, given especially that Butler is said to have referred to Methodists as ‘heretics’ on several occasions. More sympathetic towards the Methodists, however, were some of the city’s soldiers. On 31 May 1749, a corporal, along with James Mitchell, a ‘common soldier’, drew their swords to scare off some rioters who were attacking a woman. A captain subsequently ordered both soldiers into custody. The corporal was ‘broke’, and Mitchell received three hundred lashes, not in the barracks, but in a public setting. Butler was apparently called to witness the punishment. Prior to this incident, Major Robert Dalrymple, of the First Battalion of the First Regiment of Foot, had ordered all soldiers not to attend Methodist services, despite claims that their attendance dissuaded ‘mischief’ from the rioters. As has been noted, the question of who was responsible for maintaining order in the city was something that had already fuelled divisions between Cork Corporation and the army. In this instance, the officers seem to have sided firmly with the Corporation.</w:t>
      </w:r>
      <w:r>
        <w:rPr>
          <w:rStyle w:val="FootnoteReference"/>
        </w:rPr>
        <w:footnoteReference w:id="54"/>
      </w:r>
      <w:r>
        <w:t xml:space="preserve">  </w:t>
      </w:r>
    </w:p>
    <w:p w14:paraId="6C53A24D" w14:textId="023A7D2B" w:rsidR="00754ED3" w:rsidRPr="00617368" w:rsidRDefault="00754ED3" w:rsidP="005879D5">
      <w:pPr>
        <w:rPr>
          <w:b/>
        </w:rPr>
      </w:pPr>
    </w:p>
    <w:p w14:paraId="31FE9527" w14:textId="3BCDD377" w:rsidR="00754ED3" w:rsidRDefault="00754ED3" w:rsidP="00617368">
      <w:pPr>
        <w:spacing w:line="480" w:lineRule="auto"/>
        <w:jc w:val="both"/>
      </w:pPr>
      <w:r>
        <w:lastRenderedPageBreak/>
        <w:t>John Wesley had not witnessed any of these incidents himself. On 29 May 1749, he had ‘set out for Cork’. Upon arriving at the outskirts of the city, he was met by one of his preachers, Charles Skelton, who advised him that it was ‘impossible’ to preach in Cork at that time, as ‘rioters filled the streets.’ On 31 May, Wesley quickly rode through the city before the ‘mob’ had time to ‘gather together’. He rode on to Bandon – which was ‘entirely inhabited by Protestants’ – and, subsequently, Blarney.</w:t>
      </w:r>
      <w:r>
        <w:rPr>
          <w:rStyle w:val="FootnoteReference"/>
        </w:rPr>
        <w:footnoteReference w:id="55"/>
      </w:r>
      <w:r>
        <w:t xml:space="preserve"> The fact that Wesley had avoided the riot-stricken town – and ‘</w:t>
      </w:r>
      <w:proofErr w:type="spellStart"/>
      <w:r>
        <w:t>hover’d</w:t>
      </w:r>
      <w:proofErr w:type="spellEnd"/>
      <w:r>
        <w:t xml:space="preserve">’ in the ‘adjacent Villages’ – was not lost on one author, who ridiculed him in a letter, dated 1 July 1749. This source is significant because it provides the most neutral account of the riots. While largely hostile to Wesley, the author – who wrote as the (probably fictitious) ‘Cork Philosophical Society’ – displayed a degree of admiration towards his followers. Wesley’s failure to remain in the city had, according to the ‘Society’, also been noticed by the rioters, who posed the following question to his followers: </w:t>
      </w:r>
    </w:p>
    <w:p w14:paraId="0EACBF28" w14:textId="77777777" w:rsidR="00754ED3" w:rsidRDefault="00754ED3" w:rsidP="00E00EE8">
      <w:pPr>
        <w:ind w:firstLine="720"/>
        <w:jc w:val="both"/>
      </w:pPr>
    </w:p>
    <w:p w14:paraId="142E07AC" w14:textId="77777777" w:rsidR="00754ED3" w:rsidRDefault="00754ED3" w:rsidP="00E00EE8">
      <w:pPr>
        <w:spacing w:line="360" w:lineRule="auto"/>
        <w:ind w:left="720"/>
        <w:jc w:val="both"/>
      </w:pPr>
      <w:r>
        <w:t xml:space="preserve">Would any Man, that thought himself </w:t>
      </w:r>
      <w:proofErr w:type="spellStart"/>
      <w:r>
        <w:t>commission’d</w:t>
      </w:r>
      <w:proofErr w:type="spellEnd"/>
      <w:r>
        <w:t xml:space="preserve"> from Heaven…meanly hide himself, and keep out of the Way, when he had such a Call, for fear of a little ill Words, or rough Treatment; and at the same Time, order his Deputies to attend their Ministrations, under those Difficulties, promising them a Heavenly Support?</w:t>
      </w:r>
      <w:r>
        <w:rPr>
          <w:rStyle w:val="FootnoteReference"/>
        </w:rPr>
        <w:footnoteReference w:id="56"/>
      </w:r>
      <w:r>
        <w:t xml:space="preserve">  </w:t>
      </w:r>
    </w:p>
    <w:p w14:paraId="57F21A67" w14:textId="47CD81EF" w:rsidR="00754ED3" w:rsidRDefault="00754ED3" w:rsidP="00641D90">
      <w:pPr>
        <w:spacing w:line="360" w:lineRule="auto"/>
        <w:ind w:firstLine="720"/>
        <w:jc w:val="both"/>
      </w:pPr>
    </w:p>
    <w:p w14:paraId="3C27EF7A" w14:textId="11ABC568" w:rsidR="00754ED3" w:rsidRDefault="00754ED3" w:rsidP="00010424">
      <w:pPr>
        <w:spacing w:line="480" w:lineRule="auto"/>
        <w:jc w:val="both"/>
      </w:pPr>
      <w:r w:rsidRPr="00E92299">
        <w:rPr>
          <w:color w:val="000000" w:themeColor="text1"/>
        </w:rPr>
        <w:t xml:space="preserve">The </w:t>
      </w:r>
      <w:r>
        <w:rPr>
          <w:color w:val="000000" w:themeColor="text1"/>
        </w:rPr>
        <w:t>‘</w:t>
      </w:r>
      <w:r w:rsidRPr="00E92299">
        <w:rPr>
          <w:color w:val="000000" w:themeColor="text1"/>
        </w:rPr>
        <w:t>Society</w:t>
      </w:r>
      <w:r>
        <w:rPr>
          <w:color w:val="000000" w:themeColor="text1"/>
        </w:rPr>
        <w:t>’</w:t>
      </w:r>
      <w:r w:rsidRPr="00E92299">
        <w:rPr>
          <w:color w:val="000000" w:themeColor="text1"/>
        </w:rPr>
        <w:t xml:space="preserve"> mockingly observed that Wesley may have been imitating ‘the two famous </w:t>
      </w:r>
      <w:r w:rsidRPr="00E92299">
        <w:rPr>
          <w:i/>
          <w:color w:val="000000" w:themeColor="text1"/>
        </w:rPr>
        <w:t>African</w:t>
      </w:r>
      <w:r w:rsidRPr="00E92299">
        <w:rPr>
          <w:color w:val="000000" w:themeColor="text1"/>
        </w:rPr>
        <w:t xml:space="preserve"> Bishops’ who, when ‘</w:t>
      </w:r>
      <w:proofErr w:type="spellStart"/>
      <w:r w:rsidRPr="00E92299">
        <w:rPr>
          <w:color w:val="000000" w:themeColor="text1"/>
        </w:rPr>
        <w:t>charg’d</w:t>
      </w:r>
      <w:proofErr w:type="spellEnd"/>
      <w:r w:rsidRPr="00E92299">
        <w:rPr>
          <w:color w:val="000000" w:themeColor="text1"/>
        </w:rPr>
        <w:t xml:space="preserve"> with Cowardice’ for hiding during ‘a Time of Persecution’, had attributed their actions to ‘Divine Revelations’.</w:t>
      </w:r>
      <w:r w:rsidRPr="00E92299">
        <w:rPr>
          <w:rStyle w:val="FootnoteReference"/>
          <w:color w:val="000000" w:themeColor="text1"/>
        </w:rPr>
        <w:footnoteReference w:id="57"/>
      </w:r>
      <w:r>
        <w:rPr>
          <w:color w:val="000000" w:themeColor="text1"/>
        </w:rPr>
        <w:t xml:space="preserve"> The ‘Society’ </w:t>
      </w:r>
      <w:r>
        <w:t xml:space="preserve">praised the Methodists for the ‘remarkable Temper and Patience’ they displayed when confronted with </w:t>
      </w:r>
      <w:r>
        <w:lastRenderedPageBreak/>
        <w:t xml:space="preserve">Butler’s ‘Rabble’. To the ‘warmer sort’ of Methodists, Butler’s attacks provided ‘Evidence of the Divine Favour’, and showed that one was ‘worthy to suffer for the Cause of Truth’. This letter, therefore, provides us with a non-Methodist account of evangelical preachers seeking persecution, suggesting that the Methodists’ quest for martyrdom, as described in their publications, was sometimes more than simply a polemical strategy. Elsewhere, the author alluded to corruption on the part of Methodist ‘band’ leaders, and advised Wesley that the collection of donations should ‘be a proper business for the preachers only’. Significantly, this source contains no direct evidence to suggest that Butler was on the corporation’s payroll. The author’s claim that Butler was ‘supported where he should not’ could be interpreted as meaning that he was in receipt of financial support from the corporation. Yet, this statement could also be construed as an allusion to the corporation’s tendency to overlook Butler’s activities. If the ‘Society’ was referring to Cork Corporation, their use of the word ‘supported’ strongly suggests that they perceived the corporation, not as the instigator of the riots, but rather as a subordinate facilitator. The author was also aware that Wesley was about to publish </w:t>
      </w:r>
      <w:r w:rsidRPr="00EB2FEC">
        <w:rPr>
          <w:i/>
        </w:rPr>
        <w:t>A Short Address to the Inhabitants of Ireland</w:t>
      </w:r>
      <w:r>
        <w:t xml:space="preserve"> (1749).</w:t>
      </w:r>
      <w:r>
        <w:rPr>
          <w:rStyle w:val="FootnoteReference"/>
        </w:rPr>
        <w:footnoteReference w:id="58"/>
      </w:r>
      <w:r>
        <w:t xml:space="preserve"> </w:t>
      </w:r>
    </w:p>
    <w:p w14:paraId="7B6830C1" w14:textId="6C6ED7C4" w:rsidR="00754ED3" w:rsidRPr="002C4134" w:rsidRDefault="00754ED3" w:rsidP="00A0019A">
      <w:pPr>
        <w:spacing w:line="480" w:lineRule="auto"/>
        <w:ind w:firstLine="720"/>
        <w:jc w:val="both"/>
      </w:pPr>
      <w:r>
        <w:t xml:space="preserve">Wesley’s </w:t>
      </w:r>
      <w:r w:rsidRPr="005879D5">
        <w:rPr>
          <w:i/>
        </w:rPr>
        <w:t>Short Address</w:t>
      </w:r>
      <w:r>
        <w:t xml:space="preserve">, dated 6 July 1749, called for the toleration of his followers. It echoed Reeves’s earlier discussions of the ways in which Methodism had allegedly improved sobriety and industry among the Irish. The fact that Wesley was addressing Ireland’s </w:t>
      </w:r>
      <w:r w:rsidRPr="00E307F9">
        <w:rPr>
          <w:i/>
        </w:rPr>
        <w:t>Protestant</w:t>
      </w:r>
      <w:r>
        <w:t xml:space="preserve"> inhabitants is evidenced from his assurance that, due to the activities of Methodist preachers, many former </w:t>
      </w:r>
      <w:proofErr w:type="spellStart"/>
      <w:r>
        <w:t>Jacobites</w:t>
      </w:r>
      <w:proofErr w:type="spellEnd"/>
      <w:r>
        <w:t xml:space="preserve"> had become ‘loyal Subjects to their Prince, his sacred Majesty King </w:t>
      </w:r>
      <w:r w:rsidRPr="00E307F9">
        <w:rPr>
          <w:i/>
        </w:rPr>
        <w:t>George</w:t>
      </w:r>
      <w:r>
        <w:t xml:space="preserve">.’ Thus, he was implicitly portraying his detractors – including Butler’s mob and their alleged allies in Cork Corporation – as disloyal </w:t>
      </w:r>
      <w:proofErr w:type="spellStart"/>
      <w:r>
        <w:t>Jacobites</w:t>
      </w:r>
      <w:proofErr w:type="spellEnd"/>
      <w:r>
        <w:t xml:space="preserve">. Subsequent events provided Wesley </w:t>
      </w:r>
      <w:r>
        <w:lastRenderedPageBreak/>
        <w:t>with further ammunition for this charge.</w:t>
      </w:r>
      <w:r>
        <w:rPr>
          <w:rStyle w:val="FootnoteReference"/>
        </w:rPr>
        <w:footnoteReference w:id="59"/>
      </w:r>
      <w:r>
        <w:t xml:space="preserve"> For instance, instead of punishing Butler, the Cork Grand Jury issued the following presentment on 26 August 1749: ‘We find and present </w:t>
      </w:r>
      <w:r w:rsidRPr="00CE3A3F">
        <w:rPr>
          <w:i/>
        </w:rPr>
        <w:t>Charles Wesley</w:t>
      </w:r>
      <w:r>
        <w:t xml:space="preserve">, to be a Person of ill Fame, a Vagabond, and a common Disturber of his Majesty’s Peace, and we pray he may be transported.’ This presentment, John Wesley believed, was ‘worthy to be preserved in the Annals of </w:t>
      </w:r>
      <w:r w:rsidRPr="004E4F14">
        <w:rPr>
          <w:i/>
        </w:rPr>
        <w:t>Ireland</w:t>
      </w:r>
      <w:r>
        <w:t>, to all succeeding Generations’. Similar presentments were made against various other Methodist preachers, including Jonathan Reeves.</w:t>
      </w:r>
      <w:r>
        <w:rPr>
          <w:rStyle w:val="FootnoteReference"/>
        </w:rPr>
        <w:footnoteReference w:id="60"/>
      </w:r>
      <w:r>
        <w:t xml:space="preserve"> </w:t>
      </w:r>
    </w:p>
    <w:p w14:paraId="2A76C5FD" w14:textId="70E02CAE" w:rsidR="00754ED3" w:rsidRDefault="00754ED3" w:rsidP="003257AA">
      <w:pPr>
        <w:spacing w:line="480" w:lineRule="auto"/>
        <w:ind w:firstLine="720"/>
        <w:jc w:val="both"/>
      </w:pPr>
      <w:r>
        <w:t xml:space="preserve">The Grand Jury’s decision was praised by George Harrison, a Cork bookseller, in a letter to George </w:t>
      </w:r>
      <w:proofErr w:type="spellStart"/>
      <w:r>
        <w:t>Lavington</w:t>
      </w:r>
      <w:proofErr w:type="spellEnd"/>
      <w:r>
        <w:t xml:space="preserve">, bishop of Exeter, dated 27 August 1749. This letter is significant because it further illuminates the importance of trans-national anti-Methodist networks. In 1748, </w:t>
      </w:r>
      <w:proofErr w:type="spellStart"/>
      <w:r>
        <w:t>Lavington</w:t>
      </w:r>
      <w:proofErr w:type="spellEnd"/>
      <w:r>
        <w:t xml:space="preserve"> had been humiliated by the dissemination, both in manuscript and printed form, of a fictitious visitation charge, in which he was alleged to have implicitly supported the Methodists by condemning ‘moral preaching’.</w:t>
      </w:r>
      <w:r>
        <w:rPr>
          <w:rStyle w:val="FootnoteReference"/>
        </w:rPr>
        <w:footnoteReference w:id="61"/>
      </w:r>
      <w:r>
        <w:t xml:space="preserve"> It was during his second visit to Ireland in 1748 that Charles Wesley first encountered the fictitious ‘charge’, which he deemed ‘worthy to be written in letters of gold’.</w:t>
      </w:r>
      <w:r>
        <w:rPr>
          <w:rStyle w:val="FootnoteReference"/>
        </w:rPr>
        <w:footnoteReference w:id="62"/>
      </w:r>
      <w:r>
        <w:t xml:space="preserve"> </w:t>
      </w:r>
      <w:proofErr w:type="spellStart"/>
      <w:r>
        <w:t>Lavington</w:t>
      </w:r>
      <w:proofErr w:type="spellEnd"/>
      <w:r>
        <w:t xml:space="preserve">, unsurprisingly, was enraged by the ‘charge’. He vented his anger by publishing a three-volume work, entitled </w:t>
      </w:r>
      <w:r w:rsidRPr="005E1D11">
        <w:rPr>
          <w:i/>
        </w:rPr>
        <w:t>The Enthusiasm of Methodists and Papists Compared</w:t>
      </w:r>
      <w:r>
        <w:t xml:space="preserve"> (1749-1751). At the time of writing this letter, Harrison had received and disseminated the first volume, from which many clergymen – including </w:t>
      </w:r>
      <w:proofErr w:type="spellStart"/>
      <w:r>
        <w:t>Jemmett</w:t>
      </w:r>
      <w:proofErr w:type="spellEnd"/>
      <w:r>
        <w:t xml:space="preserve"> Browne, bishop of Cork and Ross – and several ‘other Gentlemen’ had gained ‘great satisfaction.’ Harrison informed </w:t>
      </w:r>
      <w:proofErr w:type="spellStart"/>
      <w:r>
        <w:t>Lavington</w:t>
      </w:r>
      <w:proofErr w:type="spellEnd"/>
      <w:r>
        <w:t xml:space="preserve"> of his plans to seek subscriptions to the first volume, and </w:t>
      </w:r>
      <w:r>
        <w:lastRenderedPageBreak/>
        <w:t xml:space="preserve">expressed his eagerness to receive copies of any sequels. Nevertheless, he hoped that, because of the recent legal proceedings, ‘all the Methodist preachers, or what we call </w:t>
      </w:r>
      <w:proofErr w:type="spellStart"/>
      <w:r>
        <w:t>swadlers</w:t>
      </w:r>
      <w:proofErr w:type="spellEnd"/>
      <w:r>
        <w:t>’, would ‘not be of any long continuance’ in Cork.</w:t>
      </w:r>
      <w:r>
        <w:rPr>
          <w:rStyle w:val="FootnoteReference"/>
        </w:rPr>
        <w:footnoteReference w:id="63"/>
      </w:r>
      <w:r>
        <w:t xml:space="preserve"> Following the Grand Jury’s presentments, Butler and his mob were ‘in higher Spirits than ever’. They ‘</w:t>
      </w:r>
      <w:proofErr w:type="spellStart"/>
      <w:r>
        <w:t>scour’d</w:t>
      </w:r>
      <w:proofErr w:type="spellEnd"/>
      <w:r>
        <w:t xml:space="preserve"> the Streets, Day and Night; frequently hollowing as they went along, “Five Pounds for a </w:t>
      </w:r>
      <w:proofErr w:type="spellStart"/>
      <w:r>
        <w:t>Swadler’s</w:t>
      </w:r>
      <w:proofErr w:type="spellEnd"/>
      <w:r>
        <w:t xml:space="preserve"> Head”’. Butler subsequently ‘removed to Dublin, and began to sing his Ballads there.’</w:t>
      </w:r>
      <w:r>
        <w:rPr>
          <w:rStyle w:val="FootnoteReference"/>
        </w:rPr>
        <w:footnoteReference w:id="64"/>
      </w:r>
      <w:r>
        <w:t xml:space="preserve"> </w:t>
      </w:r>
    </w:p>
    <w:p w14:paraId="5AFF9783" w14:textId="22778FF4" w:rsidR="00754ED3" w:rsidRDefault="00754ED3" w:rsidP="009501E5">
      <w:pPr>
        <w:spacing w:line="480" w:lineRule="auto"/>
        <w:ind w:firstLine="720"/>
        <w:jc w:val="both"/>
      </w:pPr>
      <w:r>
        <w:t xml:space="preserve">Butler’s migration to Dublin is a crucial point because it brings his motivations into question. On the one hand, his migration complements the traditional Methodist line that Butler was simply a ringleader for hire. Without doubting that Methodists were despised by many town corporations and Church of Ireland clergymen, the notion that multiple corporations paid Butler to incite predominantly Catholic mobs seems decidedly implausible, given especially that the late seventeen-forties was a period of heightened tensions between Catholics and Protestants in Ireland. On the other hand, Butler’s move to Dublin could be taken as evidence that he acted independently of Cork’s corporation and Anglican clergy. If so, why? Butler may simply have been a sadist, who got a thrill out of attacking Methodists. More plausible, however, is the possibility that Butler’s journey to Dublin was fuelled by his own politico-religious concerns regarding Methodism’s rise and its seemingly ultra-Protestant agenda. Such solidarity with one’s Catholic brethren would add credence to Archbishop King’s claim that Catholics were willing to travel from ‘remote’ locations to engage in anti-Protestant rioting. Butler’s arrival in the metropolis would have been an unwelcome sight to Dublin Methodists, who were aware of events in Cork. Indeed, George Whitefield’s knowledge of the Cork riots </w:t>
      </w:r>
      <w:r>
        <w:lastRenderedPageBreak/>
        <w:t xml:space="preserve">stemmed from his correspondence with William </w:t>
      </w:r>
      <w:proofErr w:type="spellStart"/>
      <w:r>
        <w:t>Lunell</w:t>
      </w:r>
      <w:proofErr w:type="spellEnd"/>
      <w:r>
        <w:t xml:space="preserve">. Shocked by </w:t>
      </w:r>
      <w:proofErr w:type="spellStart"/>
      <w:r>
        <w:t>Lunell’s</w:t>
      </w:r>
      <w:proofErr w:type="spellEnd"/>
      <w:r>
        <w:t xml:space="preserve"> reports, Whitefield appealed to his friend and fellow Calvinist evangelical, Selina Hastings, Countess of Huntingdon, for assistance.</w:t>
      </w:r>
      <w:r>
        <w:rPr>
          <w:rStyle w:val="FootnoteReference"/>
        </w:rPr>
        <w:footnoteReference w:id="65"/>
      </w:r>
      <w:r>
        <w:t xml:space="preserve"> In a letter to </w:t>
      </w:r>
      <w:proofErr w:type="spellStart"/>
      <w:r>
        <w:t>Lunell</w:t>
      </w:r>
      <w:proofErr w:type="spellEnd"/>
      <w:r>
        <w:t xml:space="preserve">, dated 21 November 1749, Whitefield relayed the Countess’s ‘assurance’ that she was willing to serve the ‘poor persecuted people in </w:t>
      </w:r>
      <w:r w:rsidRPr="00D41973">
        <w:rPr>
          <w:i/>
        </w:rPr>
        <w:t>Cork</w:t>
      </w:r>
      <w:r>
        <w:t>…upon any occasion’.</w:t>
      </w:r>
      <w:r>
        <w:rPr>
          <w:rStyle w:val="FootnoteReference"/>
        </w:rPr>
        <w:footnoteReference w:id="66"/>
      </w:r>
      <w:r>
        <w:t xml:space="preserve"> </w:t>
      </w:r>
    </w:p>
    <w:p w14:paraId="28E27678" w14:textId="4908697B" w:rsidR="00754ED3" w:rsidRDefault="00754ED3" w:rsidP="009501E5">
      <w:pPr>
        <w:spacing w:line="480" w:lineRule="auto"/>
        <w:ind w:firstLine="720"/>
        <w:jc w:val="both"/>
      </w:pPr>
      <w:r>
        <w:t xml:space="preserve">Butler found ‘little success’ in Dublin, which, as we have seen, was less prone to anti-Methodist violence. By January 1750, Butler had returned to Cork, where he ‘began to scour the Streets again’. Butler’s sudden return to Cork adds credence to the notion that he acted independently, and was not in the corporation’s pocket. If we are to assume that Butler migrated to Dublin because his alleged benefactors in Cork had ceased to pay him, then why would he have returned there when his Dublin endeavours failed? If his alleged benefactors in Cork had </w:t>
      </w:r>
      <w:r w:rsidRPr="008831E7">
        <w:rPr>
          <w:i/>
        </w:rPr>
        <w:t>not</w:t>
      </w:r>
      <w:r>
        <w:t xml:space="preserve"> ceased to pay him, then why did he make the lengthy journey north in the first place?</w:t>
      </w:r>
      <w:r>
        <w:rPr>
          <w:rStyle w:val="FootnoteReference"/>
        </w:rPr>
        <w:footnoteReference w:id="67"/>
      </w:r>
      <w:r>
        <w:t xml:space="preserve"> News of Butler’s return to Cork quickly reached a distressed Whitefield, who was determined to ‘represent the case’ before the Speaker of the (British) House of Commons.</w:t>
      </w:r>
      <w:r>
        <w:rPr>
          <w:rStyle w:val="FootnoteReference"/>
        </w:rPr>
        <w:footnoteReference w:id="68"/>
      </w:r>
      <w:r>
        <w:t xml:space="preserve"> On 12 January 1750, Whitefield informed the Countess that, four days earlier, Andrew Gifford, a London Baptist minister, had introduced him to his friend, Speaker Arthur </w:t>
      </w:r>
      <w:proofErr w:type="spellStart"/>
      <w:r>
        <w:t>Onslow</w:t>
      </w:r>
      <w:proofErr w:type="spellEnd"/>
      <w:r>
        <w:t xml:space="preserve">. After complimenting the Countess, </w:t>
      </w:r>
      <w:proofErr w:type="spellStart"/>
      <w:r>
        <w:t>Onslow</w:t>
      </w:r>
      <w:proofErr w:type="spellEnd"/>
      <w:r>
        <w:t xml:space="preserve"> expressed ‘great resentment at the indignities’ suffered by Cork Methodists. He advised Whitefield that the ‘</w:t>
      </w:r>
      <w:proofErr w:type="spellStart"/>
      <w:r>
        <w:t>properest</w:t>
      </w:r>
      <w:proofErr w:type="spellEnd"/>
      <w:r>
        <w:t xml:space="preserve"> persons’ to consult were William Stanhope, Earl of Harrington and Lord Lieutenant of Ireland, and the joint Secretaries of State, Thomas Pelham-</w:t>
      </w:r>
      <w:proofErr w:type="spellStart"/>
      <w:r>
        <w:t>Holles</w:t>
      </w:r>
      <w:proofErr w:type="spellEnd"/>
      <w:r>
        <w:t>, Duke of Newcastle, and John Russell, Duke of Bedford.</w:t>
      </w:r>
      <w:r>
        <w:rPr>
          <w:rStyle w:val="FootnoteReference"/>
        </w:rPr>
        <w:footnoteReference w:id="69"/>
      </w:r>
      <w:r>
        <w:t xml:space="preserve"> In a subsequent letter, dated 18 January 1750, Whitefield advised </w:t>
      </w:r>
      <w:proofErr w:type="spellStart"/>
      <w:r>
        <w:t>Lunell</w:t>
      </w:r>
      <w:proofErr w:type="spellEnd"/>
      <w:r>
        <w:t xml:space="preserve"> to ‘wait upon’ the Lord </w:t>
      </w:r>
      <w:r>
        <w:lastRenderedPageBreak/>
        <w:t>Lieutenant.</w:t>
      </w:r>
      <w:r>
        <w:rPr>
          <w:rStyle w:val="FootnoteReference"/>
        </w:rPr>
        <w:footnoteReference w:id="70"/>
      </w:r>
      <w:r>
        <w:t xml:space="preserve"> </w:t>
      </w:r>
      <w:proofErr w:type="spellStart"/>
      <w:r>
        <w:t>Lunell</w:t>
      </w:r>
      <w:proofErr w:type="spellEnd"/>
      <w:r>
        <w:t xml:space="preserve"> wrote to Stanhope, though it is unclear whether this action generated any outcome. On 27 January 1750, Whitefield claimed that one of the Secretaries of State had been informed of recent events in Cork. He also reported that the Countess was due to place a report into ‘the hands of some that are very near his Majesty.’ Despite Whitefield’s optimistic tone, none of this lobbying seems to have been effective.</w:t>
      </w:r>
      <w:r>
        <w:rPr>
          <w:rStyle w:val="FootnoteReference"/>
        </w:rPr>
        <w:footnoteReference w:id="71"/>
      </w:r>
      <w:r>
        <w:t xml:space="preserve"> The riots were similarly unaffected by John and Charles Wesley’s earlier attempts to lobby assistance from the Lord Lieutenant, the archbishop of Armagh and the Duke of Cumberland.</w:t>
      </w:r>
      <w:r>
        <w:rPr>
          <w:rStyle w:val="FootnoteReference"/>
        </w:rPr>
        <w:footnoteReference w:id="72"/>
      </w:r>
      <w:r>
        <w:t xml:space="preserve">       </w:t>
      </w:r>
    </w:p>
    <w:p w14:paraId="0992FACC" w14:textId="18E0990A" w:rsidR="00754ED3" w:rsidRPr="004441D0" w:rsidRDefault="00754ED3" w:rsidP="003F5662">
      <w:pPr>
        <w:rPr>
          <w:b/>
        </w:rPr>
      </w:pPr>
    </w:p>
    <w:p w14:paraId="737228F4" w14:textId="56C43DCC" w:rsidR="00754ED3" w:rsidRDefault="00754ED3" w:rsidP="004441D0">
      <w:pPr>
        <w:spacing w:line="480" w:lineRule="auto"/>
        <w:jc w:val="both"/>
      </w:pPr>
      <w:r>
        <w:t>William Holmes, who was sworn in as mayor of Cork on 9 November 1749, was – like his predecessor – accused of ignoring complaints regarding Butler’s mob.</w:t>
      </w:r>
      <w:r>
        <w:rPr>
          <w:rStyle w:val="FootnoteReference"/>
        </w:rPr>
        <w:footnoteReference w:id="73"/>
      </w:r>
      <w:r>
        <w:t xml:space="preserve"> The Crone and Holmes administrations were condemned by one anonymous author – writing under the pseudonym ‘Theophilus’ – in a ‘letter’ to ‘Parson Butler’, dated 21 January 1750, which was published in Dublin and, subsequently, Cork. This neglected work not only illuminates the importance of anti-popery and providentialism as rhetorical strategies for evangelicals, but also the enduring influence of the </w:t>
      </w:r>
      <w:proofErr w:type="spellStart"/>
      <w:r>
        <w:t>Foxean</w:t>
      </w:r>
      <w:proofErr w:type="spellEnd"/>
      <w:r>
        <w:t xml:space="preserve"> tradition in eighteenth-century polemical discourse. In one instance, ‘Theophilus’ suggested to Butler that, like the ‘</w:t>
      </w:r>
      <w:r w:rsidRPr="00382814">
        <w:rPr>
          <w:i/>
        </w:rPr>
        <w:t>red-</w:t>
      </w:r>
      <w:proofErr w:type="spellStart"/>
      <w:r w:rsidRPr="00382814">
        <w:rPr>
          <w:i/>
        </w:rPr>
        <w:t>letter’d</w:t>
      </w:r>
      <w:proofErr w:type="spellEnd"/>
      <w:r w:rsidRPr="00382814">
        <w:rPr>
          <w:i/>
        </w:rPr>
        <w:t xml:space="preserve"> Saints</w:t>
      </w:r>
      <w:r>
        <w:t xml:space="preserve">’ in the ‘Reign of Queen </w:t>
      </w:r>
      <w:r w:rsidRPr="00382814">
        <w:rPr>
          <w:i/>
        </w:rPr>
        <w:t>Mary</w:t>
      </w:r>
      <w:r>
        <w:t>’, he should burn all the ‘</w:t>
      </w:r>
      <w:proofErr w:type="spellStart"/>
      <w:r w:rsidRPr="003440D9">
        <w:rPr>
          <w:i/>
        </w:rPr>
        <w:t>Swadlers</w:t>
      </w:r>
      <w:proofErr w:type="spellEnd"/>
      <w:r>
        <w:t>’ on a ‘</w:t>
      </w:r>
      <w:proofErr w:type="spellStart"/>
      <w:r>
        <w:t>Bonefire</w:t>
      </w:r>
      <w:proofErr w:type="spellEnd"/>
      <w:r>
        <w:t>’, thus ending their ‘misery’. He assured Butler that his ‘paymasters’ would ‘</w:t>
      </w:r>
      <w:proofErr w:type="spellStart"/>
      <w:r>
        <w:t>chearfully</w:t>
      </w:r>
      <w:proofErr w:type="spellEnd"/>
      <w:r>
        <w:t xml:space="preserve"> contribute Faggots for the Purpose’.</w:t>
      </w:r>
      <w:r>
        <w:rPr>
          <w:rStyle w:val="FootnoteReference"/>
        </w:rPr>
        <w:footnoteReference w:id="74"/>
      </w:r>
      <w:r>
        <w:t xml:space="preserve"> In fact, rather than describing Butler as the chief villain in the riots, ‘Theophilus’ painted an emotional – almost sympathetic – portrait, in which he was portrayed simply as a pawn in a game of power politics:  </w:t>
      </w:r>
    </w:p>
    <w:p w14:paraId="05A7AC14" w14:textId="77777777" w:rsidR="00754ED3" w:rsidRDefault="00754ED3" w:rsidP="00B522EB">
      <w:pPr>
        <w:spacing w:line="360" w:lineRule="auto"/>
        <w:ind w:firstLine="720"/>
        <w:jc w:val="both"/>
      </w:pPr>
    </w:p>
    <w:p w14:paraId="0DF62EBA" w14:textId="1BB100CB" w:rsidR="00754ED3" w:rsidRDefault="00754ED3" w:rsidP="007317C3">
      <w:pPr>
        <w:spacing w:line="360" w:lineRule="auto"/>
        <w:ind w:left="720"/>
        <w:jc w:val="both"/>
      </w:pPr>
      <w:r>
        <w:lastRenderedPageBreak/>
        <w:t>Mr. Butler (out of love to your soul do I now speak), consider what is coming upon you. The days of darkness are many. Supposing you could gain the whole world by what you do, with the loss of your soul, what will it signify when you are rolling in the lake of fire and brimstone? In speaking so plain, count me not your enemy. It will be no excuse at the last day to say you were hired to do what you did, by such and such great men. Lay down then your arms. For if the Methodists are Christians, your saying you were employed by the ministers, mayor, sheriffs, etc. of the city of Cork will not avail.</w:t>
      </w:r>
      <w:r>
        <w:rPr>
          <w:rStyle w:val="FootnoteReference"/>
        </w:rPr>
        <w:footnoteReference w:id="75"/>
      </w:r>
    </w:p>
    <w:p w14:paraId="04A08F36" w14:textId="77777777" w:rsidR="00754ED3" w:rsidRDefault="00754ED3" w:rsidP="00F16A76">
      <w:pPr>
        <w:spacing w:line="360" w:lineRule="auto"/>
        <w:ind w:firstLine="720"/>
        <w:jc w:val="both"/>
      </w:pPr>
    </w:p>
    <w:p w14:paraId="0B2EE2F5" w14:textId="0C9F1581" w:rsidR="00754ED3" w:rsidRDefault="00754ED3" w:rsidP="000B1620">
      <w:pPr>
        <w:spacing w:line="480" w:lineRule="auto"/>
        <w:jc w:val="both"/>
      </w:pPr>
      <w:r>
        <w:t>The letter’s most powerful charges concerned the alleged correlation between the rise of ‘popery’ in Cork and the anti-Methodist agenda of the corporation – all of whom, of course, were Anglican communicants. For instance, ‘Theophilus’ claimed that Mayor Crone had advised ‘sufferers’ to ‘go to Mass’ as a means of finding ‘peace’ during the riots. On another occasion, one woman had apparently been prevented from reading her ‘Recantation’ because it was ‘</w:t>
      </w:r>
      <w:proofErr w:type="spellStart"/>
      <w:r w:rsidRPr="007F3FEE">
        <w:rPr>
          <w:i/>
        </w:rPr>
        <w:t>Swadling</w:t>
      </w:r>
      <w:proofErr w:type="spellEnd"/>
      <w:r w:rsidRPr="007F3FEE">
        <w:rPr>
          <w:i/>
        </w:rPr>
        <w:t xml:space="preserve"> John</w:t>
      </w:r>
      <w:r>
        <w:t>’ who had ‘convinced [her] of the Errors of Popery’. Instead, she was advised to ‘remain in Communion with the Church of Rome’. ‘Theophilus’ lamented that many ‘</w:t>
      </w:r>
      <w:r w:rsidRPr="002D3C20">
        <w:rPr>
          <w:i/>
        </w:rPr>
        <w:t>Play-houses</w:t>
      </w:r>
      <w:r>
        <w:t>’ and ‘</w:t>
      </w:r>
      <w:r w:rsidRPr="002D3C20">
        <w:rPr>
          <w:i/>
        </w:rPr>
        <w:t>Meeting-houses</w:t>
      </w:r>
      <w:r>
        <w:t>’ had become ‘</w:t>
      </w:r>
      <w:r w:rsidRPr="001454EE">
        <w:rPr>
          <w:i/>
        </w:rPr>
        <w:t>Mass-houses</w:t>
      </w:r>
      <w:r>
        <w:t>’. Predicting that ‘several new ones’ would form over the Summer, he scoffed that townspeople would soon hear ‘mass said’ in the recently restored Christ Church.</w:t>
      </w:r>
      <w:r>
        <w:rPr>
          <w:rStyle w:val="FootnoteReference"/>
        </w:rPr>
        <w:footnoteReference w:id="76"/>
      </w:r>
      <w:r>
        <w:t xml:space="preserve"> The identity of ‘Theophilus’ was something of which John Wesley denied all knowledge in a letter to Mayor Holmes, dated 27 May 1750. Unfortunately for Wesley, this letter was published too late to prevent John Baily from accusing him of being ‘Theophilus’ in his second letter to him, dated 28 May 1750. While Wesley believed that much ‘good’ would result from the ‘Theophilus’ letter’s republication in Cork, he disapproved of its attack on the city’s ‘Magistrates and Clergy’.</w:t>
      </w:r>
      <w:r>
        <w:rPr>
          <w:rStyle w:val="FootnoteReference"/>
        </w:rPr>
        <w:footnoteReference w:id="77"/>
      </w:r>
    </w:p>
    <w:p w14:paraId="21BEF77D" w14:textId="7D2BF795" w:rsidR="00754ED3" w:rsidRDefault="00754ED3" w:rsidP="000B1620">
      <w:pPr>
        <w:spacing w:line="480" w:lineRule="auto"/>
        <w:ind w:firstLine="720"/>
        <w:jc w:val="both"/>
      </w:pPr>
      <w:r>
        <w:lastRenderedPageBreak/>
        <w:t xml:space="preserve">Wesley had deep respect for one judge, who withdrew all proceedings against the Methodist ‘vagabonds’ because nobody appeared ‘against them’ at the Lent Assizes of 1750. By ‘bringing the Matter to a Judicial Determination’, Butler and his associates had ‘plainly shewed’ that there was ‘Law even for Methodists’. The trial’s collapse ‘gave his Majesty’s Judge a full Occasion to declare the utter Illegality of all Riots, and the Inexcusableness of tolerating (much more, causing) them’. This victory, however, served only as a temporary respite. Indeed, when Wesley finally visited Cork in May 1750, he met with much hostility. In one instance, Wesley was disturbed by one resident, who advertised his willingness to ‘head any Mob, in order to pull down any House that should dare to Harbour a </w:t>
      </w:r>
      <w:proofErr w:type="spellStart"/>
      <w:r w:rsidRPr="008576E2">
        <w:rPr>
          <w:i/>
        </w:rPr>
        <w:t>Swadler</w:t>
      </w:r>
      <w:proofErr w:type="spellEnd"/>
      <w:r>
        <w:t>.’ Also, where one crowd burnt an effigy of Wesley, another greeted him with ‘High for the Romans!’</w:t>
      </w:r>
      <w:r>
        <w:rPr>
          <w:rStyle w:val="FootnoteReference"/>
        </w:rPr>
        <w:footnoteReference w:id="78"/>
      </w:r>
      <w:r>
        <w:t xml:space="preserve"> </w:t>
      </w:r>
    </w:p>
    <w:p w14:paraId="42ACD117" w14:textId="3FDB74BD" w:rsidR="00754ED3" w:rsidRDefault="00754ED3" w:rsidP="00A4581B">
      <w:pPr>
        <w:spacing w:line="480" w:lineRule="auto"/>
        <w:ind w:firstLine="720"/>
        <w:jc w:val="both"/>
      </w:pPr>
      <w:r>
        <w:t>Unsurprisingly, Wesley associated such overt anti-Protestantism with Jacobitism. In response to Baily’s claim that Cork was ‘</w:t>
      </w:r>
      <w:r w:rsidRPr="00CC3B93">
        <w:rPr>
          <w:i/>
        </w:rPr>
        <w:t>remarkably loyal</w:t>
      </w:r>
      <w:r>
        <w:t xml:space="preserve">’ to George II, Wesley sarcastically observed that the ‘power of the city’ was ‘lodged’ in the ‘Friendly Society’, which was formed in ‘opposition to that Body of </w:t>
      </w:r>
      <w:proofErr w:type="spellStart"/>
      <w:r>
        <w:t>Jacobites</w:t>
      </w:r>
      <w:proofErr w:type="spellEnd"/>
      <w:r>
        <w:t xml:space="preserve">, commonly called </w:t>
      </w:r>
      <w:r w:rsidRPr="000C4F34">
        <w:rPr>
          <w:i/>
        </w:rPr>
        <w:t>The</w:t>
      </w:r>
      <w:r>
        <w:t xml:space="preserve"> Hanover Club.’ Wesley scoffed that, on 10 June 1750, rioters displayed their ‘good wishes to King </w:t>
      </w:r>
      <w:r w:rsidRPr="00345483">
        <w:rPr>
          <w:i/>
        </w:rPr>
        <w:t>George</w:t>
      </w:r>
      <w:r>
        <w:t xml:space="preserve"> and his Armies’ by attacking some soldiers, who were ‘walking along, in a very quiet and inoffensive Manner’. Two days later, one of the soldiers reportedly ‘died of his Wounds’.</w:t>
      </w:r>
      <w:r>
        <w:rPr>
          <w:rStyle w:val="FootnoteReference"/>
        </w:rPr>
        <w:footnoteReference w:id="79"/>
      </w:r>
      <w:r>
        <w:t xml:space="preserve"> As we have seen, Cork had long witnessed tensions between townspeople and soldiers. The fact that these tensions continued after the anti-Methodist riots is clear from a 1758 incident,</w:t>
      </w:r>
      <w:r w:rsidR="00AE4833">
        <w:t xml:space="preserve"> which resulted in at least one </w:t>
      </w:r>
      <w:r w:rsidR="008B5B75">
        <w:t xml:space="preserve">civilian </w:t>
      </w:r>
      <w:r w:rsidR="00AE4833">
        <w:t>fatality.</w:t>
      </w:r>
      <w:r>
        <w:t xml:space="preserve"> Thus, Wesley was probably unaware of the longstanding power struggles between civilians and soldiers in Cork.</w:t>
      </w:r>
      <w:r>
        <w:rPr>
          <w:rStyle w:val="FootnoteReference"/>
        </w:rPr>
        <w:footnoteReference w:id="80"/>
      </w:r>
      <w:r>
        <w:t xml:space="preserve"> </w:t>
      </w:r>
    </w:p>
    <w:p w14:paraId="57B65E72" w14:textId="548A5AC0" w:rsidR="00754ED3" w:rsidRDefault="00754ED3" w:rsidP="00A4581B">
      <w:pPr>
        <w:spacing w:line="480" w:lineRule="auto"/>
        <w:ind w:firstLine="720"/>
        <w:jc w:val="both"/>
      </w:pPr>
      <w:r>
        <w:lastRenderedPageBreak/>
        <w:t>More overt Jacobitism can be discerned from Wesley’s description of Simon Rawlins, a ‘zealous Anti-Methodist’, who ‘</w:t>
      </w:r>
      <w:proofErr w:type="spellStart"/>
      <w:r>
        <w:t>stabb’d</w:t>
      </w:r>
      <w:proofErr w:type="spellEnd"/>
      <w:r>
        <w:t xml:space="preserve">’ a ‘Methodist-Preacher in the Street’, and ‘cried out, “Damn King </w:t>
      </w:r>
      <w:r w:rsidRPr="000C4F34">
        <w:rPr>
          <w:i/>
        </w:rPr>
        <w:t>George</w:t>
      </w:r>
      <w:r>
        <w:t xml:space="preserve"> and all his Armies!”’ Rawlins was ‘committed to Goal [</w:t>
      </w:r>
      <w:r w:rsidRPr="00345483">
        <w:rPr>
          <w:i/>
        </w:rPr>
        <w:t>sic</w:t>
      </w:r>
      <w:r>
        <w:t xml:space="preserve">]’ on 31 May 1750. Six days later, Rawlins was free, leading his mob ‘in procession </w:t>
      </w:r>
      <w:proofErr w:type="spellStart"/>
      <w:r>
        <w:t>thro</w:t>
      </w:r>
      <w:proofErr w:type="spellEnd"/>
      <w:r>
        <w:t xml:space="preserve">’ the town, with Drums beating, and Colours flying’, declaring that ‘he would never rest, till he had driven all these </w:t>
      </w:r>
      <w:r w:rsidRPr="00780098">
        <w:rPr>
          <w:i/>
        </w:rPr>
        <w:t>False Prophets</w:t>
      </w:r>
      <w:r>
        <w:t xml:space="preserve"> out of </w:t>
      </w:r>
      <w:proofErr w:type="spellStart"/>
      <w:r w:rsidRPr="00780098">
        <w:rPr>
          <w:i/>
        </w:rPr>
        <w:t>Corke</w:t>
      </w:r>
      <w:proofErr w:type="spellEnd"/>
      <w:r>
        <w:t>.’</w:t>
      </w:r>
      <w:r>
        <w:rPr>
          <w:rStyle w:val="FootnoteReference"/>
        </w:rPr>
        <w:footnoteReference w:id="81"/>
      </w:r>
      <w:r>
        <w:t xml:space="preserve"> Wesley’s description of Rawlins’s Jacobitism further suggests that the rioters were fuelled by politico-religious grievances. Rawlins’s </w:t>
      </w:r>
      <w:r w:rsidR="001428EB">
        <w:t>leadership</w:t>
      </w:r>
      <w:r>
        <w:t xml:space="preserve"> probably stemmed from his middling status. On 28 December 1754, a Cork baker of the same name was whipped for an unspecified offence. Presumably, this baker was the same individual who had engaged in the anti-Methodist riots.</w:t>
      </w:r>
      <w:r>
        <w:rPr>
          <w:rStyle w:val="FootnoteReference"/>
        </w:rPr>
        <w:footnoteReference w:id="82"/>
      </w:r>
      <w:r>
        <w:t xml:space="preserve"> Of course, these riots coincided with the rise of an increasingly assertive Catholic middle class in Ireland. While Rawlins’s religious affiliation remains unclear, we should not dismiss the possibility that the rioters viewed Methodism as an enemy of trade and industry. This charge, as we have seen, was addressed by Reeves shortly after Methodism’s arrival in Cork. Given that lay preachers were usually without any guaranteed source of income, it is also plausible to assume that Rawlins and other rioters held the common belief that these itinerant preachers were self-interested tricksters.</w:t>
      </w:r>
      <w:r>
        <w:rPr>
          <w:rStyle w:val="FootnoteReference"/>
        </w:rPr>
        <w:footnoteReference w:id="83"/>
      </w:r>
      <w:r>
        <w:t xml:space="preserve">      </w:t>
      </w:r>
    </w:p>
    <w:p w14:paraId="6DF5BDA6" w14:textId="1A5A025C" w:rsidR="00754ED3" w:rsidRDefault="00754ED3" w:rsidP="00B505F8">
      <w:pPr>
        <w:spacing w:line="480" w:lineRule="auto"/>
        <w:ind w:firstLine="720"/>
        <w:jc w:val="both"/>
      </w:pPr>
      <w:r>
        <w:t>John Baily was one individual who believed that the rioters had been provoked by Wesley’s stifling of industry, his seemingly deceptive ‘revenue from assurance and salvation tickets’, and his promotion of ‘</w:t>
      </w:r>
      <w:r w:rsidRPr="008B18FE">
        <w:rPr>
          <w:i/>
        </w:rPr>
        <w:t>Arbitrary Popish Power</w:t>
      </w:r>
      <w:r>
        <w:t>.’ Wesley addressed each of these charges in turn. Rather than stifling industry, Methodist preachers had apparently taught many workers in ‘</w:t>
      </w:r>
      <w:r w:rsidRPr="001B0020">
        <w:rPr>
          <w:i/>
        </w:rPr>
        <w:t>Cork, Bandon, Limerick, Dublin</w:t>
      </w:r>
      <w:r>
        <w:t xml:space="preserve">’ and ‘all Parts of </w:t>
      </w:r>
      <w:r w:rsidRPr="001B0020">
        <w:rPr>
          <w:i/>
        </w:rPr>
        <w:t>England</w:t>
      </w:r>
      <w:r>
        <w:t>’ to ‘fear God’, ‘work with their Hands’, and ‘cut off every needless expense’. Responding to the charge of self-</w:t>
      </w:r>
      <w:r>
        <w:lastRenderedPageBreak/>
        <w:t xml:space="preserve">interest, Wesley described Baily’s description of ‘assurance and salvation tickets’ as a ‘mixture of nonsense and blasphemy’. He conceded, however, that his followers were generous. Wesley mockingly offered to give Baily his ‘whole Revenue [gained] in Ireland’ in exchange for Baily’s resignation from his living. Wesley was less responsive to Baily’s allegation of ‘popish’ despotism, and simply pleaded ‘not guilty’ to the charge. Having already responded to the first volume of </w:t>
      </w:r>
      <w:proofErr w:type="spellStart"/>
      <w:r>
        <w:t>Lavington’s</w:t>
      </w:r>
      <w:proofErr w:type="spellEnd"/>
      <w:r>
        <w:t xml:space="preserve"> </w:t>
      </w:r>
      <w:r w:rsidRPr="003D1CE2">
        <w:rPr>
          <w:i/>
        </w:rPr>
        <w:t>Enthusiasm of Methodists and Papists Compared</w:t>
      </w:r>
      <w:r>
        <w:t>, it is possible that Wesley was tired of addressing charges of ‘popery’ by this stage. The fact that Wesley – despite having been threatened by Catholic mobs – was being charged with ‘popery’ by a fellow Anglican divine highlights the multifaceted and paradoxical nature of eighteenth-century anti-Catholicism.</w:t>
      </w:r>
      <w:r>
        <w:rPr>
          <w:rStyle w:val="FootnoteReference"/>
        </w:rPr>
        <w:footnoteReference w:id="84"/>
      </w:r>
      <w:r>
        <w:t xml:space="preserve"> As with the ‘Theophilus’ polemic, Wesley’s response to Baily contained allusions to </w:t>
      </w:r>
      <w:proofErr w:type="spellStart"/>
      <w:r>
        <w:t>Foxean</w:t>
      </w:r>
      <w:proofErr w:type="spellEnd"/>
      <w:r>
        <w:t xml:space="preserve"> </w:t>
      </w:r>
      <w:proofErr w:type="spellStart"/>
      <w:r>
        <w:t>martyrology</w:t>
      </w:r>
      <w:proofErr w:type="spellEnd"/>
      <w:r>
        <w:t xml:space="preserve"> – something with which many of his readers would have been familiar. Likening himself to the ‘venerable Men’ of 1555, Wesley pleaded guilty to Baily’s charge that he had caused ‘</w:t>
      </w:r>
      <w:r w:rsidRPr="005A5DAC">
        <w:rPr>
          <w:i/>
        </w:rPr>
        <w:t xml:space="preserve">all that </w:t>
      </w:r>
      <w:r w:rsidRPr="00647EB6">
        <w:t>Butler</w:t>
      </w:r>
      <w:r w:rsidRPr="005A5DAC">
        <w:rPr>
          <w:i/>
        </w:rPr>
        <w:t xml:space="preserve"> has done</w:t>
      </w:r>
      <w:r>
        <w:t>’. Wesley wittily added that he had caused the riots in the same way that ‘</w:t>
      </w:r>
      <w:r w:rsidRPr="00647EB6">
        <w:rPr>
          <w:i/>
        </w:rPr>
        <w:t>Latimer</w:t>
      </w:r>
      <w:r>
        <w:t xml:space="preserve"> and </w:t>
      </w:r>
      <w:r w:rsidRPr="00647EB6">
        <w:rPr>
          <w:i/>
        </w:rPr>
        <w:t>Ridley</w:t>
      </w:r>
      <w:r>
        <w:t xml:space="preserve">’ had caused ‘all that Bishop </w:t>
      </w:r>
      <w:r w:rsidRPr="00647EB6">
        <w:rPr>
          <w:i/>
        </w:rPr>
        <w:t>Bonner</w:t>
      </w:r>
      <w:r>
        <w:t xml:space="preserve"> did’ to them.</w:t>
      </w:r>
      <w:r>
        <w:rPr>
          <w:rStyle w:val="FootnoteReference"/>
        </w:rPr>
        <w:footnoteReference w:id="85"/>
      </w:r>
      <w:r>
        <w:t xml:space="preserve"> </w:t>
      </w:r>
    </w:p>
    <w:p w14:paraId="1D1D95EA" w14:textId="77777777" w:rsidR="00754ED3" w:rsidRDefault="00754ED3" w:rsidP="00DE2458">
      <w:pPr>
        <w:spacing w:line="480" w:lineRule="auto"/>
        <w:ind w:firstLine="720"/>
        <w:jc w:val="both"/>
      </w:pPr>
      <w:r>
        <w:t xml:space="preserve">But what happened to Wesley’s ‘Bonner’, the eccentric Nicholas Butler? After apparently suffering humiliation during the Lent Assizes of 1750, Butler seems to have kept a low profile in Cork. The last reliable reference to him appeared in Wesley’s journal entry for 14 June 1750. On that evening, Wesley arrived at </w:t>
      </w:r>
      <w:proofErr w:type="spellStart"/>
      <w:r>
        <w:t>Grannagh</w:t>
      </w:r>
      <w:proofErr w:type="spellEnd"/>
      <w:r>
        <w:t xml:space="preserve">, County Kilkenny, where he intended to cross the River </w:t>
      </w:r>
      <w:proofErr w:type="spellStart"/>
      <w:r>
        <w:t>Suir</w:t>
      </w:r>
      <w:proofErr w:type="spellEnd"/>
      <w:r>
        <w:t xml:space="preserve"> into Waterford. The ferry operator refused to transport him to </w:t>
      </w:r>
      <w:r>
        <w:lastRenderedPageBreak/>
        <w:t>the town because Butler had been ‘gathering mobs’ there all week. Thus, Wesley did not enter Waterford, preventing a final showdown between the godly preacher and the villainous vagabond.</w:t>
      </w:r>
      <w:r>
        <w:rPr>
          <w:rStyle w:val="FootnoteReference"/>
        </w:rPr>
        <w:footnoteReference w:id="86"/>
      </w:r>
      <w:r>
        <w:t xml:space="preserve"> Nevertheless, thanks to several hagiographies, subsequent generations of Methodists have been provided with a satisfactory end to the story. In their </w:t>
      </w:r>
      <w:r w:rsidRPr="00CC73FD">
        <w:rPr>
          <w:i/>
        </w:rPr>
        <w:t>Life of Wesley</w:t>
      </w:r>
      <w:r>
        <w:t xml:space="preserve"> (1792), Thomas Coke and Henry Moore claimed that, shortly after Wesley’s failed attempt to enter Waterford, Butler got into a ‘quarrel’ with one of his associates, causing his ‘right arm’ to be ‘cut off in the fray’. After being ‘disabled’, the ‘wretch dragged on the remainder of his life in unpitied misery.’ This description of Butler’s downfall is dubious because Coke and Moore failed to cite its provenance.</w:t>
      </w:r>
      <w:r>
        <w:rPr>
          <w:rStyle w:val="FootnoteReference"/>
        </w:rPr>
        <w:footnoteReference w:id="87"/>
      </w:r>
      <w:r>
        <w:t xml:space="preserve"> An equally dubious description of Butler’s fate was provided by ‘T. Taylor’ in an 1812 issue of the </w:t>
      </w:r>
      <w:r w:rsidRPr="00FE262A">
        <w:rPr>
          <w:i/>
        </w:rPr>
        <w:t>Methodist Magazine</w:t>
      </w:r>
      <w:r>
        <w:t>. Taylor claimed to have been told that, after the riots, Butler ‘fled to Dublin’, where ‘the Methodists supported him’, and prevented him from becoming ‘famished’. Taylor’s account contained no reference to Butler losing an arm in a fight.</w:t>
      </w:r>
      <w:r>
        <w:rPr>
          <w:rStyle w:val="FootnoteReference"/>
        </w:rPr>
        <w:footnoteReference w:id="88"/>
      </w:r>
      <w:r>
        <w:t xml:space="preserve"> Both sources were conflated by subsequent Methodist historians, providing a seemingly providential end to the story.</w:t>
      </w:r>
      <w:r>
        <w:rPr>
          <w:rStyle w:val="FootnoteReference"/>
        </w:rPr>
        <w:footnoteReference w:id="89"/>
      </w:r>
      <w:r>
        <w:t xml:space="preserve"> </w:t>
      </w:r>
    </w:p>
    <w:p w14:paraId="09A31FFD" w14:textId="10D53B76" w:rsidR="00754ED3" w:rsidRDefault="00754ED3" w:rsidP="00DE2458">
      <w:pPr>
        <w:spacing w:line="480" w:lineRule="auto"/>
        <w:ind w:firstLine="720"/>
        <w:jc w:val="both"/>
      </w:pPr>
      <w:r>
        <w:t xml:space="preserve">In fact, details of the Cork riots’ cessation remain sketchy. It seems that, by late June 1750, the rioting had virtually ceased. An item in 23 June 1750 issue of the London </w:t>
      </w:r>
      <w:r w:rsidRPr="000A787D">
        <w:rPr>
          <w:i/>
        </w:rPr>
        <w:t>Remembrancer</w:t>
      </w:r>
      <w:r>
        <w:t xml:space="preserve"> described the riots in the past tense. The reporter displayed little sympathy for Wesley, who had ‘irritated the Mob’ in Cork by ‘preaching there contrary to the Order of the Magistrates’. The fact that this item was republished in Belfast and, subsequently, Boston, Massachusetts, shows that news of the riots reached far and wide.</w:t>
      </w:r>
      <w:r>
        <w:rPr>
          <w:rStyle w:val="FootnoteReference"/>
        </w:rPr>
        <w:footnoteReference w:id="90"/>
      </w:r>
      <w:r>
        <w:t xml:space="preserve"> By 1752, anti-Methodist grievances seem to have decreased considerably in Cork. In September of that year, John </w:t>
      </w:r>
      <w:r>
        <w:lastRenderedPageBreak/>
        <w:t>Wesley paid his next visit to the city. On 24 September 1752, he proposed the construction of a ‘preaching-house’ to Cork’s Methodist society. They complied with his suggestion, and a chapel was subsequently built on Hammond’s Marsh.</w:t>
      </w:r>
      <w:r>
        <w:rPr>
          <w:rStyle w:val="FootnoteReference"/>
        </w:rPr>
        <w:footnoteReference w:id="91"/>
      </w:r>
      <w:r>
        <w:t xml:space="preserve"> It is likely that the missionary zeal originally displayed by Cork Methodists simply deflated, thus making them less of a target for Catholic mobs. The construction of a Methodist ‘preaching-house’ certainly implies that, by 1752, Cork Methodists were less engaged in open-air evangelism, and had simply become one of several Protestant congregations in the city. It must also be remembered that Methodists were only the latest of several Protestant groups who had suffered violence in the city. By focusing on Methodist persecution, traditional descriptions of the Cork riots have not only failed to consider the ways in which Methodism sometimes fuelled hostility, but also the suffering endured by other religious groups in the city. For Cork Baptists, the arrival of Methodist preachers reawakened earlier experiences of persecution. </w:t>
      </w:r>
    </w:p>
    <w:p w14:paraId="77933AB5" w14:textId="7B5BD3DF" w:rsidR="00754ED3" w:rsidRPr="004441D0" w:rsidRDefault="00754ED3" w:rsidP="003F5662">
      <w:pPr>
        <w:rPr>
          <w:b/>
        </w:rPr>
      </w:pPr>
    </w:p>
    <w:p w14:paraId="0B15D5B1" w14:textId="6506BF01" w:rsidR="00754ED3" w:rsidRDefault="00754ED3" w:rsidP="004441D0">
      <w:pPr>
        <w:spacing w:line="480" w:lineRule="auto"/>
        <w:jc w:val="both"/>
      </w:pPr>
      <w:r>
        <w:t>Initially, relations between Methodists and Cork Baptists were reasonably positive. Indeed, Baptists were receptive to the Methodists’ claim that, rather than seeking to ‘form any new party among Christians’, they sought merely to ‘win souls to Christ’ of ‘every denomination’. The recorder of the Cork Baptist Church Book observed that the Methodists ‘took particular care on all occasions to speak well’ of the Anglican Church by ‘declaring that they were baptized in her porches, had been educated in her schools and heartily consented to her most excellent forms’. Such overt shows of conformity, however, were taken simply as tactical manoeuvres. After all, it was the ‘Church of England alone’ that ‘had the power’.</w:t>
      </w:r>
      <w:r>
        <w:rPr>
          <w:rStyle w:val="FootnoteReference"/>
        </w:rPr>
        <w:footnoteReference w:id="92"/>
      </w:r>
      <w:r>
        <w:t xml:space="preserve"> Where Cork Baptist Church witnessed no baptisms between 1745 and 1747, it saw sixteen baptisms in 1748 – the year in which Charles Wesley arrived in the city.</w:t>
      </w:r>
      <w:r>
        <w:rPr>
          <w:rStyle w:val="FootnoteReference"/>
        </w:rPr>
        <w:footnoteReference w:id="93"/>
      </w:r>
      <w:r>
        <w:t xml:space="preserve"> Despite clearly benefiting from the presence of Methodist preachers, however, the Baptists grew increasingly suspicious </w:t>
      </w:r>
      <w:r>
        <w:lastRenderedPageBreak/>
        <w:t xml:space="preserve">of them. Various events recorded in the church book suggest that such suspicions were sometimes justified. </w:t>
      </w:r>
    </w:p>
    <w:p w14:paraId="4C5249A0" w14:textId="5244F429" w:rsidR="00754ED3" w:rsidRDefault="00754ED3" w:rsidP="004420FC">
      <w:pPr>
        <w:spacing w:line="480" w:lineRule="auto"/>
        <w:ind w:firstLine="720"/>
        <w:jc w:val="both"/>
      </w:pPr>
      <w:r>
        <w:t>While visiting Cork in August 1748, Charles Wesley ‘talked in high strains of the ordinance of believer’s baptism’ with the Baptist pastor, Ebenezer Gibbons, and ‘Mrs. Bentley’. Bentley admired Wesley, who claimed to have ‘baptized several adult persons in Bristol, according to the primitive institution i.e. by immersion on profession of faith and repentance.’</w:t>
      </w:r>
      <w:r>
        <w:rPr>
          <w:rStyle w:val="FootnoteReference"/>
        </w:rPr>
        <w:footnoteReference w:id="94"/>
      </w:r>
      <w:r>
        <w:t xml:space="preserve"> Wesley agreed to baptise Bentley, but advised her that ‘it looked more like the primitive practice to perform it in a river than in a baptistery’. After scouting a ‘convenient place’ with Gibbons, a date for the baptism was decided. Yet, after constantly finding ‘some excuse’ to delay the baptism, Wesley advanced a ‘sudden pretended’ reason to leave Cork, and asked Gibbons to baptise her instead. The baptism was delayed further by Bentley’s husband – an apothecary with a ‘violent temper’ – who ‘uttered many threats both against her and Mr. Gibbons, if he should baptize her’. Gibbons advised Bentley to request a baptism from John Wesley during one of his two visits to the region between 1749 and 1750. However, after explaining her ‘scruples concerning infants sprinkling and proofs from Scripture concerning believer’s baptism’, the older Wesley ‘turned her away’, and claimed that her ‘conviction was no other than the delusion of the Devil’.</w:t>
      </w:r>
      <w:r>
        <w:rPr>
          <w:rStyle w:val="FootnoteReference"/>
        </w:rPr>
        <w:footnoteReference w:id="95"/>
      </w:r>
      <w:r>
        <w:t xml:space="preserve"> John Wesley’s adherence to infant baptism was subsequently attacked by James Rutherford, a Baptist pastor of Dublin, in a 1758 publication, which was praised by Cork Baptists.</w:t>
      </w:r>
      <w:r>
        <w:rPr>
          <w:rStyle w:val="FootnoteReference"/>
        </w:rPr>
        <w:footnoteReference w:id="96"/>
      </w:r>
    </w:p>
    <w:p w14:paraId="7A109C9B" w14:textId="23DC02FD" w:rsidR="00754ED3" w:rsidRDefault="00754ED3" w:rsidP="00B77B5F">
      <w:pPr>
        <w:spacing w:line="480" w:lineRule="auto"/>
        <w:ind w:firstLine="720"/>
        <w:jc w:val="both"/>
      </w:pPr>
      <w:r>
        <w:lastRenderedPageBreak/>
        <w:t>Crucially, these Baptist accounts add credence to two common anti-Methodist allegations: Methodism fuelled familial divisions, and itinerant evangelists were sometimes motivated by self-interest. Following her baptism on 28 July 1749, ‘Mrs. Wilson’, a former Anglican, absented herself from the Cork Baptist congregation. After returning home from her baptism, Wilson’s husband – a ‘zealous Methodist’ – ‘treated her with rage and turned her out of his house’. He refused to ‘receive her again’ until she promised ‘never to join in communion’ with the Baptists. Wilson’s daughter, another ‘zealot’, similarly charged her mother with being an ‘Anabaptist’ and a ‘turncoat’.</w:t>
      </w:r>
      <w:r>
        <w:rPr>
          <w:rStyle w:val="FootnoteReference"/>
        </w:rPr>
        <w:footnoteReference w:id="97"/>
      </w:r>
      <w:r>
        <w:t xml:space="preserve"> The recorder also described an alleged (undated) incident in which </w:t>
      </w:r>
      <w:proofErr w:type="spellStart"/>
      <w:r>
        <w:t>Cowley</w:t>
      </w:r>
      <w:proofErr w:type="spellEnd"/>
      <w:r>
        <w:t xml:space="preserve"> </w:t>
      </w:r>
      <w:proofErr w:type="spellStart"/>
      <w:r>
        <w:t>Trimbath</w:t>
      </w:r>
      <w:proofErr w:type="spellEnd"/>
      <w:r>
        <w:t xml:space="preserve"> Haught, a thirty-six-year-old Methodist preacher, had ‘found means to captivate a rich woman’ of ‘at least sixty years of age’, whose late husband’s family were ‘in want of such assistance’.</w:t>
      </w:r>
      <w:r>
        <w:rPr>
          <w:rStyle w:val="FootnoteReference"/>
        </w:rPr>
        <w:footnoteReference w:id="98"/>
      </w:r>
      <w:r>
        <w:t xml:space="preserve"> Another account, concerning the funeral of ‘Mary Francis’, illuminates the ways in which Methodism reignited old divisions between Cork Baptists and the city’s mob. Despite admiring the Methodists, Francis remained a respected member of the Cork Baptist Church until her death in October 1749. Due to the family’s ‘very low’ circumstances, Francis’s Baptist friends offered to pay for the funeral. These ‘zealous Methodists’, however, refused all the Baptists’ ‘offers of kindness’. The family also attempted unsuccessfully to suppress the time of the burial service, which was conducted by Gibbons in the Baptist graveyard, from Francis’s Baptist friends. The fact that this graveyard was walled due to earlier mob attacks is further evidence that the anti-Methodist riots were part of a lineage of religious violence in Cork. The presence of a ‘large company of Methodists’ at the burial attracted rioters, who threw stones at the mourners, injuring ‘one or two women’. The Methodists subsequently ‘insulted Mr. Gibbons’ by insinuating that he, along with his </w:t>
      </w:r>
      <w:r>
        <w:lastRenderedPageBreak/>
        <w:t>congregants, ‘had been the occasion of the tumult’. The Baptists, unsurprisingly, were appalled by the ‘insidious’ notion that they, in ‘their own place of burial’ – ‘when the deceased was well known to have been all her life in communion with them’ – ‘should encourage a mob by which they themselves but especially their minister must be exposed.’</w:t>
      </w:r>
      <w:r>
        <w:rPr>
          <w:rStyle w:val="FootnoteReference"/>
        </w:rPr>
        <w:footnoteReference w:id="99"/>
      </w:r>
      <w:r>
        <w:t xml:space="preserve"> </w:t>
      </w:r>
    </w:p>
    <w:p w14:paraId="0F37CCFE" w14:textId="6764A88A" w:rsidR="00754ED3" w:rsidRDefault="00754ED3" w:rsidP="00DD5F60">
      <w:pPr>
        <w:spacing w:line="480" w:lineRule="auto"/>
        <w:ind w:firstLine="720"/>
        <w:jc w:val="both"/>
      </w:pPr>
      <w:r>
        <w:t>While Francis had maintained her loyalty to the Baptists, others, apparently, were ‘so far influenced’ by Methodist preachers that they chose to ‘totally absent themselves’ from the Baptist congregation. Cork Baptists were aware of similar cases of sheep-stealing elsewhere in Ireland. The recorder of the church book lamented that ‘our brethren of Swift’s Alley, Dublin’, a formerly ‘flourishing congregation’, had ‘dwindled to a very inconsiderable number’ due to the various ‘parties’ generated by ‘the Methodists and Moravians’.</w:t>
      </w:r>
      <w:r>
        <w:rPr>
          <w:rStyle w:val="FootnoteReference"/>
        </w:rPr>
        <w:footnoteReference w:id="100"/>
      </w:r>
      <w:r>
        <w:t xml:space="preserve"> Others, such as George </w:t>
      </w:r>
      <w:proofErr w:type="spellStart"/>
      <w:r>
        <w:t>Levatch</w:t>
      </w:r>
      <w:proofErr w:type="spellEnd"/>
      <w:r>
        <w:t xml:space="preserve"> of Cork, shifted their denominational allegiance constantly. By October 1757, the Baptists had suspended </w:t>
      </w:r>
      <w:proofErr w:type="spellStart"/>
      <w:r>
        <w:t>Levatch</w:t>
      </w:r>
      <w:proofErr w:type="spellEnd"/>
      <w:r>
        <w:t xml:space="preserve">, a former Methodist preacher, who was ‘bred a Presbyterian’. After ‘joining in communion’ with the Baptists for a ‘short time’, he had ‘applied to the Church of England and received the sacrament there’, but subsequently re-joined the Methodists, who received him with ‘open arms’. During his ‘abjuration before the Methodists’, </w:t>
      </w:r>
      <w:proofErr w:type="spellStart"/>
      <w:r>
        <w:t>Levatch</w:t>
      </w:r>
      <w:proofErr w:type="spellEnd"/>
      <w:r>
        <w:t xml:space="preserve"> had ‘reflected on the Baptists in a very injurious manner, declaring that his joining with them was under a delusion of the Devil’.</w:t>
      </w:r>
      <w:r>
        <w:rPr>
          <w:rStyle w:val="FootnoteReference"/>
        </w:rPr>
        <w:footnoteReference w:id="101"/>
      </w:r>
      <w:r>
        <w:t xml:space="preserve"> </w:t>
      </w:r>
    </w:p>
    <w:p w14:paraId="40754A7F" w14:textId="30370B8C" w:rsidR="003513AB" w:rsidRDefault="00754ED3" w:rsidP="00DD5F60">
      <w:pPr>
        <w:widowControl w:val="0"/>
        <w:autoSpaceDE w:val="0"/>
        <w:autoSpaceDN w:val="0"/>
        <w:adjustRightInd w:val="0"/>
        <w:spacing w:line="480" w:lineRule="auto"/>
        <w:ind w:firstLine="720"/>
        <w:jc w:val="both"/>
      </w:pPr>
      <w:r>
        <w:t xml:space="preserve">To the recorder, Methodist converts, such as </w:t>
      </w:r>
      <w:proofErr w:type="spellStart"/>
      <w:r>
        <w:t>Levatch</w:t>
      </w:r>
      <w:proofErr w:type="spellEnd"/>
      <w:r>
        <w:t xml:space="preserve">, were gullible victims of a seemingly ‘popish’ regime, in which ‘Mr. John Wesley’ enjoyed a ‘surprising’ amount of ‘influence and authority’ over his ‘people’. Classes were convened ‘at whatever hour’ he chose, and any absentees were ‘deemed as no member of the society’. All contentious issues were ‘brought before him to decide’. ‘No bishop or patriarch’, the recorder claimed, enjoyed such ‘deference’. Methodist classes ‘served as nurseries’, in which members were trained in ‘prayer </w:t>
      </w:r>
      <w:r>
        <w:lastRenderedPageBreak/>
        <w:t>and admonishing’. As with the ‘colleges in popish countries’ – where ‘only a few of the most eminent for delivery were called out and permitted to preach’ – Wesley’s classes selected only the most ‘vehement’ and ‘popular men for preachers’. We have seen that Baily had similarly claimed that Wesley’s authority over his followers was reminiscent of a ‘popish’ autocratic regime. As with Baily, the recorder criticised the alleged tendency among Methodist preachers to charge tickets for attendance at their services. Some poor followers were apparently forced to ‘pay a penny per week for their seats which in a year amounts to double that a common parishioner pays to the established church.’ Certain grievances and observations clearly transcended denominational boundaries. Therefore, these early tensions between Cork Methodists and Baptists, as recorded in the church book, serve as a crucial means of illuminating the problem of bias and self-portrayal in discussions of religious violence. For Cork Baptists, Methodism not only reawakened earlier experiences of persecution, it also sparked divisions within their congregation and families. If we believe John Wesley’s claim that Methodism gained many converts among Cork’s Catholic population, then one can only imagine the anger and division that must have ensued among the town’s Catholic families. While their voice is, unfortunately, lost, these Baptists accounts go some way in elucidating the grievances that undergirded these riots.</w:t>
      </w:r>
      <w:r>
        <w:rPr>
          <w:rStyle w:val="FootnoteReference"/>
        </w:rPr>
        <w:footnoteReference w:id="102"/>
      </w:r>
      <w:r>
        <w:t xml:space="preserve"> </w:t>
      </w:r>
    </w:p>
    <w:p w14:paraId="20605A20" w14:textId="0CDC0E8C" w:rsidR="00D92C88" w:rsidRDefault="00D92C88" w:rsidP="003F5662">
      <w:pPr>
        <w:rPr>
          <w:b/>
          <w:color w:val="000000" w:themeColor="text1"/>
        </w:rPr>
      </w:pPr>
    </w:p>
    <w:p w14:paraId="15E765A5" w14:textId="05988791" w:rsidR="00F761FB" w:rsidRDefault="00EF6761" w:rsidP="00EF6761">
      <w:pPr>
        <w:spacing w:line="480" w:lineRule="auto"/>
        <w:jc w:val="both"/>
        <w:rPr>
          <w:color w:val="000000" w:themeColor="text1"/>
        </w:rPr>
      </w:pPr>
      <w:r>
        <w:rPr>
          <w:color w:val="000000" w:themeColor="text1"/>
        </w:rPr>
        <w:t xml:space="preserve">Previous discussions of the Cork riots have failed to place this episode in its </w:t>
      </w:r>
      <w:r w:rsidR="00125DF0">
        <w:rPr>
          <w:color w:val="000000" w:themeColor="text1"/>
        </w:rPr>
        <w:t xml:space="preserve">proper </w:t>
      </w:r>
      <w:r>
        <w:rPr>
          <w:color w:val="000000" w:themeColor="text1"/>
        </w:rPr>
        <w:t>historical and geographical context. This spate of violence was not a</w:t>
      </w:r>
      <w:r w:rsidR="00A57D9C">
        <w:rPr>
          <w:color w:val="000000" w:themeColor="text1"/>
        </w:rPr>
        <w:t xml:space="preserve">n extension of </w:t>
      </w:r>
      <w:r>
        <w:rPr>
          <w:color w:val="000000" w:themeColor="text1"/>
        </w:rPr>
        <w:t>anti-Methodist riot</w:t>
      </w:r>
      <w:r w:rsidR="00A57D9C">
        <w:rPr>
          <w:color w:val="000000" w:themeColor="text1"/>
        </w:rPr>
        <w:t>ing</w:t>
      </w:r>
      <w:r w:rsidR="00B66ACC">
        <w:rPr>
          <w:color w:val="000000" w:themeColor="text1"/>
        </w:rPr>
        <w:t xml:space="preserve"> </w:t>
      </w:r>
      <w:r>
        <w:rPr>
          <w:color w:val="000000" w:themeColor="text1"/>
        </w:rPr>
        <w:t>in</w:t>
      </w:r>
      <w:r w:rsidR="00A57D9C">
        <w:rPr>
          <w:color w:val="000000" w:themeColor="text1"/>
        </w:rPr>
        <w:t xml:space="preserve"> England</w:t>
      </w:r>
      <w:r w:rsidR="003641CD">
        <w:rPr>
          <w:color w:val="000000" w:themeColor="text1"/>
        </w:rPr>
        <w:t xml:space="preserve">, where </w:t>
      </w:r>
      <w:r>
        <w:rPr>
          <w:color w:val="000000" w:themeColor="text1"/>
        </w:rPr>
        <w:t xml:space="preserve">the social elites and the </w:t>
      </w:r>
      <w:r w:rsidR="003641CD">
        <w:rPr>
          <w:color w:val="000000" w:themeColor="text1"/>
        </w:rPr>
        <w:t xml:space="preserve">mob usually shared </w:t>
      </w:r>
      <w:r>
        <w:rPr>
          <w:color w:val="000000" w:themeColor="text1"/>
        </w:rPr>
        <w:t>the same faith. When one considers the politico-theological ten</w:t>
      </w:r>
      <w:r w:rsidR="00251086">
        <w:rPr>
          <w:color w:val="000000" w:themeColor="text1"/>
        </w:rPr>
        <w:t>sions which had gripped Cork</w:t>
      </w:r>
      <w:r>
        <w:rPr>
          <w:color w:val="000000" w:themeColor="text1"/>
        </w:rPr>
        <w:t xml:space="preserve"> in the years and decades preceding the riots, it is much easier to sympa</w:t>
      </w:r>
      <w:r w:rsidR="00CB7165">
        <w:rPr>
          <w:color w:val="000000" w:themeColor="text1"/>
        </w:rPr>
        <w:t>thise with the corporation, who –</w:t>
      </w:r>
      <w:r>
        <w:rPr>
          <w:color w:val="000000" w:themeColor="text1"/>
        </w:rPr>
        <w:t xml:space="preserve"> despite</w:t>
      </w:r>
      <w:r w:rsidR="00212A12">
        <w:rPr>
          <w:color w:val="000000" w:themeColor="text1"/>
        </w:rPr>
        <w:t xml:space="preserve"> possessing official power</w:t>
      </w:r>
      <w:r w:rsidR="00C6243E">
        <w:rPr>
          <w:color w:val="000000" w:themeColor="text1"/>
        </w:rPr>
        <w:t xml:space="preserve"> in the city</w:t>
      </w:r>
      <w:r w:rsidR="00CB7165">
        <w:rPr>
          <w:color w:val="000000" w:themeColor="text1"/>
        </w:rPr>
        <w:t xml:space="preserve"> –</w:t>
      </w:r>
      <w:r>
        <w:rPr>
          <w:color w:val="000000" w:themeColor="text1"/>
        </w:rPr>
        <w:t xml:space="preserve"> were seriously outnumbered by an aggrieved Catholic </w:t>
      </w:r>
      <w:r>
        <w:rPr>
          <w:color w:val="000000" w:themeColor="text1"/>
        </w:rPr>
        <w:lastRenderedPageBreak/>
        <w:t xml:space="preserve">population. </w:t>
      </w:r>
      <w:r w:rsidR="00FB515A">
        <w:rPr>
          <w:color w:val="000000" w:themeColor="text1"/>
        </w:rPr>
        <w:t>It is</w:t>
      </w:r>
      <w:r w:rsidR="00CF38BE">
        <w:rPr>
          <w:color w:val="000000" w:themeColor="text1"/>
        </w:rPr>
        <w:t>, therefore,</w:t>
      </w:r>
      <w:r w:rsidR="00FB515A">
        <w:rPr>
          <w:color w:val="000000" w:themeColor="text1"/>
        </w:rPr>
        <w:t xml:space="preserve"> implausible to assume that Butler’s predominantly Catholic mob operated</w:t>
      </w:r>
      <w:r w:rsidR="002257BF">
        <w:rPr>
          <w:color w:val="000000" w:themeColor="text1"/>
        </w:rPr>
        <w:t xml:space="preserve"> </w:t>
      </w:r>
      <w:r w:rsidR="00FB515A">
        <w:rPr>
          <w:color w:val="000000" w:themeColor="text1"/>
        </w:rPr>
        <w:t>at the corporation’s behest.</w:t>
      </w:r>
      <w:r w:rsidR="00DD0077">
        <w:rPr>
          <w:color w:val="000000" w:themeColor="text1"/>
        </w:rPr>
        <w:t xml:space="preserve"> Rather, the rioters were prob</w:t>
      </w:r>
      <w:r w:rsidR="008B1849">
        <w:rPr>
          <w:color w:val="000000" w:themeColor="text1"/>
        </w:rPr>
        <w:t>ably</w:t>
      </w:r>
      <w:r w:rsidR="00410D8E">
        <w:rPr>
          <w:color w:val="000000" w:themeColor="text1"/>
        </w:rPr>
        <w:t xml:space="preserve"> drawing on an existing tradition of anti-Protestant violence, and the corporation was simply grateful that these grievances were not directed </w:t>
      </w:r>
      <w:r w:rsidR="00304DF8">
        <w:rPr>
          <w:color w:val="000000" w:themeColor="text1"/>
        </w:rPr>
        <w:t>at mainstream Anglicanism</w:t>
      </w:r>
      <w:r w:rsidR="00DD0077">
        <w:rPr>
          <w:color w:val="000000" w:themeColor="text1"/>
        </w:rPr>
        <w:t>.</w:t>
      </w:r>
      <w:r w:rsidR="00C06472">
        <w:rPr>
          <w:color w:val="000000" w:themeColor="text1"/>
        </w:rPr>
        <w:t xml:space="preserve"> </w:t>
      </w:r>
      <w:r w:rsidR="007E72F6">
        <w:rPr>
          <w:color w:val="000000" w:themeColor="text1"/>
        </w:rPr>
        <w:t>I</w:t>
      </w:r>
      <w:r w:rsidR="00304DF8">
        <w:rPr>
          <w:color w:val="000000" w:themeColor="text1"/>
        </w:rPr>
        <w:t xml:space="preserve">nstead of </w:t>
      </w:r>
      <w:r w:rsidR="00DD0077">
        <w:rPr>
          <w:color w:val="000000" w:themeColor="text1"/>
        </w:rPr>
        <w:t xml:space="preserve">viewing the rioters as mindless vandals, one </w:t>
      </w:r>
      <w:r w:rsidR="00756341">
        <w:rPr>
          <w:color w:val="000000" w:themeColor="text1"/>
        </w:rPr>
        <w:t xml:space="preserve">should not dismiss the </w:t>
      </w:r>
      <w:r w:rsidR="009A4FEC">
        <w:rPr>
          <w:color w:val="000000" w:themeColor="text1"/>
        </w:rPr>
        <w:t xml:space="preserve">strong </w:t>
      </w:r>
      <w:r w:rsidR="00756341">
        <w:rPr>
          <w:color w:val="000000" w:themeColor="text1"/>
        </w:rPr>
        <w:t>possibility that</w:t>
      </w:r>
      <w:r w:rsidR="00DD0077">
        <w:rPr>
          <w:color w:val="000000" w:themeColor="text1"/>
        </w:rPr>
        <w:t xml:space="preserve"> their actions were fuelled</w:t>
      </w:r>
      <w:r w:rsidR="009F3CCC">
        <w:rPr>
          <w:color w:val="000000" w:themeColor="text1"/>
        </w:rPr>
        <w:t xml:space="preserve"> predominantly</w:t>
      </w:r>
      <w:r w:rsidR="00DD0077">
        <w:rPr>
          <w:color w:val="000000" w:themeColor="text1"/>
        </w:rPr>
        <w:t xml:space="preserve"> b</w:t>
      </w:r>
      <w:r w:rsidR="008B1849">
        <w:rPr>
          <w:color w:val="000000" w:themeColor="text1"/>
        </w:rPr>
        <w:t>y a politico-theological agenda – something which was</w:t>
      </w:r>
      <w:r w:rsidR="00DD0077">
        <w:rPr>
          <w:color w:val="000000" w:themeColor="text1"/>
        </w:rPr>
        <w:t xml:space="preserve"> evidenced particularly by the</w:t>
      </w:r>
      <w:r w:rsidR="008B1849">
        <w:rPr>
          <w:color w:val="000000" w:themeColor="text1"/>
        </w:rPr>
        <w:t xml:space="preserve"> </w:t>
      </w:r>
      <w:r w:rsidR="00DD0077">
        <w:rPr>
          <w:color w:val="000000" w:themeColor="text1"/>
        </w:rPr>
        <w:t>Jacobite sentiments of Simon Rawlins.</w:t>
      </w:r>
      <w:r w:rsidR="001F7523">
        <w:rPr>
          <w:color w:val="000000" w:themeColor="text1"/>
        </w:rPr>
        <w:t xml:space="preserve"> </w:t>
      </w:r>
      <w:r w:rsidR="00B66ACC">
        <w:rPr>
          <w:color w:val="000000" w:themeColor="text1"/>
        </w:rPr>
        <w:t>Such independence can also be discerned from Butler’s brief migration to Dublin</w:t>
      </w:r>
      <w:r w:rsidR="00212A12">
        <w:rPr>
          <w:color w:val="000000" w:themeColor="text1"/>
        </w:rPr>
        <w:t>, and his subsequent visit to Waterford</w:t>
      </w:r>
      <w:r w:rsidR="00B66ACC">
        <w:rPr>
          <w:color w:val="000000" w:themeColor="text1"/>
        </w:rPr>
        <w:t>.</w:t>
      </w:r>
      <w:r w:rsidR="00EA329D">
        <w:rPr>
          <w:color w:val="000000" w:themeColor="text1"/>
        </w:rPr>
        <w:t xml:space="preserve"> Furthermore, the missionary zeal displayed by Methodist preachers would have shocked the city’s predominantly Catholic population, which had grown accustomed to the cautious pragmatism of the town’s </w:t>
      </w:r>
      <w:r w:rsidR="004C650A">
        <w:rPr>
          <w:color w:val="000000" w:themeColor="text1"/>
        </w:rPr>
        <w:t>Anglican</w:t>
      </w:r>
      <w:r w:rsidR="00EA329D">
        <w:rPr>
          <w:color w:val="000000" w:themeColor="text1"/>
        </w:rPr>
        <w:t xml:space="preserve"> elites.</w:t>
      </w:r>
      <w:r w:rsidR="001F1A61">
        <w:rPr>
          <w:color w:val="000000" w:themeColor="text1"/>
        </w:rPr>
        <w:t xml:space="preserve"> </w:t>
      </w:r>
    </w:p>
    <w:p w14:paraId="1AAF96B7" w14:textId="4D8EB8E0" w:rsidR="00CC0D11" w:rsidRPr="00221538" w:rsidRDefault="000548AD" w:rsidP="000A308A">
      <w:pPr>
        <w:spacing w:line="480" w:lineRule="auto"/>
        <w:ind w:firstLine="720"/>
        <w:jc w:val="both"/>
        <w:rPr>
          <w:color w:val="000000" w:themeColor="text1"/>
        </w:rPr>
      </w:pPr>
      <w:r>
        <w:rPr>
          <w:color w:val="000000" w:themeColor="text1"/>
        </w:rPr>
        <w:t xml:space="preserve">This study has </w:t>
      </w:r>
      <w:r w:rsidR="008F79DB">
        <w:rPr>
          <w:color w:val="000000" w:themeColor="text1"/>
        </w:rPr>
        <w:t>illuminated strong aspects of continuity between the Cork riots and earlier instances of urban violence in Ireland.</w:t>
      </w:r>
      <w:r w:rsidR="008C2B44">
        <w:rPr>
          <w:color w:val="000000" w:themeColor="text1"/>
        </w:rPr>
        <w:t xml:space="preserve"> We have seen that Butler’s theatricality was reminiscent of several earlier disturbances.</w:t>
      </w:r>
      <w:r w:rsidR="008F79DB">
        <w:rPr>
          <w:color w:val="000000" w:themeColor="text1"/>
        </w:rPr>
        <w:t xml:space="preserve"> </w:t>
      </w:r>
      <w:r w:rsidR="008C2B44">
        <w:rPr>
          <w:color w:val="000000" w:themeColor="text1"/>
        </w:rPr>
        <w:t>Also</w:t>
      </w:r>
      <w:r w:rsidR="008F79DB">
        <w:rPr>
          <w:color w:val="000000" w:themeColor="text1"/>
        </w:rPr>
        <w:t xml:space="preserve">, by highlighting the godliness </w:t>
      </w:r>
      <w:r w:rsidR="008C2B44">
        <w:rPr>
          <w:color w:val="000000" w:themeColor="text1"/>
        </w:rPr>
        <w:t>and stoicism of victims – particularly female victims – Methodists articulated persecution narratives w</w:t>
      </w:r>
      <w:r w:rsidR="00E60BE8">
        <w:rPr>
          <w:color w:val="000000" w:themeColor="text1"/>
        </w:rPr>
        <w:t xml:space="preserve">hich </w:t>
      </w:r>
      <w:r w:rsidR="008C2B44">
        <w:rPr>
          <w:color w:val="000000" w:themeColor="text1"/>
        </w:rPr>
        <w:t xml:space="preserve">strongly resembled </w:t>
      </w:r>
      <w:r w:rsidR="00E60BE8">
        <w:rPr>
          <w:color w:val="000000" w:themeColor="text1"/>
        </w:rPr>
        <w:t xml:space="preserve">accounts by victims </w:t>
      </w:r>
      <w:r w:rsidR="008C2B44">
        <w:rPr>
          <w:color w:val="000000" w:themeColor="text1"/>
        </w:rPr>
        <w:t xml:space="preserve">of the 1641 rebellion. </w:t>
      </w:r>
      <w:r w:rsidR="00E60BE8">
        <w:rPr>
          <w:color w:val="000000" w:themeColor="text1"/>
        </w:rPr>
        <w:t>Other Methodists</w:t>
      </w:r>
      <w:r w:rsidR="008C2B44">
        <w:rPr>
          <w:color w:val="000000" w:themeColor="text1"/>
        </w:rPr>
        <w:t>, such as Wesley</w:t>
      </w:r>
      <w:r w:rsidR="00E60BE8">
        <w:rPr>
          <w:color w:val="000000" w:themeColor="text1"/>
        </w:rPr>
        <w:t xml:space="preserve"> and ‘Theophilus’</w:t>
      </w:r>
      <w:r w:rsidR="008C2B44">
        <w:rPr>
          <w:color w:val="000000" w:themeColor="text1"/>
        </w:rPr>
        <w:t xml:space="preserve">, </w:t>
      </w:r>
      <w:r w:rsidR="005A59F5">
        <w:rPr>
          <w:color w:val="000000" w:themeColor="text1"/>
        </w:rPr>
        <w:t>compared their experiences to the persecution of Counter-Reformation Protestants</w:t>
      </w:r>
      <w:r w:rsidR="00586D9C">
        <w:rPr>
          <w:color w:val="000000" w:themeColor="text1"/>
        </w:rPr>
        <w:t>, thus highlighting</w:t>
      </w:r>
      <w:r w:rsidR="005A59F5">
        <w:rPr>
          <w:color w:val="000000" w:themeColor="text1"/>
        </w:rPr>
        <w:t xml:space="preserve"> the endurance of the </w:t>
      </w:r>
      <w:proofErr w:type="spellStart"/>
      <w:r w:rsidR="005A59F5">
        <w:rPr>
          <w:color w:val="000000" w:themeColor="text1"/>
        </w:rPr>
        <w:t>Foxean</w:t>
      </w:r>
      <w:proofErr w:type="spellEnd"/>
      <w:r w:rsidR="005A59F5">
        <w:rPr>
          <w:color w:val="000000" w:themeColor="text1"/>
        </w:rPr>
        <w:t xml:space="preserve"> tradition during the eighteenth century. </w:t>
      </w:r>
      <w:r w:rsidR="001F1A61">
        <w:rPr>
          <w:color w:val="000000" w:themeColor="text1"/>
        </w:rPr>
        <w:t>Ironically,</w:t>
      </w:r>
      <w:r w:rsidR="008B1849">
        <w:rPr>
          <w:color w:val="000000" w:themeColor="text1"/>
        </w:rPr>
        <w:t xml:space="preserve"> we have </w:t>
      </w:r>
      <w:r w:rsidR="00586D9C">
        <w:rPr>
          <w:color w:val="000000" w:themeColor="text1"/>
        </w:rPr>
        <w:t xml:space="preserve">also </w:t>
      </w:r>
      <w:r w:rsidR="008B1849">
        <w:rPr>
          <w:color w:val="000000" w:themeColor="text1"/>
        </w:rPr>
        <w:t>seen that</w:t>
      </w:r>
      <w:r w:rsidR="001F1A61">
        <w:rPr>
          <w:color w:val="000000" w:themeColor="text1"/>
        </w:rPr>
        <w:t xml:space="preserve"> Wesley faced charges of ‘popery’ from Anglicans and Baptists,</w:t>
      </w:r>
      <w:r w:rsidR="009C708C">
        <w:rPr>
          <w:color w:val="000000" w:themeColor="text1"/>
        </w:rPr>
        <w:t xml:space="preserve"> thus demonstrating</w:t>
      </w:r>
      <w:r w:rsidR="00586D9C">
        <w:rPr>
          <w:color w:val="000000" w:themeColor="text1"/>
        </w:rPr>
        <w:t xml:space="preserve"> </w:t>
      </w:r>
      <w:r w:rsidR="001F1A61">
        <w:rPr>
          <w:color w:val="000000" w:themeColor="text1"/>
        </w:rPr>
        <w:t>the paradoxical nature of anti-Catholicism</w:t>
      </w:r>
      <w:r w:rsidR="00B66ACC">
        <w:rPr>
          <w:color w:val="000000" w:themeColor="text1"/>
        </w:rPr>
        <w:t xml:space="preserve"> in eighteenth-century Ireland</w:t>
      </w:r>
      <w:r w:rsidR="001F1A61">
        <w:rPr>
          <w:color w:val="000000" w:themeColor="text1"/>
        </w:rPr>
        <w:t>.</w:t>
      </w:r>
      <w:r w:rsidR="00E60BE8">
        <w:rPr>
          <w:color w:val="000000" w:themeColor="text1"/>
        </w:rPr>
        <w:t xml:space="preserve"> Furthermore</w:t>
      </w:r>
      <w:r w:rsidR="009E1A59">
        <w:rPr>
          <w:color w:val="000000" w:themeColor="text1"/>
        </w:rPr>
        <w:t xml:space="preserve">, </w:t>
      </w:r>
      <w:r w:rsidR="00586D9C">
        <w:rPr>
          <w:color w:val="000000" w:themeColor="text1"/>
        </w:rPr>
        <w:t>through discussions of</w:t>
      </w:r>
      <w:r w:rsidR="00BE62F8">
        <w:rPr>
          <w:color w:val="000000" w:themeColor="text1"/>
        </w:rPr>
        <w:t xml:space="preserve"> earlier attacks on </w:t>
      </w:r>
      <w:r w:rsidR="00A57D9C">
        <w:rPr>
          <w:color w:val="000000" w:themeColor="text1"/>
        </w:rPr>
        <w:t>Cork Quakers and Baptists</w:t>
      </w:r>
      <w:r w:rsidR="00BE62F8">
        <w:rPr>
          <w:color w:val="000000" w:themeColor="text1"/>
        </w:rPr>
        <w:t>,</w:t>
      </w:r>
      <w:r w:rsidR="00A57D9C">
        <w:rPr>
          <w:color w:val="000000" w:themeColor="text1"/>
        </w:rPr>
        <w:t xml:space="preserve"> this paper has</w:t>
      </w:r>
      <w:r w:rsidR="008C2B44">
        <w:rPr>
          <w:color w:val="000000" w:themeColor="text1"/>
        </w:rPr>
        <w:t xml:space="preserve"> </w:t>
      </w:r>
      <w:r w:rsidR="00A57D9C">
        <w:rPr>
          <w:color w:val="000000" w:themeColor="text1"/>
        </w:rPr>
        <w:t>located the anti-Methodist riots as part of a long tradition of anti-Protestant violence in the city</w:t>
      </w:r>
      <w:r w:rsidR="00BE62F8">
        <w:rPr>
          <w:color w:val="000000" w:themeColor="text1"/>
        </w:rPr>
        <w:t>. For Cork Baptists, Methodism not only reawakened earlier experiences of mob attacks, it also incited familial divisions and losses within their congregation.</w:t>
      </w:r>
      <w:r w:rsidR="00EA329D">
        <w:rPr>
          <w:color w:val="000000" w:themeColor="text1"/>
        </w:rPr>
        <w:t xml:space="preserve"> </w:t>
      </w:r>
      <w:r w:rsidR="003A1CE0">
        <w:rPr>
          <w:color w:val="000000" w:themeColor="text1"/>
        </w:rPr>
        <w:t>B</w:t>
      </w:r>
      <w:r w:rsidR="008C2B44">
        <w:rPr>
          <w:color w:val="000000" w:themeColor="text1"/>
        </w:rPr>
        <w:t xml:space="preserve">uilding on the work of Tait and Walter, </w:t>
      </w:r>
      <w:r w:rsidR="00E60BE8">
        <w:rPr>
          <w:color w:val="000000" w:themeColor="text1"/>
        </w:rPr>
        <w:t>this paper</w:t>
      </w:r>
      <w:r w:rsidR="003A1CE0">
        <w:rPr>
          <w:color w:val="000000" w:themeColor="text1"/>
        </w:rPr>
        <w:t>, therefore,</w:t>
      </w:r>
      <w:r w:rsidR="00E60BE8">
        <w:rPr>
          <w:color w:val="000000" w:themeColor="text1"/>
        </w:rPr>
        <w:t xml:space="preserve"> </w:t>
      </w:r>
      <w:r w:rsidR="008C2B44">
        <w:rPr>
          <w:color w:val="000000" w:themeColor="text1"/>
        </w:rPr>
        <w:t>serve</w:t>
      </w:r>
      <w:r w:rsidR="00E60BE8">
        <w:rPr>
          <w:color w:val="000000" w:themeColor="text1"/>
        </w:rPr>
        <w:t>s</w:t>
      </w:r>
      <w:r w:rsidR="008C2B44">
        <w:rPr>
          <w:color w:val="000000" w:themeColor="text1"/>
        </w:rPr>
        <w:t xml:space="preserve"> to </w:t>
      </w:r>
      <w:r w:rsidR="008C2B44">
        <w:rPr>
          <w:color w:val="000000" w:themeColor="text1"/>
        </w:rPr>
        <w:lastRenderedPageBreak/>
        <w:t xml:space="preserve">illuminate </w:t>
      </w:r>
      <w:r w:rsidR="008C2B44">
        <w:t>the problems of bias and self-portrayal</w:t>
      </w:r>
      <w:r w:rsidR="00E60BE8">
        <w:t xml:space="preserve"> with which the historian of</w:t>
      </w:r>
      <w:r w:rsidR="008C2B44">
        <w:t xml:space="preserve"> early modern urban violence</w:t>
      </w:r>
      <w:r w:rsidR="000E1256">
        <w:t xml:space="preserve"> and popular protest</w:t>
      </w:r>
      <w:r w:rsidR="00E60BE8">
        <w:t xml:space="preserve"> is often faced</w:t>
      </w:r>
      <w:r w:rsidR="008C2B44">
        <w:t xml:space="preserve">. </w:t>
      </w:r>
      <w:r w:rsidR="009A4FEC">
        <w:rPr>
          <w:color w:val="000000" w:themeColor="text1"/>
        </w:rPr>
        <w:t xml:space="preserve">Finally, </w:t>
      </w:r>
      <w:r w:rsidR="00F761FB">
        <w:rPr>
          <w:color w:val="000000" w:themeColor="text1"/>
        </w:rPr>
        <w:t xml:space="preserve">by </w:t>
      </w:r>
      <w:r w:rsidR="00D04D0F">
        <w:rPr>
          <w:color w:val="000000" w:themeColor="text1"/>
        </w:rPr>
        <w:t>highlighting</w:t>
      </w:r>
      <w:r w:rsidR="009A4FEC">
        <w:rPr>
          <w:color w:val="000000" w:themeColor="text1"/>
        </w:rPr>
        <w:t xml:space="preserve"> the persistence of</w:t>
      </w:r>
      <w:r w:rsidR="00F761FB">
        <w:rPr>
          <w:color w:val="000000" w:themeColor="text1"/>
        </w:rPr>
        <w:t xml:space="preserve"> </w:t>
      </w:r>
      <w:r w:rsidR="009A4FEC">
        <w:rPr>
          <w:color w:val="000000" w:themeColor="text1"/>
        </w:rPr>
        <w:t xml:space="preserve">religious violence </w:t>
      </w:r>
      <w:r w:rsidR="00F761FB">
        <w:rPr>
          <w:color w:val="000000" w:themeColor="text1"/>
        </w:rPr>
        <w:t xml:space="preserve">in </w:t>
      </w:r>
      <w:r w:rsidR="009A4FEC">
        <w:rPr>
          <w:color w:val="000000" w:themeColor="text1"/>
        </w:rPr>
        <w:t>eighte</w:t>
      </w:r>
      <w:r w:rsidR="00F761FB">
        <w:rPr>
          <w:color w:val="000000" w:themeColor="text1"/>
        </w:rPr>
        <w:t xml:space="preserve">enth-century Ireland, this study has </w:t>
      </w:r>
      <w:r w:rsidR="005A2907">
        <w:rPr>
          <w:color w:val="000000" w:themeColor="text1"/>
        </w:rPr>
        <w:t xml:space="preserve">effectively </w:t>
      </w:r>
      <w:r w:rsidR="00F761FB">
        <w:rPr>
          <w:color w:val="000000" w:themeColor="text1"/>
        </w:rPr>
        <w:t>questioned the extent to whic</w:t>
      </w:r>
      <w:r w:rsidR="00B6079A">
        <w:rPr>
          <w:color w:val="000000" w:themeColor="text1"/>
        </w:rPr>
        <w:t>h we should speak of</w:t>
      </w:r>
      <w:r w:rsidR="00F761FB">
        <w:rPr>
          <w:color w:val="000000" w:themeColor="text1"/>
        </w:rPr>
        <w:t xml:space="preserve"> a ‘tunnel period’</w:t>
      </w:r>
      <w:r w:rsidR="00DA1903">
        <w:rPr>
          <w:color w:val="000000" w:themeColor="text1"/>
        </w:rPr>
        <w:t xml:space="preserve"> between the sixteen-nineties</w:t>
      </w:r>
      <w:r w:rsidR="00B6079A">
        <w:rPr>
          <w:color w:val="000000" w:themeColor="text1"/>
        </w:rPr>
        <w:t xml:space="preserve"> and </w:t>
      </w:r>
      <w:r w:rsidR="0083659D">
        <w:rPr>
          <w:color w:val="000000" w:themeColor="text1"/>
        </w:rPr>
        <w:t xml:space="preserve">the </w:t>
      </w:r>
      <w:r w:rsidR="00DA1903">
        <w:rPr>
          <w:color w:val="000000" w:themeColor="text1"/>
        </w:rPr>
        <w:t>Armagh disturbances of the seventeen-eighties</w:t>
      </w:r>
      <w:r w:rsidR="00F761FB">
        <w:rPr>
          <w:color w:val="000000" w:themeColor="text1"/>
        </w:rPr>
        <w:t xml:space="preserve">, in which </w:t>
      </w:r>
      <w:r w:rsidR="005A2907">
        <w:rPr>
          <w:color w:val="000000" w:themeColor="text1"/>
        </w:rPr>
        <w:t>theological and ecclesiastical issues ceased to featu</w:t>
      </w:r>
      <w:r w:rsidR="00DE78F2">
        <w:rPr>
          <w:color w:val="000000" w:themeColor="text1"/>
        </w:rPr>
        <w:t>re prominently in riots</w:t>
      </w:r>
      <w:r w:rsidR="005A2907">
        <w:rPr>
          <w:color w:val="000000" w:themeColor="text1"/>
        </w:rPr>
        <w:t>.</w:t>
      </w:r>
      <w:r w:rsidR="002271EA">
        <w:rPr>
          <w:color w:val="000000" w:themeColor="text1"/>
        </w:rPr>
        <w:t xml:space="preserve"> It is</w:t>
      </w:r>
      <w:r w:rsidR="00C97E65">
        <w:rPr>
          <w:color w:val="000000" w:themeColor="text1"/>
        </w:rPr>
        <w:t>, therefore,</w:t>
      </w:r>
      <w:r w:rsidR="002271EA">
        <w:rPr>
          <w:color w:val="000000" w:themeColor="text1"/>
        </w:rPr>
        <w:t xml:space="preserve"> hoped that this study will invite further exploration</w:t>
      </w:r>
      <w:r w:rsidR="00BF6F75">
        <w:rPr>
          <w:color w:val="000000" w:themeColor="text1"/>
        </w:rPr>
        <w:t>s</w:t>
      </w:r>
      <w:r w:rsidR="002271EA">
        <w:rPr>
          <w:color w:val="000000" w:themeColor="text1"/>
        </w:rPr>
        <w:t xml:space="preserve"> of the ways in which religious factors fuelled day-to-day violence</w:t>
      </w:r>
      <w:r w:rsidR="000A308A">
        <w:rPr>
          <w:color w:val="000000" w:themeColor="text1"/>
        </w:rPr>
        <w:t xml:space="preserve"> in eighteenth-century Ireland.</w:t>
      </w:r>
    </w:p>
    <w:sectPr w:rsidR="00CC0D11" w:rsidRPr="00221538" w:rsidSect="00AD376F">
      <w:footerReference w:type="even" r:id="rId7"/>
      <w:footerReference w:type="default" r:id="rId8"/>
      <w:endnotePr>
        <w:numFmt w:val="decimal"/>
      </w:endnotePr>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D0BC91" w14:textId="77777777" w:rsidR="006935AB" w:rsidRDefault="006935AB" w:rsidP="009B7030">
      <w:r>
        <w:separator/>
      </w:r>
    </w:p>
  </w:endnote>
  <w:endnote w:type="continuationSeparator" w:id="0">
    <w:p w14:paraId="4B4A73D2" w14:textId="77777777" w:rsidR="006935AB" w:rsidRDefault="006935AB" w:rsidP="009B7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4D"/>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F3710" w14:textId="77777777" w:rsidR="00345483" w:rsidRDefault="00345483" w:rsidP="000D072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12E59B" w14:textId="77777777" w:rsidR="00345483" w:rsidRDefault="00345483" w:rsidP="003454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65F39" w14:textId="77777777" w:rsidR="00345483" w:rsidRDefault="00345483" w:rsidP="000D072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04185">
      <w:rPr>
        <w:rStyle w:val="PageNumber"/>
        <w:noProof/>
      </w:rPr>
      <w:t>10</w:t>
    </w:r>
    <w:r>
      <w:rPr>
        <w:rStyle w:val="PageNumber"/>
      </w:rPr>
      <w:fldChar w:fldCharType="end"/>
    </w:r>
  </w:p>
  <w:p w14:paraId="7AF32243" w14:textId="77777777" w:rsidR="00345483" w:rsidRDefault="00345483" w:rsidP="003454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280DF8" w14:textId="77777777" w:rsidR="006935AB" w:rsidRDefault="006935AB" w:rsidP="009B7030">
      <w:r>
        <w:separator/>
      </w:r>
    </w:p>
  </w:footnote>
  <w:footnote w:type="continuationSeparator" w:id="0">
    <w:p w14:paraId="466BB369" w14:textId="77777777" w:rsidR="006935AB" w:rsidRDefault="006935AB" w:rsidP="009B7030">
      <w:r>
        <w:continuationSeparator/>
      </w:r>
    </w:p>
  </w:footnote>
  <w:footnote w:id="1">
    <w:p w14:paraId="35BED40D" w14:textId="7BDEF9AB"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J. Wesley, </w:t>
      </w:r>
      <w:r w:rsidRPr="006D0033">
        <w:rPr>
          <w:rFonts w:ascii="Times New Roman" w:hAnsi="Times New Roman" w:cs="Times New Roman"/>
          <w:i/>
          <w:color w:val="000000" w:themeColor="text1"/>
          <w:sz w:val="20"/>
          <w:szCs w:val="20"/>
        </w:rPr>
        <w:t>Modern Christianity: Exemplified at Wednesbury, and Other Adjacent Places in Staffordshire</w:t>
      </w:r>
      <w:r w:rsidRPr="006D0033">
        <w:rPr>
          <w:rFonts w:ascii="Times New Roman" w:hAnsi="Times New Roman" w:cs="Times New Roman"/>
          <w:color w:val="000000" w:themeColor="text1"/>
          <w:sz w:val="20"/>
          <w:szCs w:val="20"/>
        </w:rPr>
        <w:t xml:space="preserve"> (Newcastle upon Tyne, 1745), pp. 3-4, 8.    </w:t>
      </w:r>
    </w:p>
  </w:footnote>
  <w:footnote w:id="2">
    <w:p w14:paraId="3165DD0A" w14:textId="37BFF366" w:rsidR="00754ED3" w:rsidRPr="006D0033" w:rsidRDefault="00754ED3" w:rsidP="006D0033">
      <w:pPr>
        <w:jc w:val="both"/>
        <w:rPr>
          <w:rFonts w:eastAsia="Times New Roman"/>
          <w:color w:val="000000" w:themeColor="text1"/>
          <w:sz w:val="20"/>
          <w:szCs w:val="20"/>
        </w:rPr>
      </w:pPr>
      <w:r w:rsidRPr="006D0033">
        <w:rPr>
          <w:rStyle w:val="FootnoteReference"/>
          <w:color w:val="000000" w:themeColor="text1"/>
          <w:sz w:val="20"/>
          <w:szCs w:val="20"/>
        </w:rPr>
        <w:footnoteRef/>
      </w:r>
      <w:r w:rsidRPr="006D0033">
        <w:rPr>
          <w:color w:val="000000" w:themeColor="text1"/>
          <w:sz w:val="20"/>
          <w:szCs w:val="20"/>
        </w:rPr>
        <w:t xml:space="preserve"> </w:t>
      </w:r>
      <w:r w:rsidRPr="006D0033">
        <w:rPr>
          <w:rFonts w:eastAsia="Times New Roman"/>
          <w:i/>
          <w:color w:val="000000" w:themeColor="text1"/>
          <w:sz w:val="20"/>
          <w:szCs w:val="20"/>
        </w:rPr>
        <w:t>Some Papers Giving an Account of the Rise and Progress of Methodism at Wednesbury in Staffordshire, and Other Parishes Adjacent</w:t>
      </w:r>
      <w:r w:rsidRPr="006D0033">
        <w:rPr>
          <w:rFonts w:eastAsia="Times New Roman"/>
          <w:color w:val="000000" w:themeColor="text1"/>
          <w:sz w:val="20"/>
          <w:szCs w:val="20"/>
        </w:rPr>
        <w:t xml:space="preserve"> (London, 1744), pp. </w:t>
      </w:r>
      <w:r w:rsidRPr="006D0033">
        <w:rPr>
          <w:color w:val="000000" w:themeColor="text1"/>
          <w:sz w:val="20"/>
          <w:szCs w:val="20"/>
        </w:rPr>
        <w:t>21-22.</w:t>
      </w:r>
    </w:p>
  </w:footnote>
  <w:footnote w:id="3">
    <w:p w14:paraId="761960C4" w14:textId="5938F997"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J. Walsh, ‘Methodism and the mob in the eighteenth century’, in </w:t>
      </w:r>
      <w:r w:rsidRPr="006D0033">
        <w:rPr>
          <w:rFonts w:ascii="Times New Roman" w:hAnsi="Times New Roman" w:cs="Times New Roman"/>
          <w:i/>
          <w:color w:val="000000" w:themeColor="text1"/>
          <w:sz w:val="20"/>
          <w:szCs w:val="20"/>
        </w:rPr>
        <w:t>Studies in Church History</w:t>
      </w:r>
      <w:r w:rsidRPr="006D0033">
        <w:rPr>
          <w:rFonts w:ascii="Times New Roman" w:hAnsi="Times New Roman" w:cs="Times New Roman"/>
          <w:color w:val="000000" w:themeColor="text1"/>
          <w:sz w:val="20"/>
          <w:szCs w:val="20"/>
        </w:rPr>
        <w:t xml:space="preserve">, viii: </w:t>
      </w:r>
      <w:r w:rsidRPr="006D0033">
        <w:rPr>
          <w:rFonts w:ascii="Times New Roman" w:hAnsi="Times New Roman" w:cs="Times New Roman"/>
          <w:i/>
          <w:color w:val="000000" w:themeColor="text1"/>
          <w:sz w:val="20"/>
          <w:szCs w:val="20"/>
        </w:rPr>
        <w:t>Popular Belief and Practice</w:t>
      </w:r>
      <w:r w:rsidRPr="006D0033">
        <w:rPr>
          <w:rFonts w:ascii="Times New Roman" w:hAnsi="Times New Roman" w:cs="Times New Roman"/>
          <w:color w:val="000000" w:themeColor="text1"/>
          <w:sz w:val="20"/>
          <w:szCs w:val="20"/>
        </w:rPr>
        <w:t xml:space="preserve">, ed. G.J. Cuming and D. Baker (Cambridge, 1972), pp. 213-27; M.F. Snape, ‘Anti-Methodism in eighteenth-century England: the Pendle Forest riots of 1748’, </w:t>
      </w:r>
      <w:r w:rsidRPr="006D0033">
        <w:rPr>
          <w:rFonts w:ascii="Times New Roman" w:hAnsi="Times New Roman" w:cs="Times New Roman"/>
          <w:i/>
          <w:color w:val="000000" w:themeColor="text1"/>
          <w:sz w:val="20"/>
          <w:szCs w:val="20"/>
        </w:rPr>
        <w:t>Journal of Ecclesiastical History</w:t>
      </w:r>
      <w:r w:rsidRPr="006D0033">
        <w:rPr>
          <w:rFonts w:ascii="Times New Roman" w:hAnsi="Times New Roman" w:cs="Times New Roman"/>
          <w:color w:val="000000" w:themeColor="text1"/>
          <w:sz w:val="20"/>
          <w:szCs w:val="20"/>
        </w:rPr>
        <w:t>, xlix (1998), 257-81.</w:t>
      </w:r>
    </w:p>
  </w:footnote>
  <w:footnote w:id="4">
    <w:p w14:paraId="1212F541" w14:textId="46FA7B92"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See C.H. Crookshank, </w:t>
      </w:r>
      <w:r w:rsidRPr="006D0033">
        <w:rPr>
          <w:rFonts w:ascii="Times New Roman" w:hAnsi="Times New Roman" w:cs="Times New Roman"/>
          <w:i/>
          <w:color w:val="000000" w:themeColor="text1"/>
          <w:sz w:val="20"/>
          <w:szCs w:val="20"/>
        </w:rPr>
        <w:t>History of Methodism in Ireland</w:t>
      </w:r>
      <w:r w:rsidRPr="006D0033">
        <w:rPr>
          <w:rFonts w:ascii="Times New Roman" w:hAnsi="Times New Roman" w:cs="Times New Roman"/>
          <w:color w:val="000000" w:themeColor="text1"/>
          <w:sz w:val="20"/>
          <w:szCs w:val="20"/>
        </w:rPr>
        <w:t xml:space="preserve">, i: </w:t>
      </w:r>
      <w:r w:rsidRPr="006D0033">
        <w:rPr>
          <w:rFonts w:ascii="Times New Roman" w:hAnsi="Times New Roman" w:cs="Times New Roman"/>
          <w:i/>
          <w:color w:val="000000" w:themeColor="text1"/>
          <w:sz w:val="20"/>
          <w:szCs w:val="20"/>
        </w:rPr>
        <w:t>Wesley and His Times</w:t>
      </w:r>
      <w:r w:rsidRPr="006D0033">
        <w:rPr>
          <w:rFonts w:ascii="Times New Roman" w:hAnsi="Times New Roman" w:cs="Times New Roman"/>
          <w:color w:val="000000" w:themeColor="text1"/>
          <w:sz w:val="20"/>
          <w:szCs w:val="20"/>
        </w:rPr>
        <w:t xml:space="preserve"> (Belfast, 1885), chs. iii-iv; S.J. Rogal, </w:t>
      </w:r>
      <w:r w:rsidRPr="006D0033">
        <w:rPr>
          <w:rFonts w:ascii="Times New Roman" w:hAnsi="Times New Roman" w:cs="Times New Roman"/>
          <w:i/>
          <w:color w:val="000000" w:themeColor="text1"/>
          <w:sz w:val="20"/>
          <w:szCs w:val="20"/>
        </w:rPr>
        <w:t>John Wesley in Ireland 1747-1789</w:t>
      </w:r>
      <w:r w:rsidRPr="006D0033">
        <w:rPr>
          <w:rFonts w:ascii="Times New Roman" w:hAnsi="Times New Roman" w:cs="Times New Roman"/>
          <w:color w:val="000000" w:themeColor="text1"/>
          <w:sz w:val="20"/>
          <w:szCs w:val="20"/>
        </w:rPr>
        <w:t xml:space="preserve"> (2 vols., Lampeter, 1993), i. pp. 62-66.  </w:t>
      </w:r>
    </w:p>
  </w:footnote>
  <w:footnote w:id="5">
    <w:p w14:paraId="55FB993F" w14:textId="031F9F14"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C. Tait, ‘Disorder and commotion: urban riots and popular protest in Ireland, 1570-1640’, in </w:t>
      </w:r>
      <w:r w:rsidRPr="006D0033">
        <w:rPr>
          <w:rFonts w:ascii="Times New Roman" w:hAnsi="Times New Roman" w:cs="Times New Roman"/>
          <w:i/>
          <w:color w:val="000000" w:themeColor="text1"/>
          <w:sz w:val="20"/>
          <w:szCs w:val="20"/>
        </w:rPr>
        <w:t>Riotous Assemblies: Rebels, Riots &amp; Revolts in Ireland</w:t>
      </w:r>
      <w:r w:rsidRPr="006D0033">
        <w:rPr>
          <w:rFonts w:ascii="Times New Roman" w:hAnsi="Times New Roman" w:cs="Times New Roman"/>
          <w:color w:val="000000" w:themeColor="text1"/>
          <w:sz w:val="20"/>
          <w:szCs w:val="20"/>
        </w:rPr>
        <w:t xml:space="preserve">, ed. W. Sheehan and M. Cronin (Cork, 2011), pp. 22-49; J. Walter, ‘Performative violence and the politics of violence in the 1641 depositions’, in </w:t>
      </w:r>
      <w:r w:rsidRPr="006D0033">
        <w:rPr>
          <w:rFonts w:ascii="Times New Roman" w:hAnsi="Times New Roman" w:cs="Times New Roman"/>
          <w:i/>
          <w:color w:val="000000" w:themeColor="text1"/>
          <w:sz w:val="20"/>
          <w:szCs w:val="20"/>
        </w:rPr>
        <w:t>Ireland, 1641: Contexts and Reactions</w:t>
      </w:r>
      <w:r w:rsidRPr="006D0033">
        <w:rPr>
          <w:rFonts w:ascii="Times New Roman" w:hAnsi="Times New Roman" w:cs="Times New Roman"/>
          <w:color w:val="000000" w:themeColor="text1"/>
          <w:sz w:val="20"/>
          <w:szCs w:val="20"/>
        </w:rPr>
        <w:t xml:space="preserve">, ed. </w:t>
      </w:r>
      <w:bookmarkStart w:id="0" w:name="citation"/>
      <w:r w:rsidRPr="006D0033">
        <w:rPr>
          <w:rFonts w:ascii="Times New Roman" w:eastAsia="Times New Roman" w:hAnsi="Times New Roman" w:cs="Times New Roman"/>
          <w:color w:val="000000" w:themeColor="text1"/>
          <w:sz w:val="20"/>
          <w:szCs w:val="20"/>
          <w:bdr w:val="none" w:sz="0" w:space="0" w:color="auto" w:frame="1"/>
        </w:rPr>
        <w:t xml:space="preserve">M. Ó Siochrú and J. Ohlmeyer </w:t>
      </w:r>
      <w:bookmarkEnd w:id="0"/>
      <w:r w:rsidRPr="006D0033">
        <w:rPr>
          <w:rFonts w:ascii="Times New Roman" w:hAnsi="Times New Roman" w:cs="Times New Roman"/>
          <w:color w:val="000000" w:themeColor="text1"/>
          <w:sz w:val="20"/>
          <w:szCs w:val="20"/>
        </w:rPr>
        <w:t>(Manchester, 2013), pp. 134-52.</w:t>
      </w:r>
    </w:p>
  </w:footnote>
  <w:footnote w:id="6">
    <w:p w14:paraId="058D4CE1" w14:textId="4F4B3D81"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See J. Kelly, </w:t>
      </w:r>
      <w:r w:rsidRPr="006D0033">
        <w:rPr>
          <w:rFonts w:ascii="Times New Roman" w:hAnsi="Times New Roman" w:cs="Times New Roman"/>
          <w:i/>
          <w:color w:val="000000" w:themeColor="text1"/>
          <w:sz w:val="20"/>
          <w:szCs w:val="20"/>
        </w:rPr>
        <w:t>The Liberty and Ormond Boys: Factional Riots in Eighteenth-Century Dublin</w:t>
      </w:r>
      <w:r w:rsidRPr="006D0033">
        <w:rPr>
          <w:rFonts w:ascii="Times New Roman" w:hAnsi="Times New Roman" w:cs="Times New Roman"/>
          <w:color w:val="000000" w:themeColor="text1"/>
          <w:sz w:val="20"/>
          <w:szCs w:val="20"/>
        </w:rPr>
        <w:t xml:space="preserve"> (Dublin, 2005); J. Kelly, </w:t>
      </w:r>
      <w:r w:rsidRPr="006D0033">
        <w:rPr>
          <w:rFonts w:ascii="Times New Roman" w:hAnsi="Times New Roman" w:cs="Times New Roman"/>
          <w:i/>
          <w:color w:val="000000" w:themeColor="text1"/>
          <w:sz w:val="20"/>
          <w:szCs w:val="20"/>
        </w:rPr>
        <w:t>Food Rioting in Ireland in the Eighteenth and Nineteenth Centuries: The ‘Moral’ Economy and the Irish Crowd</w:t>
      </w:r>
      <w:r w:rsidRPr="006D0033">
        <w:rPr>
          <w:rFonts w:ascii="Times New Roman" w:hAnsi="Times New Roman" w:cs="Times New Roman"/>
          <w:color w:val="000000" w:themeColor="text1"/>
          <w:sz w:val="20"/>
          <w:szCs w:val="20"/>
        </w:rPr>
        <w:t xml:space="preserve"> (Dublin, 2017); T.D. Watt, </w:t>
      </w:r>
      <w:r w:rsidRPr="006D0033">
        <w:rPr>
          <w:rFonts w:ascii="Times New Roman" w:hAnsi="Times New Roman" w:cs="Times New Roman"/>
          <w:i/>
          <w:color w:val="000000" w:themeColor="text1"/>
          <w:sz w:val="20"/>
          <w:szCs w:val="20"/>
        </w:rPr>
        <w:t>Popular Protest and Policing in Ascendancy Ireland, 1691-1761</w:t>
      </w:r>
      <w:r w:rsidRPr="006D0033">
        <w:rPr>
          <w:rFonts w:ascii="Times New Roman" w:hAnsi="Times New Roman" w:cs="Times New Roman"/>
          <w:color w:val="000000" w:themeColor="text1"/>
          <w:sz w:val="20"/>
          <w:szCs w:val="20"/>
        </w:rPr>
        <w:t xml:space="preserve"> (Woodbridge, 2018). See also various papers in </w:t>
      </w:r>
      <w:r w:rsidRPr="006D0033">
        <w:rPr>
          <w:rFonts w:ascii="Times New Roman" w:hAnsi="Times New Roman" w:cs="Times New Roman"/>
          <w:i/>
          <w:color w:val="000000" w:themeColor="text1"/>
          <w:sz w:val="20"/>
          <w:szCs w:val="20"/>
        </w:rPr>
        <w:t>Crowds in Ireland, c.1720-1920</w:t>
      </w:r>
      <w:r w:rsidRPr="006D0033">
        <w:rPr>
          <w:rFonts w:ascii="Times New Roman" w:hAnsi="Times New Roman" w:cs="Times New Roman"/>
          <w:color w:val="000000" w:themeColor="text1"/>
          <w:sz w:val="20"/>
          <w:szCs w:val="20"/>
        </w:rPr>
        <w:t xml:space="preserve">, ed. P. Jupp and E. Magennis (London and New York, 2000).  </w:t>
      </w:r>
    </w:p>
  </w:footnote>
  <w:footnote w:id="7">
    <w:p w14:paraId="42184D94" w14:textId="77777777"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Kelly, </w:t>
      </w:r>
      <w:r w:rsidRPr="006D0033">
        <w:rPr>
          <w:rFonts w:ascii="Times New Roman" w:hAnsi="Times New Roman" w:cs="Times New Roman"/>
          <w:i/>
          <w:color w:val="000000" w:themeColor="text1"/>
          <w:sz w:val="20"/>
          <w:szCs w:val="20"/>
        </w:rPr>
        <w:t>Liberty and Ormond Boys</w:t>
      </w:r>
      <w:r w:rsidRPr="006D0033">
        <w:rPr>
          <w:rFonts w:ascii="Times New Roman" w:hAnsi="Times New Roman" w:cs="Times New Roman"/>
          <w:color w:val="000000" w:themeColor="text1"/>
          <w:sz w:val="20"/>
          <w:szCs w:val="20"/>
        </w:rPr>
        <w:t xml:space="preserve">, ch. ii; P. Fagan, ‘The Dublin Catholic Mob (1700-1750)’, </w:t>
      </w:r>
      <w:r w:rsidRPr="006D0033">
        <w:rPr>
          <w:rFonts w:ascii="Times New Roman" w:hAnsi="Times New Roman" w:cs="Times New Roman"/>
          <w:i/>
          <w:color w:val="000000" w:themeColor="text1"/>
          <w:sz w:val="20"/>
          <w:szCs w:val="20"/>
        </w:rPr>
        <w:t>Eighteenth-Century Ireland</w:t>
      </w:r>
      <w:r w:rsidRPr="006D0033">
        <w:rPr>
          <w:rFonts w:ascii="Times New Roman" w:hAnsi="Times New Roman" w:cs="Times New Roman"/>
          <w:color w:val="000000" w:themeColor="text1"/>
          <w:sz w:val="20"/>
          <w:szCs w:val="20"/>
        </w:rPr>
        <w:t xml:space="preserve">, iv (1989), 133-42. </w:t>
      </w:r>
    </w:p>
  </w:footnote>
  <w:footnote w:id="8">
    <w:p w14:paraId="39650D9B" w14:textId="77777777"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Watt, </w:t>
      </w:r>
      <w:r w:rsidRPr="006D0033">
        <w:rPr>
          <w:rFonts w:ascii="Times New Roman" w:hAnsi="Times New Roman" w:cs="Times New Roman"/>
          <w:i/>
          <w:color w:val="000000" w:themeColor="text1"/>
          <w:sz w:val="20"/>
          <w:szCs w:val="20"/>
        </w:rPr>
        <w:t>Popular Protest</w:t>
      </w:r>
      <w:r w:rsidRPr="006D0033">
        <w:rPr>
          <w:rFonts w:ascii="Times New Roman" w:hAnsi="Times New Roman" w:cs="Times New Roman"/>
          <w:color w:val="000000" w:themeColor="text1"/>
          <w:sz w:val="20"/>
          <w:szCs w:val="20"/>
        </w:rPr>
        <w:t>, p. 52.</w:t>
      </w:r>
    </w:p>
  </w:footnote>
  <w:footnote w:id="9">
    <w:p w14:paraId="610EE624" w14:textId="0219936E" w:rsidR="00754ED3" w:rsidRPr="006D0033" w:rsidRDefault="00754ED3" w:rsidP="006D0033">
      <w:pPr>
        <w:pStyle w:val="FootnoteText"/>
        <w:jc w:val="both"/>
        <w:rPr>
          <w:rFonts w:ascii="Times New Roman" w:hAnsi="Times New Roman" w:cs="Times New Roman"/>
          <w:sz w:val="20"/>
          <w:szCs w:val="20"/>
          <w:lang w:val="en-IE"/>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w:t>
      </w:r>
      <w:r w:rsidRPr="006D0033">
        <w:rPr>
          <w:rFonts w:ascii="Times New Roman" w:hAnsi="Times New Roman" w:cs="Times New Roman"/>
          <w:sz w:val="20"/>
          <w:szCs w:val="20"/>
        </w:rPr>
        <w:t>T</w:t>
      </w:r>
      <w:r w:rsidR="00657D59">
        <w:rPr>
          <w:rFonts w:ascii="Times New Roman" w:hAnsi="Times New Roman" w:cs="Times New Roman"/>
          <w:sz w:val="20"/>
          <w:szCs w:val="20"/>
        </w:rPr>
        <w:t>.</w:t>
      </w:r>
      <w:bookmarkStart w:id="1" w:name="_GoBack"/>
      <w:bookmarkEnd w:id="1"/>
      <w:r w:rsidRPr="006D0033">
        <w:rPr>
          <w:rFonts w:ascii="Times New Roman" w:hAnsi="Times New Roman" w:cs="Times New Roman"/>
          <w:sz w:val="20"/>
          <w:szCs w:val="20"/>
        </w:rPr>
        <w:t xml:space="preserve"> Bartlett, ‘An End to Moral Economy: The Irish Militia Disturbances of 1793’, </w:t>
      </w:r>
      <w:r w:rsidRPr="006D0033">
        <w:rPr>
          <w:rFonts w:ascii="Times New Roman" w:hAnsi="Times New Roman" w:cs="Times New Roman"/>
          <w:i/>
          <w:sz w:val="20"/>
          <w:szCs w:val="20"/>
        </w:rPr>
        <w:t>Past &amp; Present</w:t>
      </w:r>
      <w:r w:rsidRPr="006D0033">
        <w:rPr>
          <w:rFonts w:ascii="Times New Roman" w:hAnsi="Times New Roman" w:cs="Times New Roman"/>
          <w:sz w:val="20"/>
          <w:szCs w:val="20"/>
        </w:rPr>
        <w:t>, xcix (1983), 62.</w:t>
      </w:r>
    </w:p>
  </w:footnote>
  <w:footnote w:id="10">
    <w:p w14:paraId="1E307A50" w14:textId="06FD6F1C"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S.J. Connolly, </w:t>
      </w:r>
      <w:r w:rsidRPr="006D0033">
        <w:rPr>
          <w:rFonts w:ascii="Times New Roman" w:hAnsi="Times New Roman" w:cs="Times New Roman"/>
          <w:i/>
          <w:color w:val="000000" w:themeColor="text1"/>
          <w:sz w:val="20"/>
          <w:szCs w:val="20"/>
        </w:rPr>
        <w:t>Religion, Law and Power: The Making of Protestant Ireland 1660-1760</w:t>
      </w:r>
      <w:r w:rsidRPr="006D0033">
        <w:rPr>
          <w:rFonts w:ascii="Times New Roman" w:hAnsi="Times New Roman" w:cs="Times New Roman"/>
          <w:color w:val="000000" w:themeColor="text1"/>
          <w:sz w:val="20"/>
          <w:szCs w:val="20"/>
        </w:rPr>
        <w:t xml:space="preserve"> (Oxford, 1992), pp. 2-3, 312.</w:t>
      </w:r>
    </w:p>
  </w:footnote>
  <w:footnote w:id="11">
    <w:p w14:paraId="449D1D0A" w14:textId="601E97F1" w:rsidR="00754ED3" w:rsidRPr="006D0033" w:rsidRDefault="00754ED3" w:rsidP="006D0033">
      <w:pPr>
        <w:pStyle w:val="FootnoteText"/>
        <w:jc w:val="both"/>
        <w:rPr>
          <w:rFonts w:ascii="Times New Roman" w:hAnsi="Times New Roman" w:cs="Times New Roman"/>
          <w:sz w:val="20"/>
          <w:szCs w:val="20"/>
          <w:lang w:val="en-IE"/>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w:t>
      </w:r>
      <w:r w:rsidRPr="006D0033">
        <w:rPr>
          <w:rFonts w:ascii="Times New Roman" w:hAnsi="Times New Roman" w:cs="Times New Roman"/>
          <w:sz w:val="20"/>
          <w:szCs w:val="20"/>
          <w:lang w:val="en-IE"/>
        </w:rPr>
        <w:t xml:space="preserve">I. McBride, </w:t>
      </w:r>
      <w:r w:rsidRPr="006D0033">
        <w:rPr>
          <w:rFonts w:ascii="Times New Roman" w:hAnsi="Times New Roman" w:cs="Times New Roman"/>
          <w:i/>
          <w:sz w:val="20"/>
          <w:szCs w:val="20"/>
          <w:lang w:val="en-IE"/>
        </w:rPr>
        <w:t>Eighteenth-Century Ireland: The Isle of Slaves</w:t>
      </w:r>
      <w:r w:rsidRPr="006D0033">
        <w:rPr>
          <w:rFonts w:ascii="Times New Roman" w:hAnsi="Times New Roman" w:cs="Times New Roman"/>
          <w:sz w:val="20"/>
          <w:szCs w:val="20"/>
          <w:lang w:val="en-IE"/>
        </w:rPr>
        <w:t xml:space="preserve"> (Dublin, 2009), p. 239.</w:t>
      </w:r>
    </w:p>
  </w:footnote>
  <w:footnote w:id="12">
    <w:p w14:paraId="4B0F04AA" w14:textId="77777777"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Watt, </w:t>
      </w:r>
      <w:r w:rsidRPr="006D0033">
        <w:rPr>
          <w:rFonts w:ascii="Times New Roman" w:hAnsi="Times New Roman" w:cs="Times New Roman"/>
          <w:i/>
          <w:color w:val="000000" w:themeColor="text1"/>
          <w:sz w:val="20"/>
          <w:szCs w:val="20"/>
        </w:rPr>
        <w:t>Popular Protest</w:t>
      </w:r>
      <w:r w:rsidRPr="006D0033">
        <w:rPr>
          <w:rFonts w:ascii="Times New Roman" w:hAnsi="Times New Roman" w:cs="Times New Roman"/>
          <w:color w:val="000000" w:themeColor="text1"/>
          <w:sz w:val="20"/>
          <w:szCs w:val="20"/>
        </w:rPr>
        <w:t>,</w:t>
      </w:r>
      <w:r w:rsidRPr="006D0033">
        <w:rPr>
          <w:rFonts w:ascii="Times New Roman" w:hAnsi="Times New Roman" w:cs="Times New Roman"/>
          <w:i/>
          <w:color w:val="000000" w:themeColor="text1"/>
          <w:sz w:val="20"/>
          <w:szCs w:val="20"/>
        </w:rPr>
        <w:t xml:space="preserve"> </w:t>
      </w:r>
      <w:r w:rsidRPr="006D0033">
        <w:rPr>
          <w:rFonts w:ascii="Times New Roman" w:hAnsi="Times New Roman" w:cs="Times New Roman"/>
          <w:color w:val="000000" w:themeColor="text1"/>
          <w:sz w:val="20"/>
          <w:szCs w:val="20"/>
        </w:rPr>
        <w:t>p. 89.</w:t>
      </w:r>
    </w:p>
  </w:footnote>
  <w:footnote w:id="13">
    <w:p w14:paraId="0E53DE6C" w14:textId="1504466B" w:rsidR="00754ED3" w:rsidRPr="006D0033" w:rsidRDefault="00754ED3" w:rsidP="006D0033">
      <w:pPr>
        <w:pStyle w:val="FootnoteText"/>
        <w:jc w:val="both"/>
        <w:rPr>
          <w:rFonts w:ascii="Times New Roman" w:hAnsi="Times New Roman" w:cs="Times New Roman"/>
          <w:sz w:val="20"/>
          <w:szCs w:val="20"/>
          <w:lang w:val="en-IE"/>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w:t>
      </w:r>
      <w:r w:rsidRPr="006D0033">
        <w:rPr>
          <w:rFonts w:ascii="Times New Roman" w:hAnsi="Times New Roman" w:cs="Times New Roman"/>
          <w:sz w:val="20"/>
          <w:szCs w:val="20"/>
          <w:lang w:val="en-IE"/>
        </w:rPr>
        <w:t>McBride, pp. 221-22.</w:t>
      </w:r>
    </w:p>
  </w:footnote>
  <w:footnote w:id="14">
    <w:p w14:paraId="15AA90EB" w14:textId="77777777"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Quoted from Fagan, ‘Dublin Catholic Mob’, 133. </w:t>
      </w:r>
    </w:p>
  </w:footnote>
  <w:footnote w:id="15">
    <w:p w14:paraId="3E25B544" w14:textId="021A947B"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For discussions of Protestant cohesion, see D. Hempton, </w:t>
      </w:r>
      <w:r w:rsidRPr="006D0033">
        <w:rPr>
          <w:rFonts w:ascii="Times New Roman" w:hAnsi="Times New Roman" w:cs="Times New Roman"/>
          <w:i/>
          <w:color w:val="000000" w:themeColor="text1"/>
          <w:sz w:val="20"/>
          <w:szCs w:val="20"/>
        </w:rPr>
        <w:t>Religion and Political Culture in Britain and Ireland from the Glorious Revolution to the Decline of Empire</w:t>
      </w:r>
      <w:r w:rsidRPr="006D0033">
        <w:rPr>
          <w:rFonts w:ascii="Times New Roman" w:hAnsi="Times New Roman" w:cs="Times New Roman"/>
          <w:color w:val="000000" w:themeColor="text1"/>
          <w:sz w:val="20"/>
          <w:szCs w:val="20"/>
        </w:rPr>
        <w:t xml:space="preserve"> (Cambridge, 1996), chs. vii-viii.  </w:t>
      </w:r>
    </w:p>
  </w:footnote>
  <w:footnote w:id="16">
    <w:p w14:paraId="1405422D" w14:textId="4B961F3B"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K. Herlihy, ‘The Irish Baptists, 1650-1780’, PhD dissertation (Trinity College Dublin, 1992), pp. 113-14; Cork Baptist Church Book, 1653-1875 [typescript transcript], Angus Library, Oxford, C/CORK, p. 209. I am grateful to Kevin Herlihy for informing me of this source.  </w:t>
      </w:r>
    </w:p>
  </w:footnote>
  <w:footnote w:id="17">
    <w:p w14:paraId="504E5048" w14:textId="1E7E3153"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T. Whetcombe, </w:t>
      </w:r>
      <w:r w:rsidRPr="006D0033">
        <w:rPr>
          <w:rFonts w:ascii="Times New Roman" w:hAnsi="Times New Roman" w:cs="Times New Roman"/>
          <w:i/>
          <w:color w:val="000000" w:themeColor="text1"/>
          <w:sz w:val="20"/>
          <w:szCs w:val="20"/>
        </w:rPr>
        <w:t>The Rebels Turkish Tyranny, in Their March Decem. 24. 1641</w:t>
      </w:r>
      <w:r w:rsidRPr="006D0033">
        <w:rPr>
          <w:rFonts w:ascii="Times New Roman" w:hAnsi="Times New Roman" w:cs="Times New Roman"/>
          <w:color w:val="000000" w:themeColor="text1"/>
          <w:sz w:val="20"/>
          <w:szCs w:val="20"/>
        </w:rPr>
        <w:t xml:space="preserve"> (London, 1641), p. 2; D.F. Greder, ‘Providence and the 1641 Irish Rebellion’, PhD Thesis (University of Iowa, 2015), p. 70. </w:t>
      </w:r>
    </w:p>
  </w:footnote>
  <w:footnote w:id="18">
    <w:p w14:paraId="23021AEC" w14:textId="39B4A237"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H.A. Jefferies, ‘Stuart Cork’, in </w:t>
      </w:r>
      <w:r w:rsidRPr="006D0033">
        <w:rPr>
          <w:rFonts w:ascii="Times New Roman" w:hAnsi="Times New Roman" w:cs="Times New Roman"/>
          <w:i/>
          <w:color w:val="000000" w:themeColor="text1"/>
          <w:sz w:val="20"/>
          <w:szCs w:val="20"/>
        </w:rPr>
        <w:t>Cork: Historical Perspectives</w:t>
      </w:r>
      <w:r w:rsidRPr="006D0033">
        <w:rPr>
          <w:rFonts w:ascii="Times New Roman" w:hAnsi="Times New Roman" w:cs="Times New Roman"/>
          <w:color w:val="000000" w:themeColor="text1"/>
          <w:sz w:val="20"/>
          <w:szCs w:val="20"/>
        </w:rPr>
        <w:t xml:space="preserve">, ed. H.A. Jefferies (Dublin, 2004), pp. 117, 124-27, 132. </w:t>
      </w:r>
    </w:p>
  </w:footnote>
  <w:footnote w:id="19">
    <w:p w14:paraId="577343C2" w14:textId="2C511187"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H.A. Jefferies and E. Stack, ‘Eighteenth-Century Cork’, in Jefferies, p. 139; I. d’Alton, ‘Cork City’s Protestant Culture’, in </w:t>
      </w:r>
      <w:r w:rsidRPr="006D0033">
        <w:rPr>
          <w:rFonts w:ascii="Times New Roman" w:hAnsi="Times New Roman" w:cs="Times New Roman"/>
          <w:i/>
          <w:color w:val="000000" w:themeColor="text1"/>
          <w:sz w:val="20"/>
          <w:szCs w:val="20"/>
        </w:rPr>
        <w:t>Atlas of Cork City</w:t>
      </w:r>
      <w:r w:rsidRPr="006D0033">
        <w:rPr>
          <w:rFonts w:ascii="Times New Roman" w:hAnsi="Times New Roman" w:cs="Times New Roman"/>
          <w:color w:val="000000" w:themeColor="text1"/>
          <w:sz w:val="20"/>
          <w:szCs w:val="20"/>
        </w:rPr>
        <w:t>, ed. J. Crowley, R. Devoy, D. Linehan and P. O’Flanagan (Cork, 2005), p. 160.</w:t>
      </w:r>
    </w:p>
  </w:footnote>
  <w:footnote w:id="20">
    <w:p w14:paraId="1DE9A213" w14:textId="110E60D1" w:rsidR="00754ED3" w:rsidRPr="006D0033" w:rsidRDefault="00754ED3" w:rsidP="006D0033">
      <w:pPr>
        <w:jc w:val="both"/>
        <w:rPr>
          <w:rFonts w:eastAsia="Times New Roman"/>
          <w:color w:val="000000" w:themeColor="text1"/>
          <w:sz w:val="20"/>
          <w:szCs w:val="20"/>
        </w:rPr>
      </w:pPr>
      <w:r w:rsidRPr="006D0033">
        <w:rPr>
          <w:rStyle w:val="FootnoteReference"/>
          <w:color w:val="000000" w:themeColor="text1"/>
          <w:sz w:val="20"/>
          <w:szCs w:val="20"/>
        </w:rPr>
        <w:footnoteRef/>
      </w:r>
      <w:r w:rsidRPr="006D0033">
        <w:rPr>
          <w:color w:val="000000" w:themeColor="text1"/>
          <w:sz w:val="20"/>
          <w:szCs w:val="20"/>
        </w:rPr>
        <w:t xml:space="preserve"> </w:t>
      </w:r>
      <w:r w:rsidRPr="006D0033">
        <w:rPr>
          <w:rFonts w:eastAsia="Times New Roman"/>
          <w:color w:val="000000" w:themeColor="text1"/>
          <w:sz w:val="20"/>
          <w:szCs w:val="20"/>
          <w:shd w:val="clear" w:color="auto" w:fill="FFFFFF"/>
        </w:rPr>
        <w:t xml:space="preserve">É. Ó Ciardha, </w:t>
      </w:r>
      <w:r w:rsidRPr="006D0033">
        <w:rPr>
          <w:rFonts w:eastAsia="Times New Roman"/>
          <w:i/>
          <w:color w:val="000000" w:themeColor="text1"/>
          <w:sz w:val="20"/>
          <w:szCs w:val="20"/>
          <w:shd w:val="clear" w:color="auto" w:fill="FFFFFF"/>
        </w:rPr>
        <w:t>Ireland and the Jacobite Cause, 1685-1766</w:t>
      </w:r>
      <w:r w:rsidRPr="006D0033">
        <w:rPr>
          <w:rFonts w:eastAsia="Times New Roman"/>
          <w:color w:val="000000" w:themeColor="text1"/>
          <w:sz w:val="20"/>
          <w:szCs w:val="20"/>
          <w:shd w:val="clear" w:color="auto" w:fill="FFFFFF"/>
        </w:rPr>
        <w:t xml:space="preserve"> (Dublin, 2002), pp. 192-93; B. Ó Buachalla</w:t>
      </w:r>
      <w:r w:rsidRPr="006D0033">
        <w:rPr>
          <w:rFonts w:eastAsia="Times New Roman"/>
          <w:color w:val="000000" w:themeColor="text1"/>
          <w:sz w:val="20"/>
          <w:szCs w:val="20"/>
        </w:rPr>
        <w:t xml:space="preserve">, </w:t>
      </w:r>
      <w:r w:rsidRPr="006D0033">
        <w:rPr>
          <w:rFonts w:eastAsia="Times New Roman"/>
          <w:color w:val="000000" w:themeColor="text1"/>
          <w:sz w:val="20"/>
          <w:szCs w:val="20"/>
          <w:shd w:val="clear" w:color="auto" w:fill="FFFFFF"/>
        </w:rPr>
        <w:t xml:space="preserve">‘The Making of a Cork Jacobite’, in </w:t>
      </w:r>
      <w:r w:rsidRPr="006D0033">
        <w:rPr>
          <w:rFonts w:eastAsia="Times New Roman"/>
          <w:i/>
          <w:color w:val="000000" w:themeColor="text1"/>
          <w:sz w:val="20"/>
          <w:szCs w:val="20"/>
          <w:shd w:val="clear" w:color="auto" w:fill="FFFFFF"/>
        </w:rPr>
        <w:t>Cork: History &amp; Society – Interdisciplinary Essays on the History of an Irish County</w:t>
      </w:r>
      <w:r w:rsidRPr="006D0033">
        <w:rPr>
          <w:rFonts w:eastAsia="Times New Roman"/>
          <w:color w:val="000000" w:themeColor="text1"/>
          <w:sz w:val="20"/>
          <w:szCs w:val="20"/>
          <w:shd w:val="clear" w:color="auto" w:fill="FFFFFF"/>
        </w:rPr>
        <w:t>, ed. C.G. Buttimer, G. O’Brien and P. O’Flanagan (Dublin, 1993), pp. 469-97; N. Garnham, ‘</w:t>
      </w:r>
      <w:r w:rsidRPr="006D0033">
        <w:rPr>
          <w:rFonts w:eastAsia="Times New Roman"/>
          <w:color w:val="000000" w:themeColor="text1"/>
          <w:sz w:val="20"/>
          <w:szCs w:val="20"/>
        </w:rPr>
        <w:t xml:space="preserve">The Trials of James Cotter and Henry, Baron Barry of Santry: Two Case Studies in the Administration of Criminal Justice in Early Eighteenth-Century Ireland’, </w:t>
      </w:r>
      <w:r w:rsidRPr="006D0033">
        <w:rPr>
          <w:rFonts w:eastAsia="Times New Roman"/>
          <w:i/>
          <w:color w:val="000000" w:themeColor="text1"/>
          <w:sz w:val="20"/>
          <w:szCs w:val="20"/>
        </w:rPr>
        <w:t>Irish Historical Studies</w:t>
      </w:r>
      <w:r w:rsidRPr="006D0033">
        <w:rPr>
          <w:rFonts w:eastAsia="Times New Roman"/>
          <w:color w:val="000000" w:themeColor="text1"/>
          <w:sz w:val="20"/>
          <w:szCs w:val="20"/>
        </w:rPr>
        <w:t xml:space="preserve">, xxxi (1999), 328-42.   </w:t>
      </w:r>
    </w:p>
  </w:footnote>
  <w:footnote w:id="21">
    <w:p w14:paraId="2D15E520" w14:textId="2AB2FA7A"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D. Dickson, </w:t>
      </w:r>
      <w:r w:rsidRPr="006D0033">
        <w:rPr>
          <w:rFonts w:ascii="Times New Roman" w:hAnsi="Times New Roman" w:cs="Times New Roman"/>
          <w:i/>
          <w:color w:val="000000" w:themeColor="text1"/>
          <w:sz w:val="20"/>
          <w:szCs w:val="20"/>
        </w:rPr>
        <w:t>Old World Colony: Cork and South Munster 1630-1830</w:t>
      </w:r>
      <w:r w:rsidRPr="006D0033">
        <w:rPr>
          <w:rFonts w:ascii="Times New Roman" w:hAnsi="Times New Roman" w:cs="Times New Roman"/>
          <w:color w:val="000000" w:themeColor="text1"/>
          <w:sz w:val="20"/>
          <w:szCs w:val="20"/>
        </w:rPr>
        <w:t xml:space="preserve"> (Cork, 2005), pp. 257-58; Jefferies and Stack, p. 141</w:t>
      </w:r>
      <w:r w:rsidR="001449EC">
        <w:rPr>
          <w:rFonts w:ascii="Times New Roman" w:hAnsi="Times New Roman" w:cs="Times New Roman"/>
          <w:color w:val="000000" w:themeColor="text1"/>
          <w:sz w:val="20"/>
          <w:szCs w:val="20"/>
        </w:rPr>
        <w:t xml:space="preserve">; McBride, p. 239. </w:t>
      </w:r>
      <w:r w:rsidRPr="006D0033">
        <w:rPr>
          <w:rFonts w:ascii="Times New Roman" w:hAnsi="Times New Roman" w:cs="Times New Roman"/>
          <w:color w:val="000000" w:themeColor="text1"/>
          <w:sz w:val="20"/>
          <w:szCs w:val="20"/>
        </w:rPr>
        <w:t xml:space="preserve"> </w:t>
      </w:r>
    </w:p>
  </w:footnote>
  <w:footnote w:id="22">
    <w:p w14:paraId="156EECD1" w14:textId="1AD99664"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Dickson, </w:t>
      </w:r>
      <w:r w:rsidRPr="006D0033">
        <w:rPr>
          <w:rFonts w:ascii="Times New Roman" w:hAnsi="Times New Roman" w:cs="Times New Roman"/>
          <w:i/>
          <w:color w:val="000000" w:themeColor="text1"/>
          <w:sz w:val="20"/>
          <w:szCs w:val="20"/>
        </w:rPr>
        <w:t>Old World Colony</w:t>
      </w:r>
      <w:r w:rsidRPr="006D0033">
        <w:rPr>
          <w:rFonts w:ascii="Times New Roman" w:hAnsi="Times New Roman" w:cs="Times New Roman"/>
          <w:color w:val="000000" w:themeColor="text1"/>
          <w:sz w:val="20"/>
          <w:szCs w:val="20"/>
        </w:rPr>
        <w:t xml:space="preserve">, pp. 251, 258-59; </w:t>
      </w:r>
      <w:r w:rsidRPr="006D0033">
        <w:rPr>
          <w:rFonts w:ascii="Times New Roman" w:eastAsia="Times New Roman" w:hAnsi="Times New Roman" w:cs="Times New Roman"/>
          <w:color w:val="000000" w:themeColor="text1"/>
          <w:sz w:val="20"/>
          <w:szCs w:val="20"/>
          <w:shd w:val="clear" w:color="auto" w:fill="FFFFFF"/>
        </w:rPr>
        <w:t xml:space="preserve">Ó Ciardha, p. </w:t>
      </w:r>
      <w:r w:rsidRPr="006D0033">
        <w:rPr>
          <w:rFonts w:ascii="Times New Roman" w:hAnsi="Times New Roman" w:cs="Times New Roman"/>
          <w:color w:val="000000" w:themeColor="text1"/>
          <w:sz w:val="20"/>
          <w:szCs w:val="20"/>
        </w:rPr>
        <w:t xml:space="preserve">306. For Jacobite ‘memory’ and literature in eighteenth-century Ireland, see V. Morley, </w:t>
      </w:r>
      <w:r w:rsidRPr="006D0033">
        <w:rPr>
          <w:rFonts w:ascii="Times New Roman" w:hAnsi="Times New Roman" w:cs="Times New Roman"/>
          <w:i/>
          <w:color w:val="000000" w:themeColor="text1"/>
          <w:sz w:val="20"/>
          <w:szCs w:val="20"/>
        </w:rPr>
        <w:t>The Popular Mind in Eighteenth-Century Ireland</w:t>
      </w:r>
      <w:r w:rsidRPr="006D0033">
        <w:rPr>
          <w:rFonts w:ascii="Times New Roman" w:hAnsi="Times New Roman" w:cs="Times New Roman"/>
          <w:color w:val="000000" w:themeColor="text1"/>
          <w:sz w:val="20"/>
          <w:szCs w:val="20"/>
        </w:rPr>
        <w:t xml:space="preserve"> (Cork, 2017). </w:t>
      </w:r>
    </w:p>
  </w:footnote>
  <w:footnote w:id="23">
    <w:p w14:paraId="77CCEEDF" w14:textId="7D7E3E2D"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t>
      </w:r>
      <w:r w:rsidRPr="006D0033">
        <w:rPr>
          <w:rFonts w:ascii="Times New Roman" w:eastAsia="Times New Roman" w:hAnsi="Times New Roman" w:cs="Times New Roman"/>
          <w:color w:val="000000" w:themeColor="text1"/>
          <w:sz w:val="20"/>
          <w:szCs w:val="20"/>
          <w:shd w:val="clear" w:color="auto" w:fill="FFFFFF"/>
        </w:rPr>
        <w:t>Ó Ciardha, p.</w:t>
      </w:r>
      <w:r w:rsidRPr="006D0033">
        <w:rPr>
          <w:rFonts w:ascii="Times New Roman" w:hAnsi="Times New Roman" w:cs="Times New Roman"/>
          <w:color w:val="000000" w:themeColor="text1"/>
          <w:sz w:val="20"/>
          <w:szCs w:val="20"/>
        </w:rPr>
        <w:t xml:space="preserve"> 303. </w:t>
      </w:r>
    </w:p>
  </w:footnote>
  <w:footnote w:id="24">
    <w:p w14:paraId="713675C5" w14:textId="0FCA73C9"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Jefferies and Stack, pp. 141-42.   </w:t>
      </w:r>
    </w:p>
  </w:footnote>
  <w:footnote w:id="25">
    <w:p w14:paraId="6E334A0C" w14:textId="1210D650"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Kelly, </w:t>
      </w:r>
      <w:r w:rsidRPr="006D0033">
        <w:rPr>
          <w:rFonts w:ascii="Times New Roman" w:hAnsi="Times New Roman" w:cs="Times New Roman"/>
          <w:i/>
          <w:color w:val="000000" w:themeColor="text1"/>
          <w:sz w:val="20"/>
          <w:szCs w:val="20"/>
        </w:rPr>
        <w:t>Food Rioting</w:t>
      </w:r>
      <w:r w:rsidRPr="006D0033">
        <w:rPr>
          <w:rFonts w:ascii="Times New Roman" w:hAnsi="Times New Roman" w:cs="Times New Roman"/>
          <w:color w:val="000000" w:themeColor="text1"/>
          <w:sz w:val="20"/>
          <w:szCs w:val="20"/>
        </w:rPr>
        <w:t xml:space="preserve">, pp. 31-33; D. Dickson, </w:t>
      </w:r>
      <w:r w:rsidRPr="006D0033">
        <w:rPr>
          <w:rFonts w:ascii="Times New Roman" w:hAnsi="Times New Roman" w:cs="Times New Roman"/>
          <w:i/>
          <w:color w:val="000000" w:themeColor="text1"/>
          <w:sz w:val="20"/>
          <w:szCs w:val="20"/>
        </w:rPr>
        <w:t>Arctic Ireland: The Extraordinary Story of the Great Frost and Forgotten Famine of 1740-41</w:t>
      </w:r>
      <w:r w:rsidRPr="006D0033">
        <w:rPr>
          <w:rFonts w:ascii="Times New Roman" w:hAnsi="Times New Roman" w:cs="Times New Roman"/>
          <w:color w:val="000000" w:themeColor="text1"/>
          <w:sz w:val="20"/>
          <w:szCs w:val="20"/>
        </w:rPr>
        <w:t xml:space="preserve"> (Belfast, 1997), p. 27.   </w:t>
      </w:r>
    </w:p>
  </w:footnote>
  <w:footnote w:id="26">
    <w:p w14:paraId="6CE3C8F8" w14:textId="15222C4F"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t>
      </w:r>
      <w:r w:rsidRPr="006D0033">
        <w:rPr>
          <w:rFonts w:ascii="Times New Roman" w:hAnsi="Times New Roman" w:cs="Times New Roman"/>
          <w:i/>
          <w:color w:val="000000" w:themeColor="text1"/>
          <w:sz w:val="20"/>
          <w:szCs w:val="20"/>
        </w:rPr>
        <w:t>The Council Book of the City of Cork, from 1609 to 1800</w:t>
      </w:r>
      <w:r w:rsidRPr="006D0033">
        <w:rPr>
          <w:rFonts w:ascii="Times New Roman" w:hAnsi="Times New Roman" w:cs="Times New Roman"/>
          <w:color w:val="000000" w:themeColor="text1"/>
          <w:sz w:val="20"/>
          <w:szCs w:val="20"/>
        </w:rPr>
        <w:t>, ed. R. Caulfield (Guildford, 1876), pp. 650-51.</w:t>
      </w:r>
    </w:p>
  </w:footnote>
  <w:footnote w:id="27">
    <w:p w14:paraId="67D6EEBA" w14:textId="2D450A8D"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R.P. Heitzenrater, </w:t>
      </w:r>
      <w:r w:rsidRPr="006D0033">
        <w:rPr>
          <w:rFonts w:ascii="Times New Roman" w:hAnsi="Times New Roman" w:cs="Times New Roman"/>
          <w:i/>
          <w:color w:val="000000" w:themeColor="text1"/>
          <w:sz w:val="20"/>
          <w:szCs w:val="20"/>
        </w:rPr>
        <w:t>Wesley and the People Called Methodists</w:t>
      </w:r>
      <w:r w:rsidRPr="006D0033">
        <w:rPr>
          <w:rFonts w:ascii="Times New Roman" w:hAnsi="Times New Roman" w:cs="Times New Roman"/>
          <w:color w:val="000000" w:themeColor="text1"/>
          <w:sz w:val="20"/>
          <w:szCs w:val="20"/>
        </w:rPr>
        <w:t xml:space="preserve"> (2</w:t>
      </w:r>
      <w:r w:rsidRPr="006D0033">
        <w:rPr>
          <w:rFonts w:ascii="Times New Roman" w:hAnsi="Times New Roman" w:cs="Times New Roman"/>
          <w:color w:val="000000" w:themeColor="text1"/>
          <w:sz w:val="20"/>
          <w:szCs w:val="20"/>
          <w:vertAlign w:val="superscript"/>
        </w:rPr>
        <w:t>nd</w:t>
      </w:r>
      <w:r w:rsidRPr="006D0033">
        <w:rPr>
          <w:rFonts w:ascii="Times New Roman" w:hAnsi="Times New Roman" w:cs="Times New Roman"/>
          <w:color w:val="000000" w:themeColor="text1"/>
          <w:sz w:val="20"/>
          <w:szCs w:val="20"/>
        </w:rPr>
        <w:t xml:space="preserve"> ed., Nashville, 2013), p. 182; J. Wesley, </w:t>
      </w:r>
      <w:r w:rsidRPr="006D0033">
        <w:rPr>
          <w:rFonts w:ascii="Times New Roman" w:hAnsi="Times New Roman" w:cs="Times New Roman"/>
          <w:i/>
          <w:color w:val="000000" w:themeColor="text1"/>
          <w:sz w:val="20"/>
          <w:szCs w:val="20"/>
        </w:rPr>
        <w:t>A Letter to the Revd. Mr. Baily of Corke, in Answer to a Letter to the Revd. John Wesley</w:t>
      </w:r>
      <w:r w:rsidRPr="006D0033">
        <w:rPr>
          <w:rFonts w:ascii="Times New Roman" w:hAnsi="Times New Roman" w:cs="Times New Roman"/>
          <w:color w:val="000000" w:themeColor="text1"/>
          <w:sz w:val="20"/>
          <w:szCs w:val="20"/>
        </w:rPr>
        <w:t xml:space="preserve"> (Dublin, 1750), p. 11. </w:t>
      </w:r>
    </w:p>
  </w:footnote>
  <w:footnote w:id="28">
    <w:p w14:paraId="44D01714" w14:textId="440E791D"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Quoted from J. Telford, </w:t>
      </w:r>
      <w:r w:rsidRPr="006D0033">
        <w:rPr>
          <w:rFonts w:ascii="Times New Roman" w:hAnsi="Times New Roman" w:cs="Times New Roman"/>
          <w:i/>
          <w:color w:val="000000" w:themeColor="text1"/>
          <w:sz w:val="20"/>
          <w:szCs w:val="20"/>
        </w:rPr>
        <w:t xml:space="preserve">The Life of the Rev. Mr. Charles Wesley, M.A. </w:t>
      </w:r>
      <w:r w:rsidRPr="006D0033">
        <w:rPr>
          <w:rFonts w:ascii="Times New Roman" w:hAnsi="Times New Roman" w:cs="Times New Roman"/>
          <w:color w:val="000000" w:themeColor="text1"/>
          <w:sz w:val="20"/>
          <w:szCs w:val="20"/>
        </w:rPr>
        <w:t xml:space="preserve">(rev. ed., London, 1900), p. 163. </w:t>
      </w:r>
    </w:p>
  </w:footnote>
  <w:footnote w:id="29">
    <w:p w14:paraId="1F193489" w14:textId="443418AC"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t>
      </w:r>
      <w:r w:rsidR="00303243" w:rsidRPr="006D0033">
        <w:rPr>
          <w:rFonts w:ascii="Times New Roman" w:hAnsi="Times New Roman" w:cs="Times New Roman"/>
          <w:i/>
          <w:color w:val="000000" w:themeColor="text1"/>
          <w:sz w:val="20"/>
          <w:szCs w:val="20"/>
        </w:rPr>
        <w:t>The Works of John Wesley</w:t>
      </w:r>
      <w:r w:rsidR="00303243" w:rsidRPr="006D0033">
        <w:rPr>
          <w:rFonts w:ascii="Times New Roman" w:hAnsi="Times New Roman" w:cs="Times New Roman"/>
          <w:color w:val="000000" w:themeColor="text1"/>
          <w:sz w:val="20"/>
          <w:szCs w:val="20"/>
        </w:rPr>
        <w:t xml:space="preserve">, xx: </w:t>
      </w:r>
      <w:r w:rsidR="00303243" w:rsidRPr="006D0033">
        <w:rPr>
          <w:rFonts w:ascii="Times New Roman" w:hAnsi="Times New Roman" w:cs="Times New Roman"/>
          <w:i/>
          <w:color w:val="000000" w:themeColor="text1"/>
          <w:sz w:val="20"/>
          <w:szCs w:val="20"/>
        </w:rPr>
        <w:t>Journals and Diaries III (1743-</w:t>
      </w:r>
      <w:r w:rsidR="00C04185" w:rsidRPr="006D0033">
        <w:rPr>
          <w:rFonts w:ascii="Times New Roman" w:hAnsi="Times New Roman" w:cs="Times New Roman"/>
          <w:i/>
          <w:color w:val="000000" w:themeColor="text1"/>
          <w:sz w:val="20"/>
          <w:szCs w:val="20"/>
        </w:rPr>
        <w:t>17</w:t>
      </w:r>
      <w:r w:rsidR="00303243" w:rsidRPr="006D0033">
        <w:rPr>
          <w:rFonts w:ascii="Times New Roman" w:hAnsi="Times New Roman" w:cs="Times New Roman"/>
          <w:i/>
          <w:color w:val="000000" w:themeColor="text1"/>
          <w:sz w:val="20"/>
          <w:szCs w:val="20"/>
        </w:rPr>
        <w:t>54)</w:t>
      </w:r>
      <w:r w:rsidR="00303243" w:rsidRPr="006D0033">
        <w:rPr>
          <w:rFonts w:ascii="Times New Roman" w:hAnsi="Times New Roman" w:cs="Times New Roman"/>
          <w:color w:val="000000" w:themeColor="text1"/>
          <w:sz w:val="20"/>
          <w:szCs w:val="20"/>
        </w:rPr>
        <w:t xml:space="preserve">, ed. W.R. Ward and R.P. </w:t>
      </w:r>
      <w:proofErr w:type="spellStart"/>
      <w:r w:rsidR="00303243" w:rsidRPr="006D0033">
        <w:rPr>
          <w:rFonts w:ascii="Times New Roman" w:hAnsi="Times New Roman" w:cs="Times New Roman"/>
          <w:color w:val="000000" w:themeColor="text1"/>
          <w:sz w:val="20"/>
          <w:szCs w:val="20"/>
        </w:rPr>
        <w:t>Heitzenrater</w:t>
      </w:r>
      <w:proofErr w:type="spellEnd"/>
      <w:r w:rsidR="00303243" w:rsidRPr="006D0033">
        <w:rPr>
          <w:rFonts w:ascii="Times New Roman" w:hAnsi="Times New Roman" w:cs="Times New Roman"/>
          <w:color w:val="000000" w:themeColor="text1"/>
          <w:sz w:val="20"/>
          <w:szCs w:val="20"/>
        </w:rPr>
        <w:t xml:space="preserve"> (Nashville, 1991), p. </w:t>
      </w:r>
      <w:r w:rsidR="00FE426B" w:rsidRPr="006D0033">
        <w:rPr>
          <w:rFonts w:ascii="Times New Roman" w:hAnsi="Times New Roman" w:cs="Times New Roman"/>
          <w:color w:val="000000" w:themeColor="text1"/>
          <w:sz w:val="20"/>
          <w:szCs w:val="20"/>
        </w:rPr>
        <w:t>284</w:t>
      </w:r>
      <w:r w:rsidRPr="006D0033">
        <w:rPr>
          <w:rFonts w:ascii="Times New Roman" w:hAnsi="Times New Roman" w:cs="Times New Roman"/>
          <w:color w:val="000000" w:themeColor="text1"/>
          <w:sz w:val="20"/>
          <w:szCs w:val="20"/>
        </w:rPr>
        <w:t xml:space="preserve">.  </w:t>
      </w:r>
    </w:p>
  </w:footnote>
  <w:footnote w:id="30">
    <w:p w14:paraId="44AF7C67" w14:textId="6BF4A017"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Patrick Fagan estimates that, by 1750, Dublin’s Catholic population was slightly below 60,000, </w:t>
      </w:r>
      <w:r w:rsidR="00252961">
        <w:rPr>
          <w:rFonts w:ascii="Times New Roman" w:hAnsi="Times New Roman" w:cs="Times New Roman"/>
          <w:color w:val="000000" w:themeColor="text1"/>
          <w:sz w:val="20"/>
          <w:szCs w:val="20"/>
        </w:rPr>
        <w:t>whereas</w:t>
      </w:r>
      <w:r w:rsidRPr="006D0033">
        <w:rPr>
          <w:rFonts w:ascii="Times New Roman" w:hAnsi="Times New Roman" w:cs="Times New Roman"/>
          <w:color w:val="000000" w:themeColor="text1"/>
          <w:sz w:val="20"/>
          <w:szCs w:val="20"/>
        </w:rPr>
        <w:t xml:space="preserve"> its Protestant population was slightly above 60,000. See P. Fagan, ‘The population of Dublin in the eighteenth century with particular reference to the proportions of Catholics and Protestants’, </w:t>
      </w:r>
      <w:r w:rsidRPr="006D0033">
        <w:rPr>
          <w:rFonts w:ascii="Times New Roman" w:hAnsi="Times New Roman" w:cs="Times New Roman"/>
          <w:i/>
          <w:color w:val="000000" w:themeColor="text1"/>
          <w:sz w:val="20"/>
          <w:szCs w:val="20"/>
        </w:rPr>
        <w:t>Eighteenth-Century Ireland</w:t>
      </w:r>
      <w:r w:rsidRPr="006D0033">
        <w:rPr>
          <w:rFonts w:ascii="Times New Roman" w:hAnsi="Times New Roman" w:cs="Times New Roman"/>
          <w:color w:val="000000" w:themeColor="text1"/>
          <w:sz w:val="20"/>
          <w:szCs w:val="20"/>
        </w:rPr>
        <w:t xml:space="preserve">, vi (1991), 156.  </w:t>
      </w:r>
    </w:p>
  </w:footnote>
  <w:footnote w:id="31">
    <w:p w14:paraId="2D1B97FC" w14:textId="5AD9C8DD"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J. Trapp, </w:t>
      </w:r>
      <w:r w:rsidRPr="006D0033">
        <w:rPr>
          <w:rFonts w:ascii="Times New Roman" w:hAnsi="Times New Roman" w:cs="Times New Roman"/>
          <w:i/>
          <w:color w:val="000000" w:themeColor="text1"/>
          <w:sz w:val="20"/>
          <w:szCs w:val="20"/>
        </w:rPr>
        <w:t>The Nature, Folly, Sin, and Danger of Being Righteous Over-Much</w:t>
      </w:r>
      <w:r w:rsidRPr="006D0033">
        <w:rPr>
          <w:rFonts w:ascii="Times New Roman" w:hAnsi="Times New Roman" w:cs="Times New Roman"/>
          <w:color w:val="000000" w:themeColor="text1"/>
          <w:sz w:val="20"/>
          <w:szCs w:val="20"/>
        </w:rPr>
        <w:t xml:space="preserve"> (4</w:t>
      </w:r>
      <w:r w:rsidRPr="006D0033">
        <w:rPr>
          <w:rFonts w:ascii="Times New Roman" w:hAnsi="Times New Roman" w:cs="Times New Roman"/>
          <w:color w:val="000000" w:themeColor="text1"/>
          <w:sz w:val="20"/>
          <w:szCs w:val="20"/>
          <w:vertAlign w:val="superscript"/>
        </w:rPr>
        <w:t>th</w:t>
      </w:r>
      <w:r w:rsidRPr="006D0033">
        <w:rPr>
          <w:rFonts w:ascii="Times New Roman" w:hAnsi="Times New Roman" w:cs="Times New Roman"/>
          <w:color w:val="000000" w:themeColor="text1"/>
          <w:sz w:val="20"/>
          <w:szCs w:val="20"/>
        </w:rPr>
        <w:t xml:space="preserve"> ed., Cork, n.d.). Presumably, the Cork edition was a reprint of the fourth London edition, which appeared in 1739. </w:t>
      </w:r>
    </w:p>
  </w:footnote>
  <w:footnote w:id="32">
    <w:p w14:paraId="35645CB7" w14:textId="2F8C6C01"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J. Reeves, </w:t>
      </w:r>
      <w:r w:rsidRPr="006D0033">
        <w:rPr>
          <w:rFonts w:ascii="Times New Roman" w:hAnsi="Times New Roman" w:cs="Times New Roman"/>
          <w:i/>
          <w:color w:val="000000" w:themeColor="text1"/>
          <w:sz w:val="20"/>
          <w:szCs w:val="20"/>
        </w:rPr>
        <w:t>An Affectionate Address to the Inhabitants of the City of Corke</w:t>
      </w:r>
      <w:r w:rsidRPr="006D0033">
        <w:rPr>
          <w:rFonts w:ascii="Times New Roman" w:hAnsi="Times New Roman" w:cs="Times New Roman"/>
          <w:color w:val="000000" w:themeColor="text1"/>
          <w:sz w:val="20"/>
          <w:szCs w:val="20"/>
        </w:rPr>
        <w:t xml:space="preserve"> (Cork, 1747), pp. 7-8. </w:t>
      </w:r>
    </w:p>
  </w:footnote>
  <w:footnote w:id="33">
    <w:p w14:paraId="0B18788C" w14:textId="510A7BAD"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Reeves, pp. 4, 6. </w:t>
      </w:r>
    </w:p>
  </w:footnote>
  <w:footnote w:id="34">
    <w:p w14:paraId="3DF7C205" w14:textId="5B772072"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Reeves, pp. 15-17.  </w:t>
      </w:r>
    </w:p>
  </w:footnote>
  <w:footnote w:id="35">
    <w:p w14:paraId="3B8CC9AA" w14:textId="0C5E8258"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Reeves, pp. 30, 32. </w:t>
      </w:r>
    </w:p>
  </w:footnote>
  <w:footnote w:id="36">
    <w:p w14:paraId="1AD1646C" w14:textId="27293C11"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‘Charles Wesley to William Lunell, 21 August 1748’, in </w:t>
      </w:r>
      <w:r w:rsidRPr="006D0033">
        <w:rPr>
          <w:rFonts w:ascii="Times New Roman" w:hAnsi="Times New Roman" w:cs="Times New Roman"/>
          <w:i/>
          <w:color w:val="000000" w:themeColor="text1"/>
          <w:sz w:val="20"/>
          <w:szCs w:val="20"/>
        </w:rPr>
        <w:t>The Letters of Charles Wesley</w:t>
      </w:r>
      <w:r w:rsidRPr="006D0033">
        <w:rPr>
          <w:rFonts w:ascii="Times New Roman" w:hAnsi="Times New Roman" w:cs="Times New Roman"/>
          <w:color w:val="000000" w:themeColor="text1"/>
          <w:sz w:val="20"/>
          <w:szCs w:val="20"/>
        </w:rPr>
        <w:t xml:space="preserve">, i: </w:t>
      </w:r>
      <w:r w:rsidRPr="006D0033">
        <w:rPr>
          <w:rFonts w:ascii="Times New Roman" w:hAnsi="Times New Roman" w:cs="Times New Roman"/>
          <w:i/>
          <w:color w:val="000000" w:themeColor="text1"/>
          <w:sz w:val="20"/>
          <w:szCs w:val="20"/>
        </w:rPr>
        <w:t>1728-1756</w:t>
      </w:r>
      <w:r w:rsidRPr="006D0033">
        <w:rPr>
          <w:rFonts w:ascii="Times New Roman" w:hAnsi="Times New Roman" w:cs="Times New Roman"/>
          <w:color w:val="000000" w:themeColor="text1"/>
          <w:sz w:val="20"/>
          <w:szCs w:val="20"/>
        </w:rPr>
        <w:t>, ed. K.G.C. Newport and G. Lloyd (Oxford, 2013), pp. 160-61.</w:t>
      </w:r>
    </w:p>
  </w:footnote>
  <w:footnote w:id="37">
    <w:p w14:paraId="6C4FF0ED" w14:textId="0C5139DE"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‘John Wesley to Charles Wesley, 17 June 1749’, in </w:t>
      </w:r>
      <w:r w:rsidRPr="006D0033">
        <w:rPr>
          <w:rFonts w:ascii="Times New Roman" w:hAnsi="Times New Roman" w:cs="Times New Roman"/>
          <w:i/>
          <w:color w:val="000000" w:themeColor="text1"/>
          <w:sz w:val="20"/>
          <w:szCs w:val="20"/>
        </w:rPr>
        <w:t>The Works of John Wesley</w:t>
      </w:r>
      <w:r w:rsidRPr="006D0033">
        <w:rPr>
          <w:rFonts w:ascii="Times New Roman" w:hAnsi="Times New Roman" w:cs="Times New Roman"/>
          <w:color w:val="000000" w:themeColor="text1"/>
          <w:sz w:val="20"/>
          <w:szCs w:val="20"/>
        </w:rPr>
        <w:t xml:space="preserve">, xxvi: </w:t>
      </w:r>
      <w:r w:rsidRPr="006D0033">
        <w:rPr>
          <w:rFonts w:ascii="Times New Roman" w:hAnsi="Times New Roman" w:cs="Times New Roman"/>
          <w:i/>
          <w:color w:val="000000" w:themeColor="text1"/>
          <w:sz w:val="20"/>
          <w:szCs w:val="20"/>
        </w:rPr>
        <w:t>Letters II: 1740-1755</w:t>
      </w:r>
      <w:r w:rsidRPr="006D0033">
        <w:rPr>
          <w:rFonts w:ascii="Times New Roman" w:hAnsi="Times New Roman" w:cs="Times New Roman"/>
          <w:color w:val="000000" w:themeColor="text1"/>
          <w:sz w:val="20"/>
          <w:szCs w:val="20"/>
        </w:rPr>
        <w:t xml:space="preserve">, ed. F. Baker (Oxford, 1982), p. 366. For early Methodist apocalypticism, see K.G.C. Newport, </w:t>
      </w:r>
      <w:r w:rsidRPr="006D0033">
        <w:rPr>
          <w:rFonts w:ascii="Times New Roman" w:hAnsi="Times New Roman" w:cs="Times New Roman"/>
          <w:i/>
          <w:color w:val="000000" w:themeColor="text1"/>
          <w:sz w:val="20"/>
          <w:szCs w:val="20"/>
        </w:rPr>
        <w:t>Apocalypse and Millennium: Studies in Biblical Exegesis</w:t>
      </w:r>
      <w:r w:rsidRPr="006D0033">
        <w:rPr>
          <w:rFonts w:ascii="Times New Roman" w:hAnsi="Times New Roman" w:cs="Times New Roman"/>
          <w:color w:val="000000" w:themeColor="text1"/>
          <w:sz w:val="20"/>
          <w:szCs w:val="20"/>
        </w:rPr>
        <w:t xml:space="preserve"> (Cambridge, 2000), </w:t>
      </w:r>
      <w:proofErr w:type="spellStart"/>
      <w:r w:rsidRPr="006D0033">
        <w:rPr>
          <w:rFonts w:ascii="Times New Roman" w:hAnsi="Times New Roman" w:cs="Times New Roman"/>
          <w:color w:val="000000" w:themeColor="text1"/>
          <w:sz w:val="20"/>
          <w:szCs w:val="20"/>
        </w:rPr>
        <w:t>chs</w:t>
      </w:r>
      <w:proofErr w:type="spellEnd"/>
      <w:r w:rsidRPr="006D0033">
        <w:rPr>
          <w:rFonts w:ascii="Times New Roman" w:hAnsi="Times New Roman" w:cs="Times New Roman"/>
          <w:color w:val="000000" w:themeColor="text1"/>
          <w:sz w:val="20"/>
          <w:szCs w:val="20"/>
        </w:rPr>
        <w:t>. v-vi (see p. 99 for quotation).</w:t>
      </w:r>
    </w:p>
  </w:footnote>
  <w:footnote w:id="38">
    <w:p w14:paraId="1A5B676E" w14:textId="7CFA1800"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‘Charles Wesley to Sarah Gwynne, 17 September 1748’, in </w:t>
      </w:r>
      <w:r w:rsidRPr="006D0033">
        <w:rPr>
          <w:rFonts w:ascii="Times New Roman" w:hAnsi="Times New Roman" w:cs="Times New Roman"/>
          <w:i/>
          <w:color w:val="000000" w:themeColor="text1"/>
          <w:sz w:val="20"/>
          <w:szCs w:val="20"/>
        </w:rPr>
        <w:t>Letters</w:t>
      </w:r>
      <w:r w:rsidRPr="006D0033">
        <w:rPr>
          <w:rFonts w:ascii="Times New Roman" w:hAnsi="Times New Roman" w:cs="Times New Roman"/>
          <w:color w:val="000000" w:themeColor="text1"/>
          <w:sz w:val="20"/>
          <w:szCs w:val="20"/>
        </w:rPr>
        <w:t xml:space="preserve">, i. p. 163. </w:t>
      </w:r>
    </w:p>
  </w:footnote>
  <w:footnote w:id="39">
    <w:p w14:paraId="159905FB" w14:textId="39CA4D84"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Wesley,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color w:val="000000" w:themeColor="text1"/>
          <w:sz w:val="20"/>
          <w:szCs w:val="20"/>
        </w:rPr>
        <w:t xml:space="preserve">, pp. 5-6; Theophilus, </w:t>
      </w:r>
      <w:r w:rsidRPr="006D0033">
        <w:rPr>
          <w:rFonts w:ascii="Times New Roman" w:hAnsi="Times New Roman" w:cs="Times New Roman"/>
          <w:i/>
          <w:color w:val="000000" w:themeColor="text1"/>
          <w:sz w:val="20"/>
          <w:szCs w:val="20"/>
        </w:rPr>
        <w:t>A Letter to Parson B—tl—r, and His Friends of Cork</w:t>
      </w:r>
      <w:r w:rsidRPr="006D0033">
        <w:rPr>
          <w:rFonts w:ascii="Times New Roman" w:hAnsi="Times New Roman" w:cs="Times New Roman"/>
          <w:color w:val="000000" w:themeColor="text1"/>
          <w:sz w:val="20"/>
          <w:szCs w:val="20"/>
        </w:rPr>
        <w:t xml:space="preserve"> (Dublin, 1750), p. 8; ‘John Wesley to Charles Wesley, 17 June 1749’, in </w:t>
      </w:r>
      <w:r w:rsidR="007B7826">
        <w:rPr>
          <w:rFonts w:ascii="Times New Roman" w:hAnsi="Times New Roman" w:cs="Times New Roman"/>
          <w:i/>
          <w:color w:val="000000" w:themeColor="text1"/>
          <w:sz w:val="20"/>
          <w:szCs w:val="20"/>
        </w:rPr>
        <w:t>Works</w:t>
      </w:r>
      <w:r w:rsidRPr="006D0033">
        <w:rPr>
          <w:rFonts w:ascii="Times New Roman" w:hAnsi="Times New Roman" w:cs="Times New Roman"/>
          <w:color w:val="000000" w:themeColor="text1"/>
          <w:sz w:val="20"/>
          <w:szCs w:val="20"/>
        </w:rPr>
        <w:t>,</w:t>
      </w:r>
      <w:r w:rsidR="007B7826">
        <w:rPr>
          <w:rFonts w:ascii="Times New Roman" w:hAnsi="Times New Roman" w:cs="Times New Roman"/>
          <w:color w:val="000000" w:themeColor="text1"/>
          <w:sz w:val="20"/>
          <w:szCs w:val="20"/>
        </w:rPr>
        <w:t xml:space="preserve"> xxvi,</w:t>
      </w:r>
      <w:r w:rsidRPr="006D0033">
        <w:rPr>
          <w:rFonts w:ascii="Times New Roman" w:hAnsi="Times New Roman" w:cs="Times New Roman"/>
          <w:color w:val="000000" w:themeColor="text1"/>
          <w:sz w:val="20"/>
          <w:szCs w:val="20"/>
        </w:rPr>
        <w:t xml:space="preserve"> p. 367.</w:t>
      </w:r>
    </w:p>
  </w:footnote>
  <w:footnote w:id="40">
    <w:p w14:paraId="0A96DE76" w14:textId="23AACBDB"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C. Tait, ‘Whereat his wife tooke great greef &amp; died’: dying of sorrow and killing in anger in seventeenth-century Ireland’, in </w:t>
      </w:r>
      <w:r w:rsidRPr="006D0033">
        <w:rPr>
          <w:rFonts w:ascii="Times New Roman" w:hAnsi="Times New Roman" w:cs="Times New Roman"/>
          <w:i/>
          <w:color w:val="000000" w:themeColor="text1"/>
          <w:sz w:val="20"/>
          <w:szCs w:val="20"/>
        </w:rPr>
        <w:t>Popular Culture and Political Agency in Early Modern England and Ireland: Essays in Honour of John Walter</w:t>
      </w:r>
      <w:r w:rsidRPr="006D0033">
        <w:rPr>
          <w:rFonts w:ascii="Times New Roman" w:hAnsi="Times New Roman" w:cs="Times New Roman"/>
          <w:color w:val="000000" w:themeColor="text1"/>
          <w:sz w:val="20"/>
          <w:szCs w:val="20"/>
        </w:rPr>
        <w:t>, ed. M.J. Braddick and P. Withington (Woodbridge, 2017), p. 277.</w:t>
      </w:r>
    </w:p>
  </w:footnote>
  <w:footnote w:id="41">
    <w:p w14:paraId="110C38A5" w14:textId="04EFA37C"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Tait, ‘Disorder and commotion’, pp. 34-36.</w:t>
      </w:r>
    </w:p>
  </w:footnote>
  <w:footnote w:id="42">
    <w:p w14:paraId="60A34902" w14:textId="267234F6"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J. Walter, ‘‘Abolishing superstition with sedition’? The politics of popular iconoclasm in England 1640-1642’, </w:t>
      </w:r>
      <w:r w:rsidRPr="006D0033">
        <w:rPr>
          <w:rFonts w:ascii="Times New Roman" w:hAnsi="Times New Roman" w:cs="Times New Roman"/>
          <w:i/>
          <w:color w:val="000000" w:themeColor="text1"/>
          <w:sz w:val="20"/>
          <w:szCs w:val="20"/>
        </w:rPr>
        <w:t>Past and Present</w:t>
      </w:r>
      <w:r w:rsidRPr="006D0033">
        <w:rPr>
          <w:rFonts w:ascii="Times New Roman" w:hAnsi="Times New Roman" w:cs="Times New Roman"/>
          <w:color w:val="000000" w:themeColor="text1"/>
          <w:sz w:val="20"/>
          <w:szCs w:val="20"/>
        </w:rPr>
        <w:t>, clxxxiii (2004), 89.</w:t>
      </w:r>
    </w:p>
  </w:footnote>
  <w:footnote w:id="43">
    <w:p w14:paraId="68514880" w14:textId="1D949446"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T.C. Barnard, ‘Athlone, 1685; Limerick, 1710: religious riots or charivaris?’, </w:t>
      </w:r>
      <w:r w:rsidRPr="006D0033">
        <w:rPr>
          <w:rFonts w:ascii="Times New Roman" w:hAnsi="Times New Roman" w:cs="Times New Roman"/>
          <w:i/>
          <w:color w:val="000000" w:themeColor="text1"/>
          <w:sz w:val="20"/>
          <w:szCs w:val="20"/>
        </w:rPr>
        <w:t>Studia Hibernica</w:t>
      </w:r>
      <w:r w:rsidRPr="006D0033">
        <w:rPr>
          <w:rFonts w:ascii="Times New Roman" w:hAnsi="Times New Roman" w:cs="Times New Roman"/>
          <w:color w:val="000000" w:themeColor="text1"/>
          <w:sz w:val="20"/>
          <w:szCs w:val="20"/>
        </w:rPr>
        <w:t>, xxvii (1993), 72.</w:t>
      </w:r>
    </w:p>
  </w:footnote>
  <w:footnote w:id="44">
    <w:p w14:paraId="0CCE4498" w14:textId="41CADFD7"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‘John Wesley to Charles Wesley, 17 June 1749’, in </w:t>
      </w:r>
      <w:r w:rsidR="00704D50">
        <w:rPr>
          <w:rFonts w:ascii="Times New Roman" w:hAnsi="Times New Roman" w:cs="Times New Roman"/>
          <w:i/>
          <w:color w:val="000000" w:themeColor="text1"/>
          <w:sz w:val="20"/>
          <w:szCs w:val="20"/>
        </w:rPr>
        <w:t>Works</w:t>
      </w:r>
      <w:r w:rsidRPr="006D0033">
        <w:rPr>
          <w:rFonts w:ascii="Times New Roman" w:hAnsi="Times New Roman" w:cs="Times New Roman"/>
          <w:color w:val="000000" w:themeColor="text1"/>
          <w:sz w:val="20"/>
          <w:szCs w:val="20"/>
        </w:rPr>
        <w:t>,</w:t>
      </w:r>
      <w:r w:rsidR="004B4B51">
        <w:rPr>
          <w:rFonts w:ascii="Times New Roman" w:hAnsi="Times New Roman" w:cs="Times New Roman"/>
          <w:color w:val="000000" w:themeColor="text1"/>
          <w:sz w:val="20"/>
          <w:szCs w:val="20"/>
        </w:rPr>
        <w:t xml:space="preserve"> xxvi,</w:t>
      </w:r>
      <w:r w:rsidRPr="006D0033">
        <w:rPr>
          <w:rFonts w:ascii="Times New Roman" w:hAnsi="Times New Roman" w:cs="Times New Roman"/>
          <w:color w:val="000000" w:themeColor="text1"/>
          <w:sz w:val="20"/>
          <w:szCs w:val="20"/>
        </w:rPr>
        <w:t xml:space="preserve"> pp. 367, 369. The 31 May 1749 issue of the </w:t>
      </w:r>
      <w:r w:rsidRPr="006D0033">
        <w:rPr>
          <w:rFonts w:ascii="Times New Roman" w:hAnsi="Times New Roman" w:cs="Times New Roman"/>
          <w:i/>
          <w:color w:val="000000" w:themeColor="text1"/>
          <w:sz w:val="20"/>
          <w:szCs w:val="20"/>
        </w:rPr>
        <w:t>Penny London Post</w:t>
      </w:r>
      <w:r w:rsidRPr="006D0033">
        <w:rPr>
          <w:rFonts w:ascii="Times New Roman" w:hAnsi="Times New Roman" w:cs="Times New Roman"/>
          <w:color w:val="000000" w:themeColor="text1"/>
          <w:sz w:val="20"/>
          <w:szCs w:val="20"/>
        </w:rPr>
        <w:t xml:space="preserve"> included a Dublin item, dated 23 May 1749, reporting a recent clash in Cork between ‘two parties of Mob, in Imitation of our Ormond and Liberty Boys’. During the fracas, ‘two were killed and several [were] wounded.’    </w:t>
      </w:r>
    </w:p>
  </w:footnote>
  <w:footnote w:id="45">
    <w:p w14:paraId="4AC7CF8B" w14:textId="234813C5"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See G. Holmes, </w:t>
      </w:r>
      <w:r w:rsidRPr="006D0033">
        <w:rPr>
          <w:rFonts w:ascii="Times New Roman" w:hAnsi="Times New Roman" w:cs="Times New Roman"/>
          <w:i/>
          <w:color w:val="000000" w:themeColor="text1"/>
          <w:sz w:val="20"/>
          <w:szCs w:val="20"/>
        </w:rPr>
        <w:t>The Trial of Doctor Sacheverell</w:t>
      </w:r>
      <w:r w:rsidRPr="006D0033">
        <w:rPr>
          <w:rFonts w:ascii="Times New Roman" w:hAnsi="Times New Roman" w:cs="Times New Roman"/>
          <w:color w:val="000000" w:themeColor="text1"/>
          <w:sz w:val="20"/>
          <w:szCs w:val="20"/>
        </w:rPr>
        <w:t xml:space="preserve"> (London, 1973); G. Holmes, ‘The Sacheverell riots: the crowd and the Church in early eighteenth-century London’, </w:t>
      </w:r>
      <w:r w:rsidRPr="006D0033">
        <w:rPr>
          <w:rFonts w:ascii="Times New Roman" w:hAnsi="Times New Roman" w:cs="Times New Roman"/>
          <w:i/>
          <w:color w:val="000000" w:themeColor="text1"/>
          <w:sz w:val="20"/>
          <w:szCs w:val="20"/>
        </w:rPr>
        <w:t>Past and Present</w:t>
      </w:r>
      <w:r w:rsidRPr="006D0033">
        <w:rPr>
          <w:rFonts w:ascii="Times New Roman" w:hAnsi="Times New Roman" w:cs="Times New Roman"/>
          <w:color w:val="000000" w:themeColor="text1"/>
          <w:sz w:val="20"/>
          <w:szCs w:val="20"/>
        </w:rPr>
        <w:t xml:space="preserve">, lxxii (1976), pp. 55-85. </w:t>
      </w:r>
    </w:p>
  </w:footnote>
  <w:footnote w:id="46">
    <w:p w14:paraId="15D012A8" w14:textId="3C102FBA"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For Jacobite ballads, see M.G.H. Pittock, </w:t>
      </w:r>
      <w:r w:rsidRPr="006D0033">
        <w:rPr>
          <w:rFonts w:ascii="Times New Roman" w:hAnsi="Times New Roman" w:cs="Times New Roman"/>
          <w:i/>
          <w:color w:val="000000" w:themeColor="text1"/>
          <w:sz w:val="20"/>
          <w:szCs w:val="20"/>
        </w:rPr>
        <w:t>Poetry and Jacobite Politics in Eighteenth-Century Britain and Ireland</w:t>
      </w:r>
      <w:r w:rsidRPr="006D0033">
        <w:rPr>
          <w:rFonts w:ascii="Times New Roman" w:hAnsi="Times New Roman" w:cs="Times New Roman"/>
          <w:color w:val="000000" w:themeColor="text1"/>
          <w:sz w:val="20"/>
          <w:szCs w:val="20"/>
        </w:rPr>
        <w:t xml:space="preserve"> (Cambridge, 1994); Morley, </w:t>
      </w:r>
      <w:r w:rsidRPr="006D0033">
        <w:rPr>
          <w:rFonts w:ascii="Times New Roman" w:hAnsi="Times New Roman" w:cs="Times New Roman"/>
          <w:i/>
          <w:color w:val="000000" w:themeColor="text1"/>
          <w:sz w:val="20"/>
          <w:szCs w:val="20"/>
        </w:rPr>
        <w:t>Popular Mind</w:t>
      </w:r>
      <w:r w:rsidRPr="006D0033">
        <w:rPr>
          <w:rFonts w:ascii="Times New Roman" w:hAnsi="Times New Roman" w:cs="Times New Roman"/>
          <w:color w:val="000000" w:themeColor="text1"/>
          <w:sz w:val="20"/>
          <w:szCs w:val="20"/>
        </w:rPr>
        <w:t>.</w:t>
      </w:r>
    </w:p>
  </w:footnote>
  <w:footnote w:id="47">
    <w:p w14:paraId="2DAF9251" w14:textId="20926765"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Wesley,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color w:val="000000" w:themeColor="text1"/>
          <w:sz w:val="20"/>
          <w:szCs w:val="20"/>
        </w:rPr>
        <w:t>, p</w:t>
      </w:r>
      <w:r w:rsidR="00C225C0">
        <w:rPr>
          <w:rFonts w:ascii="Times New Roman" w:hAnsi="Times New Roman" w:cs="Times New Roman"/>
          <w:color w:val="000000" w:themeColor="text1"/>
          <w:sz w:val="20"/>
          <w:szCs w:val="20"/>
        </w:rPr>
        <w:t>p</w:t>
      </w:r>
      <w:r w:rsidRPr="006D0033">
        <w:rPr>
          <w:rFonts w:ascii="Times New Roman" w:hAnsi="Times New Roman" w:cs="Times New Roman"/>
          <w:color w:val="000000" w:themeColor="text1"/>
          <w:sz w:val="20"/>
          <w:szCs w:val="20"/>
        </w:rPr>
        <w:t xml:space="preserve">. </w:t>
      </w:r>
      <w:r w:rsidR="00C225C0">
        <w:rPr>
          <w:rFonts w:ascii="Times New Roman" w:hAnsi="Times New Roman" w:cs="Times New Roman"/>
          <w:color w:val="000000" w:themeColor="text1"/>
          <w:sz w:val="20"/>
          <w:szCs w:val="20"/>
        </w:rPr>
        <w:t xml:space="preserve">4, </w:t>
      </w:r>
      <w:r w:rsidRPr="006D0033">
        <w:rPr>
          <w:rFonts w:ascii="Times New Roman" w:hAnsi="Times New Roman" w:cs="Times New Roman"/>
          <w:color w:val="000000" w:themeColor="text1"/>
          <w:sz w:val="20"/>
          <w:szCs w:val="20"/>
        </w:rPr>
        <w:t xml:space="preserve">11. </w:t>
      </w:r>
    </w:p>
  </w:footnote>
  <w:footnote w:id="48">
    <w:p w14:paraId="575B917D" w14:textId="11FF6441"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Wesley,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color w:val="000000" w:themeColor="text1"/>
          <w:sz w:val="20"/>
          <w:szCs w:val="20"/>
        </w:rPr>
        <w:t>, p</w:t>
      </w:r>
      <w:r w:rsidR="00787190">
        <w:rPr>
          <w:rFonts w:ascii="Times New Roman" w:hAnsi="Times New Roman" w:cs="Times New Roman"/>
          <w:color w:val="000000" w:themeColor="text1"/>
          <w:sz w:val="20"/>
          <w:szCs w:val="20"/>
        </w:rPr>
        <w:t>p</w:t>
      </w:r>
      <w:r w:rsidRPr="006D0033">
        <w:rPr>
          <w:rFonts w:ascii="Times New Roman" w:hAnsi="Times New Roman" w:cs="Times New Roman"/>
          <w:color w:val="000000" w:themeColor="text1"/>
          <w:sz w:val="20"/>
          <w:szCs w:val="20"/>
        </w:rPr>
        <w:t xml:space="preserve">. </w:t>
      </w:r>
      <w:r w:rsidR="00787190">
        <w:rPr>
          <w:rFonts w:ascii="Times New Roman" w:hAnsi="Times New Roman" w:cs="Times New Roman"/>
          <w:color w:val="000000" w:themeColor="text1"/>
          <w:sz w:val="20"/>
          <w:szCs w:val="20"/>
        </w:rPr>
        <w:t>4-</w:t>
      </w:r>
      <w:r w:rsidRPr="006D0033">
        <w:rPr>
          <w:rFonts w:ascii="Times New Roman" w:hAnsi="Times New Roman" w:cs="Times New Roman"/>
          <w:color w:val="000000" w:themeColor="text1"/>
          <w:sz w:val="20"/>
          <w:szCs w:val="20"/>
        </w:rPr>
        <w:t>7.</w:t>
      </w:r>
    </w:p>
  </w:footnote>
  <w:footnote w:id="49">
    <w:p w14:paraId="0EEFD04E" w14:textId="400588EC"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See Crookshank, i. p. 52; L. Tyerman, </w:t>
      </w:r>
      <w:r w:rsidRPr="006D0033">
        <w:rPr>
          <w:rFonts w:ascii="Times New Roman" w:hAnsi="Times New Roman" w:cs="Times New Roman"/>
          <w:i/>
          <w:color w:val="000000" w:themeColor="text1"/>
          <w:sz w:val="20"/>
          <w:szCs w:val="20"/>
        </w:rPr>
        <w:t>The Life and Times of the Rev. John Wesley, M.A., Founder of the Methodists</w:t>
      </w:r>
      <w:r w:rsidRPr="006D0033">
        <w:rPr>
          <w:rFonts w:ascii="Times New Roman" w:hAnsi="Times New Roman" w:cs="Times New Roman"/>
          <w:color w:val="000000" w:themeColor="text1"/>
          <w:sz w:val="20"/>
          <w:szCs w:val="20"/>
        </w:rPr>
        <w:t xml:space="preserve"> (3 vols., London, 1870-71), ii. p. 38</w:t>
      </w:r>
      <w:r w:rsidR="00397B2D">
        <w:rPr>
          <w:rFonts w:ascii="Times New Roman" w:hAnsi="Times New Roman" w:cs="Times New Roman"/>
          <w:color w:val="000000" w:themeColor="text1"/>
          <w:sz w:val="20"/>
          <w:szCs w:val="20"/>
        </w:rPr>
        <w:t>.</w:t>
      </w:r>
    </w:p>
  </w:footnote>
  <w:footnote w:id="50">
    <w:p w14:paraId="2974C8BB" w14:textId="2A2FD63E" w:rsidR="00754ED3" w:rsidRPr="006D0033" w:rsidRDefault="00754ED3" w:rsidP="006D0033">
      <w:pPr>
        <w:pStyle w:val="FootnoteText"/>
        <w:jc w:val="both"/>
        <w:rPr>
          <w:rFonts w:ascii="Times New Roman" w:hAnsi="Times New Roman" w:cs="Times New Roman"/>
          <w:sz w:val="20"/>
          <w:szCs w:val="20"/>
          <w:lang w:val="en-IE"/>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w:t>
      </w:r>
      <w:r w:rsidRPr="006D0033">
        <w:rPr>
          <w:rFonts w:ascii="Times New Roman" w:hAnsi="Times New Roman" w:cs="Times New Roman"/>
          <w:i/>
          <w:sz w:val="20"/>
          <w:szCs w:val="20"/>
        </w:rPr>
        <w:t>Penny London Post; or, the Morning Advertiser</w:t>
      </w:r>
      <w:r w:rsidRPr="006D0033">
        <w:rPr>
          <w:rFonts w:ascii="Times New Roman" w:hAnsi="Times New Roman" w:cs="Times New Roman"/>
          <w:sz w:val="20"/>
          <w:szCs w:val="20"/>
        </w:rPr>
        <w:t>, 31 May 1749.</w:t>
      </w:r>
    </w:p>
  </w:footnote>
  <w:footnote w:id="51">
    <w:p w14:paraId="27297D08" w14:textId="4EA8E258"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Wesley,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color w:val="000000" w:themeColor="text1"/>
          <w:sz w:val="20"/>
          <w:szCs w:val="20"/>
        </w:rPr>
        <w:t>, pp. 6-9.</w:t>
      </w:r>
      <w:r w:rsidR="00021128">
        <w:rPr>
          <w:rFonts w:ascii="Times New Roman" w:hAnsi="Times New Roman" w:cs="Times New Roman"/>
          <w:color w:val="000000" w:themeColor="text1"/>
          <w:sz w:val="20"/>
          <w:szCs w:val="20"/>
        </w:rPr>
        <w:t xml:space="preserve"> Another miscarriage is described on page 15. </w:t>
      </w:r>
    </w:p>
  </w:footnote>
  <w:footnote w:id="52">
    <w:p w14:paraId="447F2FC1" w14:textId="11DD99D5" w:rsidR="00754ED3" w:rsidRPr="006D0033" w:rsidRDefault="00754ED3" w:rsidP="006D0033">
      <w:pPr>
        <w:pStyle w:val="Heading1"/>
        <w:shd w:val="clear" w:color="auto" w:fill="FFFFFF"/>
        <w:spacing w:before="0"/>
        <w:jc w:val="both"/>
        <w:rPr>
          <w:rFonts w:ascii="Times New Roman" w:eastAsia="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t>
      </w:r>
      <w:r w:rsidRPr="006D0033">
        <w:rPr>
          <w:rFonts w:ascii="Times New Roman" w:eastAsia="Times New Roman" w:hAnsi="Times New Roman" w:cs="Times New Roman"/>
          <w:color w:val="000000" w:themeColor="text1"/>
          <w:sz w:val="20"/>
          <w:szCs w:val="20"/>
          <w:shd w:val="clear" w:color="auto" w:fill="FFFFFF"/>
        </w:rPr>
        <w:t xml:space="preserve">D. Loewenstein, </w:t>
      </w:r>
      <w:r w:rsidRPr="006D0033">
        <w:rPr>
          <w:rStyle w:val="fn"/>
          <w:rFonts w:ascii="Times New Roman" w:eastAsia="Times New Roman" w:hAnsi="Times New Roman" w:cs="Times New Roman"/>
          <w:i/>
          <w:color w:val="000000" w:themeColor="text1"/>
          <w:sz w:val="20"/>
          <w:szCs w:val="20"/>
        </w:rPr>
        <w:t>Treacherous Faith</w:t>
      </w:r>
      <w:r w:rsidRPr="006D0033">
        <w:rPr>
          <w:rFonts w:ascii="Times New Roman" w:eastAsia="Times New Roman" w:hAnsi="Times New Roman" w:cs="Times New Roman"/>
          <w:i/>
          <w:color w:val="000000" w:themeColor="text1"/>
          <w:sz w:val="20"/>
          <w:szCs w:val="20"/>
        </w:rPr>
        <w:t>: </w:t>
      </w:r>
      <w:r w:rsidRPr="006D0033">
        <w:rPr>
          <w:rStyle w:val="subtitle1"/>
          <w:rFonts w:ascii="Times New Roman" w:eastAsia="Times New Roman" w:hAnsi="Times New Roman" w:cs="Times New Roman"/>
          <w:bCs/>
          <w:i/>
          <w:color w:val="000000" w:themeColor="text1"/>
          <w:sz w:val="20"/>
          <w:szCs w:val="20"/>
        </w:rPr>
        <w:t>The Specter of Heresy in Early Modern English Literature and Culture</w:t>
      </w:r>
      <w:r w:rsidRPr="006D0033">
        <w:rPr>
          <w:rStyle w:val="subtitle1"/>
          <w:rFonts w:ascii="Times New Roman" w:eastAsia="Times New Roman" w:hAnsi="Times New Roman" w:cs="Times New Roman"/>
          <w:bCs/>
          <w:color w:val="000000" w:themeColor="text1"/>
          <w:sz w:val="20"/>
          <w:szCs w:val="20"/>
        </w:rPr>
        <w:t xml:space="preserve"> (Oxford, 2013), ch. iii. </w:t>
      </w:r>
    </w:p>
  </w:footnote>
  <w:footnote w:id="53">
    <w:p w14:paraId="0CEE1543" w14:textId="481F11FB"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Tait, ‘Dying of sorrow’, p. 275. </w:t>
      </w:r>
    </w:p>
  </w:footnote>
  <w:footnote w:id="54">
    <w:p w14:paraId="0D2FE2B2" w14:textId="628D95F5"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‘John Wesley to Charles Wesley, 17 June 1749’, in </w:t>
      </w:r>
      <w:r w:rsidR="00541DAB">
        <w:rPr>
          <w:rFonts w:ascii="Times New Roman" w:hAnsi="Times New Roman" w:cs="Times New Roman"/>
          <w:i/>
          <w:color w:val="000000" w:themeColor="text1"/>
          <w:sz w:val="20"/>
          <w:szCs w:val="20"/>
        </w:rPr>
        <w:t>Works</w:t>
      </w:r>
      <w:r w:rsidRPr="006D0033">
        <w:rPr>
          <w:rFonts w:ascii="Times New Roman" w:hAnsi="Times New Roman" w:cs="Times New Roman"/>
          <w:color w:val="000000" w:themeColor="text1"/>
          <w:sz w:val="20"/>
          <w:szCs w:val="20"/>
        </w:rPr>
        <w:t>,</w:t>
      </w:r>
      <w:r w:rsidR="00541DAB">
        <w:rPr>
          <w:rFonts w:ascii="Times New Roman" w:hAnsi="Times New Roman" w:cs="Times New Roman"/>
          <w:color w:val="000000" w:themeColor="text1"/>
          <w:sz w:val="20"/>
          <w:szCs w:val="20"/>
        </w:rPr>
        <w:t xml:space="preserve"> xxvi,</w:t>
      </w:r>
      <w:r w:rsidRPr="006D0033">
        <w:rPr>
          <w:rFonts w:ascii="Times New Roman" w:hAnsi="Times New Roman" w:cs="Times New Roman"/>
          <w:color w:val="000000" w:themeColor="text1"/>
          <w:sz w:val="20"/>
          <w:szCs w:val="20"/>
        </w:rPr>
        <w:t xml:space="preserve"> p</w:t>
      </w:r>
      <w:r w:rsidR="00541DAB">
        <w:rPr>
          <w:rFonts w:ascii="Times New Roman" w:hAnsi="Times New Roman" w:cs="Times New Roman"/>
          <w:color w:val="000000" w:themeColor="text1"/>
          <w:sz w:val="20"/>
          <w:szCs w:val="20"/>
        </w:rPr>
        <w:t>p</w:t>
      </w:r>
      <w:r w:rsidRPr="006D0033">
        <w:rPr>
          <w:rFonts w:ascii="Times New Roman" w:hAnsi="Times New Roman" w:cs="Times New Roman"/>
          <w:color w:val="000000" w:themeColor="text1"/>
          <w:sz w:val="20"/>
          <w:szCs w:val="20"/>
        </w:rPr>
        <w:t xml:space="preserve">. </w:t>
      </w:r>
      <w:r w:rsidR="00541DAB">
        <w:rPr>
          <w:rFonts w:ascii="Times New Roman" w:hAnsi="Times New Roman" w:cs="Times New Roman"/>
          <w:color w:val="000000" w:themeColor="text1"/>
          <w:sz w:val="20"/>
          <w:szCs w:val="20"/>
        </w:rPr>
        <w:t xml:space="preserve">370, </w:t>
      </w:r>
      <w:r w:rsidRPr="006D0033">
        <w:rPr>
          <w:rFonts w:ascii="Times New Roman" w:hAnsi="Times New Roman" w:cs="Times New Roman"/>
          <w:color w:val="000000" w:themeColor="text1"/>
          <w:sz w:val="20"/>
          <w:szCs w:val="20"/>
        </w:rPr>
        <w:t>372</w:t>
      </w:r>
      <w:r w:rsidR="00541DAB">
        <w:rPr>
          <w:rFonts w:ascii="Times New Roman" w:hAnsi="Times New Roman" w:cs="Times New Roman"/>
          <w:color w:val="000000" w:themeColor="text1"/>
          <w:sz w:val="20"/>
          <w:szCs w:val="20"/>
        </w:rPr>
        <w:t xml:space="preserve">; </w:t>
      </w:r>
      <w:r w:rsidR="00541DAB" w:rsidRPr="006D0033">
        <w:rPr>
          <w:rFonts w:ascii="Times New Roman" w:hAnsi="Times New Roman" w:cs="Times New Roman"/>
          <w:color w:val="000000" w:themeColor="text1"/>
          <w:sz w:val="20"/>
          <w:szCs w:val="20"/>
        </w:rPr>
        <w:t>Walter, ‘Performative violence’, p. 143.</w:t>
      </w:r>
      <w:r w:rsidRPr="006D0033">
        <w:rPr>
          <w:rFonts w:ascii="Times New Roman" w:hAnsi="Times New Roman" w:cs="Times New Roman"/>
          <w:color w:val="000000" w:themeColor="text1"/>
          <w:sz w:val="20"/>
          <w:szCs w:val="20"/>
        </w:rPr>
        <w:t xml:space="preserve"> </w:t>
      </w:r>
    </w:p>
  </w:footnote>
  <w:footnote w:id="55">
    <w:p w14:paraId="14B7B07F" w14:textId="1854B018"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t>
      </w:r>
      <w:r w:rsidR="000F738F" w:rsidRPr="006D0033">
        <w:rPr>
          <w:rFonts w:ascii="Times New Roman" w:hAnsi="Times New Roman" w:cs="Times New Roman"/>
          <w:i/>
          <w:color w:val="000000" w:themeColor="text1"/>
          <w:sz w:val="20"/>
          <w:szCs w:val="20"/>
        </w:rPr>
        <w:t>Works</w:t>
      </w:r>
      <w:r w:rsidR="000F738F" w:rsidRPr="006D0033">
        <w:rPr>
          <w:rFonts w:ascii="Times New Roman" w:hAnsi="Times New Roman" w:cs="Times New Roman"/>
          <w:color w:val="000000" w:themeColor="text1"/>
          <w:sz w:val="20"/>
          <w:szCs w:val="20"/>
        </w:rPr>
        <w:t xml:space="preserve">, xx, p. 278.   </w:t>
      </w:r>
    </w:p>
  </w:footnote>
  <w:footnote w:id="56">
    <w:p w14:paraId="44E9166B" w14:textId="3910CCEF"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Cork Philosophical Society, </w:t>
      </w:r>
      <w:r w:rsidRPr="006D0033">
        <w:rPr>
          <w:rFonts w:ascii="Times New Roman" w:hAnsi="Times New Roman" w:cs="Times New Roman"/>
          <w:i/>
          <w:color w:val="000000" w:themeColor="text1"/>
          <w:sz w:val="20"/>
          <w:szCs w:val="20"/>
        </w:rPr>
        <w:t>An Account of the Rise, Progress and Nature of Methodism in Corke</w:t>
      </w:r>
      <w:r w:rsidRPr="006D0033">
        <w:rPr>
          <w:rFonts w:ascii="Times New Roman" w:hAnsi="Times New Roman" w:cs="Times New Roman"/>
          <w:color w:val="000000" w:themeColor="text1"/>
          <w:sz w:val="20"/>
          <w:szCs w:val="20"/>
        </w:rPr>
        <w:t xml:space="preserve"> (Cork, 1749), pp. 13-14. I have been unable to find any references to such a society during this period. During the seventeen-nineties, the Cork Library Society was formed, leading to the formation of the Cork Literary and Philosophical Society in 1802. See J. Archbold, ‘Book clubs and reading societies in the late eighteenth century’, in </w:t>
      </w:r>
      <w:r w:rsidRPr="006D0033">
        <w:rPr>
          <w:rFonts w:ascii="Times New Roman" w:hAnsi="Times New Roman" w:cs="Times New Roman"/>
          <w:i/>
          <w:color w:val="000000" w:themeColor="text1"/>
          <w:sz w:val="20"/>
          <w:szCs w:val="20"/>
        </w:rPr>
        <w:t>Clubs and Societies in Eighteenth-Century Ireland</w:t>
      </w:r>
      <w:r w:rsidRPr="006D0033">
        <w:rPr>
          <w:rFonts w:ascii="Times New Roman" w:hAnsi="Times New Roman" w:cs="Times New Roman"/>
          <w:color w:val="000000" w:themeColor="text1"/>
          <w:sz w:val="20"/>
          <w:szCs w:val="20"/>
        </w:rPr>
        <w:t xml:space="preserve">, ed. J. Kelly and M.J. Powell (Dublin, 2010), pp. 158-60. </w:t>
      </w:r>
    </w:p>
  </w:footnote>
  <w:footnote w:id="57">
    <w:p w14:paraId="1F74F694" w14:textId="7C8EA242"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Cork Philosophical Society, p. 15. The ‘Society’ was probably referring to Cyprian of Carthage (c.200-258), who famously faced charges of cowardice for exiling himself during the Decian persecution. Clement of Alexandria (c.150-c.215) was an earlier African bishop who fled persecution. </w:t>
      </w:r>
    </w:p>
  </w:footnote>
  <w:footnote w:id="58">
    <w:p w14:paraId="5EA7B8D4" w14:textId="49E71154"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Cork Philosophical Society, pp. 11-13, 15. Methodist ‘bands’, which were derived from the Moravians, consisted of small groups of followers, who were segregated by gender and marital status. During band meetings, members confessed their sins before the band leader – a layperson – and the rest of the group. See D.L. Watson, </w:t>
      </w:r>
      <w:r w:rsidRPr="006D0033">
        <w:rPr>
          <w:rFonts w:ascii="Times New Roman" w:hAnsi="Times New Roman" w:cs="Times New Roman"/>
          <w:i/>
          <w:color w:val="000000" w:themeColor="text1"/>
          <w:sz w:val="20"/>
          <w:szCs w:val="20"/>
        </w:rPr>
        <w:t>The Early Methodist Class Meeting: Its Origins and Significance</w:t>
      </w:r>
      <w:r w:rsidRPr="006D0033">
        <w:rPr>
          <w:rFonts w:ascii="Times New Roman" w:hAnsi="Times New Roman" w:cs="Times New Roman"/>
          <w:color w:val="000000" w:themeColor="text1"/>
          <w:sz w:val="20"/>
          <w:szCs w:val="20"/>
        </w:rPr>
        <w:t xml:space="preserve"> (Eugene, OR, 1985).  </w:t>
      </w:r>
    </w:p>
  </w:footnote>
  <w:footnote w:id="59">
    <w:p w14:paraId="42CCFDDA" w14:textId="12F3FCEB"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John Wesley, </w:t>
      </w:r>
      <w:r w:rsidRPr="006D0033">
        <w:rPr>
          <w:rFonts w:ascii="Times New Roman" w:hAnsi="Times New Roman" w:cs="Times New Roman"/>
          <w:i/>
          <w:color w:val="000000" w:themeColor="text1"/>
          <w:sz w:val="20"/>
          <w:szCs w:val="20"/>
        </w:rPr>
        <w:t>A Short Address to the Inhabitants of Ireland. Occasioned by Some Late Occurrences</w:t>
      </w:r>
      <w:r w:rsidRPr="006D0033">
        <w:rPr>
          <w:rFonts w:ascii="Times New Roman" w:hAnsi="Times New Roman" w:cs="Times New Roman"/>
          <w:color w:val="000000" w:themeColor="text1"/>
          <w:sz w:val="20"/>
          <w:szCs w:val="20"/>
        </w:rPr>
        <w:t xml:space="preserve"> (Dublin, 1749), p. 4.   </w:t>
      </w:r>
    </w:p>
  </w:footnote>
  <w:footnote w:id="60">
    <w:p w14:paraId="41CF1A68" w14:textId="4C7F0C18"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Wesley,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color w:val="000000" w:themeColor="text1"/>
          <w:sz w:val="20"/>
          <w:szCs w:val="20"/>
        </w:rPr>
        <w:t>, pp. 11, 13.</w:t>
      </w:r>
    </w:p>
  </w:footnote>
  <w:footnote w:id="61">
    <w:p w14:paraId="0034BEE2" w14:textId="63639EC2"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The manuscript and printed versions of this fictitious charge can be found in Lambeth Palace Library, Secker MS VIII, fos. 31-32. For fuller accounts of this controversy and its aftermath, see F. Baker, ‘Bishop Lavington and the Methodists’, </w:t>
      </w:r>
      <w:r w:rsidRPr="006D0033">
        <w:rPr>
          <w:rFonts w:ascii="Times New Roman" w:hAnsi="Times New Roman" w:cs="Times New Roman"/>
          <w:i/>
          <w:color w:val="000000" w:themeColor="text1"/>
          <w:sz w:val="20"/>
          <w:szCs w:val="20"/>
        </w:rPr>
        <w:t>Proceedings of the Wesley Historical Society</w:t>
      </w:r>
      <w:r w:rsidRPr="006D0033">
        <w:rPr>
          <w:rFonts w:ascii="Times New Roman" w:hAnsi="Times New Roman" w:cs="Times New Roman"/>
          <w:color w:val="000000" w:themeColor="text1"/>
          <w:sz w:val="20"/>
          <w:szCs w:val="20"/>
        </w:rPr>
        <w:t xml:space="preserve">, xxxiv (1964), 37-42; C. Haydon, </w:t>
      </w:r>
      <w:r w:rsidRPr="006D0033">
        <w:rPr>
          <w:rFonts w:ascii="Times New Roman" w:hAnsi="Times New Roman" w:cs="Times New Roman"/>
          <w:bCs/>
          <w:color w:val="000000" w:themeColor="text1"/>
          <w:kern w:val="36"/>
          <w:sz w:val="20"/>
          <w:szCs w:val="20"/>
        </w:rPr>
        <w:t xml:space="preserve">‘Bishop George Lavington of Exeter (1684-1762) and </w:t>
      </w:r>
      <w:r w:rsidRPr="006D0033">
        <w:rPr>
          <w:rFonts w:ascii="Times New Roman" w:hAnsi="Times New Roman" w:cs="Times New Roman"/>
          <w:bCs/>
          <w:i/>
          <w:color w:val="000000" w:themeColor="text1"/>
          <w:kern w:val="36"/>
          <w:sz w:val="20"/>
          <w:szCs w:val="20"/>
        </w:rPr>
        <w:t>The Enthusiasm of Methodists and Papists, Compar’d’</w:t>
      </w:r>
      <w:r w:rsidRPr="006D0033">
        <w:rPr>
          <w:rFonts w:ascii="Times New Roman" w:hAnsi="Times New Roman" w:cs="Times New Roman"/>
          <w:bCs/>
          <w:color w:val="000000" w:themeColor="text1"/>
          <w:kern w:val="36"/>
          <w:sz w:val="20"/>
          <w:szCs w:val="20"/>
        </w:rPr>
        <w:t xml:space="preserve">, </w:t>
      </w:r>
      <w:r w:rsidRPr="006D0033">
        <w:rPr>
          <w:rFonts w:ascii="Times New Roman" w:hAnsi="Times New Roman" w:cs="Times New Roman"/>
          <w:bCs/>
          <w:i/>
          <w:color w:val="000000" w:themeColor="text1"/>
          <w:kern w:val="36"/>
          <w:sz w:val="20"/>
          <w:szCs w:val="20"/>
        </w:rPr>
        <w:t>Southern History Society</w:t>
      </w:r>
      <w:r w:rsidRPr="006D0033">
        <w:rPr>
          <w:rFonts w:ascii="Times New Roman" w:hAnsi="Times New Roman" w:cs="Times New Roman"/>
          <w:bCs/>
          <w:color w:val="000000" w:themeColor="text1"/>
          <w:kern w:val="36"/>
          <w:sz w:val="20"/>
          <w:szCs w:val="20"/>
        </w:rPr>
        <w:t>, xxxvii (2015), 60-85.</w:t>
      </w:r>
    </w:p>
  </w:footnote>
  <w:footnote w:id="62">
    <w:p w14:paraId="5BB6E01C" w14:textId="1C639495" w:rsidR="00754ED3" w:rsidRPr="006D0033" w:rsidRDefault="00754ED3" w:rsidP="006D0033">
      <w:pPr>
        <w:pStyle w:val="p1"/>
        <w:jc w:val="both"/>
        <w:rPr>
          <w:rFonts w:ascii="Times New Roman" w:hAnsi="Times New Roman"/>
          <w:color w:val="000000" w:themeColor="text1"/>
          <w:sz w:val="20"/>
          <w:szCs w:val="20"/>
        </w:rPr>
      </w:pPr>
      <w:r w:rsidRPr="006D0033">
        <w:rPr>
          <w:rStyle w:val="FootnoteReference"/>
          <w:rFonts w:ascii="Times New Roman" w:hAnsi="Times New Roman"/>
          <w:color w:val="000000" w:themeColor="text1"/>
          <w:sz w:val="20"/>
          <w:szCs w:val="20"/>
        </w:rPr>
        <w:footnoteRef/>
      </w:r>
      <w:r w:rsidRPr="006D0033">
        <w:rPr>
          <w:rFonts w:ascii="Times New Roman" w:hAnsi="Times New Roman"/>
          <w:color w:val="000000" w:themeColor="text1"/>
          <w:sz w:val="20"/>
          <w:szCs w:val="20"/>
        </w:rPr>
        <w:t xml:space="preserve"> </w:t>
      </w:r>
      <w:r w:rsidRPr="006D0033">
        <w:rPr>
          <w:rFonts w:ascii="Times New Roman" w:hAnsi="Times New Roman"/>
          <w:i/>
          <w:color w:val="000000" w:themeColor="text1"/>
          <w:sz w:val="20"/>
          <w:szCs w:val="20"/>
        </w:rPr>
        <w:t>The Manuscript Journal of the Reverend Charles Wesley, M.A.</w:t>
      </w:r>
      <w:r w:rsidRPr="006D0033">
        <w:rPr>
          <w:rFonts w:ascii="Times New Roman" w:hAnsi="Times New Roman"/>
          <w:color w:val="000000" w:themeColor="text1"/>
          <w:sz w:val="20"/>
          <w:szCs w:val="20"/>
        </w:rPr>
        <w:t xml:space="preserve">, ed. S.T. Kimbrough and K.G.C. Newport (2 vols., Nashville, Tenn., 2007), ii, p. 547. </w:t>
      </w:r>
    </w:p>
  </w:footnote>
  <w:footnote w:id="63">
    <w:p w14:paraId="11C07169" w14:textId="5B1C51C6" w:rsidR="00754ED3" w:rsidRPr="006D0033" w:rsidRDefault="00754ED3" w:rsidP="006D0033">
      <w:pPr>
        <w:jc w:val="both"/>
        <w:rPr>
          <w:rFonts w:eastAsia="Times New Roman"/>
          <w:color w:val="000000" w:themeColor="text1"/>
          <w:sz w:val="20"/>
          <w:szCs w:val="20"/>
        </w:rPr>
      </w:pPr>
      <w:r w:rsidRPr="006D0033">
        <w:rPr>
          <w:rStyle w:val="FootnoteReference"/>
          <w:color w:val="000000" w:themeColor="text1"/>
          <w:sz w:val="20"/>
          <w:szCs w:val="20"/>
        </w:rPr>
        <w:footnoteRef/>
      </w:r>
      <w:r w:rsidRPr="006D0033">
        <w:rPr>
          <w:color w:val="000000" w:themeColor="text1"/>
          <w:sz w:val="20"/>
          <w:szCs w:val="20"/>
        </w:rPr>
        <w:t xml:space="preserve"> George Harrison to Bishop Lavington, 27 August 1749, LPL Secker VIII, fo. 73. </w:t>
      </w:r>
      <w:r w:rsidRPr="006D0033">
        <w:rPr>
          <w:sz w:val="20"/>
          <w:szCs w:val="20"/>
        </w:rPr>
        <w:t>Harrison was initially receptive to Methodism, having welcomed Charles Wesley upon his arrival in Cork on 20 August 1748. See</w:t>
      </w:r>
      <w:r w:rsidRPr="006D0033">
        <w:rPr>
          <w:i/>
          <w:color w:val="000000" w:themeColor="text1"/>
          <w:sz w:val="20"/>
          <w:szCs w:val="20"/>
        </w:rPr>
        <w:t xml:space="preserve"> Manuscript Journal</w:t>
      </w:r>
      <w:r w:rsidRPr="006D0033">
        <w:rPr>
          <w:color w:val="000000" w:themeColor="text1"/>
          <w:sz w:val="20"/>
          <w:szCs w:val="20"/>
        </w:rPr>
        <w:t>, ii, p. 536</w:t>
      </w:r>
      <w:r w:rsidRPr="006D0033">
        <w:rPr>
          <w:rFonts w:eastAsia="Times New Roman"/>
          <w:color w:val="000000" w:themeColor="text1"/>
          <w:sz w:val="20"/>
          <w:szCs w:val="20"/>
        </w:rPr>
        <w:t xml:space="preserve">. The previous year, Harrison had published Reeves’s </w:t>
      </w:r>
      <w:r w:rsidRPr="006D0033">
        <w:rPr>
          <w:i/>
          <w:sz w:val="20"/>
          <w:szCs w:val="20"/>
        </w:rPr>
        <w:t>Affectionate Address</w:t>
      </w:r>
      <w:r w:rsidRPr="006D0033">
        <w:rPr>
          <w:sz w:val="20"/>
          <w:szCs w:val="20"/>
        </w:rPr>
        <w:t>.</w:t>
      </w:r>
      <w:r w:rsidRPr="006D0033">
        <w:rPr>
          <w:rFonts w:eastAsia="Times New Roman"/>
          <w:color w:val="000000" w:themeColor="text1"/>
          <w:sz w:val="20"/>
          <w:szCs w:val="20"/>
        </w:rPr>
        <w:t xml:space="preserve"> Harrison’s later </w:t>
      </w:r>
      <w:r w:rsidRPr="006D0033">
        <w:rPr>
          <w:sz w:val="20"/>
          <w:szCs w:val="20"/>
        </w:rPr>
        <w:t xml:space="preserve">anti-evangelical sentiments did not prevent him from agreeing to publish works by Wesley and Cennick. See </w:t>
      </w:r>
      <w:r w:rsidRPr="006D0033">
        <w:rPr>
          <w:color w:val="000000" w:themeColor="text1"/>
          <w:sz w:val="20"/>
          <w:szCs w:val="20"/>
        </w:rPr>
        <w:t xml:space="preserve">John Wesley, </w:t>
      </w:r>
      <w:r w:rsidRPr="006D0033">
        <w:rPr>
          <w:i/>
          <w:color w:val="000000" w:themeColor="text1"/>
          <w:sz w:val="20"/>
          <w:szCs w:val="20"/>
        </w:rPr>
        <w:t>To the Worshipful the Mayor of Corke</w:t>
      </w:r>
      <w:r w:rsidRPr="006D0033">
        <w:rPr>
          <w:color w:val="000000" w:themeColor="text1"/>
          <w:sz w:val="20"/>
          <w:szCs w:val="20"/>
        </w:rPr>
        <w:t xml:space="preserve"> (Cork, 1750); J. Wesley, </w:t>
      </w:r>
      <w:r w:rsidRPr="006D0033">
        <w:rPr>
          <w:i/>
          <w:color w:val="000000" w:themeColor="text1"/>
          <w:sz w:val="20"/>
          <w:szCs w:val="20"/>
        </w:rPr>
        <w:t>The Character of a Methodist</w:t>
      </w:r>
      <w:r w:rsidRPr="006D0033">
        <w:rPr>
          <w:color w:val="000000" w:themeColor="text1"/>
          <w:sz w:val="20"/>
          <w:szCs w:val="20"/>
        </w:rPr>
        <w:t xml:space="preserve"> (Cork, [1750]); John Cennick, </w:t>
      </w:r>
      <w:r w:rsidRPr="006D0033">
        <w:rPr>
          <w:rFonts w:eastAsia="Times New Roman"/>
          <w:i/>
          <w:color w:val="000000" w:themeColor="text1"/>
          <w:sz w:val="20"/>
          <w:szCs w:val="20"/>
          <w:bdr w:val="none" w:sz="0" w:space="0" w:color="auto" w:frame="1"/>
        </w:rPr>
        <w:t>A Treatise of the Holy Ghost: Wherein is Proved, That the Spirit of God was in the Prophets and Apostles, and is in Every True Believer, to the End of the World</w:t>
      </w:r>
      <w:r w:rsidRPr="006D0033">
        <w:rPr>
          <w:rFonts w:eastAsia="Times New Roman"/>
          <w:color w:val="000000" w:themeColor="text1"/>
          <w:sz w:val="20"/>
          <w:szCs w:val="20"/>
          <w:bdr w:val="none" w:sz="0" w:space="0" w:color="auto" w:frame="1"/>
        </w:rPr>
        <w:t xml:space="preserve"> (Cork, 1750).</w:t>
      </w:r>
    </w:p>
  </w:footnote>
  <w:footnote w:id="64">
    <w:p w14:paraId="0DB17FD4" w14:textId="16E35B30"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Wesley,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color w:val="000000" w:themeColor="text1"/>
          <w:sz w:val="20"/>
          <w:szCs w:val="20"/>
        </w:rPr>
        <w:t>, p. 12.</w:t>
      </w:r>
    </w:p>
  </w:footnote>
  <w:footnote w:id="65">
    <w:p w14:paraId="53530379" w14:textId="5673953C"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‘Letter DCCLXXXV: To Lady Huntingdon, 21 November 1749’, in </w:t>
      </w:r>
      <w:r w:rsidRPr="006D0033">
        <w:rPr>
          <w:rFonts w:ascii="Times New Roman" w:hAnsi="Times New Roman" w:cs="Times New Roman"/>
          <w:i/>
          <w:color w:val="000000" w:themeColor="text1"/>
          <w:sz w:val="20"/>
          <w:szCs w:val="20"/>
        </w:rPr>
        <w:t>The Works of the Reverend George Whitefield, M.A.</w:t>
      </w:r>
      <w:r w:rsidRPr="006D0033">
        <w:rPr>
          <w:rFonts w:ascii="Times New Roman" w:hAnsi="Times New Roman" w:cs="Times New Roman"/>
          <w:color w:val="000000" w:themeColor="text1"/>
          <w:sz w:val="20"/>
          <w:szCs w:val="20"/>
        </w:rPr>
        <w:t xml:space="preserve"> (6 vols., London, 1771-72), ii. p. 290. </w:t>
      </w:r>
    </w:p>
  </w:footnote>
  <w:footnote w:id="66">
    <w:p w14:paraId="23080AE3" w14:textId="51C4757C"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‘Letter DCCLXXXVI: To Mr. Lunell, 22 November 1749’, in </w:t>
      </w:r>
      <w:r w:rsidRPr="006D0033">
        <w:rPr>
          <w:rFonts w:ascii="Times New Roman" w:hAnsi="Times New Roman" w:cs="Times New Roman"/>
          <w:i/>
          <w:color w:val="000000" w:themeColor="text1"/>
          <w:sz w:val="20"/>
          <w:szCs w:val="20"/>
        </w:rPr>
        <w:t>Works</w:t>
      </w:r>
      <w:r w:rsidRPr="006D0033">
        <w:rPr>
          <w:rFonts w:ascii="Times New Roman" w:hAnsi="Times New Roman" w:cs="Times New Roman"/>
          <w:color w:val="000000" w:themeColor="text1"/>
          <w:sz w:val="20"/>
          <w:szCs w:val="20"/>
        </w:rPr>
        <w:t xml:space="preserve">, ii. p. 292.  </w:t>
      </w:r>
    </w:p>
  </w:footnote>
  <w:footnote w:id="67">
    <w:p w14:paraId="5EE438EE" w14:textId="4A7F989B"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Wesley,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color w:val="000000" w:themeColor="text1"/>
          <w:sz w:val="20"/>
          <w:szCs w:val="20"/>
        </w:rPr>
        <w:t>, p. 12.</w:t>
      </w:r>
    </w:p>
  </w:footnote>
  <w:footnote w:id="68">
    <w:p w14:paraId="0E826D8F" w14:textId="78ED7851"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‘Letter DCCCIV: To the Rev. Mr. C---, 3 January 1750’, in </w:t>
      </w:r>
      <w:r w:rsidRPr="006D0033">
        <w:rPr>
          <w:rFonts w:ascii="Times New Roman" w:hAnsi="Times New Roman" w:cs="Times New Roman"/>
          <w:i/>
          <w:color w:val="000000" w:themeColor="text1"/>
          <w:sz w:val="20"/>
          <w:szCs w:val="20"/>
        </w:rPr>
        <w:t>Works</w:t>
      </w:r>
      <w:r w:rsidRPr="006D0033">
        <w:rPr>
          <w:rFonts w:ascii="Times New Roman" w:hAnsi="Times New Roman" w:cs="Times New Roman"/>
          <w:color w:val="000000" w:themeColor="text1"/>
          <w:sz w:val="20"/>
          <w:szCs w:val="20"/>
        </w:rPr>
        <w:t>, ii. p. 311. The recipient of this letter may have been Samuel Cooper, Congregationalist pastor of Brattle Street Church, Boston</w:t>
      </w:r>
      <w:r w:rsidR="009A0440">
        <w:rPr>
          <w:rFonts w:ascii="Times New Roman" w:hAnsi="Times New Roman" w:cs="Times New Roman"/>
          <w:color w:val="000000" w:themeColor="text1"/>
          <w:sz w:val="20"/>
          <w:szCs w:val="20"/>
        </w:rPr>
        <w:t>, Massachusetts</w:t>
      </w:r>
      <w:r w:rsidRPr="006D0033">
        <w:rPr>
          <w:rFonts w:ascii="Times New Roman" w:hAnsi="Times New Roman" w:cs="Times New Roman"/>
          <w:color w:val="000000" w:themeColor="text1"/>
          <w:sz w:val="20"/>
          <w:szCs w:val="20"/>
        </w:rPr>
        <w:t>.</w:t>
      </w:r>
    </w:p>
  </w:footnote>
  <w:footnote w:id="69">
    <w:p w14:paraId="1EC528E6" w14:textId="2D3D5BD7"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‘Letter DCCCVIII: To Lady Huntingdon’, in </w:t>
      </w:r>
      <w:r w:rsidRPr="006D0033">
        <w:rPr>
          <w:rFonts w:ascii="Times New Roman" w:hAnsi="Times New Roman" w:cs="Times New Roman"/>
          <w:i/>
          <w:color w:val="000000" w:themeColor="text1"/>
          <w:sz w:val="20"/>
          <w:szCs w:val="20"/>
        </w:rPr>
        <w:t>Works</w:t>
      </w:r>
      <w:r w:rsidRPr="006D0033">
        <w:rPr>
          <w:rFonts w:ascii="Times New Roman" w:hAnsi="Times New Roman" w:cs="Times New Roman"/>
          <w:color w:val="000000" w:themeColor="text1"/>
          <w:sz w:val="20"/>
          <w:szCs w:val="20"/>
        </w:rPr>
        <w:t>, ii. p. 317.</w:t>
      </w:r>
    </w:p>
  </w:footnote>
  <w:footnote w:id="70">
    <w:p w14:paraId="027BBEFA" w14:textId="217BBFF5"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‘Letter DCCCIX: To Mr. Lunell, 18 January 1750’, in </w:t>
      </w:r>
      <w:r w:rsidRPr="006D0033">
        <w:rPr>
          <w:rFonts w:ascii="Times New Roman" w:hAnsi="Times New Roman" w:cs="Times New Roman"/>
          <w:i/>
          <w:color w:val="000000" w:themeColor="text1"/>
          <w:sz w:val="20"/>
          <w:szCs w:val="20"/>
        </w:rPr>
        <w:t>Works</w:t>
      </w:r>
      <w:r w:rsidRPr="006D0033">
        <w:rPr>
          <w:rFonts w:ascii="Times New Roman" w:hAnsi="Times New Roman" w:cs="Times New Roman"/>
          <w:color w:val="000000" w:themeColor="text1"/>
          <w:sz w:val="20"/>
          <w:szCs w:val="20"/>
        </w:rPr>
        <w:t xml:space="preserve">, ii. p. 318. </w:t>
      </w:r>
    </w:p>
  </w:footnote>
  <w:footnote w:id="71">
    <w:p w14:paraId="52AF3593" w14:textId="56857BCF"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‘Letter DCCCXIII: To Mr. Lunell, 27 January 1750’, in </w:t>
      </w:r>
      <w:r w:rsidRPr="006D0033">
        <w:rPr>
          <w:rFonts w:ascii="Times New Roman" w:hAnsi="Times New Roman" w:cs="Times New Roman"/>
          <w:i/>
          <w:color w:val="000000" w:themeColor="text1"/>
          <w:sz w:val="20"/>
          <w:szCs w:val="20"/>
        </w:rPr>
        <w:t>Works</w:t>
      </w:r>
      <w:r w:rsidRPr="006D0033">
        <w:rPr>
          <w:rFonts w:ascii="Times New Roman" w:hAnsi="Times New Roman" w:cs="Times New Roman"/>
          <w:color w:val="000000" w:themeColor="text1"/>
          <w:sz w:val="20"/>
          <w:szCs w:val="20"/>
        </w:rPr>
        <w:t xml:space="preserve">, ii. p. 322. </w:t>
      </w:r>
    </w:p>
  </w:footnote>
  <w:footnote w:id="72">
    <w:p w14:paraId="30C1435B" w14:textId="16781F9C" w:rsidR="00754ED3" w:rsidRPr="006D0033" w:rsidRDefault="00754ED3" w:rsidP="006D0033">
      <w:pPr>
        <w:jc w:val="both"/>
        <w:rPr>
          <w:rFonts w:eastAsia="Times New Roman"/>
          <w:sz w:val="20"/>
          <w:szCs w:val="20"/>
        </w:rPr>
      </w:pPr>
      <w:r w:rsidRPr="006D0033">
        <w:rPr>
          <w:rStyle w:val="FootnoteReference"/>
          <w:color w:val="000000" w:themeColor="text1"/>
          <w:sz w:val="20"/>
          <w:szCs w:val="20"/>
        </w:rPr>
        <w:footnoteRef/>
      </w:r>
      <w:r w:rsidRPr="006D0033">
        <w:rPr>
          <w:color w:val="000000" w:themeColor="text1"/>
          <w:sz w:val="20"/>
          <w:szCs w:val="20"/>
        </w:rPr>
        <w:t xml:space="preserve"> ‘John Wesley to Charles Wesley, 17 June 1749’, in </w:t>
      </w:r>
      <w:r w:rsidR="00906DAD">
        <w:rPr>
          <w:i/>
          <w:color w:val="000000" w:themeColor="text1"/>
          <w:sz w:val="20"/>
          <w:szCs w:val="20"/>
        </w:rPr>
        <w:t>Works</w:t>
      </w:r>
      <w:r w:rsidRPr="006D0033">
        <w:rPr>
          <w:color w:val="000000" w:themeColor="text1"/>
          <w:sz w:val="20"/>
          <w:szCs w:val="20"/>
        </w:rPr>
        <w:t>,</w:t>
      </w:r>
      <w:r w:rsidR="00906DAD">
        <w:rPr>
          <w:color w:val="000000" w:themeColor="text1"/>
          <w:sz w:val="20"/>
          <w:szCs w:val="20"/>
        </w:rPr>
        <w:t xml:space="preserve"> xxvi,</w:t>
      </w:r>
      <w:r w:rsidRPr="006D0033">
        <w:rPr>
          <w:color w:val="000000" w:themeColor="text1"/>
          <w:sz w:val="20"/>
          <w:szCs w:val="20"/>
        </w:rPr>
        <w:t xml:space="preserve"> p. 373. William Augustus, Duke of Cumberland, was also Captain-General of the British land forces. On 28 June 1749, Charles provided his Bristol society with ‘an account of the persecution at Cork.’ Those in attendance were ‘inflamed with love, grief, [and] </w:t>
      </w:r>
      <w:r w:rsidRPr="006D0033">
        <w:rPr>
          <w:sz w:val="20"/>
          <w:szCs w:val="20"/>
        </w:rPr>
        <w:t xml:space="preserve">pity.’ See </w:t>
      </w:r>
      <w:r w:rsidRPr="006D0033">
        <w:rPr>
          <w:i/>
          <w:sz w:val="20"/>
          <w:szCs w:val="20"/>
        </w:rPr>
        <w:t>Manuscript</w:t>
      </w:r>
      <w:r w:rsidRPr="006D0033">
        <w:rPr>
          <w:sz w:val="20"/>
          <w:szCs w:val="20"/>
        </w:rPr>
        <w:t xml:space="preserve"> </w:t>
      </w:r>
      <w:r w:rsidRPr="006D0033">
        <w:rPr>
          <w:i/>
          <w:color w:val="000000" w:themeColor="text1"/>
          <w:sz w:val="20"/>
          <w:szCs w:val="20"/>
        </w:rPr>
        <w:t>Journal</w:t>
      </w:r>
      <w:r w:rsidRPr="006D0033">
        <w:rPr>
          <w:color w:val="000000" w:themeColor="text1"/>
          <w:sz w:val="20"/>
          <w:szCs w:val="20"/>
        </w:rPr>
        <w:t>, ii, p</w:t>
      </w:r>
      <w:r w:rsidRPr="006D0033">
        <w:rPr>
          <w:rFonts w:eastAsia="Times New Roman"/>
          <w:color w:val="000000" w:themeColor="text1"/>
          <w:sz w:val="20"/>
          <w:szCs w:val="20"/>
        </w:rPr>
        <w:t xml:space="preserve">. 577. </w:t>
      </w:r>
    </w:p>
  </w:footnote>
  <w:footnote w:id="73">
    <w:p w14:paraId="57AAE78A" w14:textId="14818CD8"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t>
      </w:r>
      <w:r w:rsidRPr="006D0033">
        <w:rPr>
          <w:rFonts w:ascii="Times New Roman" w:hAnsi="Times New Roman" w:cs="Times New Roman"/>
          <w:i/>
          <w:sz w:val="20"/>
          <w:szCs w:val="20"/>
        </w:rPr>
        <w:t>Council Book of the City of Cork</w:t>
      </w:r>
      <w:r w:rsidRPr="006D0033">
        <w:rPr>
          <w:rFonts w:ascii="Times New Roman" w:hAnsi="Times New Roman" w:cs="Times New Roman"/>
          <w:sz w:val="20"/>
          <w:szCs w:val="20"/>
        </w:rPr>
        <w:t>, p. 655;</w:t>
      </w:r>
      <w:r w:rsidRPr="006D0033">
        <w:rPr>
          <w:rFonts w:ascii="Times New Roman" w:hAnsi="Times New Roman" w:cs="Times New Roman"/>
          <w:color w:val="000000" w:themeColor="text1"/>
          <w:sz w:val="20"/>
          <w:szCs w:val="20"/>
        </w:rPr>
        <w:t xml:space="preserve"> Wesley,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color w:val="000000" w:themeColor="text1"/>
          <w:sz w:val="20"/>
          <w:szCs w:val="20"/>
        </w:rPr>
        <w:t>, p. 12.</w:t>
      </w:r>
    </w:p>
  </w:footnote>
  <w:footnote w:id="74">
    <w:p w14:paraId="54BC9902" w14:textId="51BADC1E" w:rsidR="00754ED3" w:rsidRPr="006D0033" w:rsidRDefault="00754ED3" w:rsidP="006D0033">
      <w:pPr>
        <w:pStyle w:val="FootnoteText"/>
        <w:jc w:val="both"/>
        <w:rPr>
          <w:rFonts w:ascii="Times New Roman" w:hAnsi="Times New Roman" w:cs="Times New Roman"/>
          <w:sz w:val="20"/>
          <w:szCs w:val="20"/>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Theophilus, </w:t>
      </w:r>
      <w:r w:rsidRPr="006D0033">
        <w:rPr>
          <w:rFonts w:ascii="Times New Roman" w:hAnsi="Times New Roman" w:cs="Times New Roman"/>
          <w:i/>
          <w:sz w:val="20"/>
          <w:szCs w:val="20"/>
        </w:rPr>
        <w:t>Letter to Parson B—tl—r</w:t>
      </w:r>
      <w:r w:rsidRPr="006D0033">
        <w:rPr>
          <w:rFonts w:ascii="Times New Roman" w:hAnsi="Times New Roman" w:cs="Times New Roman"/>
          <w:sz w:val="20"/>
          <w:szCs w:val="20"/>
        </w:rPr>
        <w:t xml:space="preserve">, p. 5. </w:t>
      </w:r>
    </w:p>
  </w:footnote>
  <w:footnote w:id="75">
    <w:p w14:paraId="70782A4F" w14:textId="373E2C9E" w:rsidR="00754ED3" w:rsidRPr="006D0033" w:rsidRDefault="00754ED3" w:rsidP="006D0033">
      <w:pPr>
        <w:pStyle w:val="FootnoteText"/>
        <w:jc w:val="both"/>
        <w:rPr>
          <w:rFonts w:ascii="Times New Roman" w:hAnsi="Times New Roman" w:cs="Times New Roman"/>
          <w:sz w:val="20"/>
          <w:szCs w:val="20"/>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Theophilus, </w:t>
      </w:r>
      <w:r w:rsidRPr="006D0033">
        <w:rPr>
          <w:rFonts w:ascii="Times New Roman" w:hAnsi="Times New Roman" w:cs="Times New Roman"/>
          <w:i/>
          <w:sz w:val="20"/>
          <w:szCs w:val="20"/>
        </w:rPr>
        <w:t>Letter to Parson B—tl—r</w:t>
      </w:r>
      <w:r w:rsidRPr="006D0033">
        <w:rPr>
          <w:rFonts w:ascii="Times New Roman" w:hAnsi="Times New Roman" w:cs="Times New Roman"/>
          <w:sz w:val="20"/>
          <w:szCs w:val="20"/>
        </w:rPr>
        <w:t xml:space="preserve">, p. 11.     </w:t>
      </w:r>
    </w:p>
  </w:footnote>
  <w:footnote w:id="76">
    <w:p w14:paraId="29C0FE10" w14:textId="19BFF494" w:rsidR="00754ED3" w:rsidRPr="006D0033" w:rsidRDefault="00754ED3" w:rsidP="006D0033">
      <w:pPr>
        <w:pStyle w:val="FootnoteText"/>
        <w:jc w:val="both"/>
        <w:rPr>
          <w:rFonts w:ascii="Times New Roman" w:hAnsi="Times New Roman" w:cs="Times New Roman"/>
          <w:sz w:val="20"/>
          <w:szCs w:val="20"/>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Theophilus, </w:t>
      </w:r>
      <w:r w:rsidRPr="006D0033">
        <w:rPr>
          <w:rFonts w:ascii="Times New Roman" w:hAnsi="Times New Roman" w:cs="Times New Roman"/>
          <w:i/>
          <w:sz w:val="20"/>
          <w:szCs w:val="20"/>
        </w:rPr>
        <w:t>Letter to Parson B—tl—r</w:t>
      </w:r>
      <w:r w:rsidRPr="006D0033">
        <w:rPr>
          <w:rFonts w:ascii="Times New Roman" w:hAnsi="Times New Roman" w:cs="Times New Roman"/>
          <w:sz w:val="20"/>
          <w:szCs w:val="20"/>
        </w:rPr>
        <w:t xml:space="preserve">, pp. 8-9. </w:t>
      </w:r>
    </w:p>
  </w:footnote>
  <w:footnote w:id="77">
    <w:p w14:paraId="7D6F8F66" w14:textId="74169DF7" w:rsidR="00754ED3" w:rsidRPr="006D0033" w:rsidRDefault="00754ED3" w:rsidP="006D0033">
      <w:pPr>
        <w:pStyle w:val="FootnoteText"/>
        <w:jc w:val="both"/>
        <w:rPr>
          <w:rFonts w:ascii="Times New Roman" w:hAnsi="Times New Roman" w:cs="Times New Roman"/>
          <w:sz w:val="20"/>
          <w:szCs w:val="20"/>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Wesley, </w:t>
      </w:r>
      <w:r w:rsidRPr="006D0033">
        <w:rPr>
          <w:rFonts w:ascii="Times New Roman" w:hAnsi="Times New Roman" w:cs="Times New Roman"/>
          <w:i/>
          <w:color w:val="000000" w:themeColor="text1"/>
          <w:sz w:val="20"/>
          <w:szCs w:val="20"/>
        </w:rPr>
        <w:t>To the Worshipful the Mayor of Corke</w:t>
      </w:r>
      <w:r w:rsidRPr="006D0033">
        <w:rPr>
          <w:rFonts w:ascii="Times New Roman" w:hAnsi="Times New Roman" w:cs="Times New Roman"/>
          <w:color w:val="000000" w:themeColor="text1"/>
          <w:sz w:val="20"/>
          <w:szCs w:val="20"/>
        </w:rPr>
        <w:t xml:space="preserve">. The only known copy of this broadsheet, which is not available on Eighteenth Century Collections Online, is in Lambeth Palace Library (Secker 8, fo. 198). It was reproduced in Wesley’s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color w:val="000000" w:themeColor="text1"/>
          <w:sz w:val="20"/>
          <w:szCs w:val="20"/>
        </w:rPr>
        <w:t xml:space="preserve"> (pp. 16-17). It can also be found in the numerous editions of Wesley’s journal. For a partial reconstruction of Baily’s accusation, see Wesley,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color w:val="000000" w:themeColor="text1"/>
          <w:sz w:val="20"/>
          <w:szCs w:val="20"/>
        </w:rPr>
        <w:t xml:space="preserve">, p. 19.     </w:t>
      </w:r>
    </w:p>
  </w:footnote>
  <w:footnote w:id="78">
    <w:p w14:paraId="463ACBEB" w14:textId="5D0D7C6B"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Wesley,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color w:val="000000" w:themeColor="text1"/>
          <w:sz w:val="20"/>
          <w:szCs w:val="20"/>
        </w:rPr>
        <w:t xml:space="preserve">, pp. 13-16. </w:t>
      </w:r>
    </w:p>
  </w:footnote>
  <w:footnote w:id="79">
    <w:p w14:paraId="539A65CD" w14:textId="02051688"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Wesley,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color w:val="000000" w:themeColor="text1"/>
          <w:sz w:val="20"/>
          <w:szCs w:val="20"/>
        </w:rPr>
        <w:t xml:space="preserve">, pp. 20-21. </w:t>
      </w:r>
    </w:p>
  </w:footnote>
  <w:footnote w:id="80">
    <w:p w14:paraId="47378F52" w14:textId="57E029A7" w:rsidR="00754ED3" w:rsidRPr="00E126CF" w:rsidRDefault="00754ED3" w:rsidP="006D0033">
      <w:pPr>
        <w:pStyle w:val="FootnoteText"/>
        <w:jc w:val="both"/>
        <w:rPr>
          <w:rFonts w:ascii="Times New Roman" w:hAnsi="Times New Roman" w:cs="Times New Roman"/>
          <w:color w:val="000000" w:themeColor="text1"/>
          <w:sz w:val="20"/>
          <w:szCs w:val="20"/>
        </w:rPr>
      </w:pPr>
      <w:r w:rsidRPr="00E126CF">
        <w:rPr>
          <w:rStyle w:val="FootnoteReference"/>
          <w:rFonts w:ascii="Times New Roman" w:hAnsi="Times New Roman" w:cs="Times New Roman"/>
          <w:color w:val="000000" w:themeColor="text1"/>
          <w:sz w:val="20"/>
          <w:szCs w:val="20"/>
        </w:rPr>
        <w:footnoteRef/>
      </w:r>
      <w:r w:rsidRPr="00E126CF">
        <w:rPr>
          <w:rFonts w:ascii="Times New Roman" w:hAnsi="Times New Roman" w:cs="Times New Roman"/>
          <w:color w:val="000000" w:themeColor="text1"/>
          <w:sz w:val="20"/>
          <w:szCs w:val="20"/>
        </w:rPr>
        <w:t xml:space="preserve"> </w:t>
      </w:r>
      <w:r w:rsidR="00E126CF" w:rsidRPr="00E126CF">
        <w:rPr>
          <w:rFonts w:ascii="Times New Roman" w:hAnsi="Times New Roman" w:cs="Times New Roman"/>
          <w:color w:val="000000" w:themeColor="text1"/>
          <w:sz w:val="20"/>
          <w:szCs w:val="20"/>
        </w:rPr>
        <w:t>In July 1758, two grenadiers were seriously wounded after being attacked by ‘some common people’ in the ‘south suburbs’</w:t>
      </w:r>
      <w:r w:rsidR="00E126CF">
        <w:rPr>
          <w:rFonts w:ascii="Times New Roman" w:hAnsi="Times New Roman" w:cs="Times New Roman"/>
          <w:color w:val="000000" w:themeColor="text1"/>
          <w:sz w:val="20"/>
          <w:szCs w:val="20"/>
        </w:rPr>
        <w:t xml:space="preserve"> of Cork</w:t>
      </w:r>
      <w:r w:rsidR="00E126CF" w:rsidRPr="00E126CF">
        <w:rPr>
          <w:rFonts w:ascii="Times New Roman" w:hAnsi="Times New Roman" w:cs="Times New Roman"/>
          <w:color w:val="000000" w:themeColor="text1"/>
          <w:sz w:val="20"/>
          <w:szCs w:val="20"/>
        </w:rPr>
        <w:t>. In retaliation, the neighbouring barrack ‘killed one</w:t>
      </w:r>
      <w:r w:rsidR="008B5B75">
        <w:rPr>
          <w:rFonts w:ascii="Times New Roman" w:hAnsi="Times New Roman" w:cs="Times New Roman"/>
          <w:color w:val="000000" w:themeColor="text1"/>
          <w:sz w:val="20"/>
          <w:szCs w:val="20"/>
        </w:rPr>
        <w:t xml:space="preserve"> [civilian]</w:t>
      </w:r>
      <w:r w:rsidR="00E126CF" w:rsidRPr="00E126CF">
        <w:rPr>
          <w:rFonts w:ascii="Times New Roman" w:hAnsi="Times New Roman" w:cs="Times New Roman"/>
          <w:color w:val="000000" w:themeColor="text1"/>
          <w:sz w:val="20"/>
          <w:szCs w:val="20"/>
        </w:rPr>
        <w:t xml:space="preserve"> and wounded several others…who had not been concerned in the first affray.’ One soldier was arrested by his commanding officer, who was acting on instructions received by one of the city magistrates. Once in custody, however, the solider was rescued by approximately 150 of his comrades, who intimidated the magistrate.</w:t>
      </w:r>
      <w:r w:rsidR="00E126CF">
        <w:rPr>
          <w:rFonts w:ascii="Times New Roman" w:hAnsi="Times New Roman" w:cs="Times New Roman"/>
          <w:color w:val="000000" w:themeColor="text1"/>
          <w:sz w:val="20"/>
          <w:szCs w:val="20"/>
        </w:rPr>
        <w:t xml:space="preserve"> See </w:t>
      </w:r>
      <w:r w:rsidRPr="00E126CF">
        <w:rPr>
          <w:rFonts w:ascii="Times New Roman" w:hAnsi="Times New Roman" w:cs="Times New Roman"/>
          <w:color w:val="000000" w:themeColor="text1"/>
          <w:sz w:val="20"/>
          <w:szCs w:val="20"/>
        </w:rPr>
        <w:t xml:space="preserve">T.A. </w:t>
      </w:r>
      <w:proofErr w:type="spellStart"/>
      <w:r w:rsidRPr="00E126CF">
        <w:rPr>
          <w:rFonts w:ascii="Times New Roman" w:hAnsi="Times New Roman" w:cs="Times New Roman"/>
          <w:color w:val="000000" w:themeColor="text1"/>
          <w:sz w:val="20"/>
          <w:szCs w:val="20"/>
        </w:rPr>
        <w:t>Lunham</w:t>
      </w:r>
      <w:proofErr w:type="spellEnd"/>
      <w:r w:rsidRPr="00E126CF">
        <w:rPr>
          <w:rFonts w:ascii="Times New Roman" w:hAnsi="Times New Roman" w:cs="Times New Roman"/>
          <w:color w:val="000000" w:themeColor="text1"/>
          <w:sz w:val="20"/>
          <w:szCs w:val="20"/>
        </w:rPr>
        <w:t xml:space="preserve">, ‘Affray between military and civilians in Cork in 1758’, </w:t>
      </w:r>
      <w:r w:rsidRPr="00E126CF">
        <w:rPr>
          <w:rFonts w:ascii="Times New Roman" w:hAnsi="Times New Roman" w:cs="Times New Roman"/>
          <w:i/>
          <w:color w:val="000000" w:themeColor="text1"/>
          <w:sz w:val="20"/>
          <w:szCs w:val="20"/>
        </w:rPr>
        <w:t>Journal of the Cork Historical and Archaeological Society</w:t>
      </w:r>
      <w:r w:rsidRPr="00E126CF">
        <w:rPr>
          <w:rFonts w:ascii="Times New Roman" w:hAnsi="Times New Roman" w:cs="Times New Roman"/>
          <w:color w:val="000000" w:themeColor="text1"/>
          <w:sz w:val="20"/>
          <w:szCs w:val="20"/>
        </w:rPr>
        <w:t>, Ser. ii, xxiii (1917), 229-230.</w:t>
      </w:r>
    </w:p>
  </w:footnote>
  <w:footnote w:id="81">
    <w:p w14:paraId="74C479B5" w14:textId="56CF7FEC" w:rsidR="00754ED3" w:rsidRPr="00E126CF" w:rsidRDefault="00754ED3" w:rsidP="006D0033">
      <w:pPr>
        <w:pStyle w:val="FootnoteText"/>
        <w:jc w:val="both"/>
        <w:rPr>
          <w:rFonts w:ascii="Times New Roman" w:hAnsi="Times New Roman" w:cs="Times New Roman"/>
          <w:color w:val="000000" w:themeColor="text1"/>
          <w:sz w:val="20"/>
          <w:szCs w:val="20"/>
        </w:rPr>
      </w:pPr>
      <w:r w:rsidRPr="00E126CF">
        <w:rPr>
          <w:rStyle w:val="FootnoteReference"/>
          <w:rFonts w:ascii="Times New Roman" w:hAnsi="Times New Roman" w:cs="Times New Roman"/>
          <w:color w:val="000000" w:themeColor="text1"/>
          <w:sz w:val="20"/>
          <w:szCs w:val="20"/>
        </w:rPr>
        <w:footnoteRef/>
      </w:r>
      <w:r w:rsidRPr="00E126CF">
        <w:rPr>
          <w:rFonts w:ascii="Times New Roman" w:hAnsi="Times New Roman" w:cs="Times New Roman"/>
          <w:color w:val="000000" w:themeColor="text1"/>
          <w:sz w:val="20"/>
          <w:szCs w:val="20"/>
        </w:rPr>
        <w:t xml:space="preserve"> Wesley, </w:t>
      </w:r>
      <w:r w:rsidRPr="00E126CF">
        <w:rPr>
          <w:rFonts w:ascii="Times New Roman" w:hAnsi="Times New Roman" w:cs="Times New Roman"/>
          <w:i/>
          <w:color w:val="000000" w:themeColor="text1"/>
          <w:sz w:val="20"/>
          <w:szCs w:val="20"/>
        </w:rPr>
        <w:t>Letter to the Revd. Mr. Baily</w:t>
      </w:r>
      <w:r w:rsidRPr="00E126CF">
        <w:rPr>
          <w:rFonts w:ascii="Times New Roman" w:hAnsi="Times New Roman" w:cs="Times New Roman"/>
          <w:color w:val="000000" w:themeColor="text1"/>
          <w:sz w:val="20"/>
          <w:szCs w:val="20"/>
        </w:rPr>
        <w:t xml:space="preserve">, pp. 20-21. </w:t>
      </w:r>
    </w:p>
  </w:footnote>
  <w:footnote w:id="82">
    <w:p w14:paraId="746D5A98" w14:textId="75489198" w:rsidR="00754ED3" w:rsidRPr="006D0033" w:rsidRDefault="00754ED3" w:rsidP="006D0033">
      <w:pPr>
        <w:pStyle w:val="FootnoteText"/>
        <w:jc w:val="both"/>
        <w:rPr>
          <w:rFonts w:ascii="Times New Roman" w:hAnsi="Times New Roman" w:cs="Times New Roman"/>
          <w:color w:val="000000" w:themeColor="text1"/>
          <w:sz w:val="20"/>
          <w:szCs w:val="20"/>
        </w:rPr>
      </w:pPr>
      <w:r w:rsidRPr="00E126CF">
        <w:rPr>
          <w:rStyle w:val="FootnoteReference"/>
          <w:rFonts w:ascii="Times New Roman" w:hAnsi="Times New Roman" w:cs="Times New Roman"/>
          <w:color w:val="000000" w:themeColor="text1"/>
          <w:sz w:val="20"/>
          <w:szCs w:val="20"/>
        </w:rPr>
        <w:footnoteRef/>
      </w:r>
      <w:r w:rsidRPr="00E126CF">
        <w:rPr>
          <w:rFonts w:ascii="Times New Roman" w:hAnsi="Times New Roman" w:cs="Times New Roman"/>
          <w:color w:val="000000" w:themeColor="text1"/>
          <w:sz w:val="20"/>
          <w:szCs w:val="20"/>
        </w:rPr>
        <w:t xml:space="preserve"> J. Fitzgerald, </w:t>
      </w:r>
      <w:r w:rsidRPr="00E126CF">
        <w:rPr>
          <w:rFonts w:ascii="Times New Roman" w:hAnsi="Times New Roman" w:cs="Times New Roman"/>
          <w:i/>
          <w:color w:val="000000" w:themeColor="text1"/>
          <w:sz w:val="20"/>
          <w:szCs w:val="20"/>
        </w:rPr>
        <w:t xml:space="preserve">The Cork Remembrancer: </w:t>
      </w:r>
      <w:r w:rsidRPr="00E126CF">
        <w:rPr>
          <w:rStyle w:val="subtitle1"/>
          <w:rFonts w:ascii="Times New Roman" w:eastAsia="Times New Roman" w:hAnsi="Times New Roman" w:cs="Times New Roman"/>
          <w:bCs/>
          <w:i/>
          <w:color w:val="000000" w:themeColor="text1"/>
          <w:sz w:val="20"/>
          <w:szCs w:val="20"/>
        </w:rPr>
        <w:t xml:space="preserve">Being an Historical Register Containing a Chronological </w:t>
      </w:r>
      <w:r w:rsidRPr="006D0033">
        <w:rPr>
          <w:rStyle w:val="subtitle1"/>
          <w:rFonts w:ascii="Times New Roman" w:eastAsia="Times New Roman" w:hAnsi="Times New Roman" w:cs="Times New Roman"/>
          <w:bCs/>
          <w:i/>
          <w:color w:val="000000" w:themeColor="text1"/>
          <w:sz w:val="20"/>
          <w:szCs w:val="20"/>
        </w:rPr>
        <w:t>Account of All the Remarkable Battles, Sieges, Conspiracies…That Have Happened Since the Creation to the Present Year, 1783, Particularly for England and Ireland, and More Especially for the City of Cork</w:t>
      </w:r>
      <w:r w:rsidRPr="006D0033">
        <w:rPr>
          <w:rStyle w:val="subtitle1"/>
          <w:rFonts w:ascii="Times New Roman" w:eastAsia="Times New Roman" w:hAnsi="Times New Roman" w:cs="Times New Roman"/>
          <w:bCs/>
          <w:color w:val="000000" w:themeColor="text1"/>
          <w:sz w:val="20"/>
          <w:szCs w:val="20"/>
        </w:rPr>
        <w:t xml:space="preserve"> </w:t>
      </w:r>
      <w:r w:rsidRPr="006D0033">
        <w:rPr>
          <w:rFonts w:ascii="Times New Roman" w:hAnsi="Times New Roman" w:cs="Times New Roman"/>
          <w:color w:val="000000" w:themeColor="text1"/>
          <w:sz w:val="20"/>
          <w:szCs w:val="20"/>
        </w:rPr>
        <w:t>(Cork, 1783), p. 165.</w:t>
      </w:r>
    </w:p>
  </w:footnote>
  <w:footnote w:id="83">
    <w:p w14:paraId="277DC33F" w14:textId="50486D8A" w:rsidR="00754ED3" w:rsidRPr="006D0033" w:rsidRDefault="00754ED3" w:rsidP="006D0033">
      <w:pPr>
        <w:pStyle w:val="Heading1"/>
        <w:shd w:val="clear" w:color="auto" w:fill="FFFFFF"/>
        <w:spacing w:before="0"/>
        <w:jc w:val="both"/>
        <w:rPr>
          <w:rFonts w:ascii="Times New Roman" w:eastAsia="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See M. Wall, ‘The rise of a Catholic middle class in eighteenth-century Ireland’, </w:t>
      </w:r>
      <w:r w:rsidRPr="006D0033">
        <w:rPr>
          <w:rFonts w:ascii="Times New Roman" w:hAnsi="Times New Roman" w:cs="Times New Roman"/>
          <w:i/>
          <w:color w:val="000000" w:themeColor="text1"/>
          <w:sz w:val="20"/>
          <w:szCs w:val="20"/>
        </w:rPr>
        <w:t>Irish Historical Studies</w:t>
      </w:r>
      <w:r w:rsidRPr="006D0033">
        <w:rPr>
          <w:rFonts w:ascii="Times New Roman" w:hAnsi="Times New Roman" w:cs="Times New Roman"/>
          <w:color w:val="000000" w:themeColor="text1"/>
          <w:sz w:val="20"/>
          <w:szCs w:val="20"/>
        </w:rPr>
        <w:t xml:space="preserve">, xlii (1958), 91-115.  </w:t>
      </w:r>
    </w:p>
  </w:footnote>
  <w:footnote w:id="84">
    <w:p w14:paraId="6055B8A5" w14:textId="6B0E1C9D" w:rsidR="00754ED3" w:rsidRPr="006D0033" w:rsidRDefault="00754ED3" w:rsidP="006D0033">
      <w:pPr>
        <w:pStyle w:val="FootnoteText"/>
        <w:jc w:val="both"/>
        <w:rPr>
          <w:rFonts w:ascii="Times New Roman" w:hAnsi="Times New Roman" w:cs="Times New Roman"/>
          <w:sz w:val="20"/>
          <w:szCs w:val="20"/>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w:t>
      </w:r>
      <w:r w:rsidRPr="006D0033">
        <w:rPr>
          <w:rFonts w:ascii="Times New Roman" w:hAnsi="Times New Roman" w:cs="Times New Roman"/>
          <w:color w:val="000000" w:themeColor="text1"/>
          <w:sz w:val="20"/>
          <w:szCs w:val="20"/>
        </w:rPr>
        <w:t xml:space="preserve">Wesley,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sz w:val="20"/>
          <w:szCs w:val="20"/>
        </w:rPr>
        <w:t xml:space="preserve">, pp. 21-23. Baily was probably referring to Methodist band tickets, which signified both one’s ‘awakened’ state and one’s membership of a band. Until 1758, band tickets were required for admission to Methodist lovefeasts. See Watson, p. 208. For Wesley’s response to Lavington, see </w:t>
      </w:r>
      <w:r w:rsidRPr="006D0033">
        <w:rPr>
          <w:rFonts w:ascii="Times New Roman" w:hAnsi="Times New Roman" w:cs="Times New Roman"/>
          <w:bCs/>
          <w:i/>
          <w:sz w:val="20"/>
          <w:szCs w:val="20"/>
          <w:bdr w:val="none" w:sz="0" w:space="0" w:color="auto" w:frame="1"/>
        </w:rPr>
        <w:t>A Letter to the Author of the Enthusiasm of Methodists and Papists Compar'd</w:t>
      </w:r>
      <w:r w:rsidRPr="006D0033">
        <w:rPr>
          <w:rFonts w:ascii="Times New Roman" w:hAnsi="Times New Roman" w:cs="Times New Roman"/>
          <w:bCs/>
          <w:color w:val="000000"/>
          <w:sz w:val="20"/>
          <w:szCs w:val="20"/>
        </w:rPr>
        <w:t xml:space="preserve"> (London, 1750). This letter, dated 1 February 1750, was also published in Dublin. </w:t>
      </w:r>
    </w:p>
  </w:footnote>
  <w:footnote w:id="85">
    <w:p w14:paraId="093BAFBA" w14:textId="1558C2F9" w:rsidR="00754ED3" w:rsidRPr="006D0033" w:rsidRDefault="00754ED3" w:rsidP="006D0033">
      <w:pPr>
        <w:pStyle w:val="FootnoteText"/>
        <w:jc w:val="both"/>
        <w:rPr>
          <w:rFonts w:ascii="Times New Roman" w:hAnsi="Times New Roman" w:cs="Times New Roman"/>
          <w:sz w:val="20"/>
          <w:szCs w:val="20"/>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w:t>
      </w:r>
      <w:r w:rsidRPr="006D0033">
        <w:rPr>
          <w:rFonts w:ascii="Times New Roman" w:hAnsi="Times New Roman" w:cs="Times New Roman"/>
          <w:color w:val="000000" w:themeColor="text1"/>
          <w:sz w:val="20"/>
          <w:szCs w:val="20"/>
        </w:rPr>
        <w:t xml:space="preserve">Wesley, </w:t>
      </w:r>
      <w:r w:rsidRPr="006D0033">
        <w:rPr>
          <w:rFonts w:ascii="Times New Roman" w:hAnsi="Times New Roman" w:cs="Times New Roman"/>
          <w:i/>
          <w:color w:val="000000" w:themeColor="text1"/>
          <w:sz w:val="20"/>
          <w:szCs w:val="20"/>
        </w:rPr>
        <w:t>Letter to the Revd. Mr. Baily</w:t>
      </w:r>
      <w:r w:rsidRPr="006D0033">
        <w:rPr>
          <w:rFonts w:ascii="Times New Roman" w:hAnsi="Times New Roman" w:cs="Times New Roman"/>
          <w:sz w:val="20"/>
          <w:szCs w:val="20"/>
        </w:rPr>
        <w:t xml:space="preserve">, p. 22. For the eighteenth-century reception of Foxe’s </w:t>
      </w:r>
      <w:r w:rsidRPr="006D0033">
        <w:rPr>
          <w:rFonts w:ascii="Times New Roman" w:hAnsi="Times New Roman" w:cs="Times New Roman"/>
          <w:i/>
          <w:sz w:val="20"/>
          <w:szCs w:val="20"/>
        </w:rPr>
        <w:t>Book of Martyrs</w:t>
      </w:r>
      <w:r w:rsidRPr="006D0033">
        <w:rPr>
          <w:rFonts w:ascii="Times New Roman" w:hAnsi="Times New Roman" w:cs="Times New Roman"/>
          <w:sz w:val="20"/>
          <w:szCs w:val="20"/>
        </w:rPr>
        <w:t xml:space="preserve">, see P. Nockles, ‘The changing legacy and reception of John Foxe’s </w:t>
      </w:r>
      <w:r w:rsidRPr="006D0033">
        <w:rPr>
          <w:rFonts w:ascii="Times New Roman" w:hAnsi="Times New Roman" w:cs="Times New Roman"/>
          <w:i/>
          <w:sz w:val="20"/>
          <w:szCs w:val="20"/>
        </w:rPr>
        <w:t xml:space="preserve">Book of Martyrs </w:t>
      </w:r>
      <w:r w:rsidRPr="006D0033">
        <w:rPr>
          <w:rFonts w:ascii="Times New Roman" w:hAnsi="Times New Roman" w:cs="Times New Roman"/>
          <w:sz w:val="20"/>
          <w:szCs w:val="20"/>
        </w:rPr>
        <w:t xml:space="preserve">in the ‘long eighteenth-century’: varieties of Anglican, Protestant and Catholic response, c.1760-c.1850’, in </w:t>
      </w:r>
      <w:r w:rsidRPr="006D0033">
        <w:rPr>
          <w:rFonts w:ascii="Times New Roman" w:hAnsi="Times New Roman" w:cs="Times New Roman"/>
          <w:bCs/>
          <w:i/>
          <w:color w:val="000000" w:themeColor="text1"/>
          <w:sz w:val="20"/>
          <w:szCs w:val="20"/>
        </w:rPr>
        <w:t>Religion, Politics and Dissent, 1660-1832: Essays in Honour of James E. Bradley</w:t>
      </w:r>
      <w:r w:rsidRPr="006D0033">
        <w:rPr>
          <w:rFonts w:ascii="Times New Roman" w:hAnsi="Times New Roman" w:cs="Times New Roman"/>
          <w:bCs/>
          <w:color w:val="000000" w:themeColor="text1"/>
          <w:sz w:val="20"/>
          <w:szCs w:val="20"/>
        </w:rPr>
        <w:t xml:space="preserve">, ed. </w:t>
      </w:r>
      <w:r w:rsidRPr="006D0033">
        <w:rPr>
          <w:rFonts w:ascii="Times New Roman" w:hAnsi="Times New Roman" w:cs="Times New Roman"/>
          <w:color w:val="000000" w:themeColor="text1"/>
          <w:sz w:val="20"/>
          <w:szCs w:val="20"/>
        </w:rPr>
        <w:t xml:space="preserve">R.D. Cornwall and W. Gibson </w:t>
      </w:r>
      <w:r w:rsidRPr="006D0033">
        <w:rPr>
          <w:rFonts w:ascii="Times New Roman" w:hAnsi="Times New Roman" w:cs="Times New Roman"/>
          <w:bCs/>
          <w:color w:val="000000" w:themeColor="text1"/>
          <w:sz w:val="20"/>
          <w:szCs w:val="20"/>
        </w:rPr>
        <w:t>(Farnham, 2010),</w:t>
      </w:r>
      <w:r w:rsidRPr="006D0033">
        <w:rPr>
          <w:rFonts w:ascii="Times New Roman" w:hAnsi="Times New Roman" w:cs="Times New Roman"/>
          <w:sz w:val="20"/>
          <w:szCs w:val="20"/>
        </w:rPr>
        <w:t xml:space="preserve"> 219-47.   </w:t>
      </w:r>
    </w:p>
  </w:footnote>
  <w:footnote w:id="86">
    <w:p w14:paraId="7F56230B" w14:textId="090A5AF1"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t>
      </w:r>
      <w:r w:rsidR="00E133D1" w:rsidRPr="006D0033">
        <w:rPr>
          <w:rFonts w:ascii="Times New Roman" w:hAnsi="Times New Roman" w:cs="Times New Roman"/>
          <w:i/>
          <w:color w:val="000000" w:themeColor="text1"/>
          <w:sz w:val="20"/>
          <w:szCs w:val="20"/>
        </w:rPr>
        <w:t>Works</w:t>
      </w:r>
      <w:r w:rsidR="00E133D1" w:rsidRPr="006D0033">
        <w:rPr>
          <w:rFonts w:ascii="Times New Roman" w:hAnsi="Times New Roman" w:cs="Times New Roman"/>
          <w:color w:val="000000" w:themeColor="text1"/>
          <w:sz w:val="20"/>
          <w:szCs w:val="20"/>
        </w:rPr>
        <w:t>, xx, p</w:t>
      </w:r>
      <w:r w:rsidRPr="006D0033">
        <w:rPr>
          <w:rFonts w:ascii="Times New Roman" w:hAnsi="Times New Roman" w:cs="Times New Roman"/>
          <w:color w:val="000000" w:themeColor="text1"/>
          <w:sz w:val="20"/>
          <w:szCs w:val="20"/>
        </w:rPr>
        <w:t>.</w:t>
      </w:r>
      <w:r w:rsidR="00E133D1" w:rsidRPr="006D0033">
        <w:rPr>
          <w:rFonts w:ascii="Times New Roman" w:hAnsi="Times New Roman" w:cs="Times New Roman"/>
          <w:color w:val="000000" w:themeColor="text1"/>
          <w:sz w:val="20"/>
          <w:szCs w:val="20"/>
        </w:rPr>
        <w:t xml:space="preserve"> 344.</w:t>
      </w:r>
      <w:r w:rsidRPr="006D0033">
        <w:rPr>
          <w:rFonts w:ascii="Times New Roman" w:hAnsi="Times New Roman" w:cs="Times New Roman"/>
          <w:color w:val="000000" w:themeColor="text1"/>
          <w:sz w:val="20"/>
          <w:szCs w:val="20"/>
        </w:rPr>
        <w:t xml:space="preserve"> </w:t>
      </w:r>
    </w:p>
  </w:footnote>
  <w:footnote w:id="87">
    <w:p w14:paraId="70272320" w14:textId="44C814FC" w:rsidR="00754ED3" w:rsidRPr="006D0033" w:rsidRDefault="00754ED3" w:rsidP="006D0033">
      <w:pPr>
        <w:pStyle w:val="Heading1"/>
        <w:shd w:val="clear" w:color="auto" w:fill="FFFFFF"/>
        <w:spacing w:before="0"/>
        <w:jc w:val="both"/>
        <w:rPr>
          <w:rFonts w:ascii="Times New Roman" w:eastAsia="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T. Coke and H. Moore, </w:t>
      </w:r>
      <w:r w:rsidRPr="006D0033">
        <w:rPr>
          <w:rStyle w:val="fn"/>
          <w:rFonts w:ascii="Times New Roman" w:eastAsia="Times New Roman" w:hAnsi="Times New Roman" w:cs="Times New Roman"/>
          <w:i/>
          <w:color w:val="000000" w:themeColor="text1"/>
          <w:sz w:val="20"/>
          <w:szCs w:val="20"/>
        </w:rPr>
        <w:t>The Life of the Rev. John Wesley, A.M.</w:t>
      </w:r>
      <w:r w:rsidRPr="006D0033">
        <w:rPr>
          <w:rFonts w:ascii="Times New Roman" w:eastAsia="Times New Roman" w:hAnsi="Times New Roman" w:cs="Times New Roman"/>
          <w:i/>
          <w:color w:val="000000" w:themeColor="text1"/>
          <w:sz w:val="20"/>
          <w:szCs w:val="20"/>
        </w:rPr>
        <w:t>: </w:t>
      </w:r>
      <w:r w:rsidRPr="006D0033">
        <w:rPr>
          <w:rStyle w:val="subtitle1"/>
          <w:rFonts w:ascii="Times New Roman" w:eastAsia="Times New Roman" w:hAnsi="Times New Roman" w:cs="Times New Roman"/>
          <w:bCs/>
          <w:i/>
          <w:color w:val="000000" w:themeColor="text1"/>
          <w:sz w:val="20"/>
          <w:szCs w:val="20"/>
        </w:rPr>
        <w:t>Including an Account of the Great Revival of Religion in Europe and America, of which He was the First and Chief Instrument</w:t>
      </w:r>
      <w:r w:rsidRPr="006D0033">
        <w:rPr>
          <w:rStyle w:val="subtitle1"/>
          <w:rFonts w:ascii="Times New Roman" w:eastAsia="Times New Roman" w:hAnsi="Times New Roman" w:cs="Times New Roman"/>
          <w:bCs/>
          <w:color w:val="000000" w:themeColor="text1"/>
          <w:sz w:val="20"/>
          <w:szCs w:val="20"/>
        </w:rPr>
        <w:t xml:space="preserve"> (London, 1792), p. </w:t>
      </w:r>
      <w:r w:rsidRPr="006D0033">
        <w:rPr>
          <w:rFonts w:ascii="Times New Roman" w:hAnsi="Times New Roman" w:cs="Times New Roman"/>
          <w:color w:val="000000" w:themeColor="text1"/>
          <w:sz w:val="20"/>
          <w:szCs w:val="20"/>
        </w:rPr>
        <w:t>386.</w:t>
      </w:r>
    </w:p>
  </w:footnote>
  <w:footnote w:id="88">
    <w:p w14:paraId="11DB0FA6" w14:textId="28D9F512"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T. Taylor, ‘The grace of God manifested in an account of Mrs. Taylor’, in </w:t>
      </w:r>
      <w:r w:rsidRPr="006D0033">
        <w:rPr>
          <w:rFonts w:ascii="Times New Roman" w:hAnsi="Times New Roman" w:cs="Times New Roman"/>
          <w:i/>
          <w:color w:val="000000" w:themeColor="text1"/>
          <w:sz w:val="20"/>
          <w:szCs w:val="20"/>
        </w:rPr>
        <w:t>The Methodist Magazine for the Year 1812</w:t>
      </w:r>
      <w:r w:rsidRPr="006D0033">
        <w:rPr>
          <w:rFonts w:ascii="Times New Roman" w:hAnsi="Times New Roman" w:cs="Times New Roman"/>
          <w:color w:val="000000" w:themeColor="text1"/>
          <w:sz w:val="20"/>
          <w:szCs w:val="20"/>
        </w:rPr>
        <w:t xml:space="preserve"> (London, 1812), p. 45.</w:t>
      </w:r>
    </w:p>
  </w:footnote>
  <w:footnote w:id="89">
    <w:p w14:paraId="7AF6D16E" w14:textId="37516117"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See Crookshank, i. pp. 70-71; J.H. Barr, </w:t>
      </w:r>
      <w:r w:rsidRPr="006D0033">
        <w:rPr>
          <w:rFonts w:ascii="Times New Roman" w:hAnsi="Times New Roman" w:cs="Times New Roman"/>
          <w:i/>
          <w:color w:val="000000" w:themeColor="text1"/>
          <w:sz w:val="20"/>
          <w:szCs w:val="20"/>
        </w:rPr>
        <w:t>Early Methodists Under Persecution</w:t>
      </w:r>
      <w:r w:rsidRPr="006D0033">
        <w:rPr>
          <w:rFonts w:ascii="Times New Roman" w:hAnsi="Times New Roman" w:cs="Times New Roman"/>
          <w:color w:val="000000" w:themeColor="text1"/>
          <w:sz w:val="20"/>
          <w:szCs w:val="20"/>
        </w:rPr>
        <w:t xml:space="preserve"> (New York &amp; Cincinnati, 1916), p. 229.  </w:t>
      </w:r>
    </w:p>
  </w:footnote>
  <w:footnote w:id="90">
    <w:p w14:paraId="21AE6708" w14:textId="7212B0FF" w:rsidR="00754ED3" w:rsidRPr="006D0033" w:rsidRDefault="00754ED3" w:rsidP="006D0033">
      <w:pPr>
        <w:pStyle w:val="FootnoteText"/>
        <w:jc w:val="both"/>
        <w:rPr>
          <w:rFonts w:ascii="Times New Roman" w:hAnsi="Times New Roman" w:cs="Times New Roman"/>
          <w:sz w:val="20"/>
          <w:szCs w:val="20"/>
          <w:lang w:val="en-IE"/>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w:t>
      </w:r>
      <w:r w:rsidRPr="006D0033">
        <w:rPr>
          <w:rFonts w:ascii="Times New Roman" w:hAnsi="Times New Roman" w:cs="Times New Roman"/>
          <w:i/>
          <w:sz w:val="20"/>
          <w:szCs w:val="20"/>
        </w:rPr>
        <w:t>The Remembrancer</w:t>
      </w:r>
      <w:r w:rsidRPr="006D0033">
        <w:rPr>
          <w:rFonts w:ascii="Times New Roman" w:hAnsi="Times New Roman" w:cs="Times New Roman"/>
          <w:sz w:val="20"/>
          <w:szCs w:val="20"/>
        </w:rPr>
        <w:t xml:space="preserve">, 23 June 1750; </w:t>
      </w:r>
      <w:r w:rsidRPr="006D0033">
        <w:rPr>
          <w:rFonts w:ascii="Times New Roman" w:hAnsi="Times New Roman" w:cs="Times New Roman"/>
          <w:i/>
          <w:sz w:val="20"/>
          <w:szCs w:val="20"/>
        </w:rPr>
        <w:t>Belfast Newsletter</w:t>
      </w:r>
      <w:r w:rsidRPr="006D0033">
        <w:rPr>
          <w:rFonts w:ascii="Times New Roman" w:hAnsi="Times New Roman" w:cs="Times New Roman"/>
          <w:sz w:val="20"/>
          <w:szCs w:val="20"/>
        </w:rPr>
        <w:t xml:space="preserve">, 3 July 1750; </w:t>
      </w:r>
      <w:r w:rsidRPr="006D0033">
        <w:rPr>
          <w:rFonts w:ascii="Times New Roman" w:hAnsi="Times New Roman" w:cs="Times New Roman"/>
          <w:i/>
          <w:sz w:val="20"/>
          <w:szCs w:val="20"/>
        </w:rPr>
        <w:t>Boston Weekly News-Letter</w:t>
      </w:r>
      <w:r w:rsidRPr="006D0033">
        <w:rPr>
          <w:rFonts w:ascii="Times New Roman" w:hAnsi="Times New Roman" w:cs="Times New Roman"/>
          <w:sz w:val="20"/>
          <w:szCs w:val="20"/>
        </w:rPr>
        <w:t xml:space="preserve">, 6 September 1750.    </w:t>
      </w:r>
    </w:p>
  </w:footnote>
  <w:footnote w:id="91">
    <w:p w14:paraId="3D1F3971" w14:textId="1BCA36E1"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t>
      </w:r>
      <w:r w:rsidR="00190E21" w:rsidRPr="006D0033">
        <w:rPr>
          <w:rFonts w:ascii="Times New Roman" w:hAnsi="Times New Roman" w:cs="Times New Roman"/>
          <w:i/>
          <w:color w:val="000000" w:themeColor="text1"/>
          <w:sz w:val="20"/>
          <w:szCs w:val="20"/>
        </w:rPr>
        <w:t>Works</w:t>
      </w:r>
      <w:r w:rsidR="000B7F89" w:rsidRPr="006D0033">
        <w:rPr>
          <w:rFonts w:ascii="Times New Roman" w:hAnsi="Times New Roman" w:cs="Times New Roman"/>
          <w:color w:val="000000" w:themeColor="text1"/>
          <w:sz w:val="20"/>
          <w:szCs w:val="20"/>
        </w:rPr>
        <w:t>,</w:t>
      </w:r>
      <w:r w:rsidR="00190E21" w:rsidRPr="006D0033">
        <w:rPr>
          <w:rFonts w:ascii="Times New Roman" w:hAnsi="Times New Roman" w:cs="Times New Roman"/>
          <w:color w:val="000000" w:themeColor="text1"/>
          <w:sz w:val="20"/>
          <w:szCs w:val="20"/>
        </w:rPr>
        <w:t xml:space="preserve"> xx,</w:t>
      </w:r>
      <w:r w:rsidR="000B7F89" w:rsidRPr="006D0033">
        <w:rPr>
          <w:rFonts w:ascii="Times New Roman" w:hAnsi="Times New Roman" w:cs="Times New Roman"/>
          <w:color w:val="000000" w:themeColor="text1"/>
          <w:sz w:val="20"/>
          <w:szCs w:val="20"/>
        </w:rPr>
        <w:t xml:space="preserve"> pp. </w:t>
      </w:r>
      <w:r w:rsidR="00190E21" w:rsidRPr="006D0033">
        <w:rPr>
          <w:rFonts w:ascii="Times New Roman" w:hAnsi="Times New Roman" w:cs="Times New Roman"/>
          <w:color w:val="000000" w:themeColor="text1"/>
          <w:sz w:val="20"/>
          <w:szCs w:val="20"/>
        </w:rPr>
        <w:t>439-40.</w:t>
      </w:r>
      <w:r w:rsidRPr="006D0033">
        <w:rPr>
          <w:rFonts w:ascii="Times New Roman" w:hAnsi="Times New Roman" w:cs="Times New Roman"/>
          <w:color w:val="000000" w:themeColor="text1"/>
          <w:sz w:val="20"/>
          <w:szCs w:val="20"/>
        </w:rPr>
        <w:t xml:space="preserve"> </w:t>
      </w:r>
    </w:p>
  </w:footnote>
  <w:footnote w:id="92">
    <w:p w14:paraId="126FC415" w14:textId="2F35B7D3"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Cork Baptist Church Book, pp. 37-38.  </w:t>
      </w:r>
    </w:p>
  </w:footnote>
  <w:footnote w:id="93">
    <w:p w14:paraId="487DD104" w14:textId="63AF6898" w:rsidR="00754ED3" w:rsidRPr="006D0033" w:rsidRDefault="00754ED3" w:rsidP="006D0033">
      <w:pPr>
        <w:pStyle w:val="FootnoteText"/>
        <w:jc w:val="both"/>
        <w:rPr>
          <w:rFonts w:ascii="Times New Roman" w:hAnsi="Times New Roman" w:cs="Times New Roman"/>
          <w:sz w:val="20"/>
          <w:szCs w:val="20"/>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Herlihy, ‘Irish Baptists’, pp. 113-14; Cork Baptist Church Book, pp. 47-50.  </w:t>
      </w:r>
    </w:p>
  </w:footnote>
  <w:footnote w:id="94">
    <w:p w14:paraId="4AF44853" w14:textId="0076B78E" w:rsidR="00754ED3" w:rsidRPr="006D0033" w:rsidRDefault="00754ED3" w:rsidP="006D0033">
      <w:pPr>
        <w:jc w:val="both"/>
        <w:rPr>
          <w:color w:val="000000" w:themeColor="text1"/>
          <w:sz w:val="20"/>
          <w:szCs w:val="20"/>
        </w:rPr>
      </w:pPr>
      <w:r w:rsidRPr="006D0033">
        <w:rPr>
          <w:rStyle w:val="FootnoteReference"/>
          <w:color w:val="000000" w:themeColor="text1"/>
          <w:sz w:val="20"/>
          <w:szCs w:val="20"/>
        </w:rPr>
        <w:footnoteRef/>
      </w:r>
      <w:r w:rsidRPr="006D0033">
        <w:rPr>
          <w:color w:val="000000" w:themeColor="text1"/>
          <w:sz w:val="20"/>
          <w:szCs w:val="20"/>
        </w:rPr>
        <w:t xml:space="preserve"> Cork Baptist Church Book, p. 41. Charles Wesley adhered to the Church of England’s teachings on infant baptism, as outlined in Article X</w:t>
      </w:r>
      <w:r w:rsidR="00B55CD5">
        <w:rPr>
          <w:color w:val="000000" w:themeColor="text1"/>
          <w:sz w:val="20"/>
          <w:szCs w:val="20"/>
        </w:rPr>
        <w:t>X</w:t>
      </w:r>
      <w:r w:rsidRPr="006D0033">
        <w:rPr>
          <w:color w:val="000000" w:themeColor="text1"/>
          <w:sz w:val="20"/>
          <w:szCs w:val="20"/>
        </w:rPr>
        <w:t xml:space="preserve">VII of the Thirty-Nine Articles of Religion. Yet, he also believed that infants, along with adults who had not been baptised as infants, needed to be baptised by immersion. </w:t>
      </w:r>
      <w:r w:rsidR="00F35015">
        <w:rPr>
          <w:color w:val="000000" w:themeColor="text1"/>
          <w:sz w:val="20"/>
          <w:szCs w:val="20"/>
        </w:rPr>
        <w:t>Charles</w:t>
      </w:r>
      <w:r w:rsidRPr="006D0033">
        <w:rPr>
          <w:color w:val="000000" w:themeColor="text1"/>
          <w:sz w:val="20"/>
          <w:szCs w:val="20"/>
        </w:rPr>
        <w:t xml:space="preserve"> is known to have baptised by immersion during his time as a missionary in </w:t>
      </w:r>
      <w:r w:rsidR="00787713">
        <w:rPr>
          <w:color w:val="000000" w:themeColor="text1"/>
          <w:sz w:val="20"/>
          <w:szCs w:val="20"/>
        </w:rPr>
        <w:t xml:space="preserve">the </w:t>
      </w:r>
      <w:r w:rsidRPr="006D0033">
        <w:rPr>
          <w:color w:val="000000" w:themeColor="text1"/>
          <w:sz w:val="20"/>
          <w:szCs w:val="20"/>
        </w:rPr>
        <w:t>Georgia</w:t>
      </w:r>
      <w:r w:rsidR="00787713">
        <w:rPr>
          <w:color w:val="000000" w:themeColor="text1"/>
          <w:sz w:val="20"/>
          <w:szCs w:val="20"/>
        </w:rPr>
        <w:t xml:space="preserve"> c</w:t>
      </w:r>
      <w:r w:rsidR="00075B40">
        <w:rPr>
          <w:color w:val="000000" w:themeColor="text1"/>
          <w:sz w:val="20"/>
          <w:szCs w:val="20"/>
        </w:rPr>
        <w:t>olony</w:t>
      </w:r>
      <w:r w:rsidRPr="006D0033">
        <w:rPr>
          <w:color w:val="000000" w:themeColor="text1"/>
          <w:sz w:val="20"/>
          <w:szCs w:val="20"/>
        </w:rPr>
        <w:t xml:space="preserve">. See G. Hammond, </w:t>
      </w:r>
      <w:r w:rsidRPr="006D0033">
        <w:rPr>
          <w:i/>
          <w:color w:val="000000" w:themeColor="text1"/>
          <w:sz w:val="20"/>
          <w:szCs w:val="20"/>
        </w:rPr>
        <w:t>John Wesley in America: Restoring Primitive Christianity</w:t>
      </w:r>
      <w:r w:rsidRPr="006D0033">
        <w:rPr>
          <w:color w:val="000000" w:themeColor="text1"/>
          <w:sz w:val="20"/>
          <w:szCs w:val="20"/>
        </w:rPr>
        <w:t xml:space="preserve"> (Oxford, 2014), pp. 112-13. On 26 October 1739, Charles recorded in his journal that he ‘</w:t>
      </w:r>
      <w:r w:rsidRPr="006D0033">
        <w:rPr>
          <w:rFonts w:eastAsia="Times New Roman"/>
          <w:color w:val="000000" w:themeColor="text1"/>
          <w:sz w:val="20"/>
          <w:szCs w:val="20"/>
          <w:shd w:val="clear" w:color="auto" w:fill="FFFFFF"/>
        </w:rPr>
        <w:t>baptized Mr. Wigginton in the river by Baptist-Mills; and went on my way rejoicing to French-Hay [Bristol].’ See</w:t>
      </w:r>
      <w:r w:rsidRPr="006D0033">
        <w:rPr>
          <w:i/>
          <w:color w:val="000000" w:themeColor="text1"/>
          <w:sz w:val="20"/>
          <w:szCs w:val="20"/>
        </w:rPr>
        <w:t xml:space="preserve"> Manuscript Journal</w:t>
      </w:r>
      <w:r w:rsidRPr="006D0033">
        <w:rPr>
          <w:color w:val="000000" w:themeColor="text1"/>
          <w:sz w:val="20"/>
          <w:szCs w:val="20"/>
        </w:rPr>
        <w:t xml:space="preserve">, i, p. 217.     </w:t>
      </w:r>
    </w:p>
  </w:footnote>
  <w:footnote w:id="95">
    <w:p w14:paraId="1167D8C9" w14:textId="75BB6F4D" w:rsidR="00754ED3" w:rsidRPr="006D0033" w:rsidRDefault="00754ED3" w:rsidP="006D0033">
      <w:pPr>
        <w:pStyle w:val="FootnoteText"/>
        <w:jc w:val="both"/>
        <w:rPr>
          <w:rFonts w:ascii="Times New Roman" w:hAnsi="Times New Roman" w:cs="Times New Roman"/>
          <w:sz w:val="20"/>
          <w:szCs w:val="20"/>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Cork Baptist Church Book, p. 41. Charles Wesley does not seem to have borne any animosity towards Gibbons. In advance of his brother’s visit to Cork in 1749, the younger Wesley asked John to extend his ‘kindest love’ to several of his acquaintances in the city, including a ‘Mr Gibbons’. Presumably, he was referring to the Baptist minister. See ‘Charles Wesley to John Wesley, 29 April 1749’, in </w:t>
      </w:r>
      <w:r w:rsidRPr="006D0033">
        <w:rPr>
          <w:rFonts w:ascii="Times New Roman" w:hAnsi="Times New Roman" w:cs="Times New Roman"/>
          <w:i/>
          <w:sz w:val="20"/>
          <w:szCs w:val="20"/>
        </w:rPr>
        <w:t>Letters</w:t>
      </w:r>
      <w:r w:rsidRPr="006D0033">
        <w:rPr>
          <w:rFonts w:ascii="Times New Roman" w:hAnsi="Times New Roman" w:cs="Times New Roman"/>
          <w:sz w:val="20"/>
          <w:szCs w:val="20"/>
        </w:rPr>
        <w:t xml:space="preserve">, i. p. 254.      </w:t>
      </w:r>
    </w:p>
  </w:footnote>
  <w:footnote w:id="96">
    <w:p w14:paraId="7738296B" w14:textId="4EA7DC94" w:rsidR="00754ED3" w:rsidRPr="006D0033" w:rsidRDefault="00754ED3" w:rsidP="006D0033">
      <w:pPr>
        <w:jc w:val="both"/>
        <w:rPr>
          <w:rFonts w:eastAsia="Times New Roman"/>
          <w:sz w:val="20"/>
          <w:szCs w:val="20"/>
        </w:rPr>
      </w:pPr>
      <w:r w:rsidRPr="006D0033">
        <w:rPr>
          <w:rStyle w:val="FootnoteReference"/>
          <w:sz w:val="20"/>
          <w:szCs w:val="20"/>
        </w:rPr>
        <w:footnoteRef/>
      </w:r>
      <w:r w:rsidRPr="006D0033">
        <w:rPr>
          <w:sz w:val="20"/>
          <w:szCs w:val="20"/>
        </w:rPr>
        <w:t xml:space="preserve"> J. Rutherford, </w:t>
      </w:r>
      <w:r w:rsidRPr="006D0033">
        <w:rPr>
          <w:rFonts w:eastAsia="Times New Roman"/>
          <w:i/>
          <w:color w:val="000000" w:themeColor="text1"/>
          <w:sz w:val="20"/>
          <w:szCs w:val="20"/>
        </w:rPr>
        <w:t>Thoughts on Believers Baptism: Being the Substance of Two Sermons, Preached in Dublin, at the Administration of the Ordinance</w:t>
      </w:r>
      <w:r w:rsidRPr="006D0033">
        <w:rPr>
          <w:rFonts w:eastAsia="Times New Roman"/>
          <w:color w:val="000000" w:themeColor="text1"/>
          <w:sz w:val="20"/>
          <w:szCs w:val="20"/>
        </w:rPr>
        <w:t xml:space="preserve"> (Dublin, 1755), </w:t>
      </w:r>
      <w:r w:rsidRPr="006D0033">
        <w:rPr>
          <w:sz w:val="20"/>
          <w:szCs w:val="20"/>
        </w:rPr>
        <w:t xml:space="preserve">pp. 55-57. Rutherford’s work is referred to in the Cork Baptist Church Book (p. 352). </w:t>
      </w:r>
      <w:r w:rsidRPr="006D0033">
        <w:rPr>
          <w:color w:val="000000" w:themeColor="text1"/>
          <w:sz w:val="20"/>
          <w:szCs w:val="20"/>
        </w:rPr>
        <w:t xml:space="preserve">As with his younger brother, John Wesley performed baptisms by immersion in Georgia, where he, controversially, had followed the example of the Nonjurors by re-baptising several Dissenters. See Hammond, p. 112. </w:t>
      </w:r>
    </w:p>
  </w:footnote>
  <w:footnote w:id="97">
    <w:p w14:paraId="3D68214D" w14:textId="4DA55A5B" w:rsidR="00754ED3" w:rsidRPr="006D0033" w:rsidRDefault="00754ED3" w:rsidP="006D0033">
      <w:pPr>
        <w:pStyle w:val="FootnoteText"/>
        <w:jc w:val="both"/>
        <w:rPr>
          <w:rFonts w:ascii="Times New Roman" w:hAnsi="Times New Roman" w:cs="Times New Roman"/>
          <w:sz w:val="20"/>
          <w:szCs w:val="20"/>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Cork Baptist Church Book, pp. 40-41. </w:t>
      </w:r>
    </w:p>
  </w:footnote>
  <w:footnote w:id="98">
    <w:p w14:paraId="2759A1A2" w14:textId="4D0BC22E" w:rsidR="00754ED3" w:rsidRPr="006D0033" w:rsidRDefault="00754ED3" w:rsidP="006D0033">
      <w:pPr>
        <w:pStyle w:val="FootnoteText"/>
        <w:jc w:val="both"/>
        <w:rPr>
          <w:rFonts w:ascii="Times New Roman" w:hAnsi="Times New Roman" w:cs="Times New Roman"/>
          <w:sz w:val="20"/>
          <w:szCs w:val="20"/>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Cork Baptist Church Book, p. 43. </w:t>
      </w:r>
    </w:p>
  </w:footnote>
  <w:footnote w:id="99">
    <w:p w14:paraId="60A85744" w14:textId="1CBABB48"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t>
      </w:r>
      <w:r w:rsidRPr="006D0033">
        <w:rPr>
          <w:rFonts w:ascii="Times New Roman" w:hAnsi="Times New Roman" w:cs="Times New Roman"/>
          <w:sz w:val="20"/>
          <w:szCs w:val="20"/>
        </w:rPr>
        <w:t>Cork Baptist Church Book</w:t>
      </w:r>
      <w:r w:rsidRPr="006D0033">
        <w:rPr>
          <w:rFonts w:ascii="Times New Roman" w:hAnsi="Times New Roman" w:cs="Times New Roman"/>
          <w:color w:val="000000" w:themeColor="text1"/>
          <w:sz w:val="20"/>
          <w:szCs w:val="20"/>
        </w:rPr>
        <w:t xml:space="preserve">, pp. 39-40. The graveyard was walled by means of funds donated by Ann Riggs (c.1652-1741), widow of Major Edward Riggs (1617-1707), a wealthy landowner (see p. 7).  </w:t>
      </w:r>
    </w:p>
  </w:footnote>
  <w:footnote w:id="100">
    <w:p w14:paraId="5622485C" w14:textId="5F01335C" w:rsidR="00754ED3" w:rsidRPr="006D0033" w:rsidRDefault="00754ED3" w:rsidP="006D0033">
      <w:pPr>
        <w:pStyle w:val="FootnoteText"/>
        <w:jc w:val="both"/>
        <w:rPr>
          <w:rFonts w:ascii="Times New Roman" w:hAnsi="Times New Roman" w:cs="Times New Roman"/>
          <w:sz w:val="20"/>
          <w:szCs w:val="20"/>
        </w:rPr>
      </w:pPr>
      <w:r w:rsidRPr="006D0033">
        <w:rPr>
          <w:rStyle w:val="FootnoteReference"/>
          <w:rFonts w:ascii="Times New Roman" w:hAnsi="Times New Roman" w:cs="Times New Roman"/>
          <w:sz w:val="20"/>
          <w:szCs w:val="20"/>
        </w:rPr>
        <w:footnoteRef/>
      </w:r>
      <w:r w:rsidRPr="006D0033">
        <w:rPr>
          <w:rFonts w:ascii="Times New Roman" w:hAnsi="Times New Roman" w:cs="Times New Roman"/>
          <w:sz w:val="20"/>
          <w:szCs w:val="20"/>
        </w:rPr>
        <w:t xml:space="preserve"> Cork Baptist Church Book, pp. 42-43. </w:t>
      </w:r>
    </w:p>
  </w:footnote>
  <w:footnote w:id="101">
    <w:p w14:paraId="6DB442CE" w14:textId="7728BF46"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t>
      </w:r>
      <w:r w:rsidRPr="006D0033">
        <w:rPr>
          <w:rFonts w:ascii="Times New Roman" w:hAnsi="Times New Roman" w:cs="Times New Roman"/>
          <w:sz w:val="20"/>
          <w:szCs w:val="20"/>
        </w:rPr>
        <w:t>Cork Baptist Church Book</w:t>
      </w:r>
      <w:r w:rsidRPr="006D0033">
        <w:rPr>
          <w:rFonts w:ascii="Times New Roman" w:hAnsi="Times New Roman" w:cs="Times New Roman"/>
          <w:color w:val="000000" w:themeColor="text1"/>
          <w:sz w:val="20"/>
          <w:szCs w:val="20"/>
        </w:rPr>
        <w:t xml:space="preserve">, p. 51. </w:t>
      </w:r>
    </w:p>
  </w:footnote>
  <w:footnote w:id="102">
    <w:p w14:paraId="7BBD9E1A" w14:textId="131D0589" w:rsidR="00754ED3" w:rsidRPr="006D0033" w:rsidRDefault="00754ED3" w:rsidP="006D0033">
      <w:pPr>
        <w:pStyle w:val="FootnoteText"/>
        <w:jc w:val="both"/>
        <w:rPr>
          <w:rFonts w:ascii="Times New Roman" w:hAnsi="Times New Roman" w:cs="Times New Roman"/>
          <w:color w:val="000000" w:themeColor="text1"/>
          <w:sz w:val="20"/>
          <w:szCs w:val="20"/>
        </w:rPr>
      </w:pPr>
      <w:r w:rsidRPr="006D0033">
        <w:rPr>
          <w:rStyle w:val="FootnoteReference"/>
          <w:rFonts w:ascii="Times New Roman" w:hAnsi="Times New Roman" w:cs="Times New Roman"/>
          <w:color w:val="000000" w:themeColor="text1"/>
          <w:sz w:val="20"/>
          <w:szCs w:val="20"/>
        </w:rPr>
        <w:footnoteRef/>
      </w:r>
      <w:r w:rsidRPr="006D0033">
        <w:rPr>
          <w:rFonts w:ascii="Times New Roman" w:hAnsi="Times New Roman" w:cs="Times New Roman"/>
          <w:color w:val="000000" w:themeColor="text1"/>
          <w:sz w:val="20"/>
          <w:szCs w:val="20"/>
        </w:rPr>
        <w:t xml:space="preserve"> </w:t>
      </w:r>
      <w:r w:rsidRPr="006D0033">
        <w:rPr>
          <w:rFonts w:ascii="Times New Roman" w:hAnsi="Times New Roman" w:cs="Times New Roman"/>
          <w:sz w:val="20"/>
          <w:szCs w:val="20"/>
        </w:rPr>
        <w:t>Cork Baptist Church Book</w:t>
      </w:r>
      <w:r w:rsidRPr="006D0033">
        <w:rPr>
          <w:rFonts w:ascii="Times New Roman" w:hAnsi="Times New Roman" w:cs="Times New Roman"/>
          <w:color w:val="000000" w:themeColor="text1"/>
          <w:sz w:val="20"/>
          <w:szCs w:val="20"/>
        </w:rPr>
        <w:t xml:space="preserve">, pp. 43-44.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42C"/>
    <w:rsid w:val="00001636"/>
    <w:rsid w:val="00001674"/>
    <w:rsid w:val="000027CA"/>
    <w:rsid w:val="00002B94"/>
    <w:rsid w:val="00003CA7"/>
    <w:rsid w:val="00003D1E"/>
    <w:rsid w:val="00004344"/>
    <w:rsid w:val="00004484"/>
    <w:rsid w:val="00004625"/>
    <w:rsid w:val="000060A8"/>
    <w:rsid w:val="00006132"/>
    <w:rsid w:val="000065F6"/>
    <w:rsid w:val="000078D5"/>
    <w:rsid w:val="00010424"/>
    <w:rsid w:val="00011295"/>
    <w:rsid w:val="00011481"/>
    <w:rsid w:val="00011597"/>
    <w:rsid w:val="00012005"/>
    <w:rsid w:val="0001337D"/>
    <w:rsid w:val="00013BC4"/>
    <w:rsid w:val="00013CC6"/>
    <w:rsid w:val="0001401F"/>
    <w:rsid w:val="00014672"/>
    <w:rsid w:val="000154BA"/>
    <w:rsid w:val="00015829"/>
    <w:rsid w:val="000158A0"/>
    <w:rsid w:val="00015B78"/>
    <w:rsid w:val="00016B2B"/>
    <w:rsid w:val="000178BF"/>
    <w:rsid w:val="000179DD"/>
    <w:rsid w:val="0002042F"/>
    <w:rsid w:val="0002092B"/>
    <w:rsid w:val="00021128"/>
    <w:rsid w:val="00021224"/>
    <w:rsid w:val="000215A3"/>
    <w:rsid w:val="0002160F"/>
    <w:rsid w:val="00021A9C"/>
    <w:rsid w:val="000229C7"/>
    <w:rsid w:val="000242BD"/>
    <w:rsid w:val="00024F3C"/>
    <w:rsid w:val="00025268"/>
    <w:rsid w:val="00025F4B"/>
    <w:rsid w:val="00026244"/>
    <w:rsid w:val="00026347"/>
    <w:rsid w:val="000266DA"/>
    <w:rsid w:val="00026742"/>
    <w:rsid w:val="00026CB4"/>
    <w:rsid w:val="000273A4"/>
    <w:rsid w:val="00030E5D"/>
    <w:rsid w:val="000310F7"/>
    <w:rsid w:val="00031634"/>
    <w:rsid w:val="00033713"/>
    <w:rsid w:val="00035494"/>
    <w:rsid w:val="00035A19"/>
    <w:rsid w:val="0003635C"/>
    <w:rsid w:val="000367BA"/>
    <w:rsid w:val="00036883"/>
    <w:rsid w:val="00040BFF"/>
    <w:rsid w:val="000413FB"/>
    <w:rsid w:val="0004142F"/>
    <w:rsid w:val="000414A3"/>
    <w:rsid w:val="00041672"/>
    <w:rsid w:val="000416B6"/>
    <w:rsid w:val="00041F0D"/>
    <w:rsid w:val="000438AD"/>
    <w:rsid w:val="0004449E"/>
    <w:rsid w:val="0004680C"/>
    <w:rsid w:val="000469DD"/>
    <w:rsid w:val="00046F31"/>
    <w:rsid w:val="00047247"/>
    <w:rsid w:val="00047E07"/>
    <w:rsid w:val="00051BA5"/>
    <w:rsid w:val="00051DB3"/>
    <w:rsid w:val="0005259F"/>
    <w:rsid w:val="00053DAA"/>
    <w:rsid w:val="00054326"/>
    <w:rsid w:val="000548AD"/>
    <w:rsid w:val="0005570A"/>
    <w:rsid w:val="000560B0"/>
    <w:rsid w:val="0005630C"/>
    <w:rsid w:val="00056709"/>
    <w:rsid w:val="000572E2"/>
    <w:rsid w:val="00057D20"/>
    <w:rsid w:val="00060C74"/>
    <w:rsid w:val="0006288C"/>
    <w:rsid w:val="00063479"/>
    <w:rsid w:val="00063A9E"/>
    <w:rsid w:val="000647A4"/>
    <w:rsid w:val="000660E3"/>
    <w:rsid w:val="00066379"/>
    <w:rsid w:val="0006658D"/>
    <w:rsid w:val="000665C1"/>
    <w:rsid w:val="00066FAB"/>
    <w:rsid w:val="000672DC"/>
    <w:rsid w:val="0006786B"/>
    <w:rsid w:val="00067DA3"/>
    <w:rsid w:val="00071263"/>
    <w:rsid w:val="00071A2F"/>
    <w:rsid w:val="000721D3"/>
    <w:rsid w:val="00073911"/>
    <w:rsid w:val="00073B07"/>
    <w:rsid w:val="00075B40"/>
    <w:rsid w:val="00075C29"/>
    <w:rsid w:val="00075C7D"/>
    <w:rsid w:val="000761D4"/>
    <w:rsid w:val="00076CDB"/>
    <w:rsid w:val="00077983"/>
    <w:rsid w:val="00080197"/>
    <w:rsid w:val="00083744"/>
    <w:rsid w:val="00084602"/>
    <w:rsid w:val="00084657"/>
    <w:rsid w:val="000847E1"/>
    <w:rsid w:val="00085747"/>
    <w:rsid w:val="00085D0A"/>
    <w:rsid w:val="00086260"/>
    <w:rsid w:val="000868F1"/>
    <w:rsid w:val="00090259"/>
    <w:rsid w:val="000904FD"/>
    <w:rsid w:val="0009141D"/>
    <w:rsid w:val="000914CE"/>
    <w:rsid w:val="000924D0"/>
    <w:rsid w:val="00092941"/>
    <w:rsid w:val="000933B4"/>
    <w:rsid w:val="0009374D"/>
    <w:rsid w:val="000944E8"/>
    <w:rsid w:val="000945A1"/>
    <w:rsid w:val="0009511C"/>
    <w:rsid w:val="00097A27"/>
    <w:rsid w:val="000A074F"/>
    <w:rsid w:val="000A0DD6"/>
    <w:rsid w:val="000A308A"/>
    <w:rsid w:val="000A329F"/>
    <w:rsid w:val="000A350A"/>
    <w:rsid w:val="000A3631"/>
    <w:rsid w:val="000A4439"/>
    <w:rsid w:val="000A58A5"/>
    <w:rsid w:val="000A77D8"/>
    <w:rsid w:val="000A787D"/>
    <w:rsid w:val="000A7EFE"/>
    <w:rsid w:val="000A7FD9"/>
    <w:rsid w:val="000B0386"/>
    <w:rsid w:val="000B1620"/>
    <w:rsid w:val="000B2170"/>
    <w:rsid w:val="000B2178"/>
    <w:rsid w:val="000B2462"/>
    <w:rsid w:val="000B2B83"/>
    <w:rsid w:val="000B494E"/>
    <w:rsid w:val="000B59A2"/>
    <w:rsid w:val="000B5AAA"/>
    <w:rsid w:val="000B693A"/>
    <w:rsid w:val="000B6CE1"/>
    <w:rsid w:val="000B770F"/>
    <w:rsid w:val="000B7F89"/>
    <w:rsid w:val="000C1418"/>
    <w:rsid w:val="000C1A00"/>
    <w:rsid w:val="000C3595"/>
    <w:rsid w:val="000C35DC"/>
    <w:rsid w:val="000C4F34"/>
    <w:rsid w:val="000C629F"/>
    <w:rsid w:val="000C6816"/>
    <w:rsid w:val="000C6A47"/>
    <w:rsid w:val="000D07F1"/>
    <w:rsid w:val="000D0A34"/>
    <w:rsid w:val="000D129D"/>
    <w:rsid w:val="000D141B"/>
    <w:rsid w:val="000D2FE4"/>
    <w:rsid w:val="000D397E"/>
    <w:rsid w:val="000D48D6"/>
    <w:rsid w:val="000D548D"/>
    <w:rsid w:val="000D5E68"/>
    <w:rsid w:val="000D6147"/>
    <w:rsid w:val="000D747A"/>
    <w:rsid w:val="000D75B4"/>
    <w:rsid w:val="000D7B53"/>
    <w:rsid w:val="000D7F9B"/>
    <w:rsid w:val="000E09ED"/>
    <w:rsid w:val="000E1256"/>
    <w:rsid w:val="000E24B7"/>
    <w:rsid w:val="000E3435"/>
    <w:rsid w:val="000E3712"/>
    <w:rsid w:val="000E3D55"/>
    <w:rsid w:val="000E5C41"/>
    <w:rsid w:val="000E5CD2"/>
    <w:rsid w:val="000E63B1"/>
    <w:rsid w:val="000E72DB"/>
    <w:rsid w:val="000F0123"/>
    <w:rsid w:val="000F1363"/>
    <w:rsid w:val="000F15B5"/>
    <w:rsid w:val="000F1E24"/>
    <w:rsid w:val="000F2C68"/>
    <w:rsid w:val="000F3031"/>
    <w:rsid w:val="000F3A2A"/>
    <w:rsid w:val="000F4155"/>
    <w:rsid w:val="000F7012"/>
    <w:rsid w:val="000F738F"/>
    <w:rsid w:val="000F76C0"/>
    <w:rsid w:val="000F7AFE"/>
    <w:rsid w:val="00100E05"/>
    <w:rsid w:val="00100E12"/>
    <w:rsid w:val="0010111F"/>
    <w:rsid w:val="00101311"/>
    <w:rsid w:val="00101A97"/>
    <w:rsid w:val="00102198"/>
    <w:rsid w:val="0010237C"/>
    <w:rsid w:val="00103787"/>
    <w:rsid w:val="00104573"/>
    <w:rsid w:val="001049E8"/>
    <w:rsid w:val="001064B7"/>
    <w:rsid w:val="001066FC"/>
    <w:rsid w:val="00107713"/>
    <w:rsid w:val="00111D99"/>
    <w:rsid w:val="00112377"/>
    <w:rsid w:val="00112746"/>
    <w:rsid w:val="001129D2"/>
    <w:rsid w:val="00112AFB"/>
    <w:rsid w:val="00112CA0"/>
    <w:rsid w:val="001130CE"/>
    <w:rsid w:val="001131D9"/>
    <w:rsid w:val="001148CE"/>
    <w:rsid w:val="001151E4"/>
    <w:rsid w:val="001161CB"/>
    <w:rsid w:val="001163E4"/>
    <w:rsid w:val="00116711"/>
    <w:rsid w:val="00116DFD"/>
    <w:rsid w:val="001173DD"/>
    <w:rsid w:val="001179B3"/>
    <w:rsid w:val="001206A0"/>
    <w:rsid w:val="00120DAE"/>
    <w:rsid w:val="00121731"/>
    <w:rsid w:val="0012256B"/>
    <w:rsid w:val="00122A0D"/>
    <w:rsid w:val="00123731"/>
    <w:rsid w:val="00123E4C"/>
    <w:rsid w:val="001244BD"/>
    <w:rsid w:val="00125DF0"/>
    <w:rsid w:val="00127000"/>
    <w:rsid w:val="001275D3"/>
    <w:rsid w:val="00127AFB"/>
    <w:rsid w:val="00127B13"/>
    <w:rsid w:val="00127E82"/>
    <w:rsid w:val="00127FD8"/>
    <w:rsid w:val="001302B3"/>
    <w:rsid w:val="00130734"/>
    <w:rsid w:val="001313CE"/>
    <w:rsid w:val="00131B6B"/>
    <w:rsid w:val="00132C27"/>
    <w:rsid w:val="001339E0"/>
    <w:rsid w:val="00134269"/>
    <w:rsid w:val="00134BA3"/>
    <w:rsid w:val="00135CBA"/>
    <w:rsid w:val="00136D5D"/>
    <w:rsid w:val="00136DC2"/>
    <w:rsid w:val="00136F62"/>
    <w:rsid w:val="001375F9"/>
    <w:rsid w:val="001407BF"/>
    <w:rsid w:val="00140924"/>
    <w:rsid w:val="00142421"/>
    <w:rsid w:val="0014269D"/>
    <w:rsid w:val="001428EB"/>
    <w:rsid w:val="001446AF"/>
    <w:rsid w:val="001449EC"/>
    <w:rsid w:val="001454EE"/>
    <w:rsid w:val="001456AF"/>
    <w:rsid w:val="0014586F"/>
    <w:rsid w:val="00150500"/>
    <w:rsid w:val="0015057F"/>
    <w:rsid w:val="00151516"/>
    <w:rsid w:val="0015170E"/>
    <w:rsid w:val="00151791"/>
    <w:rsid w:val="00151A3A"/>
    <w:rsid w:val="00152285"/>
    <w:rsid w:val="00152788"/>
    <w:rsid w:val="00153A9E"/>
    <w:rsid w:val="0015488E"/>
    <w:rsid w:val="001548C8"/>
    <w:rsid w:val="00154FDA"/>
    <w:rsid w:val="0015582F"/>
    <w:rsid w:val="001558ED"/>
    <w:rsid w:val="00157174"/>
    <w:rsid w:val="001571E4"/>
    <w:rsid w:val="00157954"/>
    <w:rsid w:val="00157B00"/>
    <w:rsid w:val="001606AD"/>
    <w:rsid w:val="0016097E"/>
    <w:rsid w:val="00161179"/>
    <w:rsid w:val="00161195"/>
    <w:rsid w:val="00161F4D"/>
    <w:rsid w:val="001620F4"/>
    <w:rsid w:val="001627B7"/>
    <w:rsid w:val="00162C28"/>
    <w:rsid w:val="00162D7D"/>
    <w:rsid w:val="00163549"/>
    <w:rsid w:val="001649CC"/>
    <w:rsid w:val="00164EF3"/>
    <w:rsid w:val="00164F15"/>
    <w:rsid w:val="00165929"/>
    <w:rsid w:val="00165DD7"/>
    <w:rsid w:val="00166F80"/>
    <w:rsid w:val="0016728C"/>
    <w:rsid w:val="001672FD"/>
    <w:rsid w:val="0016766D"/>
    <w:rsid w:val="00167B54"/>
    <w:rsid w:val="001706F1"/>
    <w:rsid w:val="0017205A"/>
    <w:rsid w:val="0017292E"/>
    <w:rsid w:val="00172BDC"/>
    <w:rsid w:val="00172CDD"/>
    <w:rsid w:val="0017385D"/>
    <w:rsid w:val="00175253"/>
    <w:rsid w:val="001752D0"/>
    <w:rsid w:val="00175F78"/>
    <w:rsid w:val="00176286"/>
    <w:rsid w:val="001765FC"/>
    <w:rsid w:val="00176DAA"/>
    <w:rsid w:val="0017778C"/>
    <w:rsid w:val="00180CE1"/>
    <w:rsid w:val="00180DA0"/>
    <w:rsid w:val="001816BC"/>
    <w:rsid w:val="0018218F"/>
    <w:rsid w:val="001849BF"/>
    <w:rsid w:val="00184CC8"/>
    <w:rsid w:val="00185084"/>
    <w:rsid w:val="0018663F"/>
    <w:rsid w:val="00186B01"/>
    <w:rsid w:val="001870CA"/>
    <w:rsid w:val="00190E21"/>
    <w:rsid w:val="00191CE4"/>
    <w:rsid w:val="00192331"/>
    <w:rsid w:val="001947A6"/>
    <w:rsid w:val="00194FE3"/>
    <w:rsid w:val="00195980"/>
    <w:rsid w:val="00195F50"/>
    <w:rsid w:val="00197C4A"/>
    <w:rsid w:val="00197E26"/>
    <w:rsid w:val="00197F44"/>
    <w:rsid w:val="001A02AE"/>
    <w:rsid w:val="001A02C2"/>
    <w:rsid w:val="001A0B16"/>
    <w:rsid w:val="001A1AA9"/>
    <w:rsid w:val="001A2938"/>
    <w:rsid w:val="001A2FD5"/>
    <w:rsid w:val="001A305A"/>
    <w:rsid w:val="001A3F73"/>
    <w:rsid w:val="001A4455"/>
    <w:rsid w:val="001A5E23"/>
    <w:rsid w:val="001A6AE9"/>
    <w:rsid w:val="001A6F5B"/>
    <w:rsid w:val="001A738F"/>
    <w:rsid w:val="001A7AD4"/>
    <w:rsid w:val="001A7F6B"/>
    <w:rsid w:val="001B0020"/>
    <w:rsid w:val="001B07D6"/>
    <w:rsid w:val="001B0F15"/>
    <w:rsid w:val="001B14BC"/>
    <w:rsid w:val="001B283D"/>
    <w:rsid w:val="001B2D15"/>
    <w:rsid w:val="001B2DD2"/>
    <w:rsid w:val="001B2F77"/>
    <w:rsid w:val="001B33CF"/>
    <w:rsid w:val="001B4F34"/>
    <w:rsid w:val="001B6EE7"/>
    <w:rsid w:val="001B732D"/>
    <w:rsid w:val="001B7C7B"/>
    <w:rsid w:val="001C0AC6"/>
    <w:rsid w:val="001C0DF5"/>
    <w:rsid w:val="001C14EA"/>
    <w:rsid w:val="001C17E9"/>
    <w:rsid w:val="001C1959"/>
    <w:rsid w:val="001C1FBE"/>
    <w:rsid w:val="001C4C00"/>
    <w:rsid w:val="001C4ECD"/>
    <w:rsid w:val="001C69BD"/>
    <w:rsid w:val="001C7342"/>
    <w:rsid w:val="001C7CDA"/>
    <w:rsid w:val="001D0FFE"/>
    <w:rsid w:val="001D1A7C"/>
    <w:rsid w:val="001D1C60"/>
    <w:rsid w:val="001D1D62"/>
    <w:rsid w:val="001D2DF1"/>
    <w:rsid w:val="001D3D9A"/>
    <w:rsid w:val="001D5129"/>
    <w:rsid w:val="001D7345"/>
    <w:rsid w:val="001E1D80"/>
    <w:rsid w:val="001E2522"/>
    <w:rsid w:val="001E3BBE"/>
    <w:rsid w:val="001E60B0"/>
    <w:rsid w:val="001F0BBE"/>
    <w:rsid w:val="001F0FE6"/>
    <w:rsid w:val="001F1A39"/>
    <w:rsid w:val="001F1A61"/>
    <w:rsid w:val="001F21D5"/>
    <w:rsid w:val="001F224F"/>
    <w:rsid w:val="001F35DE"/>
    <w:rsid w:val="001F3F92"/>
    <w:rsid w:val="001F4286"/>
    <w:rsid w:val="001F4BA7"/>
    <w:rsid w:val="001F4FD7"/>
    <w:rsid w:val="001F5BB3"/>
    <w:rsid w:val="001F5E55"/>
    <w:rsid w:val="001F7523"/>
    <w:rsid w:val="001F7CD9"/>
    <w:rsid w:val="001F7E92"/>
    <w:rsid w:val="002001D4"/>
    <w:rsid w:val="00200904"/>
    <w:rsid w:val="002009A6"/>
    <w:rsid w:val="002010DD"/>
    <w:rsid w:val="00202672"/>
    <w:rsid w:val="00203160"/>
    <w:rsid w:val="00205356"/>
    <w:rsid w:val="00205FB2"/>
    <w:rsid w:val="00210E8F"/>
    <w:rsid w:val="002124A3"/>
    <w:rsid w:val="00212A12"/>
    <w:rsid w:val="00213120"/>
    <w:rsid w:val="00213718"/>
    <w:rsid w:val="002139B8"/>
    <w:rsid w:val="00213CB6"/>
    <w:rsid w:val="00213EAE"/>
    <w:rsid w:val="00213FBA"/>
    <w:rsid w:val="00215113"/>
    <w:rsid w:val="002154BF"/>
    <w:rsid w:val="00215AD8"/>
    <w:rsid w:val="00216D3A"/>
    <w:rsid w:val="00216F70"/>
    <w:rsid w:val="002179AE"/>
    <w:rsid w:val="00220243"/>
    <w:rsid w:val="00221538"/>
    <w:rsid w:val="002229A6"/>
    <w:rsid w:val="00223682"/>
    <w:rsid w:val="0022496B"/>
    <w:rsid w:val="0022505C"/>
    <w:rsid w:val="002254E5"/>
    <w:rsid w:val="0022574D"/>
    <w:rsid w:val="002257BF"/>
    <w:rsid w:val="002267C4"/>
    <w:rsid w:val="00226947"/>
    <w:rsid w:val="00226B51"/>
    <w:rsid w:val="00226C11"/>
    <w:rsid w:val="00226D0D"/>
    <w:rsid w:val="00226E0E"/>
    <w:rsid w:val="00226F3A"/>
    <w:rsid w:val="002271EA"/>
    <w:rsid w:val="00227954"/>
    <w:rsid w:val="002279A1"/>
    <w:rsid w:val="00231A65"/>
    <w:rsid w:val="00233847"/>
    <w:rsid w:val="00233F13"/>
    <w:rsid w:val="00236E93"/>
    <w:rsid w:val="002370FF"/>
    <w:rsid w:val="002415E6"/>
    <w:rsid w:val="00241FE9"/>
    <w:rsid w:val="0024262E"/>
    <w:rsid w:val="00242833"/>
    <w:rsid w:val="00243F3F"/>
    <w:rsid w:val="00244B8A"/>
    <w:rsid w:val="00245E68"/>
    <w:rsid w:val="00246254"/>
    <w:rsid w:val="0024664F"/>
    <w:rsid w:val="00246F9C"/>
    <w:rsid w:val="00246FB0"/>
    <w:rsid w:val="00247BAC"/>
    <w:rsid w:val="00251086"/>
    <w:rsid w:val="00252961"/>
    <w:rsid w:val="00252AF4"/>
    <w:rsid w:val="00253684"/>
    <w:rsid w:val="00253E2C"/>
    <w:rsid w:val="0025418A"/>
    <w:rsid w:val="0025497D"/>
    <w:rsid w:val="002550B6"/>
    <w:rsid w:val="00255262"/>
    <w:rsid w:val="00255EEF"/>
    <w:rsid w:val="00255FEB"/>
    <w:rsid w:val="00256F99"/>
    <w:rsid w:val="00257135"/>
    <w:rsid w:val="002571DD"/>
    <w:rsid w:val="002575D9"/>
    <w:rsid w:val="002579A5"/>
    <w:rsid w:val="00260E2C"/>
    <w:rsid w:val="002616D8"/>
    <w:rsid w:val="00262BAD"/>
    <w:rsid w:val="00263102"/>
    <w:rsid w:val="0026390A"/>
    <w:rsid w:val="0026402E"/>
    <w:rsid w:val="002662D7"/>
    <w:rsid w:val="00266529"/>
    <w:rsid w:val="00266C75"/>
    <w:rsid w:val="002675CF"/>
    <w:rsid w:val="002705DC"/>
    <w:rsid w:val="002708F2"/>
    <w:rsid w:val="00272191"/>
    <w:rsid w:val="0027225F"/>
    <w:rsid w:val="00272889"/>
    <w:rsid w:val="00272F0D"/>
    <w:rsid w:val="00273828"/>
    <w:rsid w:val="00273EA4"/>
    <w:rsid w:val="002740E8"/>
    <w:rsid w:val="002741EE"/>
    <w:rsid w:val="00274872"/>
    <w:rsid w:val="00275379"/>
    <w:rsid w:val="00276B66"/>
    <w:rsid w:val="0027766A"/>
    <w:rsid w:val="00277D97"/>
    <w:rsid w:val="00280B8D"/>
    <w:rsid w:val="0028320E"/>
    <w:rsid w:val="00284695"/>
    <w:rsid w:val="00287A6E"/>
    <w:rsid w:val="00287B88"/>
    <w:rsid w:val="00290967"/>
    <w:rsid w:val="00291197"/>
    <w:rsid w:val="00293EEA"/>
    <w:rsid w:val="002947C0"/>
    <w:rsid w:val="002960A2"/>
    <w:rsid w:val="002964F0"/>
    <w:rsid w:val="002A0253"/>
    <w:rsid w:val="002A0876"/>
    <w:rsid w:val="002A0F0B"/>
    <w:rsid w:val="002A0FC3"/>
    <w:rsid w:val="002A165A"/>
    <w:rsid w:val="002A1B29"/>
    <w:rsid w:val="002A28A2"/>
    <w:rsid w:val="002A2BCD"/>
    <w:rsid w:val="002A3854"/>
    <w:rsid w:val="002A4091"/>
    <w:rsid w:val="002A62DE"/>
    <w:rsid w:val="002A74FF"/>
    <w:rsid w:val="002A7A0F"/>
    <w:rsid w:val="002A7AC3"/>
    <w:rsid w:val="002B05D0"/>
    <w:rsid w:val="002B0B93"/>
    <w:rsid w:val="002B0EB3"/>
    <w:rsid w:val="002B0FA7"/>
    <w:rsid w:val="002B118A"/>
    <w:rsid w:val="002B47FA"/>
    <w:rsid w:val="002B48DE"/>
    <w:rsid w:val="002B4FC3"/>
    <w:rsid w:val="002B55CB"/>
    <w:rsid w:val="002B6944"/>
    <w:rsid w:val="002B6B56"/>
    <w:rsid w:val="002B7517"/>
    <w:rsid w:val="002B7BD4"/>
    <w:rsid w:val="002B7E8A"/>
    <w:rsid w:val="002C01F7"/>
    <w:rsid w:val="002C195A"/>
    <w:rsid w:val="002C2009"/>
    <w:rsid w:val="002C327A"/>
    <w:rsid w:val="002C4134"/>
    <w:rsid w:val="002C43F5"/>
    <w:rsid w:val="002C4AB7"/>
    <w:rsid w:val="002C4DD6"/>
    <w:rsid w:val="002C51D7"/>
    <w:rsid w:val="002C6253"/>
    <w:rsid w:val="002C733C"/>
    <w:rsid w:val="002D00F3"/>
    <w:rsid w:val="002D04DA"/>
    <w:rsid w:val="002D06E4"/>
    <w:rsid w:val="002D0E1A"/>
    <w:rsid w:val="002D1A0D"/>
    <w:rsid w:val="002D226D"/>
    <w:rsid w:val="002D2405"/>
    <w:rsid w:val="002D37D4"/>
    <w:rsid w:val="002D3C20"/>
    <w:rsid w:val="002D4009"/>
    <w:rsid w:val="002D40C0"/>
    <w:rsid w:val="002D5188"/>
    <w:rsid w:val="002D5CC9"/>
    <w:rsid w:val="002D601E"/>
    <w:rsid w:val="002D6B5B"/>
    <w:rsid w:val="002D7384"/>
    <w:rsid w:val="002D7DB6"/>
    <w:rsid w:val="002E1154"/>
    <w:rsid w:val="002E1281"/>
    <w:rsid w:val="002E1F3F"/>
    <w:rsid w:val="002E23CA"/>
    <w:rsid w:val="002E27A7"/>
    <w:rsid w:val="002E3018"/>
    <w:rsid w:val="002E3DB2"/>
    <w:rsid w:val="002E4353"/>
    <w:rsid w:val="002E5372"/>
    <w:rsid w:val="002E5FEE"/>
    <w:rsid w:val="002E65F4"/>
    <w:rsid w:val="002E671A"/>
    <w:rsid w:val="002F11DB"/>
    <w:rsid w:val="002F1DB4"/>
    <w:rsid w:val="002F2A49"/>
    <w:rsid w:val="002F3589"/>
    <w:rsid w:val="002F35A9"/>
    <w:rsid w:val="002F3EEA"/>
    <w:rsid w:val="002F4482"/>
    <w:rsid w:val="002F5130"/>
    <w:rsid w:val="002F5B8C"/>
    <w:rsid w:val="002F5F39"/>
    <w:rsid w:val="002F67F9"/>
    <w:rsid w:val="002F7883"/>
    <w:rsid w:val="002F7D95"/>
    <w:rsid w:val="002F7E47"/>
    <w:rsid w:val="003004EF"/>
    <w:rsid w:val="003010A3"/>
    <w:rsid w:val="00301DD5"/>
    <w:rsid w:val="00301E66"/>
    <w:rsid w:val="00303243"/>
    <w:rsid w:val="00304B54"/>
    <w:rsid w:val="00304DF8"/>
    <w:rsid w:val="0030541E"/>
    <w:rsid w:val="00305AAD"/>
    <w:rsid w:val="003076B7"/>
    <w:rsid w:val="00310845"/>
    <w:rsid w:val="00310D88"/>
    <w:rsid w:val="00311D74"/>
    <w:rsid w:val="00312984"/>
    <w:rsid w:val="0031345A"/>
    <w:rsid w:val="00313C89"/>
    <w:rsid w:val="00314D2B"/>
    <w:rsid w:val="003155A5"/>
    <w:rsid w:val="0031605D"/>
    <w:rsid w:val="0031613F"/>
    <w:rsid w:val="0031623F"/>
    <w:rsid w:val="00316704"/>
    <w:rsid w:val="00317884"/>
    <w:rsid w:val="00317A8D"/>
    <w:rsid w:val="003213C4"/>
    <w:rsid w:val="003230C1"/>
    <w:rsid w:val="00323670"/>
    <w:rsid w:val="003236F6"/>
    <w:rsid w:val="00323B88"/>
    <w:rsid w:val="00323D3E"/>
    <w:rsid w:val="003244A5"/>
    <w:rsid w:val="00324E07"/>
    <w:rsid w:val="00325080"/>
    <w:rsid w:val="003257AA"/>
    <w:rsid w:val="00325A9A"/>
    <w:rsid w:val="00325AE4"/>
    <w:rsid w:val="0032667E"/>
    <w:rsid w:val="00326748"/>
    <w:rsid w:val="003274B8"/>
    <w:rsid w:val="0033073F"/>
    <w:rsid w:val="00330C47"/>
    <w:rsid w:val="0033262E"/>
    <w:rsid w:val="00332744"/>
    <w:rsid w:val="00332C28"/>
    <w:rsid w:val="00332F35"/>
    <w:rsid w:val="00333404"/>
    <w:rsid w:val="003339ED"/>
    <w:rsid w:val="00333DC0"/>
    <w:rsid w:val="00334EAD"/>
    <w:rsid w:val="00334F8A"/>
    <w:rsid w:val="00335EA6"/>
    <w:rsid w:val="003360D6"/>
    <w:rsid w:val="00337BAD"/>
    <w:rsid w:val="00340899"/>
    <w:rsid w:val="0034148F"/>
    <w:rsid w:val="00341D1F"/>
    <w:rsid w:val="00342270"/>
    <w:rsid w:val="003422D5"/>
    <w:rsid w:val="0034285F"/>
    <w:rsid w:val="0034345B"/>
    <w:rsid w:val="003434FD"/>
    <w:rsid w:val="003440D9"/>
    <w:rsid w:val="00344A2A"/>
    <w:rsid w:val="00344DF2"/>
    <w:rsid w:val="00345396"/>
    <w:rsid w:val="00345483"/>
    <w:rsid w:val="00345B62"/>
    <w:rsid w:val="00346B81"/>
    <w:rsid w:val="00350698"/>
    <w:rsid w:val="00351090"/>
    <w:rsid w:val="003513AB"/>
    <w:rsid w:val="00351C38"/>
    <w:rsid w:val="00351DC8"/>
    <w:rsid w:val="00352851"/>
    <w:rsid w:val="00355184"/>
    <w:rsid w:val="00356960"/>
    <w:rsid w:val="003575C3"/>
    <w:rsid w:val="00357ECE"/>
    <w:rsid w:val="003602E1"/>
    <w:rsid w:val="003605B2"/>
    <w:rsid w:val="00361CF6"/>
    <w:rsid w:val="0036387D"/>
    <w:rsid w:val="003641CD"/>
    <w:rsid w:val="00365094"/>
    <w:rsid w:val="00365C9F"/>
    <w:rsid w:val="003662D4"/>
    <w:rsid w:val="00366301"/>
    <w:rsid w:val="00366CDE"/>
    <w:rsid w:val="003671F3"/>
    <w:rsid w:val="0036770A"/>
    <w:rsid w:val="00370624"/>
    <w:rsid w:val="003717A2"/>
    <w:rsid w:val="0037202B"/>
    <w:rsid w:val="003728F8"/>
    <w:rsid w:val="0037466C"/>
    <w:rsid w:val="00375712"/>
    <w:rsid w:val="0037663B"/>
    <w:rsid w:val="00376888"/>
    <w:rsid w:val="00376B37"/>
    <w:rsid w:val="00377035"/>
    <w:rsid w:val="003773FE"/>
    <w:rsid w:val="00377E33"/>
    <w:rsid w:val="00380DC9"/>
    <w:rsid w:val="00382814"/>
    <w:rsid w:val="00382F0A"/>
    <w:rsid w:val="0038384D"/>
    <w:rsid w:val="003839F0"/>
    <w:rsid w:val="00383E54"/>
    <w:rsid w:val="003845C1"/>
    <w:rsid w:val="0038561B"/>
    <w:rsid w:val="00385A83"/>
    <w:rsid w:val="00386210"/>
    <w:rsid w:val="003863A3"/>
    <w:rsid w:val="003868E8"/>
    <w:rsid w:val="00387161"/>
    <w:rsid w:val="003875A6"/>
    <w:rsid w:val="003876D6"/>
    <w:rsid w:val="00387845"/>
    <w:rsid w:val="00387E3F"/>
    <w:rsid w:val="00387F81"/>
    <w:rsid w:val="003911DD"/>
    <w:rsid w:val="00392029"/>
    <w:rsid w:val="00392C77"/>
    <w:rsid w:val="00392F23"/>
    <w:rsid w:val="00395C10"/>
    <w:rsid w:val="00395E41"/>
    <w:rsid w:val="00395F83"/>
    <w:rsid w:val="003960B1"/>
    <w:rsid w:val="003969EF"/>
    <w:rsid w:val="00397B2D"/>
    <w:rsid w:val="00397E2B"/>
    <w:rsid w:val="003A0060"/>
    <w:rsid w:val="003A02AE"/>
    <w:rsid w:val="003A05F5"/>
    <w:rsid w:val="003A1A91"/>
    <w:rsid w:val="003A1B89"/>
    <w:rsid w:val="003A1CE0"/>
    <w:rsid w:val="003A2FB1"/>
    <w:rsid w:val="003A2FE0"/>
    <w:rsid w:val="003A3658"/>
    <w:rsid w:val="003A48DA"/>
    <w:rsid w:val="003A5312"/>
    <w:rsid w:val="003A53A3"/>
    <w:rsid w:val="003A5BE2"/>
    <w:rsid w:val="003A775B"/>
    <w:rsid w:val="003A7A7F"/>
    <w:rsid w:val="003A7EC4"/>
    <w:rsid w:val="003B0BB4"/>
    <w:rsid w:val="003B0D9F"/>
    <w:rsid w:val="003B148F"/>
    <w:rsid w:val="003B1A04"/>
    <w:rsid w:val="003B3320"/>
    <w:rsid w:val="003B39CB"/>
    <w:rsid w:val="003B3D31"/>
    <w:rsid w:val="003B3E6B"/>
    <w:rsid w:val="003B3EE0"/>
    <w:rsid w:val="003B4672"/>
    <w:rsid w:val="003B4E6B"/>
    <w:rsid w:val="003B5F2F"/>
    <w:rsid w:val="003B685E"/>
    <w:rsid w:val="003B6C64"/>
    <w:rsid w:val="003B6ED6"/>
    <w:rsid w:val="003B77BB"/>
    <w:rsid w:val="003B78E3"/>
    <w:rsid w:val="003C06ED"/>
    <w:rsid w:val="003C170F"/>
    <w:rsid w:val="003C1A0B"/>
    <w:rsid w:val="003C205C"/>
    <w:rsid w:val="003C278F"/>
    <w:rsid w:val="003C2A39"/>
    <w:rsid w:val="003C2ED5"/>
    <w:rsid w:val="003C30DF"/>
    <w:rsid w:val="003C44A2"/>
    <w:rsid w:val="003C4BBF"/>
    <w:rsid w:val="003C4C82"/>
    <w:rsid w:val="003C4D24"/>
    <w:rsid w:val="003C571A"/>
    <w:rsid w:val="003D099D"/>
    <w:rsid w:val="003D0BCB"/>
    <w:rsid w:val="003D0C75"/>
    <w:rsid w:val="003D1216"/>
    <w:rsid w:val="003D1CE2"/>
    <w:rsid w:val="003D49AF"/>
    <w:rsid w:val="003D57DA"/>
    <w:rsid w:val="003D6AD0"/>
    <w:rsid w:val="003D6CB6"/>
    <w:rsid w:val="003D717B"/>
    <w:rsid w:val="003E25EB"/>
    <w:rsid w:val="003E2A99"/>
    <w:rsid w:val="003E3780"/>
    <w:rsid w:val="003E4629"/>
    <w:rsid w:val="003E49E0"/>
    <w:rsid w:val="003E683C"/>
    <w:rsid w:val="003E68F0"/>
    <w:rsid w:val="003E690C"/>
    <w:rsid w:val="003E75DD"/>
    <w:rsid w:val="003F0AC7"/>
    <w:rsid w:val="003F10A0"/>
    <w:rsid w:val="003F18F6"/>
    <w:rsid w:val="003F1E6F"/>
    <w:rsid w:val="003F27A8"/>
    <w:rsid w:val="003F2B5A"/>
    <w:rsid w:val="003F3486"/>
    <w:rsid w:val="003F47F2"/>
    <w:rsid w:val="003F4FE2"/>
    <w:rsid w:val="003F5662"/>
    <w:rsid w:val="003F5853"/>
    <w:rsid w:val="003F6214"/>
    <w:rsid w:val="003F6BB1"/>
    <w:rsid w:val="003F6C3D"/>
    <w:rsid w:val="003F6D1A"/>
    <w:rsid w:val="003F73D6"/>
    <w:rsid w:val="003F77F6"/>
    <w:rsid w:val="003F7BF8"/>
    <w:rsid w:val="00400E18"/>
    <w:rsid w:val="00401FB3"/>
    <w:rsid w:val="00402014"/>
    <w:rsid w:val="00402091"/>
    <w:rsid w:val="00402283"/>
    <w:rsid w:val="00402344"/>
    <w:rsid w:val="00402D8F"/>
    <w:rsid w:val="004030EE"/>
    <w:rsid w:val="0040317D"/>
    <w:rsid w:val="00404433"/>
    <w:rsid w:val="004045F0"/>
    <w:rsid w:val="004054EB"/>
    <w:rsid w:val="00405955"/>
    <w:rsid w:val="0040636A"/>
    <w:rsid w:val="00406E78"/>
    <w:rsid w:val="00407217"/>
    <w:rsid w:val="00407E5B"/>
    <w:rsid w:val="00410D8E"/>
    <w:rsid w:val="00411601"/>
    <w:rsid w:val="004116B0"/>
    <w:rsid w:val="00411EB7"/>
    <w:rsid w:val="004122D0"/>
    <w:rsid w:val="00412661"/>
    <w:rsid w:val="00412829"/>
    <w:rsid w:val="00414ADE"/>
    <w:rsid w:val="00414D84"/>
    <w:rsid w:val="00416892"/>
    <w:rsid w:val="004178AB"/>
    <w:rsid w:val="004208F1"/>
    <w:rsid w:val="00421D85"/>
    <w:rsid w:val="0042271C"/>
    <w:rsid w:val="00423AC8"/>
    <w:rsid w:val="00423B10"/>
    <w:rsid w:val="00424685"/>
    <w:rsid w:val="00424BD8"/>
    <w:rsid w:val="004250D4"/>
    <w:rsid w:val="00425664"/>
    <w:rsid w:val="0042584A"/>
    <w:rsid w:val="00427F49"/>
    <w:rsid w:val="00430380"/>
    <w:rsid w:val="00432128"/>
    <w:rsid w:val="00432F59"/>
    <w:rsid w:val="00432FF4"/>
    <w:rsid w:val="004333A9"/>
    <w:rsid w:val="0043421D"/>
    <w:rsid w:val="00434DEA"/>
    <w:rsid w:val="00435905"/>
    <w:rsid w:val="00435D57"/>
    <w:rsid w:val="0043630F"/>
    <w:rsid w:val="00437D76"/>
    <w:rsid w:val="00440048"/>
    <w:rsid w:val="00441F42"/>
    <w:rsid w:val="00442089"/>
    <w:rsid w:val="004420FC"/>
    <w:rsid w:val="004426C2"/>
    <w:rsid w:val="004432D2"/>
    <w:rsid w:val="0044357E"/>
    <w:rsid w:val="00443813"/>
    <w:rsid w:val="004441D0"/>
    <w:rsid w:val="00444E2C"/>
    <w:rsid w:val="0044598A"/>
    <w:rsid w:val="00445CA9"/>
    <w:rsid w:val="00446D63"/>
    <w:rsid w:val="004474EC"/>
    <w:rsid w:val="00447765"/>
    <w:rsid w:val="00447769"/>
    <w:rsid w:val="00447863"/>
    <w:rsid w:val="004507D5"/>
    <w:rsid w:val="00450DF6"/>
    <w:rsid w:val="00450E21"/>
    <w:rsid w:val="004510A6"/>
    <w:rsid w:val="004511EC"/>
    <w:rsid w:val="00451B04"/>
    <w:rsid w:val="00451F0C"/>
    <w:rsid w:val="004543B3"/>
    <w:rsid w:val="00454414"/>
    <w:rsid w:val="00454BC7"/>
    <w:rsid w:val="004574B5"/>
    <w:rsid w:val="00460675"/>
    <w:rsid w:val="00460727"/>
    <w:rsid w:val="00464AFE"/>
    <w:rsid w:val="00465BAC"/>
    <w:rsid w:val="00466224"/>
    <w:rsid w:val="0046650C"/>
    <w:rsid w:val="00466AF6"/>
    <w:rsid w:val="004711A0"/>
    <w:rsid w:val="00471627"/>
    <w:rsid w:val="004721F3"/>
    <w:rsid w:val="00472C39"/>
    <w:rsid w:val="0047390C"/>
    <w:rsid w:val="004740AA"/>
    <w:rsid w:val="004740CA"/>
    <w:rsid w:val="004755F9"/>
    <w:rsid w:val="00476CBA"/>
    <w:rsid w:val="00477F4C"/>
    <w:rsid w:val="00480D0A"/>
    <w:rsid w:val="004811B2"/>
    <w:rsid w:val="00481D36"/>
    <w:rsid w:val="00483A3C"/>
    <w:rsid w:val="00483A3F"/>
    <w:rsid w:val="00483B74"/>
    <w:rsid w:val="00483D35"/>
    <w:rsid w:val="0048429D"/>
    <w:rsid w:val="0048643C"/>
    <w:rsid w:val="004873E6"/>
    <w:rsid w:val="00487927"/>
    <w:rsid w:val="004904BF"/>
    <w:rsid w:val="0049115C"/>
    <w:rsid w:val="00491AF6"/>
    <w:rsid w:val="00492B98"/>
    <w:rsid w:val="00492E06"/>
    <w:rsid w:val="00493C00"/>
    <w:rsid w:val="00493E76"/>
    <w:rsid w:val="004940E9"/>
    <w:rsid w:val="00494856"/>
    <w:rsid w:val="00497377"/>
    <w:rsid w:val="004A0890"/>
    <w:rsid w:val="004A0A49"/>
    <w:rsid w:val="004A0C9C"/>
    <w:rsid w:val="004A14D4"/>
    <w:rsid w:val="004A1908"/>
    <w:rsid w:val="004A267E"/>
    <w:rsid w:val="004A691F"/>
    <w:rsid w:val="004A6C79"/>
    <w:rsid w:val="004A73B1"/>
    <w:rsid w:val="004A77E9"/>
    <w:rsid w:val="004A7D6C"/>
    <w:rsid w:val="004B0160"/>
    <w:rsid w:val="004B01B2"/>
    <w:rsid w:val="004B0DA7"/>
    <w:rsid w:val="004B0E81"/>
    <w:rsid w:val="004B272F"/>
    <w:rsid w:val="004B4B51"/>
    <w:rsid w:val="004B502A"/>
    <w:rsid w:val="004B59A8"/>
    <w:rsid w:val="004B7003"/>
    <w:rsid w:val="004B7390"/>
    <w:rsid w:val="004C043C"/>
    <w:rsid w:val="004C326C"/>
    <w:rsid w:val="004C4132"/>
    <w:rsid w:val="004C4D41"/>
    <w:rsid w:val="004C58D9"/>
    <w:rsid w:val="004C5B3E"/>
    <w:rsid w:val="004C6067"/>
    <w:rsid w:val="004C641E"/>
    <w:rsid w:val="004C6438"/>
    <w:rsid w:val="004C650A"/>
    <w:rsid w:val="004C714C"/>
    <w:rsid w:val="004C73C5"/>
    <w:rsid w:val="004D0F3E"/>
    <w:rsid w:val="004D1933"/>
    <w:rsid w:val="004D200E"/>
    <w:rsid w:val="004D334A"/>
    <w:rsid w:val="004D3A18"/>
    <w:rsid w:val="004D3EC0"/>
    <w:rsid w:val="004D40A8"/>
    <w:rsid w:val="004D56FB"/>
    <w:rsid w:val="004D6924"/>
    <w:rsid w:val="004E1030"/>
    <w:rsid w:val="004E1577"/>
    <w:rsid w:val="004E18EF"/>
    <w:rsid w:val="004E4F14"/>
    <w:rsid w:val="004E59C1"/>
    <w:rsid w:val="004E604C"/>
    <w:rsid w:val="004E628B"/>
    <w:rsid w:val="004E63A6"/>
    <w:rsid w:val="004E7464"/>
    <w:rsid w:val="004F03E7"/>
    <w:rsid w:val="004F08FB"/>
    <w:rsid w:val="004F1039"/>
    <w:rsid w:val="004F11E1"/>
    <w:rsid w:val="004F1E30"/>
    <w:rsid w:val="004F290C"/>
    <w:rsid w:val="004F30E0"/>
    <w:rsid w:val="004F3350"/>
    <w:rsid w:val="004F36B0"/>
    <w:rsid w:val="004F4791"/>
    <w:rsid w:val="004F4D39"/>
    <w:rsid w:val="004F58B1"/>
    <w:rsid w:val="004F7426"/>
    <w:rsid w:val="005015F1"/>
    <w:rsid w:val="005019E7"/>
    <w:rsid w:val="005025AA"/>
    <w:rsid w:val="0050261B"/>
    <w:rsid w:val="00502FFA"/>
    <w:rsid w:val="00503C33"/>
    <w:rsid w:val="00504153"/>
    <w:rsid w:val="00504339"/>
    <w:rsid w:val="00504CAF"/>
    <w:rsid w:val="00504DC4"/>
    <w:rsid w:val="00504E5B"/>
    <w:rsid w:val="00506525"/>
    <w:rsid w:val="005066CC"/>
    <w:rsid w:val="005072C6"/>
    <w:rsid w:val="005072EF"/>
    <w:rsid w:val="00510F5F"/>
    <w:rsid w:val="0051165C"/>
    <w:rsid w:val="00511F62"/>
    <w:rsid w:val="00513757"/>
    <w:rsid w:val="0051418E"/>
    <w:rsid w:val="00514A58"/>
    <w:rsid w:val="00515C1C"/>
    <w:rsid w:val="00515E59"/>
    <w:rsid w:val="005160D3"/>
    <w:rsid w:val="00516852"/>
    <w:rsid w:val="005172D3"/>
    <w:rsid w:val="005209D4"/>
    <w:rsid w:val="00520DBD"/>
    <w:rsid w:val="005216C1"/>
    <w:rsid w:val="00521B02"/>
    <w:rsid w:val="00521C46"/>
    <w:rsid w:val="00522279"/>
    <w:rsid w:val="00523A2E"/>
    <w:rsid w:val="00524334"/>
    <w:rsid w:val="005247BC"/>
    <w:rsid w:val="00524B9B"/>
    <w:rsid w:val="00524DFC"/>
    <w:rsid w:val="00525736"/>
    <w:rsid w:val="00525A9E"/>
    <w:rsid w:val="00525C58"/>
    <w:rsid w:val="005264FE"/>
    <w:rsid w:val="00526794"/>
    <w:rsid w:val="005274A9"/>
    <w:rsid w:val="00527A41"/>
    <w:rsid w:val="00527CA5"/>
    <w:rsid w:val="00531B13"/>
    <w:rsid w:val="00532AF3"/>
    <w:rsid w:val="00532C48"/>
    <w:rsid w:val="00533068"/>
    <w:rsid w:val="00533B68"/>
    <w:rsid w:val="00534DCC"/>
    <w:rsid w:val="00535B6B"/>
    <w:rsid w:val="0053703C"/>
    <w:rsid w:val="0053730C"/>
    <w:rsid w:val="005373B3"/>
    <w:rsid w:val="0053792E"/>
    <w:rsid w:val="00537BCA"/>
    <w:rsid w:val="00537CE6"/>
    <w:rsid w:val="005410A6"/>
    <w:rsid w:val="00541306"/>
    <w:rsid w:val="00541ABC"/>
    <w:rsid w:val="00541DAB"/>
    <w:rsid w:val="00541FAA"/>
    <w:rsid w:val="005421C1"/>
    <w:rsid w:val="005426FF"/>
    <w:rsid w:val="005433F5"/>
    <w:rsid w:val="00543EC4"/>
    <w:rsid w:val="00544937"/>
    <w:rsid w:val="0054547E"/>
    <w:rsid w:val="00545D51"/>
    <w:rsid w:val="00546C25"/>
    <w:rsid w:val="005500A4"/>
    <w:rsid w:val="00550542"/>
    <w:rsid w:val="005505B5"/>
    <w:rsid w:val="005518CD"/>
    <w:rsid w:val="0055192B"/>
    <w:rsid w:val="00551CEF"/>
    <w:rsid w:val="00552AC8"/>
    <w:rsid w:val="00554E83"/>
    <w:rsid w:val="00555C8F"/>
    <w:rsid w:val="0055601E"/>
    <w:rsid w:val="00556ACD"/>
    <w:rsid w:val="00557FD4"/>
    <w:rsid w:val="0056058D"/>
    <w:rsid w:val="00561630"/>
    <w:rsid w:val="00562688"/>
    <w:rsid w:val="00562F58"/>
    <w:rsid w:val="005631B4"/>
    <w:rsid w:val="005640B9"/>
    <w:rsid w:val="00565406"/>
    <w:rsid w:val="00565750"/>
    <w:rsid w:val="00565D52"/>
    <w:rsid w:val="00565EA0"/>
    <w:rsid w:val="00566955"/>
    <w:rsid w:val="00567431"/>
    <w:rsid w:val="0057122F"/>
    <w:rsid w:val="00571A15"/>
    <w:rsid w:val="00572375"/>
    <w:rsid w:val="00572467"/>
    <w:rsid w:val="005737BD"/>
    <w:rsid w:val="00573B00"/>
    <w:rsid w:val="005744D7"/>
    <w:rsid w:val="00574D61"/>
    <w:rsid w:val="0057560F"/>
    <w:rsid w:val="0057583D"/>
    <w:rsid w:val="00575A98"/>
    <w:rsid w:val="00575FCA"/>
    <w:rsid w:val="00576191"/>
    <w:rsid w:val="00576541"/>
    <w:rsid w:val="00576700"/>
    <w:rsid w:val="00576C8A"/>
    <w:rsid w:val="00576FC7"/>
    <w:rsid w:val="00577409"/>
    <w:rsid w:val="00580A53"/>
    <w:rsid w:val="0058189A"/>
    <w:rsid w:val="00582CCD"/>
    <w:rsid w:val="0058321D"/>
    <w:rsid w:val="00583B39"/>
    <w:rsid w:val="00584901"/>
    <w:rsid w:val="00586D9C"/>
    <w:rsid w:val="005870FB"/>
    <w:rsid w:val="00587735"/>
    <w:rsid w:val="0058781F"/>
    <w:rsid w:val="005879D5"/>
    <w:rsid w:val="00587FF2"/>
    <w:rsid w:val="00591C63"/>
    <w:rsid w:val="00592E93"/>
    <w:rsid w:val="005934E6"/>
    <w:rsid w:val="00593526"/>
    <w:rsid w:val="00593EBB"/>
    <w:rsid w:val="00594B63"/>
    <w:rsid w:val="005958C1"/>
    <w:rsid w:val="005958DE"/>
    <w:rsid w:val="00596731"/>
    <w:rsid w:val="00596D8E"/>
    <w:rsid w:val="0059725A"/>
    <w:rsid w:val="005A02A0"/>
    <w:rsid w:val="005A03AD"/>
    <w:rsid w:val="005A0469"/>
    <w:rsid w:val="005A060A"/>
    <w:rsid w:val="005A0FDC"/>
    <w:rsid w:val="005A25C8"/>
    <w:rsid w:val="005A2907"/>
    <w:rsid w:val="005A2B5B"/>
    <w:rsid w:val="005A2C98"/>
    <w:rsid w:val="005A4C29"/>
    <w:rsid w:val="005A533B"/>
    <w:rsid w:val="005A57AC"/>
    <w:rsid w:val="005A59F5"/>
    <w:rsid w:val="005A5DAC"/>
    <w:rsid w:val="005A5F95"/>
    <w:rsid w:val="005A7468"/>
    <w:rsid w:val="005A748C"/>
    <w:rsid w:val="005A775D"/>
    <w:rsid w:val="005B0945"/>
    <w:rsid w:val="005B0975"/>
    <w:rsid w:val="005B36BB"/>
    <w:rsid w:val="005B3B2E"/>
    <w:rsid w:val="005B4454"/>
    <w:rsid w:val="005B635C"/>
    <w:rsid w:val="005B72DA"/>
    <w:rsid w:val="005C1750"/>
    <w:rsid w:val="005C17B5"/>
    <w:rsid w:val="005C1991"/>
    <w:rsid w:val="005C1B75"/>
    <w:rsid w:val="005C2505"/>
    <w:rsid w:val="005C415D"/>
    <w:rsid w:val="005C4946"/>
    <w:rsid w:val="005C524F"/>
    <w:rsid w:val="005C54A4"/>
    <w:rsid w:val="005C686F"/>
    <w:rsid w:val="005D0306"/>
    <w:rsid w:val="005D1733"/>
    <w:rsid w:val="005D17E8"/>
    <w:rsid w:val="005D2098"/>
    <w:rsid w:val="005D291D"/>
    <w:rsid w:val="005D3282"/>
    <w:rsid w:val="005D34A6"/>
    <w:rsid w:val="005D38A7"/>
    <w:rsid w:val="005D48AC"/>
    <w:rsid w:val="005D6184"/>
    <w:rsid w:val="005D641F"/>
    <w:rsid w:val="005D667D"/>
    <w:rsid w:val="005D7DC6"/>
    <w:rsid w:val="005E0199"/>
    <w:rsid w:val="005E0402"/>
    <w:rsid w:val="005E0C32"/>
    <w:rsid w:val="005E1D11"/>
    <w:rsid w:val="005E1DC4"/>
    <w:rsid w:val="005E2514"/>
    <w:rsid w:val="005E2534"/>
    <w:rsid w:val="005E2E9E"/>
    <w:rsid w:val="005E446F"/>
    <w:rsid w:val="005E44C4"/>
    <w:rsid w:val="005E4A59"/>
    <w:rsid w:val="005E4EDB"/>
    <w:rsid w:val="005E7531"/>
    <w:rsid w:val="005F08DD"/>
    <w:rsid w:val="005F1618"/>
    <w:rsid w:val="005F1A91"/>
    <w:rsid w:val="005F23BB"/>
    <w:rsid w:val="005F2979"/>
    <w:rsid w:val="005F29A2"/>
    <w:rsid w:val="005F312A"/>
    <w:rsid w:val="005F3F12"/>
    <w:rsid w:val="005F4DD7"/>
    <w:rsid w:val="005F697F"/>
    <w:rsid w:val="005F6D74"/>
    <w:rsid w:val="00600F11"/>
    <w:rsid w:val="006011FD"/>
    <w:rsid w:val="0060200F"/>
    <w:rsid w:val="00602594"/>
    <w:rsid w:val="006042DC"/>
    <w:rsid w:val="006048CA"/>
    <w:rsid w:val="00605BC7"/>
    <w:rsid w:val="00607EBD"/>
    <w:rsid w:val="006101DD"/>
    <w:rsid w:val="006117E3"/>
    <w:rsid w:val="006123E4"/>
    <w:rsid w:val="00614FA6"/>
    <w:rsid w:val="00615329"/>
    <w:rsid w:val="00615F29"/>
    <w:rsid w:val="00616444"/>
    <w:rsid w:val="00616933"/>
    <w:rsid w:val="00616D39"/>
    <w:rsid w:val="00617368"/>
    <w:rsid w:val="00617448"/>
    <w:rsid w:val="0061772E"/>
    <w:rsid w:val="00617D4A"/>
    <w:rsid w:val="00620BD6"/>
    <w:rsid w:val="006211AA"/>
    <w:rsid w:val="006212B7"/>
    <w:rsid w:val="00621980"/>
    <w:rsid w:val="00621F5B"/>
    <w:rsid w:val="00622103"/>
    <w:rsid w:val="0062271D"/>
    <w:rsid w:val="00622904"/>
    <w:rsid w:val="00622E18"/>
    <w:rsid w:val="00623D07"/>
    <w:rsid w:val="0062436C"/>
    <w:rsid w:val="00624765"/>
    <w:rsid w:val="006251CA"/>
    <w:rsid w:val="0062557D"/>
    <w:rsid w:val="00625B90"/>
    <w:rsid w:val="006262AC"/>
    <w:rsid w:val="00626829"/>
    <w:rsid w:val="00626EAF"/>
    <w:rsid w:val="00627649"/>
    <w:rsid w:val="006304F6"/>
    <w:rsid w:val="00630950"/>
    <w:rsid w:val="00631845"/>
    <w:rsid w:val="0063202F"/>
    <w:rsid w:val="006334B1"/>
    <w:rsid w:val="00633588"/>
    <w:rsid w:val="00633D7A"/>
    <w:rsid w:val="0063441A"/>
    <w:rsid w:val="00634A95"/>
    <w:rsid w:val="00634C54"/>
    <w:rsid w:val="0063518A"/>
    <w:rsid w:val="00635FF6"/>
    <w:rsid w:val="00637705"/>
    <w:rsid w:val="00637F02"/>
    <w:rsid w:val="0064004E"/>
    <w:rsid w:val="00640939"/>
    <w:rsid w:val="0064094B"/>
    <w:rsid w:val="00640AB9"/>
    <w:rsid w:val="00641A5D"/>
    <w:rsid w:val="00641D90"/>
    <w:rsid w:val="00641EBE"/>
    <w:rsid w:val="00641F9D"/>
    <w:rsid w:val="00642B35"/>
    <w:rsid w:val="006438FE"/>
    <w:rsid w:val="006442E2"/>
    <w:rsid w:val="00645255"/>
    <w:rsid w:val="00645276"/>
    <w:rsid w:val="00646103"/>
    <w:rsid w:val="006468C1"/>
    <w:rsid w:val="00646FBD"/>
    <w:rsid w:val="006472FA"/>
    <w:rsid w:val="00647682"/>
    <w:rsid w:val="00647EB6"/>
    <w:rsid w:val="00650225"/>
    <w:rsid w:val="006505B2"/>
    <w:rsid w:val="00651B91"/>
    <w:rsid w:val="006520DF"/>
    <w:rsid w:val="0065233F"/>
    <w:rsid w:val="00652FA7"/>
    <w:rsid w:val="00653513"/>
    <w:rsid w:val="00654401"/>
    <w:rsid w:val="006544BA"/>
    <w:rsid w:val="0065463E"/>
    <w:rsid w:val="00654BAF"/>
    <w:rsid w:val="0065520D"/>
    <w:rsid w:val="0065529B"/>
    <w:rsid w:val="00655A2A"/>
    <w:rsid w:val="00657C4C"/>
    <w:rsid w:val="00657D59"/>
    <w:rsid w:val="0066035D"/>
    <w:rsid w:val="00660663"/>
    <w:rsid w:val="00661AF6"/>
    <w:rsid w:val="00662638"/>
    <w:rsid w:val="00662933"/>
    <w:rsid w:val="00663A69"/>
    <w:rsid w:val="006651F2"/>
    <w:rsid w:val="006657AE"/>
    <w:rsid w:val="00665A07"/>
    <w:rsid w:val="0066634B"/>
    <w:rsid w:val="0066705C"/>
    <w:rsid w:val="00667678"/>
    <w:rsid w:val="006700C1"/>
    <w:rsid w:val="00670A9A"/>
    <w:rsid w:val="00671D50"/>
    <w:rsid w:val="006728AF"/>
    <w:rsid w:val="00672BE5"/>
    <w:rsid w:val="00673408"/>
    <w:rsid w:val="00673E77"/>
    <w:rsid w:val="00675661"/>
    <w:rsid w:val="00676670"/>
    <w:rsid w:val="00676F7E"/>
    <w:rsid w:val="00677291"/>
    <w:rsid w:val="00677643"/>
    <w:rsid w:val="006816A8"/>
    <w:rsid w:val="00681E0A"/>
    <w:rsid w:val="00683321"/>
    <w:rsid w:val="006842B7"/>
    <w:rsid w:val="006847C1"/>
    <w:rsid w:val="00684EB4"/>
    <w:rsid w:val="00684F2C"/>
    <w:rsid w:val="00685BA0"/>
    <w:rsid w:val="006877D3"/>
    <w:rsid w:val="00687A59"/>
    <w:rsid w:val="006914DB"/>
    <w:rsid w:val="00691657"/>
    <w:rsid w:val="006923BA"/>
    <w:rsid w:val="00692771"/>
    <w:rsid w:val="00692C9A"/>
    <w:rsid w:val="006935AB"/>
    <w:rsid w:val="006947D9"/>
    <w:rsid w:val="00694928"/>
    <w:rsid w:val="00694D8E"/>
    <w:rsid w:val="00695A64"/>
    <w:rsid w:val="00695D85"/>
    <w:rsid w:val="00696032"/>
    <w:rsid w:val="00696225"/>
    <w:rsid w:val="00696DF9"/>
    <w:rsid w:val="00696DFC"/>
    <w:rsid w:val="00697D09"/>
    <w:rsid w:val="006A04E2"/>
    <w:rsid w:val="006A0CD8"/>
    <w:rsid w:val="006A1DFF"/>
    <w:rsid w:val="006A2E0D"/>
    <w:rsid w:val="006A317E"/>
    <w:rsid w:val="006A3E04"/>
    <w:rsid w:val="006A4214"/>
    <w:rsid w:val="006A58CF"/>
    <w:rsid w:val="006A6596"/>
    <w:rsid w:val="006A6F6F"/>
    <w:rsid w:val="006A71B5"/>
    <w:rsid w:val="006A7E93"/>
    <w:rsid w:val="006A7F0A"/>
    <w:rsid w:val="006B09F0"/>
    <w:rsid w:val="006B0E41"/>
    <w:rsid w:val="006B11DB"/>
    <w:rsid w:val="006B1D90"/>
    <w:rsid w:val="006B1D9D"/>
    <w:rsid w:val="006B1F88"/>
    <w:rsid w:val="006B2567"/>
    <w:rsid w:val="006B3130"/>
    <w:rsid w:val="006B4AE7"/>
    <w:rsid w:val="006B55A4"/>
    <w:rsid w:val="006B5CC7"/>
    <w:rsid w:val="006B5F11"/>
    <w:rsid w:val="006B657D"/>
    <w:rsid w:val="006B678A"/>
    <w:rsid w:val="006B711B"/>
    <w:rsid w:val="006C00C3"/>
    <w:rsid w:val="006C13E0"/>
    <w:rsid w:val="006C1A57"/>
    <w:rsid w:val="006C1DC0"/>
    <w:rsid w:val="006C1FBE"/>
    <w:rsid w:val="006C20DA"/>
    <w:rsid w:val="006C33FC"/>
    <w:rsid w:val="006C35A4"/>
    <w:rsid w:val="006C3A2B"/>
    <w:rsid w:val="006C47E8"/>
    <w:rsid w:val="006C4C58"/>
    <w:rsid w:val="006C55FE"/>
    <w:rsid w:val="006C5B00"/>
    <w:rsid w:val="006C5BA2"/>
    <w:rsid w:val="006C5C7C"/>
    <w:rsid w:val="006C682D"/>
    <w:rsid w:val="006C7E8F"/>
    <w:rsid w:val="006D0033"/>
    <w:rsid w:val="006D084E"/>
    <w:rsid w:val="006D1C2A"/>
    <w:rsid w:val="006D2100"/>
    <w:rsid w:val="006D54F3"/>
    <w:rsid w:val="006D574F"/>
    <w:rsid w:val="006D6584"/>
    <w:rsid w:val="006D65F3"/>
    <w:rsid w:val="006E0448"/>
    <w:rsid w:val="006E06BE"/>
    <w:rsid w:val="006E0759"/>
    <w:rsid w:val="006E09BC"/>
    <w:rsid w:val="006E2F19"/>
    <w:rsid w:val="006E3A7C"/>
    <w:rsid w:val="006E6067"/>
    <w:rsid w:val="006E61BE"/>
    <w:rsid w:val="006E72AA"/>
    <w:rsid w:val="006E7385"/>
    <w:rsid w:val="006E75FB"/>
    <w:rsid w:val="006E7D17"/>
    <w:rsid w:val="006F1E27"/>
    <w:rsid w:val="006F36DE"/>
    <w:rsid w:val="006F469C"/>
    <w:rsid w:val="006F5236"/>
    <w:rsid w:val="006F53BB"/>
    <w:rsid w:val="006F5B22"/>
    <w:rsid w:val="006F62D8"/>
    <w:rsid w:val="006F6608"/>
    <w:rsid w:val="006F7701"/>
    <w:rsid w:val="007000F4"/>
    <w:rsid w:val="00700301"/>
    <w:rsid w:val="00701AE3"/>
    <w:rsid w:val="00701BBC"/>
    <w:rsid w:val="00701F16"/>
    <w:rsid w:val="00702341"/>
    <w:rsid w:val="0070290C"/>
    <w:rsid w:val="00703199"/>
    <w:rsid w:val="0070347A"/>
    <w:rsid w:val="00704038"/>
    <w:rsid w:val="00704763"/>
    <w:rsid w:val="00704BD4"/>
    <w:rsid w:val="00704D50"/>
    <w:rsid w:val="00704EDD"/>
    <w:rsid w:val="007059DA"/>
    <w:rsid w:val="00705EAB"/>
    <w:rsid w:val="00706B64"/>
    <w:rsid w:val="00707537"/>
    <w:rsid w:val="0071009B"/>
    <w:rsid w:val="00710337"/>
    <w:rsid w:val="007107DA"/>
    <w:rsid w:val="00710DDA"/>
    <w:rsid w:val="0071229A"/>
    <w:rsid w:val="0071257C"/>
    <w:rsid w:val="007125F6"/>
    <w:rsid w:val="00712CC2"/>
    <w:rsid w:val="00712E37"/>
    <w:rsid w:val="00713E8E"/>
    <w:rsid w:val="00713EBF"/>
    <w:rsid w:val="007144E6"/>
    <w:rsid w:val="00714C09"/>
    <w:rsid w:val="00714EFC"/>
    <w:rsid w:val="00715D71"/>
    <w:rsid w:val="00715DBE"/>
    <w:rsid w:val="00716457"/>
    <w:rsid w:val="007217EB"/>
    <w:rsid w:val="007217EE"/>
    <w:rsid w:val="00722F7A"/>
    <w:rsid w:val="00722FA0"/>
    <w:rsid w:val="00722FD3"/>
    <w:rsid w:val="007231C8"/>
    <w:rsid w:val="00723379"/>
    <w:rsid w:val="00723EAF"/>
    <w:rsid w:val="007241BE"/>
    <w:rsid w:val="00724C5D"/>
    <w:rsid w:val="00725130"/>
    <w:rsid w:val="00725B5E"/>
    <w:rsid w:val="007313E8"/>
    <w:rsid w:val="007317C3"/>
    <w:rsid w:val="007323B6"/>
    <w:rsid w:val="00732404"/>
    <w:rsid w:val="007329AA"/>
    <w:rsid w:val="007335B8"/>
    <w:rsid w:val="0073383D"/>
    <w:rsid w:val="007339FD"/>
    <w:rsid w:val="0073423A"/>
    <w:rsid w:val="007349D2"/>
    <w:rsid w:val="00734A5E"/>
    <w:rsid w:val="00734AC0"/>
    <w:rsid w:val="00735CA7"/>
    <w:rsid w:val="007367A9"/>
    <w:rsid w:val="007369FE"/>
    <w:rsid w:val="00736FEF"/>
    <w:rsid w:val="00740208"/>
    <w:rsid w:val="00740F87"/>
    <w:rsid w:val="007416CA"/>
    <w:rsid w:val="0074329C"/>
    <w:rsid w:val="00743ACD"/>
    <w:rsid w:val="00743F25"/>
    <w:rsid w:val="007449D5"/>
    <w:rsid w:val="00745476"/>
    <w:rsid w:val="0074642F"/>
    <w:rsid w:val="007516C4"/>
    <w:rsid w:val="007517B6"/>
    <w:rsid w:val="007526D4"/>
    <w:rsid w:val="0075279E"/>
    <w:rsid w:val="00752DF2"/>
    <w:rsid w:val="00753843"/>
    <w:rsid w:val="00753AA7"/>
    <w:rsid w:val="00753CE6"/>
    <w:rsid w:val="00753D51"/>
    <w:rsid w:val="007540BC"/>
    <w:rsid w:val="00754387"/>
    <w:rsid w:val="00754C6F"/>
    <w:rsid w:val="00754ED3"/>
    <w:rsid w:val="00755431"/>
    <w:rsid w:val="00756341"/>
    <w:rsid w:val="0075656C"/>
    <w:rsid w:val="00757861"/>
    <w:rsid w:val="00757ED6"/>
    <w:rsid w:val="0076057A"/>
    <w:rsid w:val="007618BC"/>
    <w:rsid w:val="00761AB8"/>
    <w:rsid w:val="007633D5"/>
    <w:rsid w:val="007633DE"/>
    <w:rsid w:val="0076388A"/>
    <w:rsid w:val="00764C4A"/>
    <w:rsid w:val="007652AD"/>
    <w:rsid w:val="00766288"/>
    <w:rsid w:val="007662FC"/>
    <w:rsid w:val="00770669"/>
    <w:rsid w:val="00770ACE"/>
    <w:rsid w:val="00770F20"/>
    <w:rsid w:val="007718BD"/>
    <w:rsid w:val="00771B7C"/>
    <w:rsid w:val="00772539"/>
    <w:rsid w:val="00772A5B"/>
    <w:rsid w:val="00772BF0"/>
    <w:rsid w:val="00773EBF"/>
    <w:rsid w:val="00774341"/>
    <w:rsid w:val="00774CE1"/>
    <w:rsid w:val="007754A7"/>
    <w:rsid w:val="00775C40"/>
    <w:rsid w:val="007765BE"/>
    <w:rsid w:val="007766EB"/>
    <w:rsid w:val="00777149"/>
    <w:rsid w:val="00777FBF"/>
    <w:rsid w:val="00780098"/>
    <w:rsid w:val="0078012D"/>
    <w:rsid w:val="007802F8"/>
    <w:rsid w:val="007806A5"/>
    <w:rsid w:val="007815E7"/>
    <w:rsid w:val="00781FFC"/>
    <w:rsid w:val="007824A2"/>
    <w:rsid w:val="007826F2"/>
    <w:rsid w:val="00782A6B"/>
    <w:rsid w:val="00782DAB"/>
    <w:rsid w:val="00783A84"/>
    <w:rsid w:val="00783D27"/>
    <w:rsid w:val="00784815"/>
    <w:rsid w:val="00784F2F"/>
    <w:rsid w:val="007857B2"/>
    <w:rsid w:val="00785887"/>
    <w:rsid w:val="0078611B"/>
    <w:rsid w:val="00786D5C"/>
    <w:rsid w:val="00787190"/>
    <w:rsid w:val="0078725C"/>
    <w:rsid w:val="00787619"/>
    <w:rsid w:val="00787713"/>
    <w:rsid w:val="00787DE1"/>
    <w:rsid w:val="0079056A"/>
    <w:rsid w:val="007909B0"/>
    <w:rsid w:val="00790AD9"/>
    <w:rsid w:val="00790B81"/>
    <w:rsid w:val="00791EB1"/>
    <w:rsid w:val="00792310"/>
    <w:rsid w:val="007924BE"/>
    <w:rsid w:val="00792937"/>
    <w:rsid w:val="007929A9"/>
    <w:rsid w:val="007940B5"/>
    <w:rsid w:val="0079440B"/>
    <w:rsid w:val="00794B05"/>
    <w:rsid w:val="0079542D"/>
    <w:rsid w:val="00795671"/>
    <w:rsid w:val="00795BCF"/>
    <w:rsid w:val="00795F3E"/>
    <w:rsid w:val="00796823"/>
    <w:rsid w:val="00796C3A"/>
    <w:rsid w:val="00796CA8"/>
    <w:rsid w:val="00797A4F"/>
    <w:rsid w:val="00797D97"/>
    <w:rsid w:val="007A0284"/>
    <w:rsid w:val="007A11D7"/>
    <w:rsid w:val="007A122B"/>
    <w:rsid w:val="007A1647"/>
    <w:rsid w:val="007A1FAB"/>
    <w:rsid w:val="007A636F"/>
    <w:rsid w:val="007A6E43"/>
    <w:rsid w:val="007A77BA"/>
    <w:rsid w:val="007A7CC5"/>
    <w:rsid w:val="007B03FC"/>
    <w:rsid w:val="007B1819"/>
    <w:rsid w:val="007B2320"/>
    <w:rsid w:val="007B2EBE"/>
    <w:rsid w:val="007B4205"/>
    <w:rsid w:val="007B42C4"/>
    <w:rsid w:val="007B59E8"/>
    <w:rsid w:val="007B5D7D"/>
    <w:rsid w:val="007B7826"/>
    <w:rsid w:val="007C0365"/>
    <w:rsid w:val="007C0412"/>
    <w:rsid w:val="007C08C4"/>
    <w:rsid w:val="007C0C50"/>
    <w:rsid w:val="007C1B64"/>
    <w:rsid w:val="007C211A"/>
    <w:rsid w:val="007C2B15"/>
    <w:rsid w:val="007C2C0F"/>
    <w:rsid w:val="007C308A"/>
    <w:rsid w:val="007C3521"/>
    <w:rsid w:val="007C4098"/>
    <w:rsid w:val="007C4A4D"/>
    <w:rsid w:val="007C63AF"/>
    <w:rsid w:val="007C6AB5"/>
    <w:rsid w:val="007C7113"/>
    <w:rsid w:val="007C7B06"/>
    <w:rsid w:val="007C7FEF"/>
    <w:rsid w:val="007D171A"/>
    <w:rsid w:val="007D1741"/>
    <w:rsid w:val="007D190C"/>
    <w:rsid w:val="007D2484"/>
    <w:rsid w:val="007D2C1E"/>
    <w:rsid w:val="007D2C28"/>
    <w:rsid w:val="007D31BA"/>
    <w:rsid w:val="007D3AF8"/>
    <w:rsid w:val="007D3C46"/>
    <w:rsid w:val="007D3D65"/>
    <w:rsid w:val="007D420B"/>
    <w:rsid w:val="007D50D8"/>
    <w:rsid w:val="007D61B7"/>
    <w:rsid w:val="007D6DFC"/>
    <w:rsid w:val="007D6FAB"/>
    <w:rsid w:val="007D713A"/>
    <w:rsid w:val="007D7FEB"/>
    <w:rsid w:val="007E12C6"/>
    <w:rsid w:val="007E1785"/>
    <w:rsid w:val="007E1852"/>
    <w:rsid w:val="007E1B97"/>
    <w:rsid w:val="007E1F2D"/>
    <w:rsid w:val="007E451E"/>
    <w:rsid w:val="007E46BE"/>
    <w:rsid w:val="007E71E1"/>
    <w:rsid w:val="007E72F6"/>
    <w:rsid w:val="007F0AE9"/>
    <w:rsid w:val="007F12CF"/>
    <w:rsid w:val="007F1451"/>
    <w:rsid w:val="007F14C3"/>
    <w:rsid w:val="007F1856"/>
    <w:rsid w:val="007F2B6C"/>
    <w:rsid w:val="007F328E"/>
    <w:rsid w:val="007F3566"/>
    <w:rsid w:val="007F35FD"/>
    <w:rsid w:val="007F36D7"/>
    <w:rsid w:val="007F3FEE"/>
    <w:rsid w:val="007F4755"/>
    <w:rsid w:val="007F5595"/>
    <w:rsid w:val="007F56C1"/>
    <w:rsid w:val="007F73D6"/>
    <w:rsid w:val="007F78B8"/>
    <w:rsid w:val="00800134"/>
    <w:rsid w:val="008004B1"/>
    <w:rsid w:val="00800D28"/>
    <w:rsid w:val="00802A66"/>
    <w:rsid w:val="0080313C"/>
    <w:rsid w:val="00803195"/>
    <w:rsid w:val="00803615"/>
    <w:rsid w:val="00803E23"/>
    <w:rsid w:val="00804A04"/>
    <w:rsid w:val="00804EAA"/>
    <w:rsid w:val="00805C45"/>
    <w:rsid w:val="00805ED8"/>
    <w:rsid w:val="0080701D"/>
    <w:rsid w:val="008077BA"/>
    <w:rsid w:val="0080787B"/>
    <w:rsid w:val="00812867"/>
    <w:rsid w:val="008144AA"/>
    <w:rsid w:val="0081476C"/>
    <w:rsid w:val="00816043"/>
    <w:rsid w:val="00816237"/>
    <w:rsid w:val="00817097"/>
    <w:rsid w:val="00817881"/>
    <w:rsid w:val="008200E9"/>
    <w:rsid w:val="008212BA"/>
    <w:rsid w:val="008213B3"/>
    <w:rsid w:val="00822BA7"/>
    <w:rsid w:val="0082349A"/>
    <w:rsid w:val="00823D4B"/>
    <w:rsid w:val="00823DEF"/>
    <w:rsid w:val="008248A7"/>
    <w:rsid w:val="00824E4A"/>
    <w:rsid w:val="00824F60"/>
    <w:rsid w:val="008257D6"/>
    <w:rsid w:val="00826CA3"/>
    <w:rsid w:val="0083000B"/>
    <w:rsid w:val="008300B5"/>
    <w:rsid w:val="00831452"/>
    <w:rsid w:val="008323B2"/>
    <w:rsid w:val="008326A0"/>
    <w:rsid w:val="00832788"/>
    <w:rsid w:val="00832B50"/>
    <w:rsid w:val="00833745"/>
    <w:rsid w:val="00834F28"/>
    <w:rsid w:val="008355A1"/>
    <w:rsid w:val="00835FA4"/>
    <w:rsid w:val="00835FA5"/>
    <w:rsid w:val="00836241"/>
    <w:rsid w:val="0083659D"/>
    <w:rsid w:val="00836E2D"/>
    <w:rsid w:val="00836FBB"/>
    <w:rsid w:val="00837950"/>
    <w:rsid w:val="00837A19"/>
    <w:rsid w:val="00840217"/>
    <w:rsid w:val="0084082E"/>
    <w:rsid w:val="00840AE8"/>
    <w:rsid w:val="00841B36"/>
    <w:rsid w:val="00841CDB"/>
    <w:rsid w:val="00842027"/>
    <w:rsid w:val="00842966"/>
    <w:rsid w:val="00842ECC"/>
    <w:rsid w:val="00842F58"/>
    <w:rsid w:val="008440C0"/>
    <w:rsid w:val="008443F0"/>
    <w:rsid w:val="008448CC"/>
    <w:rsid w:val="008449C4"/>
    <w:rsid w:val="00845C72"/>
    <w:rsid w:val="008465DB"/>
    <w:rsid w:val="00846D05"/>
    <w:rsid w:val="008472DE"/>
    <w:rsid w:val="008475CE"/>
    <w:rsid w:val="00847AF3"/>
    <w:rsid w:val="00850048"/>
    <w:rsid w:val="00851E5C"/>
    <w:rsid w:val="00852413"/>
    <w:rsid w:val="0085243D"/>
    <w:rsid w:val="00852D84"/>
    <w:rsid w:val="00856165"/>
    <w:rsid w:val="008561F8"/>
    <w:rsid w:val="00856927"/>
    <w:rsid w:val="00856B25"/>
    <w:rsid w:val="00857070"/>
    <w:rsid w:val="008576E2"/>
    <w:rsid w:val="008602FA"/>
    <w:rsid w:val="00860912"/>
    <w:rsid w:val="00860957"/>
    <w:rsid w:val="00860FF1"/>
    <w:rsid w:val="00861B94"/>
    <w:rsid w:val="00862D70"/>
    <w:rsid w:val="00863981"/>
    <w:rsid w:val="008650CD"/>
    <w:rsid w:val="008652FA"/>
    <w:rsid w:val="00865B02"/>
    <w:rsid w:val="00866270"/>
    <w:rsid w:val="00866613"/>
    <w:rsid w:val="008705A5"/>
    <w:rsid w:val="00871430"/>
    <w:rsid w:val="00872E63"/>
    <w:rsid w:val="00873031"/>
    <w:rsid w:val="0087377F"/>
    <w:rsid w:val="0087388F"/>
    <w:rsid w:val="00873E66"/>
    <w:rsid w:val="00874401"/>
    <w:rsid w:val="0087645D"/>
    <w:rsid w:val="00877E22"/>
    <w:rsid w:val="008801C3"/>
    <w:rsid w:val="008801FF"/>
    <w:rsid w:val="00880556"/>
    <w:rsid w:val="00880A73"/>
    <w:rsid w:val="00881451"/>
    <w:rsid w:val="00881549"/>
    <w:rsid w:val="00881788"/>
    <w:rsid w:val="0088187C"/>
    <w:rsid w:val="00881A45"/>
    <w:rsid w:val="008829BB"/>
    <w:rsid w:val="00882B51"/>
    <w:rsid w:val="00882BA6"/>
    <w:rsid w:val="008831E7"/>
    <w:rsid w:val="00883795"/>
    <w:rsid w:val="008839B6"/>
    <w:rsid w:val="00885C3D"/>
    <w:rsid w:val="0088656B"/>
    <w:rsid w:val="00886B50"/>
    <w:rsid w:val="00890546"/>
    <w:rsid w:val="00890795"/>
    <w:rsid w:val="00890B7F"/>
    <w:rsid w:val="00891998"/>
    <w:rsid w:val="0089225C"/>
    <w:rsid w:val="00893663"/>
    <w:rsid w:val="00894B62"/>
    <w:rsid w:val="00896A88"/>
    <w:rsid w:val="0089790D"/>
    <w:rsid w:val="00897F57"/>
    <w:rsid w:val="008A02C9"/>
    <w:rsid w:val="008A038D"/>
    <w:rsid w:val="008A06BC"/>
    <w:rsid w:val="008A1408"/>
    <w:rsid w:val="008A25E6"/>
    <w:rsid w:val="008A295C"/>
    <w:rsid w:val="008A3797"/>
    <w:rsid w:val="008A4156"/>
    <w:rsid w:val="008A48BD"/>
    <w:rsid w:val="008A49E0"/>
    <w:rsid w:val="008A5A38"/>
    <w:rsid w:val="008A634D"/>
    <w:rsid w:val="008B02C2"/>
    <w:rsid w:val="008B02E2"/>
    <w:rsid w:val="008B07D7"/>
    <w:rsid w:val="008B1849"/>
    <w:rsid w:val="008B185F"/>
    <w:rsid w:val="008B18FE"/>
    <w:rsid w:val="008B27E9"/>
    <w:rsid w:val="008B2DD6"/>
    <w:rsid w:val="008B2DDE"/>
    <w:rsid w:val="008B5B75"/>
    <w:rsid w:val="008B6348"/>
    <w:rsid w:val="008B7DF0"/>
    <w:rsid w:val="008C1BC2"/>
    <w:rsid w:val="008C1F1D"/>
    <w:rsid w:val="008C298B"/>
    <w:rsid w:val="008C2B44"/>
    <w:rsid w:val="008C3746"/>
    <w:rsid w:val="008C3BD7"/>
    <w:rsid w:val="008C522F"/>
    <w:rsid w:val="008C53B3"/>
    <w:rsid w:val="008C5552"/>
    <w:rsid w:val="008C6750"/>
    <w:rsid w:val="008C683F"/>
    <w:rsid w:val="008C6CFA"/>
    <w:rsid w:val="008D0DB4"/>
    <w:rsid w:val="008D3B11"/>
    <w:rsid w:val="008D441F"/>
    <w:rsid w:val="008D46E2"/>
    <w:rsid w:val="008D4EA0"/>
    <w:rsid w:val="008D5556"/>
    <w:rsid w:val="008D5711"/>
    <w:rsid w:val="008D5F82"/>
    <w:rsid w:val="008D604A"/>
    <w:rsid w:val="008D7004"/>
    <w:rsid w:val="008D7E88"/>
    <w:rsid w:val="008D7F0D"/>
    <w:rsid w:val="008E0E3B"/>
    <w:rsid w:val="008E1B0A"/>
    <w:rsid w:val="008E27E2"/>
    <w:rsid w:val="008E2D04"/>
    <w:rsid w:val="008E3594"/>
    <w:rsid w:val="008E3AAB"/>
    <w:rsid w:val="008E3AFD"/>
    <w:rsid w:val="008E408E"/>
    <w:rsid w:val="008E4A68"/>
    <w:rsid w:val="008E7A39"/>
    <w:rsid w:val="008F0205"/>
    <w:rsid w:val="008F19A4"/>
    <w:rsid w:val="008F1A4E"/>
    <w:rsid w:val="008F1CEB"/>
    <w:rsid w:val="008F1F97"/>
    <w:rsid w:val="008F27B2"/>
    <w:rsid w:val="008F2905"/>
    <w:rsid w:val="008F3A89"/>
    <w:rsid w:val="008F3A8E"/>
    <w:rsid w:val="008F3B8A"/>
    <w:rsid w:val="008F3FC5"/>
    <w:rsid w:val="008F4574"/>
    <w:rsid w:val="008F498A"/>
    <w:rsid w:val="008F63BD"/>
    <w:rsid w:val="008F70FD"/>
    <w:rsid w:val="008F79DB"/>
    <w:rsid w:val="008F7C59"/>
    <w:rsid w:val="008F7FF6"/>
    <w:rsid w:val="009004D5"/>
    <w:rsid w:val="00901EEA"/>
    <w:rsid w:val="0090215E"/>
    <w:rsid w:val="009034BA"/>
    <w:rsid w:val="00904276"/>
    <w:rsid w:val="00905314"/>
    <w:rsid w:val="00905560"/>
    <w:rsid w:val="00905B45"/>
    <w:rsid w:val="00905F1B"/>
    <w:rsid w:val="0090627E"/>
    <w:rsid w:val="00906DAD"/>
    <w:rsid w:val="0091005E"/>
    <w:rsid w:val="0091028C"/>
    <w:rsid w:val="0091099A"/>
    <w:rsid w:val="00910EDA"/>
    <w:rsid w:val="009112F3"/>
    <w:rsid w:val="0091240B"/>
    <w:rsid w:val="009124EC"/>
    <w:rsid w:val="00913BF2"/>
    <w:rsid w:val="00914D9A"/>
    <w:rsid w:val="00917ACE"/>
    <w:rsid w:val="00922028"/>
    <w:rsid w:val="00924D8A"/>
    <w:rsid w:val="00925D65"/>
    <w:rsid w:val="009262B0"/>
    <w:rsid w:val="009263C8"/>
    <w:rsid w:val="00926707"/>
    <w:rsid w:val="009270D6"/>
    <w:rsid w:val="00927272"/>
    <w:rsid w:val="009310BE"/>
    <w:rsid w:val="009311F3"/>
    <w:rsid w:val="00932069"/>
    <w:rsid w:val="009325F3"/>
    <w:rsid w:val="009326F7"/>
    <w:rsid w:val="00932732"/>
    <w:rsid w:val="00932A9F"/>
    <w:rsid w:val="00932C8F"/>
    <w:rsid w:val="00932E97"/>
    <w:rsid w:val="009330B4"/>
    <w:rsid w:val="0093423A"/>
    <w:rsid w:val="009356AD"/>
    <w:rsid w:val="00935D08"/>
    <w:rsid w:val="00936778"/>
    <w:rsid w:val="009370A1"/>
    <w:rsid w:val="00937B7E"/>
    <w:rsid w:val="00937D80"/>
    <w:rsid w:val="00940A2E"/>
    <w:rsid w:val="009418D2"/>
    <w:rsid w:val="00943043"/>
    <w:rsid w:val="00943F5F"/>
    <w:rsid w:val="0094435D"/>
    <w:rsid w:val="00945901"/>
    <w:rsid w:val="00945F30"/>
    <w:rsid w:val="009462D2"/>
    <w:rsid w:val="00947765"/>
    <w:rsid w:val="009501E5"/>
    <w:rsid w:val="00950921"/>
    <w:rsid w:val="00951725"/>
    <w:rsid w:val="009518A2"/>
    <w:rsid w:val="00951AC2"/>
    <w:rsid w:val="00951DD5"/>
    <w:rsid w:val="00951E5E"/>
    <w:rsid w:val="00953820"/>
    <w:rsid w:val="00953943"/>
    <w:rsid w:val="00954D43"/>
    <w:rsid w:val="00955779"/>
    <w:rsid w:val="00955F75"/>
    <w:rsid w:val="00957447"/>
    <w:rsid w:val="00960FE4"/>
    <w:rsid w:val="0096108F"/>
    <w:rsid w:val="00962545"/>
    <w:rsid w:val="009631B3"/>
    <w:rsid w:val="00963645"/>
    <w:rsid w:val="00963892"/>
    <w:rsid w:val="00964F94"/>
    <w:rsid w:val="009656F2"/>
    <w:rsid w:val="00965AD4"/>
    <w:rsid w:val="00965F2A"/>
    <w:rsid w:val="009662A8"/>
    <w:rsid w:val="00966C34"/>
    <w:rsid w:val="00970377"/>
    <w:rsid w:val="00970FB8"/>
    <w:rsid w:val="0097144D"/>
    <w:rsid w:val="009714A2"/>
    <w:rsid w:val="009720DE"/>
    <w:rsid w:val="0097398F"/>
    <w:rsid w:val="00974843"/>
    <w:rsid w:val="00974B21"/>
    <w:rsid w:val="00974BCF"/>
    <w:rsid w:val="0097541F"/>
    <w:rsid w:val="00975D6A"/>
    <w:rsid w:val="009762AB"/>
    <w:rsid w:val="00977407"/>
    <w:rsid w:val="009812CB"/>
    <w:rsid w:val="009835A8"/>
    <w:rsid w:val="00985B63"/>
    <w:rsid w:val="0098625A"/>
    <w:rsid w:val="0098642C"/>
    <w:rsid w:val="00987431"/>
    <w:rsid w:val="00987DA6"/>
    <w:rsid w:val="00987F32"/>
    <w:rsid w:val="0099079B"/>
    <w:rsid w:val="00990A98"/>
    <w:rsid w:val="00990F59"/>
    <w:rsid w:val="00991AD0"/>
    <w:rsid w:val="00993510"/>
    <w:rsid w:val="00993A24"/>
    <w:rsid w:val="0099459E"/>
    <w:rsid w:val="009959C6"/>
    <w:rsid w:val="00995F17"/>
    <w:rsid w:val="00996BD1"/>
    <w:rsid w:val="00997D3C"/>
    <w:rsid w:val="009A0440"/>
    <w:rsid w:val="009A09FB"/>
    <w:rsid w:val="009A21A9"/>
    <w:rsid w:val="009A28FE"/>
    <w:rsid w:val="009A3ED0"/>
    <w:rsid w:val="009A4FEC"/>
    <w:rsid w:val="009A52DB"/>
    <w:rsid w:val="009A65A7"/>
    <w:rsid w:val="009A672B"/>
    <w:rsid w:val="009A6C4A"/>
    <w:rsid w:val="009A6D3F"/>
    <w:rsid w:val="009A7253"/>
    <w:rsid w:val="009A7A06"/>
    <w:rsid w:val="009A7A10"/>
    <w:rsid w:val="009B1D9A"/>
    <w:rsid w:val="009B25D1"/>
    <w:rsid w:val="009B26E9"/>
    <w:rsid w:val="009B32C7"/>
    <w:rsid w:val="009B3B47"/>
    <w:rsid w:val="009B44E7"/>
    <w:rsid w:val="009B4609"/>
    <w:rsid w:val="009B486F"/>
    <w:rsid w:val="009B52B2"/>
    <w:rsid w:val="009B57BE"/>
    <w:rsid w:val="009B5CB9"/>
    <w:rsid w:val="009B68BD"/>
    <w:rsid w:val="009B7030"/>
    <w:rsid w:val="009B739E"/>
    <w:rsid w:val="009C00FF"/>
    <w:rsid w:val="009C04EA"/>
    <w:rsid w:val="009C1BFD"/>
    <w:rsid w:val="009C1F1A"/>
    <w:rsid w:val="009C25A4"/>
    <w:rsid w:val="009C270A"/>
    <w:rsid w:val="009C2875"/>
    <w:rsid w:val="009C3207"/>
    <w:rsid w:val="009C34A8"/>
    <w:rsid w:val="009C3F0D"/>
    <w:rsid w:val="009C43B4"/>
    <w:rsid w:val="009C4569"/>
    <w:rsid w:val="009C45E2"/>
    <w:rsid w:val="009C4AB7"/>
    <w:rsid w:val="009C5533"/>
    <w:rsid w:val="009C5A7D"/>
    <w:rsid w:val="009C5CE9"/>
    <w:rsid w:val="009C61AB"/>
    <w:rsid w:val="009C668F"/>
    <w:rsid w:val="009C697B"/>
    <w:rsid w:val="009C6CAF"/>
    <w:rsid w:val="009C708C"/>
    <w:rsid w:val="009C7576"/>
    <w:rsid w:val="009C75A5"/>
    <w:rsid w:val="009C773D"/>
    <w:rsid w:val="009C774F"/>
    <w:rsid w:val="009D136F"/>
    <w:rsid w:val="009D13AE"/>
    <w:rsid w:val="009D1A0D"/>
    <w:rsid w:val="009D2670"/>
    <w:rsid w:val="009D3E62"/>
    <w:rsid w:val="009D4540"/>
    <w:rsid w:val="009D6761"/>
    <w:rsid w:val="009D7682"/>
    <w:rsid w:val="009E1791"/>
    <w:rsid w:val="009E1818"/>
    <w:rsid w:val="009E1998"/>
    <w:rsid w:val="009E1A59"/>
    <w:rsid w:val="009E1CD1"/>
    <w:rsid w:val="009E2501"/>
    <w:rsid w:val="009E2684"/>
    <w:rsid w:val="009E2840"/>
    <w:rsid w:val="009E2C1C"/>
    <w:rsid w:val="009E4355"/>
    <w:rsid w:val="009E470B"/>
    <w:rsid w:val="009E48BC"/>
    <w:rsid w:val="009E5549"/>
    <w:rsid w:val="009E5D67"/>
    <w:rsid w:val="009E6B3D"/>
    <w:rsid w:val="009E6BA0"/>
    <w:rsid w:val="009E70C1"/>
    <w:rsid w:val="009E735D"/>
    <w:rsid w:val="009E7B2C"/>
    <w:rsid w:val="009F05E7"/>
    <w:rsid w:val="009F18F8"/>
    <w:rsid w:val="009F191D"/>
    <w:rsid w:val="009F289E"/>
    <w:rsid w:val="009F2B46"/>
    <w:rsid w:val="009F2FFB"/>
    <w:rsid w:val="009F379E"/>
    <w:rsid w:val="009F3C5E"/>
    <w:rsid w:val="009F3CCC"/>
    <w:rsid w:val="009F4174"/>
    <w:rsid w:val="009F4330"/>
    <w:rsid w:val="009F47B9"/>
    <w:rsid w:val="009F584E"/>
    <w:rsid w:val="009F5A63"/>
    <w:rsid w:val="009F60D3"/>
    <w:rsid w:val="009F611B"/>
    <w:rsid w:val="009F6A6B"/>
    <w:rsid w:val="009F6D3B"/>
    <w:rsid w:val="009F6E53"/>
    <w:rsid w:val="009F772D"/>
    <w:rsid w:val="009F7848"/>
    <w:rsid w:val="009F78A0"/>
    <w:rsid w:val="009F7AB6"/>
    <w:rsid w:val="009F7DBE"/>
    <w:rsid w:val="00A0019A"/>
    <w:rsid w:val="00A0096D"/>
    <w:rsid w:val="00A00D6F"/>
    <w:rsid w:val="00A00F73"/>
    <w:rsid w:val="00A01321"/>
    <w:rsid w:val="00A01E9E"/>
    <w:rsid w:val="00A0233A"/>
    <w:rsid w:val="00A02421"/>
    <w:rsid w:val="00A0258D"/>
    <w:rsid w:val="00A0260A"/>
    <w:rsid w:val="00A044FF"/>
    <w:rsid w:val="00A05B00"/>
    <w:rsid w:val="00A060B2"/>
    <w:rsid w:val="00A064FA"/>
    <w:rsid w:val="00A066FC"/>
    <w:rsid w:val="00A06C2F"/>
    <w:rsid w:val="00A0775C"/>
    <w:rsid w:val="00A07901"/>
    <w:rsid w:val="00A07932"/>
    <w:rsid w:val="00A07D6F"/>
    <w:rsid w:val="00A10574"/>
    <w:rsid w:val="00A11062"/>
    <w:rsid w:val="00A11F8D"/>
    <w:rsid w:val="00A12E7F"/>
    <w:rsid w:val="00A1786A"/>
    <w:rsid w:val="00A20978"/>
    <w:rsid w:val="00A20D9D"/>
    <w:rsid w:val="00A21311"/>
    <w:rsid w:val="00A2134F"/>
    <w:rsid w:val="00A21523"/>
    <w:rsid w:val="00A218CB"/>
    <w:rsid w:val="00A21E62"/>
    <w:rsid w:val="00A23444"/>
    <w:rsid w:val="00A2479A"/>
    <w:rsid w:val="00A25227"/>
    <w:rsid w:val="00A2522E"/>
    <w:rsid w:val="00A2623B"/>
    <w:rsid w:val="00A2672A"/>
    <w:rsid w:val="00A27113"/>
    <w:rsid w:val="00A27BA9"/>
    <w:rsid w:val="00A27DD1"/>
    <w:rsid w:val="00A3000B"/>
    <w:rsid w:val="00A30431"/>
    <w:rsid w:val="00A30786"/>
    <w:rsid w:val="00A31F31"/>
    <w:rsid w:val="00A32D50"/>
    <w:rsid w:val="00A32E8C"/>
    <w:rsid w:val="00A33076"/>
    <w:rsid w:val="00A33C19"/>
    <w:rsid w:val="00A3455A"/>
    <w:rsid w:val="00A34973"/>
    <w:rsid w:val="00A34A4C"/>
    <w:rsid w:val="00A35724"/>
    <w:rsid w:val="00A358B0"/>
    <w:rsid w:val="00A35E12"/>
    <w:rsid w:val="00A367ED"/>
    <w:rsid w:val="00A3685E"/>
    <w:rsid w:val="00A37287"/>
    <w:rsid w:val="00A378E8"/>
    <w:rsid w:val="00A40E78"/>
    <w:rsid w:val="00A41270"/>
    <w:rsid w:val="00A43C16"/>
    <w:rsid w:val="00A440AB"/>
    <w:rsid w:val="00A451CE"/>
    <w:rsid w:val="00A452A1"/>
    <w:rsid w:val="00A454E5"/>
    <w:rsid w:val="00A4581B"/>
    <w:rsid w:val="00A45985"/>
    <w:rsid w:val="00A460A5"/>
    <w:rsid w:val="00A46683"/>
    <w:rsid w:val="00A47662"/>
    <w:rsid w:val="00A47C6C"/>
    <w:rsid w:val="00A50672"/>
    <w:rsid w:val="00A50AC6"/>
    <w:rsid w:val="00A50C23"/>
    <w:rsid w:val="00A52393"/>
    <w:rsid w:val="00A54144"/>
    <w:rsid w:val="00A548A9"/>
    <w:rsid w:val="00A54A40"/>
    <w:rsid w:val="00A56019"/>
    <w:rsid w:val="00A5619F"/>
    <w:rsid w:val="00A56412"/>
    <w:rsid w:val="00A566BD"/>
    <w:rsid w:val="00A57D9C"/>
    <w:rsid w:val="00A60B34"/>
    <w:rsid w:val="00A623A6"/>
    <w:rsid w:val="00A62EC1"/>
    <w:rsid w:val="00A639CB"/>
    <w:rsid w:val="00A64043"/>
    <w:rsid w:val="00A64847"/>
    <w:rsid w:val="00A64E6A"/>
    <w:rsid w:val="00A65A91"/>
    <w:rsid w:val="00A65AA8"/>
    <w:rsid w:val="00A65D3C"/>
    <w:rsid w:val="00A65FC8"/>
    <w:rsid w:val="00A67465"/>
    <w:rsid w:val="00A679CE"/>
    <w:rsid w:val="00A70377"/>
    <w:rsid w:val="00A7057C"/>
    <w:rsid w:val="00A70991"/>
    <w:rsid w:val="00A71612"/>
    <w:rsid w:val="00A716FB"/>
    <w:rsid w:val="00A71FF4"/>
    <w:rsid w:val="00A721D9"/>
    <w:rsid w:val="00A72458"/>
    <w:rsid w:val="00A728D9"/>
    <w:rsid w:val="00A72DAF"/>
    <w:rsid w:val="00A730B0"/>
    <w:rsid w:val="00A73E15"/>
    <w:rsid w:val="00A742CA"/>
    <w:rsid w:val="00A754AE"/>
    <w:rsid w:val="00A76A2C"/>
    <w:rsid w:val="00A76CCC"/>
    <w:rsid w:val="00A82768"/>
    <w:rsid w:val="00A83657"/>
    <w:rsid w:val="00A83DAD"/>
    <w:rsid w:val="00A878D3"/>
    <w:rsid w:val="00A87F94"/>
    <w:rsid w:val="00A90072"/>
    <w:rsid w:val="00A90309"/>
    <w:rsid w:val="00A90687"/>
    <w:rsid w:val="00A909C5"/>
    <w:rsid w:val="00A9172B"/>
    <w:rsid w:val="00A92B53"/>
    <w:rsid w:val="00A9397C"/>
    <w:rsid w:val="00A94C5F"/>
    <w:rsid w:val="00A952E0"/>
    <w:rsid w:val="00A95B73"/>
    <w:rsid w:val="00A95BBF"/>
    <w:rsid w:val="00A96789"/>
    <w:rsid w:val="00A96ED9"/>
    <w:rsid w:val="00A97999"/>
    <w:rsid w:val="00AA0EDD"/>
    <w:rsid w:val="00AA0F89"/>
    <w:rsid w:val="00AA1438"/>
    <w:rsid w:val="00AA1442"/>
    <w:rsid w:val="00AA20DD"/>
    <w:rsid w:val="00AA298C"/>
    <w:rsid w:val="00AA3195"/>
    <w:rsid w:val="00AA3DA8"/>
    <w:rsid w:val="00AA58C2"/>
    <w:rsid w:val="00AA5BB7"/>
    <w:rsid w:val="00AA6482"/>
    <w:rsid w:val="00AA6835"/>
    <w:rsid w:val="00AA698C"/>
    <w:rsid w:val="00AA6F29"/>
    <w:rsid w:val="00AB00F3"/>
    <w:rsid w:val="00AB012B"/>
    <w:rsid w:val="00AB0C6B"/>
    <w:rsid w:val="00AB2935"/>
    <w:rsid w:val="00AB32A0"/>
    <w:rsid w:val="00AB4748"/>
    <w:rsid w:val="00AB48F2"/>
    <w:rsid w:val="00AB5BC7"/>
    <w:rsid w:val="00AB5CFA"/>
    <w:rsid w:val="00AB7708"/>
    <w:rsid w:val="00AC181A"/>
    <w:rsid w:val="00AC2188"/>
    <w:rsid w:val="00AC2463"/>
    <w:rsid w:val="00AC25EA"/>
    <w:rsid w:val="00AC3A93"/>
    <w:rsid w:val="00AC41CA"/>
    <w:rsid w:val="00AC48C6"/>
    <w:rsid w:val="00AC4CB0"/>
    <w:rsid w:val="00AC5D16"/>
    <w:rsid w:val="00AD0070"/>
    <w:rsid w:val="00AD0B98"/>
    <w:rsid w:val="00AD14FF"/>
    <w:rsid w:val="00AD1A0B"/>
    <w:rsid w:val="00AD251D"/>
    <w:rsid w:val="00AD30A9"/>
    <w:rsid w:val="00AD3630"/>
    <w:rsid w:val="00AD376F"/>
    <w:rsid w:val="00AD481C"/>
    <w:rsid w:val="00AD48A1"/>
    <w:rsid w:val="00AD49EF"/>
    <w:rsid w:val="00AD56C9"/>
    <w:rsid w:val="00AD5EE1"/>
    <w:rsid w:val="00AD61F8"/>
    <w:rsid w:val="00AD6C45"/>
    <w:rsid w:val="00AD75DC"/>
    <w:rsid w:val="00AD7899"/>
    <w:rsid w:val="00AD7DE9"/>
    <w:rsid w:val="00AD7EBF"/>
    <w:rsid w:val="00AE1371"/>
    <w:rsid w:val="00AE1F37"/>
    <w:rsid w:val="00AE2A45"/>
    <w:rsid w:val="00AE4833"/>
    <w:rsid w:val="00AE493D"/>
    <w:rsid w:val="00AE5BB6"/>
    <w:rsid w:val="00AE5D98"/>
    <w:rsid w:val="00AE6078"/>
    <w:rsid w:val="00AF11DC"/>
    <w:rsid w:val="00AF199A"/>
    <w:rsid w:val="00AF1F40"/>
    <w:rsid w:val="00AF2180"/>
    <w:rsid w:val="00AF2198"/>
    <w:rsid w:val="00AF2506"/>
    <w:rsid w:val="00AF43E9"/>
    <w:rsid w:val="00AF66AB"/>
    <w:rsid w:val="00AF6AA2"/>
    <w:rsid w:val="00AF7586"/>
    <w:rsid w:val="00B00492"/>
    <w:rsid w:val="00B00C78"/>
    <w:rsid w:val="00B0147D"/>
    <w:rsid w:val="00B018D5"/>
    <w:rsid w:val="00B0234D"/>
    <w:rsid w:val="00B023DA"/>
    <w:rsid w:val="00B02CE3"/>
    <w:rsid w:val="00B03694"/>
    <w:rsid w:val="00B04943"/>
    <w:rsid w:val="00B058A5"/>
    <w:rsid w:val="00B05986"/>
    <w:rsid w:val="00B066BC"/>
    <w:rsid w:val="00B0758C"/>
    <w:rsid w:val="00B12B25"/>
    <w:rsid w:val="00B1413E"/>
    <w:rsid w:val="00B14DD8"/>
    <w:rsid w:val="00B1549B"/>
    <w:rsid w:val="00B16E90"/>
    <w:rsid w:val="00B17AAD"/>
    <w:rsid w:val="00B17AC5"/>
    <w:rsid w:val="00B2049F"/>
    <w:rsid w:val="00B20EEA"/>
    <w:rsid w:val="00B2147E"/>
    <w:rsid w:val="00B214DD"/>
    <w:rsid w:val="00B21526"/>
    <w:rsid w:val="00B21C5D"/>
    <w:rsid w:val="00B21D08"/>
    <w:rsid w:val="00B221D9"/>
    <w:rsid w:val="00B22321"/>
    <w:rsid w:val="00B2257D"/>
    <w:rsid w:val="00B23A9F"/>
    <w:rsid w:val="00B24009"/>
    <w:rsid w:val="00B25393"/>
    <w:rsid w:val="00B256ED"/>
    <w:rsid w:val="00B25734"/>
    <w:rsid w:val="00B2586B"/>
    <w:rsid w:val="00B25963"/>
    <w:rsid w:val="00B267F8"/>
    <w:rsid w:val="00B26AD6"/>
    <w:rsid w:val="00B27D09"/>
    <w:rsid w:val="00B309ED"/>
    <w:rsid w:val="00B32AB5"/>
    <w:rsid w:val="00B32BC9"/>
    <w:rsid w:val="00B34266"/>
    <w:rsid w:val="00B3457E"/>
    <w:rsid w:val="00B34584"/>
    <w:rsid w:val="00B34A4D"/>
    <w:rsid w:val="00B34F96"/>
    <w:rsid w:val="00B358FF"/>
    <w:rsid w:val="00B35928"/>
    <w:rsid w:val="00B35C56"/>
    <w:rsid w:val="00B36106"/>
    <w:rsid w:val="00B36986"/>
    <w:rsid w:val="00B36B18"/>
    <w:rsid w:val="00B36E7A"/>
    <w:rsid w:val="00B37D13"/>
    <w:rsid w:val="00B37FF5"/>
    <w:rsid w:val="00B4048B"/>
    <w:rsid w:val="00B40625"/>
    <w:rsid w:val="00B40B32"/>
    <w:rsid w:val="00B41483"/>
    <w:rsid w:val="00B423B4"/>
    <w:rsid w:val="00B43613"/>
    <w:rsid w:val="00B45263"/>
    <w:rsid w:val="00B45F5D"/>
    <w:rsid w:val="00B46DAF"/>
    <w:rsid w:val="00B47C4E"/>
    <w:rsid w:val="00B47C6D"/>
    <w:rsid w:val="00B47E6D"/>
    <w:rsid w:val="00B5036B"/>
    <w:rsid w:val="00B505DE"/>
    <w:rsid w:val="00B505F8"/>
    <w:rsid w:val="00B507A9"/>
    <w:rsid w:val="00B50D65"/>
    <w:rsid w:val="00B51608"/>
    <w:rsid w:val="00B522EB"/>
    <w:rsid w:val="00B52CE7"/>
    <w:rsid w:val="00B53E66"/>
    <w:rsid w:val="00B53F71"/>
    <w:rsid w:val="00B558BE"/>
    <w:rsid w:val="00B559C9"/>
    <w:rsid w:val="00B55CD5"/>
    <w:rsid w:val="00B55D8F"/>
    <w:rsid w:val="00B562E7"/>
    <w:rsid w:val="00B568E5"/>
    <w:rsid w:val="00B575E7"/>
    <w:rsid w:val="00B602DA"/>
    <w:rsid w:val="00B60783"/>
    <w:rsid w:val="00B6079A"/>
    <w:rsid w:val="00B61480"/>
    <w:rsid w:val="00B61D5A"/>
    <w:rsid w:val="00B61E77"/>
    <w:rsid w:val="00B62D4A"/>
    <w:rsid w:val="00B6325C"/>
    <w:rsid w:val="00B657D7"/>
    <w:rsid w:val="00B66ACC"/>
    <w:rsid w:val="00B66DD6"/>
    <w:rsid w:val="00B6735E"/>
    <w:rsid w:val="00B676B0"/>
    <w:rsid w:val="00B703DE"/>
    <w:rsid w:val="00B7044F"/>
    <w:rsid w:val="00B70BB7"/>
    <w:rsid w:val="00B70F4B"/>
    <w:rsid w:val="00B71145"/>
    <w:rsid w:val="00B71330"/>
    <w:rsid w:val="00B71502"/>
    <w:rsid w:val="00B722B7"/>
    <w:rsid w:val="00B72FC1"/>
    <w:rsid w:val="00B764CC"/>
    <w:rsid w:val="00B76513"/>
    <w:rsid w:val="00B767E4"/>
    <w:rsid w:val="00B77329"/>
    <w:rsid w:val="00B77B5F"/>
    <w:rsid w:val="00B805B2"/>
    <w:rsid w:val="00B8076C"/>
    <w:rsid w:val="00B80E62"/>
    <w:rsid w:val="00B8126C"/>
    <w:rsid w:val="00B81951"/>
    <w:rsid w:val="00B82076"/>
    <w:rsid w:val="00B8221E"/>
    <w:rsid w:val="00B836A2"/>
    <w:rsid w:val="00B83A5F"/>
    <w:rsid w:val="00B83B25"/>
    <w:rsid w:val="00B84026"/>
    <w:rsid w:val="00B84906"/>
    <w:rsid w:val="00B8605A"/>
    <w:rsid w:val="00B91074"/>
    <w:rsid w:val="00B92776"/>
    <w:rsid w:val="00B9381D"/>
    <w:rsid w:val="00B9431C"/>
    <w:rsid w:val="00B96673"/>
    <w:rsid w:val="00B968B6"/>
    <w:rsid w:val="00B9695D"/>
    <w:rsid w:val="00B97F82"/>
    <w:rsid w:val="00BA01A0"/>
    <w:rsid w:val="00BA09DB"/>
    <w:rsid w:val="00BA12E5"/>
    <w:rsid w:val="00BA235D"/>
    <w:rsid w:val="00BA24C2"/>
    <w:rsid w:val="00BA3BB7"/>
    <w:rsid w:val="00BA5EA7"/>
    <w:rsid w:val="00BB0627"/>
    <w:rsid w:val="00BB07BD"/>
    <w:rsid w:val="00BB1004"/>
    <w:rsid w:val="00BB124C"/>
    <w:rsid w:val="00BB247E"/>
    <w:rsid w:val="00BB3757"/>
    <w:rsid w:val="00BB484E"/>
    <w:rsid w:val="00BB5D14"/>
    <w:rsid w:val="00BB62C5"/>
    <w:rsid w:val="00BB75CF"/>
    <w:rsid w:val="00BB7ECA"/>
    <w:rsid w:val="00BC02F7"/>
    <w:rsid w:val="00BC03CA"/>
    <w:rsid w:val="00BC0690"/>
    <w:rsid w:val="00BC28B4"/>
    <w:rsid w:val="00BC3DCE"/>
    <w:rsid w:val="00BC53EC"/>
    <w:rsid w:val="00BC5D4F"/>
    <w:rsid w:val="00BC5EAE"/>
    <w:rsid w:val="00BC706B"/>
    <w:rsid w:val="00BC74BB"/>
    <w:rsid w:val="00BD1FB5"/>
    <w:rsid w:val="00BD23FF"/>
    <w:rsid w:val="00BD4037"/>
    <w:rsid w:val="00BD40C4"/>
    <w:rsid w:val="00BD48FB"/>
    <w:rsid w:val="00BD5C4B"/>
    <w:rsid w:val="00BD6D23"/>
    <w:rsid w:val="00BD6DB0"/>
    <w:rsid w:val="00BD780E"/>
    <w:rsid w:val="00BE0794"/>
    <w:rsid w:val="00BE0D22"/>
    <w:rsid w:val="00BE2372"/>
    <w:rsid w:val="00BE23F2"/>
    <w:rsid w:val="00BE24DE"/>
    <w:rsid w:val="00BE3373"/>
    <w:rsid w:val="00BE399E"/>
    <w:rsid w:val="00BE45D1"/>
    <w:rsid w:val="00BE4C67"/>
    <w:rsid w:val="00BE62F8"/>
    <w:rsid w:val="00BE6D39"/>
    <w:rsid w:val="00BE6FB0"/>
    <w:rsid w:val="00BE78EE"/>
    <w:rsid w:val="00BF0907"/>
    <w:rsid w:val="00BF11C2"/>
    <w:rsid w:val="00BF2125"/>
    <w:rsid w:val="00BF2E01"/>
    <w:rsid w:val="00BF3603"/>
    <w:rsid w:val="00BF385B"/>
    <w:rsid w:val="00BF3FD9"/>
    <w:rsid w:val="00BF6759"/>
    <w:rsid w:val="00BF692E"/>
    <w:rsid w:val="00BF6F75"/>
    <w:rsid w:val="00BF7F43"/>
    <w:rsid w:val="00C005FA"/>
    <w:rsid w:val="00C00C9B"/>
    <w:rsid w:val="00C0122D"/>
    <w:rsid w:val="00C01591"/>
    <w:rsid w:val="00C01713"/>
    <w:rsid w:val="00C02BA1"/>
    <w:rsid w:val="00C02F0A"/>
    <w:rsid w:val="00C03913"/>
    <w:rsid w:val="00C04185"/>
    <w:rsid w:val="00C0464F"/>
    <w:rsid w:val="00C04978"/>
    <w:rsid w:val="00C05304"/>
    <w:rsid w:val="00C05AC3"/>
    <w:rsid w:val="00C05FBF"/>
    <w:rsid w:val="00C061A8"/>
    <w:rsid w:val="00C06472"/>
    <w:rsid w:val="00C07914"/>
    <w:rsid w:val="00C07CF4"/>
    <w:rsid w:val="00C07FD6"/>
    <w:rsid w:val="00C106FE"/>
    <w:rsid w:val="00C109FB"/>
    <w:rsid w:val="00C12861"/>
    <w:rsid w:val="00C1370A"/>
    <w:rsid w:val="00C13A53"/>
    <w:rsid w:val="00C13C5F"/>
    <w:rsid w:val="00C1444B"/>
    <w:rsid w:val="00C1548A"/>
    <w:rsid w:val="00C15B4C"/>
    <w:rsid w:val="00C16DFC"/>
    <w:rsid w:val="00C17175"/>
    <w:rsid w:val="00C175C5"/>
    <w:rsid w:val="00C17C58"/>
    <w:rsid w:val="00C202E8"/>
    <w:rsid w:val="00C211CD"/>
    <w:rsid w:val="00C225C0"/>
    <w:rsid w:val="00C229CA"/>
    <w:rsid w:val="00C22C71"/>
    <w:rsid w:val="00C23C90"/>
    <w:rsid w:val="00C24090"/>
    <w:rsid w:val="00C241D5"/>
    <w:rsid w:val="00C250BE"/>
    <w:rsid w:val="00C251EB"/>
    <w:rsid w:val="00C25DE6"/>
    <w:rsid w:val="00C27A07"/>
    <w:rsid w:val="00C3027B"/>
    <w:rsid w:val="00C32F18"/>
    <w:rsid w:val="00C3314B"/>
    <w:rsid w:val="00C33D1F"/>
    <w:rsid w:val="00C347A2"/>
    <w:rsid w:val="00C352F5"/>
    <w:rsid w:val="00C35F27"/>
    <w:rsid w:val="00C36148"/>
    <w:rsid w:val="00C36174"/>
    <w:rsid w:val="00C362B1"/>
    <w:rsid w:val="00C3707A"/>
    <w:rsid w:val="00C377C1"/>
    <w:rsid w:val="00C37D4A"/>
    <w:rsid w:val="00C412EE"/>
    <w:rsid w:val="00C41A43"/>
    <w:rsid w:val="00C41C86"/>
    <w:rsid w:val="00C42276"/>
    <w:rsid w:val="00C42F58"/>
    <w:rsid w:val="00C43236"/>
    <w:rsid w:val="00C43703"/>
    <w:rsid w:val="00C4476A"/>
    <w:rsid w:val="00C44E64"/>
    <w:rsid w:val="00C453F6"/>
    <w:rsid w:val="00C5086B"/>
    <w:rsid w:val="00C50B41"/>
    <w:rsid w:val="00C5118C"/>
    <w:rsid w:val="00C53260"/>
    <w:rsid w:val="00C539B3"/>
    <w:rsid w:val="00C53B43"/>
    <w:rsid w:val="00C54574"/>
    <w:rsid w:val="00C546C6"/>
    <w:rsid w:val="00C5615C"/>
    <w:rsid w:val="00C5669B"/>
    <w:rsid w:val="00C570D2"/>
    <w:rsid w:val="00C5731B"/>
    <w:rsid w:val="00C57810"/>
    <w:rsid w:val="00C57ABA"/>
    <w:rsid w:val="00C60443"/>
    <w:rsid w:val="00C60530"/>
    <w:rsid w:val="00C60922"/>
    <w:rsid w:val="00C60953"/>
    <w:rsid w:val="00C60C88"/>
    <w:rsid w:val="00C6136E"/>
    <w:rsid w:val="00C61444"/>
    <w:rsid w:val="00C61B7A"/>
    <w:rsid w:val="00C61F12"/>
    <w:rsid w:val="00C623A8"/>
    <w:rsid w:val="00C6243E"/>
    <w:rsid w:val="00C62779"/>
    <w:rsid w:val="00C628EF"/>
    <w:rsid w:val="00C62E40"/>
    <w:rsid w:val="00C63129"/>
    <w:rsid w:val="00C63965"/>
    <w:rsid w:val="00C648DA"/>
    <w:rsid w:val="00C64EE9"/>
    <w:rsid w:val="00C65747"/>
    <w:rsid w:val="00C65E2A"/>
    <w:rsid w:val="00C66161"/>
    <w:rsid w:val="00C6778C"/>
    <w:rsid w:val="00C70074"/>
    <w:rsid w:val="00C708D0"/>
    <w:rsid w:val="00C710F0"/>
    <w:rsid w:val="00C716A5"/>
    <w:rsid w:val="00C722EC"/>
    <w:rsid w:val="00C7340C"/>
    <w:rsid w:val="00C73BC9"/>
    <w:rsid w:val="00C745B6"/>
    <w:rsid w:val="00C750B8"/>
    <w:rsid w:val="00C752F2"/>
    <w:rsid w:val="00C7685B"/>
    <w:rsid w:val="00C76EAF"/>
    <w:rsid w:val="00C76F37"/>
    <w:rsid w:val="00C7769A"/>
    <w:rsid w:val="00C7770F"/>
    <w:rsid w:val="00C8077C"/>
    <w:rsid w:val="00C81B83"/>
    <w:rsid w:val="00C81E1A"/>
    <w:rsid w:val="00C83042"/>
    <w:rsid w:val="00C83920"/>
    <w:rsid w:val="00C858F7"/>
    <w:rsid w:val="00C85BB1"/>
    <w:rsid w:val="00C85FF7"/>
    <w:rsid w:val="00C8613A"/>
    <w:rsid w:val="00C86558"/>
    <w:rsid w:val="00C867D2"/>
    <w:rsid w:val="00C902BC"/>
    <w:rsid w:val="00C90906"/>
    <w:rsid w:val="00C90F9F"/>
    <w:rsid w:val="00C91385"/>
    <w:rsid w:val="00C93316"/>
    <w:rsid w:val="00C9392C"/>
    <w:rsid w:val="00C94100"/>
    <w:rsid w:val="00C96231"/>
    <w:rsid w:val="00C966D4"/>
    <w:rsid w:val="00C96842"/>
    <w:rsid w:val="00C96D84"/>
    <w:rsid w:val="00C97323"/>
    <w:rsid w:val="00C97E65"/>
    <w:rsid w:val="00CA0595"/>
    <w:rsid w:val="00CA1C48"/>
    <w:rsid w:val="00CA3137"/>
    <w:rsid w:val="00CA3413"/>
    <w:rsid w:val="00CA3846"/>
    <w:rsid w:val="00CA4E35"/>
    <w:rsid w:val="00CA4FB7"/>
    <w:rsid w:val="00CA569F"/>
    <w:rsid w:val="00CA682C"/>
    <w:rsid w:val="00CA6859"/>
    <w:rsid w:val="00CA6C2D"/>
    <w:rsid w:val="00CA7388"/>
    <w:rsid w:val="00CB04A2"/>
    <w:rsid w:val="00CB0967"/>
    <w:rsid w:val="00CB362D"/>
    <w:rsid w:val="00CB520A"/>
    <w:rsid w:val="00CB5717"/>
    <w:rsid w:val="00CB5CCB"/>
    <w:rsid w:val="00CB7165"/>
    <w:rsid w:val="00CB77A3"/>
    <w:rsid w:val="00CB7DA8"/>
    <w:rsid w:val="00CC0C95"/>
    <w:rsid w:val="00CC0D11"/>
    <w:rsid w:val="00CC2DDE"/>
    <w:rsid w:val="00CC3B93"/>
    <w:rsid w:val="00CC42B2"/>
    <w:rsid w:val="00CC5AB1"/>
    <w:rsid w:val="00CC5ED8"/>
    <w:rsid w:val="00CC6455"/>
    <w:rsid w:val="00CC73FD"/>
    <w:rsid w:val="00CC77DD"/>
    <w:rsid w:val="00CC77F0"/>
    <w:rsid w:val="00CC7CF5"/>
    <w:rsid w:val="00CD2321"/>
    <w:rsid w:val="00CD27ED"/>
    <w:rsid w:val="00CD2BD1"/>
    <w:rsid w:val="00CD32A3"/>
    <w:rsid w:val="00CD3396"/>
    <w:rsid w:val="00CD489E"/>
    <w:rsid w:val="00CD50F3"/>
    <w:rsid w:val="00CD539B"/>
    <w:rsid w:val="00CD74C6"/>
    <w:rsid w:val="00CD7625"/>
    <w:rsid w:val="00CE0932"/>
    <w:rsid w:val="00CE0C9C"/>
    <w:rsid w:val="00CE1715"/>
    <w:rsid w:val="00CE1D65"/>
    <w:rsid w:val="00CE1F68"/>
    <w:rsid w:val="00CE305D"/>
    <w:rsid w:val="00CE3A3F"/>
    <w:rsid w:val="00CE3B68"/>
    <w:rsid w:val="00CE4147"/>
    <w:rsid w:val="00CE414D"/>
    <w:rsid w:val="00CE5315"/>
    <w:rsid w:val="00CE5F92"/>
    <w:rsid w:val="00CE650E"/>
    <w:rsid w:val="00CE6F75"/>
    <w:rsid w:val="00CE77EA"/>
    <w:rsid w:val="00CE7912"/>
    <w:rsid w:val="00CF2432"/>
    <w:rsid w:val="00CF3525"/>
    <w:rsid w:val="00CF38BE"/>
    <w:rsid w:val="00CF3944"/>
    <w:rsid w:val="00CF3C24"/>
    <w:rsid w:val="00CF4712"/>
    <w:rsid w:val="00CF4CB0"/>
    <w:rsid w:val="00D00A24"/>
    <w:rsid w:val="00D018D9"/>
    <w:rsid w:val="00D01C29"/>
    <w:rsid w:val="00D02C9E"/>
    <w:rsid w:val="00D04D0F"/>
    <w:rsid w:val="00D05139"/>
    <w:rsid w:val="00D05834"/>
    <w:rsid w:val="00D059AB"/>
    <w:rsid w:val="00D1190F"/>
    <w:rsid w:val="00D12158"/>
    <w:rsid w:val="00D126F1"/>
    <w:rsid w:val="00D12996"/>
    <w:rsid w:val="00D14DBE"/>
    <w:rsid w:val="00D15253"/>
    <w:rsid w:val="00D160F1"/>
    <w:rsid w:val="00D171CB"/>
    <w:rsid w:val="00D17E31"/>
    <w:rsid w:val="00D20BB6"/>
    <w:rsid w:val="00D224FF"/>
    <w:rsid w:val="00D22F8E"/>
    <w:rsid w:val="00D2382A"/>
    <w:rsid w:val="00D23AF8"/>
    <w:rsid w:val="00D2479E"/>
    <w:rsid w:val="00D24CAE"/>
    <w:rsid w:val="00D24D92"/>
    <w:rsid w:val="00D24DA4"/>
    <w:rsid w:val="00D251EC"/>
    <w:rsid w:val="00D269D1"/>
    <w:rsid w:val="00D30118"/>
    <w:rsid w:val="00D312B9"/>
    <w:rsid w:val="00D31480"/>
    <w:rsid w:val="00D31F6F"/>
    <w:rsid w:val="00D3213E"/>
    <w:rsid w:val="00D32792"/>
    <w:rsid w:val="00D329F4"/>
    <w:rsid w:val="00D343A5"/>
    <w:rsid w:val="00D358E6"/>
    <w:rsid w:val="00D36870"/>
    <w:rsid w:val="00D36CBC"/>
    <w:rsid w:val="00D36FA6"/>
    <w:rsid w:val="00D371FD"/>
    <w:rsid w:val="00D41973"/>
    <w:rsid w:val="00D41A32"/>
    <w:rsid w:val="00D41B9B"/>
    <w:rsid w:val="00D433FA"/>
    <w:rsid w:val="00D4452A"/>
    <w:rsid w:val="00D446D2"/>
    <w:rsid w:val="00D45081"/>
    <w:rsid w:val="00D46EC9"/>
    <w:rsid w:val="00D47AD2"/>
    <w:rsid w:val="00D50B9C"/>
    <w:rsid w:val="00D51150"/>
    <w:rsid w:val="00D51544"/>
    <w:rsid w:val="00D51916"/>
    <w:rsid w:val="00D51B46"/>
    <w:rsid w:val="00D52016"/>
    <w:rsid w:val="00D536F7"/>
    <w:rsid w:val="00D53A8C"/>
    <w:rsid w:val="00D53B62"/>
    <w:rsid w:val="00D542F9"/>
    <w:rsid w:val="00D543D8"/>
    <w:rsid w:val="00D5510F"/>
    <w:rsid w:val="00D55CB8"/>
    <w:rsid w:val="00D561AA"/>
    <w:rsid w:val="00D60064"/>
    <w:rsid w:val="00D6115A"/>
    <w:rsid w:val="00D629CC"/>
    <w:rsid w:val="00D63214"/>
    <w:rsid w:val="00D64082"/>
    <w:rsid w:val="00D6410D"/>
    <w:rsid w:val="00D649DC"/>
    <w:rsid w:val="00D64A8F"/>
    <w:rsid w:val="00D65895"/>
    <w:rsid w:val="00D663A5"/>
    <w:rsid w:val="00D67119"/>
    <w:rsid w:val="00D7079B"/>
    <w:rsid w:val="00D70F34"/>
    <w:rsid w:val="00D71B88"/>
    <w:rsid w:val="00D747AA"/>
    <w:rsid w:val="00D76F10"/>
    <w:rsid w:val="00D77263"/>
    <w:rsid w:val="00D7760D"/>
    <w:rsid w:val="00D800A9"/>
    <w:rsid w:val="00D80E3D"/>
    <w:rsid w:val="00D81196"/>
    <w:rsid w:val="00D8195A"/>
    <w:rsid w:val="00D81A0C"/>
    <w:rsid w:val="00D82F48"/>
    <w:rsid w:val="00D8444F"/>
    <w:rsid w:val="00D87178"/>
    <w:rsid w:val="00D8731E"/>
    <w:rsid w:val="00D879B3"/>
    <w:rsid w:val="00D87BD4"/>
    <w:rsid w:val="00D90CAE"/>
    <w:rsid w:val="00D912F4"/>
    <w:rsid w:val="00D91D3E"/>
    <w:rsid w:val="00D920EB"/>
    <w:rsid w:val="00D92C88"/>
    <w:rsid w:val="00D930EA"/>
    <w:rsid w:val="00D93226"/>
    <w:rsid w:val="00D94CBB"/>
    <w:rsid w:val="00D94FB6"/>
    <w:rsid w:val="00D956FF"/>
    <w:rsid w:val="00D957A5"/>
    <w:rsid w:val="00D97382"/>
    <w:rsid w:val="00D97428"/>
    <w:rsid w:val="00D978A7"/>
    <w:rsid w:val="00DA0364"/>
    <w:rsid w:val="00DA08E7"/>
    <w:rsid w:val="00DA0B17"/>
    <w:rsid w:val="00DA1903"/>
    <w:rsid w:val="00DA2107"/>
    <w:rsid w:val="00DA2C82"/>
    <w:rsid w:val="00DA35F7"/>
    <w:rsid w:val="00DA36B3"/>
    <w:rsid w:val="00DA5830"/>
    <w:rsid w:val="00DA6340"/>
    <w:rsid w:val="00DA73A4"/>
    <w:rsid w:val="00DA7404"/>
    <w:rsid w:val="00DB021F"/>
    <w:rsid w:val="00DB03A7"/>
    <w:rsid w:val="00DB0800"/>
    <w:rsid w:val="00DB3B34"/>
    <w:rsid w:val="00DB3BEF"/>
    <w:rsid w:val="00DB637B"/>
    <w:rsid w:val="00DB6BD4"/>
    <w:rsid w:val="00DB6C9D"/>
    <w:rsid w:val="00DB760F"/>
    <w:rsid w:val="00DB78D3"/>
    <w:rsid w:val="00DC07B3"/>
    <w:rsid w:val="00DC1272"/>
    <w:rsid w:val="00DC1B7C"/>
    <w:rsid w:val="00DC1BBD"/>
    <w:rsid w:val="00DC1D36"/>
    <w:rsid w:val="00DC1EF0"/>
    <w:rsid w:val="00DC2A3E"/>
    <w:rsid w:val="00DC2E5D"/>
    <w:rsid w:val="00DC2E88"/>
    <w:rsid w:val="00DC476B"/>
    <w:rsid w:val="00DC47BF"/>
    <w:rsid w:val="00DC50AE"/>
    <w:rsid w:val="00DC5A8B"/>
    <w:rsid w:val="00DC6632"/>
    <w:rsid w:val="00DC6E51"/>
    <w:rsid w:val="00DC731E"/>
    <w:rsid w:val="00DC7F91"/>
    <w:rsid w:val="00DD0077"/>
    <w:rsid w:val="00DD05FF"/>
    <w:rsid w:val="00DD3087"/>
    <w:rsid w:val="00DD3C62"/>
    <w:rsid w:val="00DD413C"/>
    <w:rsid w:val="00DD434B"/>
    <w:rsid w:val="00DD48C2"/>
    <w:rsid w:val="00DD49D9"/>
    <w:rsid w:val="00DD55CC"/>
    <w:rsid w:val="00DD5F60"/>
    <w:rsid w:val="00DD5F81"/>
    <w:rsid w:val="00DD6033"/>
    <w:rsid w:val="00DD6A40"/>
    <w:rsid w:val="00DD6B69"/>
    <w:rsid w:val="00DD72FD"/>
    <w:rsid w:val="00DE1A74"/>
    <w:rsid w:val="00DE1BFC"/>
    <w:rsid w:val="00DE2458"/>
    <w:rsid w:val="00DE3825"/>
    <w:rsid w:val="00DE498C"/>
    <w:rsid w:val="00DE55AB"/>
    <w:rsid w:val="00DE582E"/>
    <w:rsid w:val="00DE5F8A"/>
    <w:rsid w:val="00DE644C"/>
    <w:rsid w:val="00DE6592"/>
    <w:rsid w:val="00DE6DEB"/>
    <w:rsid w:val="00DE770A"/>
    <w:rsid w:val="00DE78F2"/>
    <w:rsid w:val="00DE7C45"/>
    <w:rsid w:val="00DF058B"/>
    <w:rsid w:val="00DF13DB"/>
    <w:rsid w:val="00DF1D2A"/>
    <w:rsid w:val="00DF2CE6"/>
    <w:rsid w:val="00DF4488"/>
    <w:rsid w:val="00DF4632"/>
    <w:rsid w:val="00DF5A31"/>
    <w:rsid w:val="00DF5DA2"/>
    <w:rsid w:val="00DF5E0D"/>
    <w:rsid w:val="00DF65D8"/>
    <w:rsid w:val="00E00168"/>
    <w:rsid w:val="00E00183"/>
    <w:rsid w:val="00E00EE8"/>
    <w:rsid w:val="00E0182E"/>
    <w:rsid w:val="00E021FD"/>
    <w:rsid w:val="00E0433A"/>
    <w:rsid w:val="00E044F1"/>
    <w:rsid w:val="00E058B7"/>
    <w:rsid w:val="00E10027"/>
    <w:rsid w:val="00E10226"/>
    <w:rsid w:val="00E104BD"/>
    <w:rsid w:val="00E105E6"/>
    <w:rsid w:val="00E10605"/>
    <w:rsid w:val="00E11DE2"/>
    <w:rsid w:val="00E126CF"/>
    <w:rsid w:val="00E12B9F"/>
    <w:rsid w:val="00E12D2A"/>
    <w:rsid w:val="00E133D1"/>
    <w:rsid w:val="00E156D0"/>
    <w:rsid w:val="00E16FEF"/>
    <w:rsid w:val="00E202D8"/>
    <w:rsid w:val="00E2122E"/>
    <w:rsid w:val="00E21546"/>
    <w:rsid w:val="00E21E15"/>
    <w:rsid w:val="00E223E7"/>
    <w:rsid w:val="00E22418"/>
    <w:rsid w:val="00E224D6"/>
    <w:rsid w:val="00E2298D"/>
    <w:rsid w:val="00E22F7C"/>
    <w:rsid w:val="00E237D1"/>
    <w:rsid w:val="00E237E7"/>
    <w:rsid w:val="00E243FC"/>
    <w:rsid w:val="00E275EF"/>
    <w:rsid w:val="00E27D03"/>
    <w:rsid w:val="00E300EF"/>
    <w:rsid w:val="00E307F9"/>
    <w:rsid w:val="00E311E3"/>
    <w:rsid w:val="00E3142A"/>
    <w:rsid w:val="00E32838"/>
    <w:rsid w:val="00E33A64"/>
    <w:rsid w:val="00E33CD7"/>
    <w:rsid w:val="00E3502E"/>
    <w:rsid w:val="00E366AD"/>
    <w:rsid w:val="00E369E1"/>
    <w:rsid w:val="00E37E5C"/>
    <w:rsid w:val="00E37E5E"/>
    <w:rsid w:val="00E400B0"/>
    <w:rsid w:val="00E402F9"/>
    <w:rsid w:val="00E41F37"/>
    <w:rsid w:val="00E4272A"/>
    <w:rsid w:val="00E4287F"/>
    <w:rsid w:val="00E43356"/>
    <w:rsid w:val="00E436BF"/>
    <w:rsid w:val="00E43B79"/>
    <w:rsid w:val="00E4440F"/>
    <w:rsid w:val="00E44654"/>
    <w:rsid w:val="00E448A6"/>
    <w:rsid w:val="00E451F5"/>
    <w:rsid w:val="00E45414"/>
    <w:rsid w:val="00E45CE6"/>
    <w:rsid w:val="00E45E80"/>
    <w:rsid w:val="00E461D9"/>
    <w:rsid w:val="00E46359"/>
    <w:rsid w:val="00E4635C"/>
    <w:rsid w:val="00E46525"/>
    <w:rsid w:val="00E4700C"/>
    <w:rsid w:val="00E473E3"/>
    <w:rsid w:val="00E4751E"/>
    <w:rsid w:val="00E50222"/>
    <w:rsid w:val="00E521E2"/>
    <w:rsid w:val="00E5270A"/>
    <w:rsid w:val="00E52F36"/>
    <w:rsid w:val="00E530DC"/>
    <w:rsid w:val="00E53E39"/>
    <w:rsid w:val="00E55912"/>
    <w:rsid w:val="00E563BA"/>
    <w:rsid w:val="00E56E58"/>
    <w:rsid w:val="00E577E4"/>
    <w:rsid w:val="00E602C5"/>
    <w:rsid w:val="00E6065C"/>
    <w:rsid w:val="00E60A6F"/>
    <w:rsid w:val="00E60BE8"/>
    <w:rsid w:val="00E618B0"/>
    <w:rsid w:val="00E61919"/>
    <w:rsid w:val="00E61BA1"/>
    <w:rsid w:val="00E62203"/>
    <w:rsid w:val="00E63D5A"/>
    <w:rsid w:val="00E63FF8"/>
    <w:rsid w:val="00E64024"/>
    <w:rsid w:val="00E648ED"/>
    <w:rsid w:val="00E64CF9"/>
    <w:rsid w:val="00E65025"/>
    <w:rsid w:val="00E657BB"/>
    <w:rsid w:val="00E65B0D"/>
    <w:rsid w:val="00E6636D"/>
    <w:rsid w:val="00E66D8C"/>
    <w:rsid w:val="00E67D4A"/>
    <w:rsid w:val="00E70BED"/>
    <w:rsid w:val="00E71938"/>
    <w:rsid w:val="00E7202E"/>
    <w:rsid w:val="00E727B9"/>
    <w:rsid w:val="00E72925"/>
    <w:rsid w:val="00E72F20"/>
    <w:rsid w:val="00E73C1A"/>
    <w:rsid w:val="00E74A25"/>
    <w:rsid w:val="00E74A8E"/>
    <w:rsid w:val="00E751BF"/>
    <w:rsid w:val="00E7586D"/>
    <w:rsid w:val="00E766B2"/>
    <w:rsid w:val="00E7745F"/>
    <w:rsid w:val="00E80208"/>
    <w:rsid w:val="00E8075B"/>
    <w:rsid w:val="00E80B7F"/>
    <w:rsid w:val="00E824B5"/>
    <w:rsid w:val="00E82F28"/>
    <w:rsid w:val="00E83356"/>
    <w:rsid w:val="00E83F31"/>
    <w:rsid w:val="00E8481D"/>
    <w:rsid w:val="00E84D17"/>
    <w:rsid w:val="00E854D6"/>
    <w:rsid w:val="00E85B1B"/>
    <w:rsid w:val="00E85EFD"/>
    <w:rsid w:val="00E8674D"/>
    <w:rsid w:val="00E868B2"/>
    <w:rsid w:val="00E86E30"/>
    <w:rsid w:val="00E871A3"/>
    <w:rsid w:val="00E87945"/>
    <w:rsid w:val="00E903E3"/>
    <w:rsid w:val="00E90531"/>
    <w:rsid w:val="00E9198F"/>
    <w:rsid w:val="00E92218"/>
    <w:rsid w:val="00E92299"/>
    <w:rsid w:val="00E9241D"/>
    <w:rsid w:val="00E928C2"/>
    <w:rsid w:val="00E92E9D"/>
    <w:rsid w:val="00E93007"/>
    <w:rsid w:val="00E936CA"/>
    <w:rsid w:val="00E93A54"/>
    <w:rsid w:val="00E963FB"/>
    <w:rsid w:val="00E9655D"/>
    <w:rsid w:val="00E972CC"/>
    <w:rsid w:val="00E97F7E"/>
    <w:rsid w:val="00EA042F"/>
    <w:rsid w:val="00EA0FE9"/>
    <w:rsid w:val="00EA2713"/>
    <w:rsid w:val="00EA2D55"/>
    <w:rsid w:val="00EA2F13"/>
    <w:rsid w:val="00EA329D"/>
    <w:rsid w:val="00EA350D"/>
    <w:rsid w:val="00EA41E4"/>
    <w:rsid w:val="00EA41F1"/>
    <w:rsid w:val="00EA454C"/>
    <w:rsid w:val="00EA46E8"/>
    <w:rsid w:val="00EA4848"/>
    <w:rsid w:val="00EA4C4A"/>
    <w:rsid w:val="00EA4EA1"/>
    <w:rsid w:val="00EB0235"/>
    <w:rsid w:val="00EB19AD"/>
    <w:rsid w:val="00EB1E14"/>
    <w:rsid w:val="00EB1F4B"/>
    <w:rsid w:val="00EB2441"/>
    <w:rsid w:val="00EB2BCC"/>
    <w:rsid w:val="00EB2FEC"/>
    <w:rsid w:val="00EB3155"/>
    <w:rsid w:val="00EB3362"/>
    <w:rsid w:val="00EB3877"/>
    <w:rsid w:val="00EB39A4"/>
    <w:rsid w:val="00EB3BF7"/>
    <w:rsid w:val="00EB3F34"/>
    <w:rsid w:val="00EB5361"/>
    <w:rsid w:val="00EB57BF"/>
    <w:rsid w:val="00EB5A9B"/>
    <w:rsid w:val="00EB5AE0"/>
    <w:rsid w:val="00EC087C"/>
    <w:rsid w:val="00EC307E"/>
    <w:rsid w:val="00EC5564"/>
    <w:rsid w:val="00EC583F"/>
    <w:rsid w:val="00EC6E82"/>
    <w:rsid w:val="00ED0B8C"/>
    <w:rsid w:val="00ED1C0A"/>
    <w:rsid w:val="00ED220F"/>
    <w:rsid w:val="00ED3BCB"/>
    <w:rsid w:val="00ED5596"/>
    <w:rsid w:val="00ED5F4A"/>
    <w:rsid w:val="00ED6042"/>
    <w:rsid w:val="00ED67DD"/>
    <w:rsid w:val="00ED6DB5"/>
    <w:rsid w:val="00ED6EA0"/>
    <w:rsid w:val="00ED72AA"/>
    <w:rsid w:val="00EE1477"/>
    <w:rsid w:val="00EE1873"/>
    <w:rsid w:val="00EE2898"/>
    <w:rsid w:val="00EE33D1"/>
    <w:rsid w:val="00EE371D"/>
    <w:rsid w:val="00EE3C47"/>
    <w:rsid w:val="00EE5D4B"/>
    <w:rsid w:val="00EE5EE1"/>
    <w:rsid w:val="00EE61FD"/>
    <w:rsid w:val="00EE7B46"/>
    <w:rsid w:val="00EF0B99"/>
    <w:rsid w:val="00EF2181"/>
    <w:rsid w:val="00EF2802"/>
    <w:rsid w:val="00EF2BD7"/>
    <w:rsid w:val="00EF2F43"/>
    <w:rsid w:val="00EF34F7"/>
    <w:rsid w:val="00EF3AEA"/>
    <w:rsid w:val="00EF4641"/>
    <w:rsid w:val="00EF53AD"/>
    <w:rsid w:val="00EF5726"/>
    <w:rsid w:val="00EF589D"/>
    <w:rsid w:val="00EF662A"/>
    <w:rsid w:val="00EF6761"/>
    <w:rsid w:val="00EF6B6C"/>
    <w:rsid w:val="00EF79A4"/>
    <w:rsid w:val="00EF7AF1"/>
    <w:rsid w:val="00F00067"/>
    <w:rsid w:val="00F02625"/>
    <w:rsid w:val="00F02E06"/>
    <w:rsid w:val="00F03932"/>
    <w:rsid w:val="00F03B52"/>
    <w:rsid w:val="00F03E27"/>
    <w:rsid w:val="00F04139"/>
    <w:rsid w:val="00F041CD"/>
    <w:rsid w:val="00F041F9"/>
    <w:rsid w:val="00F0437F"/>
    <w:rsid w:val="00F052B4"/>
    <w:rsid w:val="00F0647E"/>
    <w:rsid w:val="00F103FF"/>
    <w:rsid w:val="00F107B2"/>
    <w:rsid w:val="00F10DAA"/>
    <w:rsid w:val="00F10E93"/>
    <w:rsid w:val="00F110EB"/>
    <w:rsid w:val="00F1254A"/>
    <w:rsid w:val="00F13201"/>
    <w:rsid w:val="00F13418"/>
    <w:rsid w:val="00F13993"/>
    <w:rsid w:val="00F13ACE"/>
    <w:rsid w:val="00F14124"/>
    <w:rsid w:val="00F152C2"/>
    <w:rsid w:val="00F1543D"/>
    <w:rsid w:val="00F15F7B"/>
    <w:rsid w:val="00F16A76"/>
    <w:rsid w:val="00F16F5B"/>
    <w:rsid w:val="00F17D50"/>
    <w:rsid w:val="00F17DD5"/>
    <w:rsid w:val="00F20BD9"/>
    <w:rsid w:val="00F215FB"/>
    <w:rsid w:val="00F21862"/>
    <w:rsid w:val="00F21EBB"/>
    <w:rsid w:val="00F220FB"/>
    <w:rsid w:val="00F24244"/>
    <w:rsid w:val="00F25C7F"/>
    <w:rsid w:val="00F25E1E"/>
    <w:rsid w:val="00F27197"/>
    <w:rsid w:val="00F30211"/>
    <w:rsid w:val="00F30832"/>
    <w:rsid w:val="00F30DA3"/>
    <w:rsid w:val="00F31709"/>
    <w:rsid w:val="00F317B5"/>
    <w:rsid w:val="00F32A34"/>
    <w:rsid w:val="00F32B50"/>
    <w:rsid w:val="00F32D6C"/>
    <w:rsid w:val="00F3402E"/>
    <w:rsid w:val="00F35015"/>
    <w:rsid w:val="00F35E1E"/>
    <w:rsid w:val="00F3624F"/>
    <w:rsid w:val="00F36873"/>
    <w:rsid w:val="00F37F89"/>
    <w:rsid w:val="00F4090E"/>
    <w:rsid w:val="00F41682"/>
    <w:rsid w:val="00F417B5"/>
    <w:rsid w:val="00F4192E"/>
    <w:rsid w:val="00F41D56"/>
    <w:rsid w:val="00F41E67"/>
    <w:rsid w:val="00F42C1A"/>
    <w:rsid w:val="00F42D86"/>
    <w:rsid w:val="00F43947"/>
    <w:rsid w:val="00F44FFD"/>
    <w:rsid w:val="00F4566B"/>
    <w:rsid w:val="00F464D2"/>
    <w:rsid w:val="00F470C5"/>
    <w:rsid w:val="00F470F0"/>
    <w:rsid w:val="00F472E2"/>
    <w:rsid w:val="00F47374"/>
    <w:rsid w:val="00F4784B"/>
    <w:rsid w:val="00F50ADC"/>
    <w:rsid w:val="00F5306F"/>
    <w:rsid w:val="00F5311A"/>
    <w:rsid w:val="00F53209"/>
    <w:rsid w:val="00F53C74"/>
    <w:rsid w:val="00F550C1"/>
    <w:rsid w:val="00F555B4"/>
    <w:rsid w:val="00F55B83"/>
    <w:rsid w:val="00F55FEF"/>
    <w:rsid w:val="00F5667B"/>
    <w:rsid w:val="00F56A94"/>
    <w:rsid w:val="00F56BFA"/>
    <w:rsid w:val="00F56C55"/>
    <w:rsid w:val="00F574B9"/>
    <w:rsid w:val="00F601B7"/>
    <w:rsid w:val="00F62A5C"/>
    <w:rsid w:val="00F631B9"/>
    <w:rsid w:val="00F641CC"/>
    <w:rsid w:val="00F65B4B"/>
    <w:rsid w:val="00F66730"/>
    <w:rsid w:val="00F66AA1"/>
    <w:rsid w:val="00F66FBF"/>
    <w:rsid w:val="00F670FE"/>
    <w:rsid w:val="00F6726D"/>
    <w:rsid w:val="00F672D3"/>
    <w:rsid w:val="00F711C4"/>
    <w:rsid w:val="00F71265"/>
    <w:rsid w:val="00F72C06"/>
    <w:rsid w:val="00F72CB3"/>
    <w:rsid w:val="00F736B5"/>
    <w:rsid w:val="00F73DAF"/>
    <w:rsid w:val="00F75977"/>
    <w:rsid w:val="00F761FB"/>
    <w:rsid w:val="00F769E9"/>
    <w:rsid w:val="00F76FFE"/>
    <w:rsid w:val="00F7795E"/>
    <w:rsid w:val="00F77CA0"/>
    <w:rsid w:val="00F80F0E"/>
    <w:rsid w:val="00F81589"/>
    <w:rsid w:val="00F843BA"/>
    <w:rsid w:val="00F848A6"/>
    <w:rsid w:val="00F8494A"/>
    <w:rsid w:val="00F84B99"/>
    <w:rsid w:val="00F869D5"/>
    <w:rsid w:val="00F8707B"/>
    <w:rsid w:val="00F87730"/>
    <w:rsid w:val="00F91317"/>
    <w:rsid w:val="00F92045"/>
    <w:rsid w:val="00F92334"/>
    <w:rsid w:val="00F9271B"/>
    <w:rsid w:val="00F92735"/>
    <w:rsid w:val="00F93A8B"/>
    <w:rsid w:val="00F943F4"/>
    <w:rsid w:val="00F95598"/>
    <w:rsid w:val="00F95D85"/>
    <w:rsid w:val="00F964AA"/>
    <w:rsid w:val="00F96ACC"/>
    <w:rsid w:val="00FA3186"/>
    <w:rsid w:val="00FA363E"/>
    <w:rsid w:val="00FA4574"/>
    <w:rsid w:val="00FA63B0"/>
    <w:rsid w:val="00FB10E6"/>
    <w:rsid w:val="00FB1A5A"/>
    <w:rsid w:val="00FB26B8"/>
    <w:rsid w:val="00FB3EC5"/>
    <w:rsid w:val="00FB5147"/>
    <w:rsid w:val="00FB515A"/>
    <w:rsid w:val="00FB5FB6"/>
    <w:rsid w:val="00FB7AB1"/>
    <w:rsid w:val="00FC1295"/>
    <w:rsid w:val="00FC158D"/>
    <w:rsid w:val="00FC1DFF"/>
    <w:rsid w:val="00FC2C98"/>
    <w:rsid w:val="00FC4149"/>
    <w:rsid w:val="00FC53F2"/>
    <w:rsid w:val="00FC5472"/>
    <w:rsid w:val="00FC584E"/>
    <w:rsid w:val="00FC5B6A"/>
    <w:rsid w:val="00FC636C"/>
    <w:rsid w:val="00FC6A7D"/>
    <w:rsid w:val="00FC78D7"/>
    <w:rsid w:val="00FD0DD3"/>
    <w:rsid w:val="00FD14DE"/>
    <w:rsid w:val="00FD1FBB"/>
    <w:rsid w:val="00FD2B5B"/>
    <w:rsid w:val="00FD2E64"/>
    <w:rsid w:val="00FD302B"/>
    <w:rsid w:val="00FD3783"/>
    <w:rsid w:val="00FD4641"/>
    <w:rsid w:val="00FD4941"/>
    <w:rsid w:val="00FD72DC"/>
    <w:rsid w:val="00FE1916"/>
    <w:rsid w:val="00FE262A"/>
    <w:rsid w:val="00FE2711"/>
    <w:rsid w:val="00FE426B"/>
    <w:rsid w:val="00FE526C"/>
    <w:rsid w:val="00FE52A7"/>
    <w:rsid w:val="00FE52C8"/>
    <w:rsid w:val="00FE5947"/>
    <w:rsid w:val="00FE5F3F"/>
    <w:rsid w:val="00FF0395"/>
    <w:rsid w:val="00FF03BC"/>
    <w:rsid w:val="00FF1BA8"/>
    <w:rsid w:val="00FF3BCF"/>
    <w:rsid w:val="00FF485C"/>
    <w:rsid w:val="00FF5232"/>
    <w:rsid w:val="00FF62B1"/>
    <w:rsid w:val="00FF72C0"/>
    <w:rsid w:val="00FF7DBD"/>
    <w:rsid w:val="00FF7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5E32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C5EAE"/>
    <w:rPr>
      <w:rFonts w:ascii="Times New Roman" w:hAnsi="Times New Roman" w:cs="Times New Roman"/>
      <w:lang w:eastAsia="en-GB"/>
    </w:rPr>
  </w:style>
  <w:style w:type="paragraph" w:styleId="Heading1">
    <w:name w:val="heading 1"/>
    <w:basedOn w:val="Normal"/>
    <w:next w:val="Normal"/>
    <w:link w:val="Heading1Char"/>
    <w:uiPriority w:val="9"/>
    <w:qFormat/>
    <w:rsid w:val="000F41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237D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B7030"/>
    <w:rPr>
      <w:rFonts w:asciiTheme="minorHAnsi" w:hAnsiTheme="minorHAnsi" w:cstheme="minorBidi"/>
      <w:lang w:eastAsia="en-US"/>
    </w:rPr>
  </w:style>
  <w:style w:type="character" w:customStyle="1" w:styleId="FootnoteTextChar">
    <w:name w:val="Footnote Text Char"/>
    <w:basedOn w:val="DefaultParagraphFont"/>
    <w:link w:val="FootnoteText"/>
    <w:uiPriority w:val="99"/>
    <w:rsid w:val="009B7030"/>
  </w:style>
  <w:style w:type="character" w:styleId="FootnoteReference">
    <w:name w:val="footnote reference"/>
    <w:basedOn w:val="DefaultParagraphFont"/>
    <w:uiPriority w:val="99"/>
    <w:unhideWhenUsed/>
    <w:rsid w:val="009B7030"/>
    <w:rPr>
      <w:vertAlign w:val="superscript"/>
    </w:rPr>
  </w:style>
  <w:style w:type="character" w:styleId="Hyperlink">
    <w:name w:val="Hyperlink"/>
    <w:basedOn w:val="DefaultParagraphFont"/>
    <w:uiPriority w:val="99"/>
    <w:unhideWhenUsed/>
    <w:rsid w:val="00F41682"/>
    <w:rPr>
      <w:color w:val="0563C1" w:themeColor="hyperlink"/>
      <w:u w:val="single"/>
    </w:rPr>
  </w:style>
  <w:style w:type="paragraph" w:customStyle="1" w:styleId="p1">
    <w:name w:val="p1"/>
    <w:basedOn w:val="Normal"/>
    <w:rsid w:val="00386210"/>
    <w:rPr>
      <w:rFonts w:ascii="Helvetica" w:hAnsi="Helvetica"/>
      <w:sz w:val="15"/>
      <w:szCs w:val="15"/>
    </w:rPr>
  </w:style>
  <w:style w:type="character" w:customStyle="1" w:styleId="apple-converted-space">
    <w:name w:val="apple-converted-space"/>
    <w:basedOn w:val="DefaultParagraphFont"/>
    <w:rsid w:val="00386210"/>
  </w:style>
  <w:style w:type="paragraph" w:styleId="Footer">
    <w:name w:val="footer"/>
    <w:basedOn w:val="Normal"/>
    <w:link w:val="FooterChar"/>
    <w:uiPriority w:val="99"/>
    <w:unhideWhenUsed/>
    <w:rsid w:val="00345483"/>
    <w:pPr>
      <w:tabs>
        <w:tab w:val="center" w:pos="4513"/>
        <w:tab w:val="right" w:pos="9026"/>
      </w:tabs>
    </w:pPr>
  </w:style>
  <w:style w:type="character" w:customStyle="1" w:styleId="FooterChar">
    <w:name w:val="Footer Char"/>
    <w:basedOn w:val="DefaultParagraphFont"/>
    <w:link w:val="Footer"/>
    <w:uiPriority w:val="99"/>
    <w:rsid w:val="00345483"/>
    <w:rPr>
      <w:rFonts w:ascii="Times New Roman" w:hAnsi="Times New Roman" w:cs="Times New Roman"/>
      <w:lang w:eastAsia="en-GB"/>
    </w:rPr>
  </w:style>
  <w:style w:type="character" w:styleId="PageNumber">
    <w:name w:val="page number"/>
    <w:basedOn w:val="DefaultParagraphFont"/>
    <w:uiPriority w:val="99"/>
    <w:semiHidden/>
    <w:unhideWhenUsed/>
    <w:rsid w:val="00345483"/>
  </w:style>
  <w:style w:type="character" w:customStyle="1" w:styleId="Heading2Char">
    <w:name w:val="Heading 2 Char"/>
    <w:basedOn w:val="DefaultParagraphFont"/>
    <w:link w:val="Heading2"/>
    <w:uiPriority w:val="9"/>
    <w:rsid w:val="00E237D1"/>
    <w:rPr>
      <w:rFonts w:ascii="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0F4155"/>
    <w:rPr>
      <w:rFonts w:asciiTheme="majorHAnsi" w:eastAsiaTheme="majorEastAsia" w:hAnsiTheme="majorHAnsi" w:cstheme="majorBidi"/>
      <w:color w:val="2F5496" w:themeColor="accent1" w:themeShade="BF"/>
      <w:sz w:val="32"/>
      <w:szCs w:val="32"/>
      <w:lang w:eastAsia="en-GB"/>
    </w:rPr>
  </w:style>
  <w:style w:type="character" w:customStyle="1" w:styleId="fn">
    <w:name w:val="fn"/>
    <w:basedOn w:val="DefaultParagraphFont"/>
    <w:rsid w:val="000F4155"/>
  </w:style>
  <w:style w:type="character" w:customStyle="1" w:styleId="subtitle1">
    <w:name w:val="subtitle1"/>
    <w:basedOn w:val="DefaultParagraphFont"/>
    <w:rsid w:val="000F4155"/>
  </w:style>
  <w:style w:type="paragraph" w:styleId="DocumentMap">
    <w:name w:val="Document Map"/>
    <w:basedOn w:val="Normal"/>
    <w:link w:val="DocumentMapChar"/>
    <w:uiPriority w:val="99"/>
    <w:semiHidden/>
    <w:unhideWhenUsed/>
    <w:rsid w:val="00446D63"/>
  </w:style>
  <w:style w:type="character" w:customStyle="1" w:styleId="DocumentMapChar">
    <w:name w:val="Document Map Char"/>
    <w:basedOn w:val="DefaultParagraphFont"/>
    <w:link w:val="DocumentMap"/>
    <w:uiPriority w:val="99"/>
    <w:semiHidden/>
    <w:rsid w:val="00446D63"/>
    <w:rPr>
      <w:rFonts w:ascii="Times New Roman" w:hAnsi="Times New Roman" w:cs="Times New Roman"/>
      <w:lang w:eastAsia="en-GB"/>
    </w:rPr>
  </w:style>
  <w:style w:type="paragraph" w:styleId="EndnoteText">
    <w:name w:val="endnote text"/>
    <w:basedOn w:val="Normal"/>
    <w:link w:val="EndnoteTextChar"/>
    <w:uiPriority w:val="99"/>
    <w:semiHidden/>
    <w:unhideWhenUsed/>
    <w:rsid w:val="008E0E3B"/>
  </w:style>
  <w:style w:type="character" w:customStyle="1" w:styleId="EndnoteTextChar">
    <w:name w:val="Endnote Text Char"/>
    <w:basedOn w:val="DefaultParagraphFont"/>
    <w:link w:val="EndnoteText"/>
    <w:uiPriority w:val="99"/>
    <w:semiHidden/>
    <w:rsid w:val="008E0E3B"/>
    <w:rPr>
      <w:rFonts w:ascii="Times New Roman" w:hAnsi="Times New Roman" w:cs="Times New Roman"/>
      <w:lang w:eastAsia="en-GB"/>
    </w:rPr>
  </w:style>
  <w:style w:type="character" w:styleId="EndnoteReference">
    <w:name w:val="endnote reference"/>
    <w:basedOn w:val="DefaultParagraphFont"/>
    <w:uiPriority w:val="99"/>
    <w:semiHidden/>
    <w:unhideWhenUsed/>
    <w:rsid w:val="008E0E3B"/>
    <w:rPr>
      <w:vertAlign w:val="superscript"/>
    </w:rPr>
  </w:style>
  <w:style w:type="paragraph" w:styleId="BalloonText">
    <w:name w:val="Balloon Text"/>
    <w:basedOn w:val="Normal"/>
    <w:link w:val="BalloonTextChar"/>
    <w:uiPriority w:val="99"/>
    <w:semiHidden/>
    <w:unhideWhenUsed/>
    <w:rsid w:val="006D00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0033"/>
    <w:rPr>
      <w:rFonts w:ascii="Segoe UI" w:hAnsi="Segoe UI" w:cs="Segoe UI"/>
      <w:sz w:val="18"/>
      <w:szCs w:val="18"/>
      <w:lang w:eastAsia="en-GB"/>
    </w:rPr>
  </w:style>
  <w:style w:type="character" w:styleId="CommentReference">
    <w:name w:val="annotation reference"/>
    <w:basedOn w:val="DefaultParagraphFont"/>
    <w:uiPriority w:val="99"/>
    <w:semiHidden/>
    <w:unhideWhenUsed/>
    <w:rsid w:val="005066CC"/>
    <w:rPr>
      <w:sz w:val="16"/>
      <w:szCs w:val="16"/>
    </w:rPr>
  </w:style>
  <w:style w:type="paragraph" w:styleId="CommentText">
    <w:name w:val="annotation text"/>
    <w:basedOn w:val="Normal"/>
    <w:link w:val="CommentTextChar"/>
    <w:uiPriority w:val="99"/>
    <w:semiHidden/>
    <w:unhideWhenUsed/>
    <w:rsid w:val="005066CC"/>
    <w:rPr>
      <w:sz w:val="20"/>
      <w:szCs w:val="20"/>
    </w:rPr>
  </w:style>
  <w:style w:type="character" w:customStyle="1" w:styleId="CommentTextChar">
    <w:name w:val="Comment Text Char"/>
    <w:basedOn w:val="DefaultParagraphFont"/>
    <w:link w:val="CommentText"/>
    <w:uiPriority w:val="99"/>
    <w:semiHidden/>
    <w:rsid w:val="005066CC"/>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066CC"/>
    <w:rPr>
      <w:b/>
      <w:bCs/>
    </w:rPr>
  </w:style>
  <w:style w:type="character" w:customStyle="1" w:styleId="CommentSubjectChar">
    <w:name w:val="Comment Subject Char"/>
    <w:basedOn w:val="CommentTextChar"/>
    <w:link w:val="CommentSubject"/>
    <w:uiPriority w:val="99"/>
    <w:semiHidden/>
    <w:rsid w:val="005066CC"/>
    <w:rPr>
      <w:rFonts w:ascii="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68304">
      <w:bodyDiv w:val="1"/>
      <w:marLeft w:val="0"/>
      <w:marRight w:val="0"/>
      <w:marTop w:val="0"/>
      <w:marBottom w:val="0"/>
      <w:divBdr>
        <w:top w:val="none" w:sz="0" w:space="0" w:color="auto"/>
        <w:left w:val="none" w:sz="0" w:space="0" w:color="auto"/>
        <w:bottom w:val="none" w:sz="0" w:space="0" w:color="auto"/>
        <w:right w:val="none" w:sz="0" w:space="0" w:color="auto"/>
      </w:divBdr>
    </w:div>
    <w:div w:id="377320769">
      <w:bodyDiv w:val="1"/>
      <w:marLeft w:val="0"/>
      <w:marRight w:val="0"/>
      <w:marTop w:val="0"/>
      <w:marBottom w:val="0"/>
      <w:divBdr>
        <w:top w:val="none" w:sz="0" w:space="0" w:color="auto"/>
        <w:left w:val="none" w:sz="0" w:space="0" w:color="auto"/>
        <w:bottom w:val="none" w:sz="0" w:space="0" w:color="auto"/>
        <w:right w:val="none" w:sz="0" w:space="0" w:color="auto"/>
      </w:divBdr>
    </w:div>
    <w:div w:id="399325415">
      <w:bodyDiv w:val="1"/>
      <w:marLeft w:val="0"/>
      <w:marRight w:val="0"/>
      <w:marTop w:val="0"/>
      <w:marBottom w:val="0"/>
      <w:divBdr>
        <w:top w:val="none" w:sz="0" w:space="0" w:color="auto"/>
        <w:left w:val="none" w:sz="0" w:space="0" w:color="auto"/>
        <w:bottom w:val="none" w:sz="0" w:space="0" w:color="auto"/>
        <w:right w:val="none" w:sz="0" w:space="0" w:color="auto"/>
      </w:divBdr>
    </w:div>
    <w:div w:id="405421030">
      <w:bodyDiv w:val="1"/>
      <w:marLeft w:val="0"/>
      <w:marRight w:val="0"/>
      <w:marTop w:val="0"/>
      <w:marBottom w:val="0"/>
      <w:divBdr>
        <w:top w:val="none" w:sz="0" w:space="0" w:color="auto"/>
        <w:left w:val="none" w:sz="0" w:space="0" w:color="auto"/>
        <w:bottom w:val="none" w:sz="0" w:space="0" w:color="auto"/>
        <w:right w:val="none" w:sz="0" w:space="0" w:color="auto"/>
      </w:divBdr>
    </w:div>
    <w:div w:id="423456063">
      <w:bodyDiv w:val="1"/>
      <w:marLeft w:val="0"/>
      <w:marRight w:val="0"/>
      <w:marTop w:val="0"/>
      <w:marBottom w:val="0"/>
      <w:divBdr>
        <w:top w:val="none" w:sz="0" w:space="0" w:color="auto"/>
        <w:left w:val="none" w:sz="0" w:space="0" w:color="auto"/>
        <w:bottom w:val="none" w:sz="0" w:space="0" w:color="auto"/>
        <w:right w:val="none" w:sz="0" w:space="0" w:color="auto"/>
      </w:divBdr>
    </w:div>
    <w:div w:id="682784520">
      <w:bodyDiv w:val="1"/>
      <w:marLeft w:val="0"/>
      <w:marRight w:val="0"/>
      <w:marTop w:val="0"/>
      <w:marBottom w:val="0"/>
      <w:divBdr>
        <w:top w:val="none" w:sz="0" w:space="0" w:color="auto"/>
        <w:left w:val="none" w:sz="0" w:space="0" w:color="auto"/>
        <w:bottom w:val="none" w:sz="0" w:space="0" w:color="auto"/>
        <w:right w:val="none" w:sz="0" w:space="0" w:color="auto"/>
      </w:divBdr>
    </w:div>
    <w:div w:id="721490217">
      <w:bodyDiv w:val="1"/>
      <w:marLeft w:val="0"/>
      <w:marRight w:val="0"/>
      <w:marTop w:val="0"/>
      <w:marBottom w:val="0"/>
      <w:divBdr>
        <w:top w:val="none" w:sz="0" w:space="0" w:color="auto"/>
        <w:left w:val="none" w:sz="0" w:space="0" w:color="auto"/>
        <w:bottom w:val="none" w:sz="0" w:space="0" w:color="auto"/>
        <w:right w:val="none" w:sz="0" w:space="0" w:color="auto"/>
      </w:divBdr>
    </w:div>
    <w:div w:id="817191754">
      <w:bodyDiv w:val="1"/>
      <w:marLeft w:val="0"/>
      <w:marRight w:val="0"/>
      <w:marTop w:val="0"/>
      <w:marBottom w:val="0"/>
      <w:divBdr>
        <w:top w:val="none" w:sz="0" w:space="0" w:color="auto"/>
        <w:left w:val="none" w:sz="0" w:space="0" w:color="auto"/>
        <w:bottom w:val="none" w:sz="0" w:space="0" w:color="auto"/>
        <w:right w:val="none" w:sz="0" w:space="0" w:color="auto"/>
      </w:divBdr>
    </w:div>
    <w:div w:id="825823925">
      <w:bodyDiv w:val="1"/>
      <w:marLeft w:val="0"/>
      <w:marRight w:val="0"/>
      <w:marTop w:val="0"/>
      <w:marBottom w:val="0"/>
      <w:divBdr>
        <w:top w:val="none" w:sz="0" w:space="0" w:color="auto"/>
        <w:left w:val="none" w:sz="0" w:space="0" w:color="auto"/>
        <w:bottom w:val="none" w:sz="0" w:space="0" w:color="auto"/>
        <w:right w:val="none" w:sz="0" w:space="0" w:color="auto"/>
      </w:divBdr>
    </w:div>
    <w:div w:id="1112238809">
      <w:bodyDiv w:val="1"/>
      <w:marLeft w:val="0"/>
      <w:marRight w:val="0"/>
      <w:marTop w:val="0"/>
      <w:marBottom w:val="0"/>
      <w:divBdr>
        <w:top w:val="none" w:sz="0" w:space="0" w:color="auto"/>
        <w:left w:val="none" w:sz="0" w:space="0" w:color="auto"/>
        <w:bottom w:val="none" w:sz="0" w:space="0" w:color="auto"/>
        <w:right w:val="none" w:sz="0" w:space="0" w:color="auto"/>
      </w:divBdr>
    </w:div>
    <w:div w:id="1330794527">
      <w:bodyDiv w:val="1"/>
      <w:marLeft w:val="0"/>
      <w:marRight w:val="0"/>
      <w:marTop w:val="0"/>
      <w:marBottom w:val="0"/>
      <w:divBdr>
        <w:top w:val="none" w:sz="0" w:space="0" w:color="auto"/>
        <w:left w:val="none" w:sz="0" w:space="0" w:color="auto"/>
        <w:bottom w:val="none" w:sz="0" w:space="0" w:color="auto"/>
        <w:right w:val="none" w:sz="0" w:space="0" w:color="auto"/>
      </w:divBdr>
    </w:div>
    <w:div w:id="1415660503">
      <w:bodyDiv w:val="1"/>
      <w:marLeft w:val="0"/>
      <w:marRight w:val="0"/>
      <w:marTop w:val="0"/>
      <w:marBottom w:val="0"/>
      <w:divBdr>
        <w:top w:val="none" w:sz="0" w:space="0" w:color="auto"/>
        <w:left w:val="none" w:sz="0" w:space="0" w:color="auto"/>
        <w:bottom w:val="none" w:sz="0" w:space="0" w:color="auto"/>
        <w:right w:val="none" w:sz="0" w:space="0" w:color="auto"/>
      </w:divBdr>
    </w:div>
    <w:div w:id="1435174686">
      <w:bodyDiv w:val="1"/>
      <w:marLeft w:val="0"/>
      <w:marRight w:val="0"/>
      <w:marTop w:val="0"/>
      <w:marBottom w:val="0"/>
      <w:divBdr>
        <w:top w:val="none" w:sz="0" w:space="0" w:color="auto"/>
        <w:left w:val="none" w:sz="0" w:space="0" w:color="auto"/>
        <w:bottom w:val="none" w:sz="0" w:space="0" w:color="auto"/>
        <w:right w:val="none" w:sz="0" w:space="0" w:color="auto"/>
      </w:divBdr>
    </w:div>
    <w:div w:id="1609661342">
      <w:bodyDiv w:val="1"/>
      <w:marLeft w:val="0"/>
      <w:marRight w:val="0"/>
      <w:marTop w:val="0"/>
      <w:marBottom w:val="0"/>
      <w:divBdr>
        <w:top w:val="none" w:sz="0" w:space="0" w:color="auto"/>
        <w:left w:val="none" w:sz="0" w:space="0" w:color="auto"/>
        <w:bottom w:val="none" w:sz="0" w:space="0" w:color="auto"/>
        <w:right w:val="none" w:sz="0" w:space="0" w:color="auto"/>
      </w:divBdr>
    </w:div>
    <w:div w:id="1798141485">
      <w:bodyDiv w:val="1"/>
      <w:marLeft w:val="0"/>
      <w:marRight w:val="0"/>
      <w:marTop w:val="0"/>
      <w:marBottom w:val="0"/>
      <w:divBdr>
        <w:top w:val="none" w:sz="0" w:space="0" w:color="auto"/>
        <w:left w:val="none" w:sz="0" w:space="0" w:color="auto"/>
        <w:bottom w:val="none" w:sz="0" w:space="0" w:color="auto"/>
        <w:right w:val="none" w:sz="0" w:space="0" w:color="auto"/>
      </w:divBdr>
    </w:div>
    <w:div w:id="1965961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1161574-6904-453C-A9BE-97501364C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36</Pages>
  <Words>10171</Words>
  <Characters>57981</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sjlewis16@yahoo.co.uk</dc:creator>
  <cp:keywords/>
  <dc:description/>
  <cp:lastModifiedBy>Simon Lewis</cp:lastModifiedBy>
  <cp:revision>101</cp:revision>
  <cp:lastPrinted>2019-10-29T09:07:00Z</cp:lastPrinted>
  <dcterms:created xsi:type="dcterms:W3CDTF">2019-10-25T09:34:00Z</dcterms:created>
  <dcterms:modified xsi:type="dcterms:W3CDTF">2019-12-04T13:36:00Z</dcterms:modified>
</cp:coreProperties>
</file>