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458C" w:rsidRPr="0000458C" w:rsidRDefault="0000458C" w:rsidP="0000458C">
      <w:pPr>
        <w:rPr>
          <w:rFonts w:cstheme="minorHAnsi"/>
          <w:w w:val="105"/>
          <w:sz w:val="36"/>
          <w:szCs w:val="36"/>
        </w:rPr>
      </w:pPr>
      <w:r w:rsidRPr="0000458C">
        <w:rPr>
          <w:rFonts w:cstheme="minorHAnsi"/>
          <w:w w:val="105"/>
          <w:sz w:val="36"/>
          <w:szCs w:val="36"/>
        </w:rPr>
        <w:t xml:space="preserve">Disabled Children and Child Protection: Learning </w:t>
      </w:r>
      <w:proofErr w:type="gramStart"/>
      <w:r w:rsidRPr="0000458C">
        <w:rPr>
          <w:rFonts w:cstheme="minorHAnsi"/>
          <w:w w:val="105"/>
          <w:sz w:val="36"/>
          <w:szCs w:val="36"/>
        </w:rPr>
        <w:t>From</w:t>
      </w:r>
      <w:proofErr w:type="gramEnd"/>
      <w:r w:rsidRPr="0000458C">
        <w:rPr>
          <w:rFonts w:cstheme="minorHAnsi"/>
          <w:w w:val="105"/>
          <w:sz w:val="36"/>
          <w:szCs w:val="36"/>
        </w:rPr>
        <w:t xml:space="preserve"> Literature Through a Non-Tragedy Lens</w:t>
      </w:r>
    </w:p>
    <w:p w:rsidR="0000458C" w:rsidRDefault="0000458C" w:rsidP="0000458C">
      <w:pPr>
        <w:rPr>
          <w:rFonts w:cstheme="minorHAnsi"/>
        </w:rPr>
      </w:pPr>
      <w:r w:rsidRPr="004A43AC">
        <w:rPr>
          <w:rFonts w:cstheme="minorHAnsi"/>
        </w:rPr>
        <w:t>Susan Flynn and Caroline McGregor</w:t>
      </w:r>
    </w:p>
    <w:p w:rsidR="0000458C" w:rsidRPr="0000458C" w:rsidRDefault="0000458C" w:rsidP="0000458C">
      <w:pPr>
        <w:rPr>
          <w:rFonts w:cstheme="minorHAnsi"/>
        </w:rPr>
      </w:pPr>
    </w:p>
    <w:p w:rsidR="0000458C" w:rsidRPr="0000458C" w:rsidRDefault="0000458C" w:rsidP="0000458C">
      <w:pPr>
        <w:rPr>
          <w:b/>
        </w:rPr>
      </w:pPr>
      <w:r w:rsidRPr="0000458C">
        <w:rPr>
          <w:b/>
        </w:rPr>
        <w:t>ABSTRACT</w:t>
      </w:r>
    </w:p>
    <w:p w:rsidR="005C379F" w:rsidRDefault="0000458C" w:rsidP="0000458C">
      <w:pPr>
        <w:jc w:val="both"/>
      </w:pPr>
      <w:r>
        <w:t xml:space="preserve">Disabled children experience unique vulnerabilities in the context of child protection and welfare services. Current research alludes to strong concerns about social inequality, professional responses, judgement, knowledge and awareness limitations, and practical constraints. This article presents a focused commentary on the literature pertaining to child protection and disabled children. It does so through the lens of a broad affirmative non-tragedy approach. Within this, consideration is given to the distinct experience of disabled children within the broader child protection and welfare system, including experiences of being in care and of leaving care. The matter of children’s rights is explicitly addressed with a </w:t>
      </w:r>
      <w:proofErr w:type="gramStart"/>
      <w:r>
        <w:t>particular focus</w:t>
      </w:r>
      <w:proofErr w:type="gramEnd"/>
      <w:r>
        <w:t xml:space="preserve"> on the right for children to have their voices heard. Core themes are drawn from the body of material, which are then used to inform a discussion on the key points of learning for practitioners and policy makers moving forward. The article concludes with the recognition that, to date the matter of supporting disabled children and their families within the child protection and welfare context remains both critical and broadly neglected. It proposes that the affirmative non-tragedy model offers an effective theoretical lens to progress an assertive children’s rights approach within the child protection and welfare context.</w:t>
      </w:r>
    </w:p>
    <w:p w:rsidR="0000458C" w:rsidRPr="0000458C" w:rsidRDefault="0000458C" w:rsidP="0000458C">
      <w:pPr>
        <w:rPr>
          <w:b/>
        </w:rPr>
      </w:pPr>
      <w:r w:rsidRPr="0000458C">
        <w:rPr>
          <w:b/>
        </w:rPr>
        <w:t>Introduction</w:t>
      </w:r>
    </w:p>
    <w:p w:rsidR="0000458C" w:rsidRDefault="0000458C" w:rsidP="0000458C">
      <w:pPr>
        <w:spacing w:after="0"/>
        <w:jc w:val="both"/>
      </w:pPr>
      <w:r>
        <w:t xml:space="preserve">The aim of this article is to provide a focused commentary on the literature relating to dis- abled children and child protection in the Irish context. The intention is to do so using a broad affirmative “non-tragedy” approach influenced by French and Swain (2008). From the start, this article declares its reading and interpretation of literature, policy and practice through this lens and situates itself within, rather than abstractly outside of, the discussion and analysis that follows. </w:t>
      </w:r>
      <w:proofErr w:type="gramStart"/>
      <w:r>
        <w:t>With this in mind, the</w:t>
      </w:r>
      <w:proofErr w:type="gramEnd"/>
      <w:r>
        <w:t xml:space="preserve"> article uses the summary of core literature around themes pertinent to disabled children and child protection to provide a discussion about how one can learn from this literature to improve policy and practice in the field. The focus is particularly on how social work students and practitioners can maximise their potential to promote the non-tragedy approach from a children’s rights perspective. We think this could contribute to addressing some of the very serious concerns about</w:t>
      </w:r>
      <w:r w:rsidRPr="0000458C">
        <w:t xml:space="preserve"> </w:t>
      </w:r>
      <w:r>
        <w:t>attitudes, judgement, social inequality, resource constraints and practice limitations that the current research alludes to.</w:t>
      </w:r>
    </w:p>
    <w:p w:rsidR="0000458C" w:rsidRDefault="0000458C" w:rsidP="0000458C">
      <w:pPr>
        <w:spacing w:after="0"/>
        <w:ind w:firstLine="720"/>
        <w:jc w:val="both"/>
      </w:pPr>
      <w:r>
        <w:t xml:space="preserve">The article progresses as follows. Firstly, it outlines some basic definitions and terminology. Secondly, the article explains its “non-tragedy” position within an overview of theoretical conceptualisations of disability. The article then considers some of the literature about disabled children in the child care system within Ireland including their experience of the child protection services, of being in care and of leaving care. This section also considers the issue of children’s rights with an emphasis on the right to be heard and listened to. It is not the intention here to simply restate what has been advocated for and recognised by previous authors. Rather, the desire here is to progress and accentuate the contention that disabled children’s voices must better feature in child protection- orientated research. The intention is to do so specifically through an affirmative non- tragedy lens because this both elicits an active attention to these voices and offers a unique shift in </w:t>
      </w:r>
      <w:r>
        <w:lastRenderedPageBreak/>
        <w:t>focus. A strong and explicit shift away from any assumption that disabled children desire normality is key to a non-tragedy approach (French &amp; Swain, 2008).</w:t>
      </w:r>
    </w:p>
    <w:p w:rsidR="0000458C" w:rsidRDefault="0000458C" w:rsidP="0000458C">
      <w:pPr>
        <w:ind w:firstLine="720"/>
        <w:jc w:val="both"/>
      </w:pPr>
      <w:r>
        <w:t>The critical discussion that follows begins with a strong assertion of the need to move forward with an assertive children’s rights perspective and the argument that use of the non-tragedy affirmative model can progress current children’s rights advocacy for dis- abled children further.</w:t>
      </w:r>
    </w:p>
    <w:p w:rsidR="0000458C" w:rsidRPr="0000458C" w:rsidRDefault="0000458C" w:rsidP="0000458C">
      <w:pPr>
        <w:rPr>
          <w:b/>
        </w:rPr>
      </w:pPr>
    </w:p>
    <w:p w:rsidR="0000458C" w:rsidRPr="0000458C" w:rsidRDefault="0000458C" w:rsidP="0000458C">
      <w:pPr>
        <w:rPr>
          <w:b/>
        </w:rPr>
      </w:pPr>
      <w:r w:rsidRPr="0000458C">
        <w:rPr>
          <w:b/>
        </w:rPr>
        <w:t>Starting Position: Some Definitions and Facts</w:t>
      </w:r>
    </w:p>
    <w:p w:rsidR="0000458C" w:rsidRDefault="0000458C" w:rsidP="0000458C">
      <w:pPr>
        <w:spacing w:after="0"/>
        <w:jc w:val="both"/>
      </w:pPr>
      <w:r>
        <w:t xml:space="preserve">Disability both has been and is a contested concept. As a starting point, this article aligns itself with Goodley’s (2001) work, which aims to challenge, or destabilise, naturalised interpretations of disability. In keeping with this positioning, the article uses the term “dis- abled children” in concurrence with Oliver, </w:t>
      </w:r>
      <w:proofErr w:type="spellStart"/>
      <w:r>
        <w:t>Sapey</w:t>
      </w:r>
      <w:proofErr w:type="spellEnd"/>
      <w:r>
        <w:t>, and Thomas (2012). This is to illustrate the nature of disability as a social creation rather than an individual condition (</w:t>
      </w:r>
      <w:proofErr w:type="spellStart"/>
      <w:r>
        <w:t>Skalecka</w:t>
      </w:r>
      <w:proofErr w:type="spellEnd"/>
      <w:r>
        <w:t xml:space="preserve">, 2014). It deviates here somewhat from the idea of “person first terminology”, which draws attention to the person as a distinct social being—disability comprising only one ingredient of that exclusive positioning. While the latter </w:t>
      </w:r>
      <w:proofErr w:type="gramStart"/>
      <w:r>
        <w:t>is considered to be</w:t>
      </w:r>
      <w:proofErr w:type="gramEnd"/>
      <w:r>
        <w:t xml:space="preserve"> a critical point, the term “disabled children” will be proceeded with for the purpose of this article. In this way, the authors have chosen not to use “person first terminology” in this instance, in order to convey their understanding of disability as something that is socially constructed. While the intention is to avoid the clinical technicality of a medical, rather than social, focus on disability, it is important to establish the article’s positioning. The term “impairment” broadly amounts to the loss or limitation of physical, sensory or mental function on a long-term basis. On the other hand, “disability” refers to the circumstance of physical and/or social obstacles preventing a person who has impairment from integrating into ordinary community life in equal measure with the rest of society (Browne &amp; Miller, 2013). It is the latter circumstance that this article has concerned itself with here. Nonetheless, to avoid perplexity or misapprehension it is important to note the disparities between these terms (</w:t>
      </w:r>
      <w:proofErr w:type="spellStart"/>
      <w:r>
        <w:t>Skalecka</w:t>
      </w:r>
      <w:proofErr w:type="spellEnd"/>
      <w:r>
        <w:t>, 2014). Prior to this (and indeed presently), disabled people have been labelled with many degrading, pejorative and stigmatising titles and it</w:t>
      </w:r>
      <w:r>
        <w:t xml:space="preserve"> </w:t>
      </w:r>
      <w:r>
        <w:t>is for this reason that the article has comprehensively addressed its use of terminology. Broadly speaking, disabled children in Ireland are a marginalised population (Browne &amp;</w:t>
      </w:r>
      <w:r>
        <w:t xml:space="preserve"> </w:t>
      </w:r>
      <w:r>
        <w:t>Miller, 2013; Caples &amp; Sweeney, 2011). Disability prevalence can be seen to increase with</w:t>
      </w:r>
      <w:r w:rsidRPr="0000458C">
        <w:t xml:space="preserve"> </w:t>
      </w:r>
      <w:r>
        <w:t>age. Globally, the prevalence of moderate to severe forms of disability is thought to vary from 45% in adults aged over 60 years down to 5% in children (Department of Health, 2012,</w:t>
      </w:r>
      <w:r>
        <w:t xml:space="preserve"> </w:t>
      </w:r>
      <w:r>
        <w:t xml:space="preserve">p. 24). Within an Irish context, 595,335 individuals, amounting to 13.0% of the population, were deemed to have a disability in April 2011 (Central Statistics Office, 2012). More specifically, the National Intellectual Disability Database has established that, towards the end of December 2013, there were 27,691 people registered as having an intellectual disability (ID). Interestingly, based on 2011 census figures, this is representative of a prevalence rate of 6.04 per 1,000 population (Kelly &amp; </w:t>
      </w:r>
      <w:proofErr w:type="spellStart"/>
      <w:r>
        <w:t>O’Donohoe</w:t>
      </w:r>
      <w:proofErr w:type="spellEnd"/>
      <w:r>
        <w:t>, 2014, p.14). If one considers these prevalence rates with respect to child protection professional practice, it becomes clear that disability awareness must constitute a central preoccupation for practitioners who aspire towards an enhanced social reality for at-risk children.</w:t>
      </w:r>
      <w:r w:rsidRPr="0000458C">
        <w:t xml:space="preserve"> </w:t>
      </w:r>
      <w:r>
        <w:t>Theoretical Conceptualisations of Disability</w:t>
      </w:r>
    </w:p>
    <w:p w:rsidR="0000458C" w:rsidRDefault="0000458C" w:rsidP="0000458C">
      <w:pPr>
        <w:spacing w:after="0"/>
        <w:ind w:firstLine="720"/>
        <w:jc w:val="both"/>
      </w:pPr>
      <w:r>
        <w:t xml:space="preserve">This article proposes that an affirmative non-tragedy model of disability as derived from French and Swain (2008) is an effective theoretical and operational lens for child protection social work with disabled children. This model has the potential to suitably support child protection social workers in critically appraising their practice with disabled children. The model is aligned well to the global principles of the social work discipline. According to the International Federation of Social Workers (2016), for instance, the over- arching principles of the social work discipline are to do no harm, to maintain respect for diversity and to promote human rights and social justice. In addition, </w:t>
      </w:r>
      <w:r>
        <w:lastRenderedPageBreak/>
        <w:t xml:space="preserve">the social work discipline must have regard for the inherent value and dignity of humans. If we are to take the principles of social justice and of doing no harm as our starting point, the approach is useful because it obliges critical reflection upon the intervention of child protection professionals in disabled children’s lives. It necessitates a regard for participant children as possessing </w:t>
      </w:r>
      <w:proofErr w:type="gramStart"/>
      <w:r>
        <w:t>expertise, and</w:t>
      </w:r>
      <w:proofErr w:type="gramEnd"/>
      <w:r>
        <w:t xml:space="preserve"> elicits an active attention to their voices. Hearing the voices of disabled children is a clear expression of their basic right to have their voices heard, on matters that affect their lives.</w:t>
      </w:r>
    </w:p>
    <w:p w:rsidR="0000458C" w:rsidRDefault="0000458C" w:rsidP="0000458C">
      <w:pPr>
        <w:spacing w:after="0"/>
        <w:ind w:firstLine="720"/>
        <w:jc w:val="both"/>
      </w:pPr>
      <w:r>
        <w:t xml:space="preserve">The approach also requires the surrender of some power on the workers behalf and a desertion of any assumption that disabled children desire normality (French &amp; Swain, 2008). This again not only maintains a respect for diversity, but also appears to show a regard for the value and dignity of disabled children that moves beyond thinking about them in inappropriate ways; such as objects of pity, tragedy or loss. Further, French and Swain (2008) offer </w:t>
      </w:r>
      <w:proofErr w:type="gramStart"/>
      <w:r>
        <w:t>a number of</w:t>
      </w:r>
      <w:proofErr w:type="gramEnd"/>
      <w:r>
        <w:t xml:space="preserve"> constructive appraisals of the practical application of this model in varying professional roles. They examine social work with disabled </w:t>
      </w:r>
      <w:proofErr w:type="gramStart"/>
      <w:r>
        <w:t>people, and</w:t>
      </w:r>
      <w:proofErr w:type="gramEnd"/>
      <w:r>
        <w:t xml:space="preserve"> establish how valuing diversity is an inherent part of both the social work profession and of inclusive practice. They consider both inclusive practice and anti-oppressive practice (AOP) to be foundations of the profession. The former approach is a response to the social exclusion of communities that results in their disadvantage and impoverishment. The non-tragedy approach is also oppositional to the social exclusion of disabled people because of its promotion of respect for diversity. In this sense, it is aligned well with inclusive social work practice overall.</w:t>
      </w:r>
    </w:p>
    <w:p w:rsidR="0000458C" w:rsidRDefault="0000458C" w:rsidP="0000458C">
      <w:pPr>
        <w:spacing w:after="0"/>
        <w:ind w:firstLine="720"/>
        <w:jc w:val="both"/>
      </w:pPr>
      <w:r>
        <w:t>The affirmative model also offers an alternative to medical, social and tragedy models of disability and fits congruently within the conventions of AOP. In this sense, AOP first emerged as a reaction to “expert” or “professional” approaches to intervening in</w:t>
      </w:r>
      <w:r w:rsidRPr="0000458C">
        <w:t xml:space="preserve"> </w:t>
      </w:r>
      <w:r>
        <w:t>people’s lives that showed little regard for service users’ own voices and wishes (</w:t>
      </w:r>
      <w:proofErr w:type="spellStart"/>
      <w:r>
        <w:t>Dominelli</w:t>
      </w:r>
      <w:proofErr w:type="spellEnd"/>
      <w:r>
        <w:t xml:space="preserve">, 2002). One could locate the affirmative model within a broad overarching framework of critical disability studies, which, despite occupying a trans-disciplinary space, is accommodating to social work conventions and principles as outlined earlier. In this sense, critical disability studies as a paradigm contests </w:t>
      </w:r>
      <w:proofErr w:type="spellStart"/>
      <w:r>
        <w:t>disableism</w:t>
      </w:r>
      <w:proofErr w:type="spellEnd"/>
      <w:r>
        <w:t xml:space="preserve"> and biological conceptions of disability (Goodley, 2001). Fundamentally, critical disability studies </w:t>
      </w:r>
      <w:proofErr w:type="gramStart"/>
      <w:r>
        <w:t>maintains</w:t>
      </w:r>
      <w:proofErr w:type="gramEnd"/>
      <w:r>
        <w:t xml:space="preserve"> a core concern with the social inclusion and empowerment of disabled children. Rather than being an approach that is specific to the social work discipline or social work discourses, critical dis- ability studies instead exists outside of social work and lies where disability studies inter- sect with other agendas such as queer, class, postcolonial and feminist transformative theories (Goodley, 2001).</w:t>
      </w:r>
    </w:p>
    <w:p w:rsidR="0000458C" w:rsidRDefault="0000458C" w:rsidP="0000458C">
      <w:pPr>
        <w:spacing w:after="0"/>
        <w:ind w:firstLine="720"/>
        <w:jc w:val="both"/>
      </w:pPr>
      <w:r>
        <w:t xml:space="preserve">The integration of an affirmative non-tragedy model into the strategy of child protection social work would seem to be aligned, in that social work principles of inclusive practice are arguably consistent with an affirmative non-tragedy approach (Swain &amp; French, 2000) as highlighted earlier. However, to gain </w:t>
      </w:r>
      <w:proofErr w:type="gramStart"/>
      <w:r>
        <w:t>sufficient</w:t>
      </w:r>
      <w:proofErr w:type="gramEnd"/>
      <w:r>
        <w:t xml:space="preserve"> space would require the status quo of disability to be somewhat destabilised and moved away from a bio-medical dis- course, and in doing so perhaps would be better situated to accommodate affirmative non-tragedy principles. For example, research by </w:t>
      </w:r>
      <w:proofErr w:type="spellStart"/>
      <w:r>
        <w:t>Skalecka</w:t>
      </w:r>
      <w:proofErr w:type="spellEnd"/>
      <w:r>
        <w:t xml:space="preserve"> (2014) found that the Irish government still relies upon policies that are constructed from a mix of medical and social models. Her research concedes that the Irish disability care system is still predominately based upon medical professions, diagnosis and medication. Introducing an affirmative model into this context, from a child protection perspective, will contribute to an approach more focused upon empowering disabled children through hearing their voices.</w:t>
      </w:r>
    </w:p>
    <w:p w:rsidR="0000458C" w:rsidRDefault="0000458C" w:rsidP="0000458C">
      <w:pPr>
        <w:spacing w:after="0"/>
        <w:ind w:firstLine="720"/>
        <w:jc w:val="both"/>
      </w:pPr>
      <w:r>
        <w:t xml:space="preserve">It would be remiss, however, to portray the affirmative non-tragedy approach as if it was uncontested. Authors such as Morris (1991) and Crow (1996), who are aligned with a disabled feminist perspective, criticise approaches such as the non-tragedy perspective for neglecting the lived reality of impairment. As Feely (2016) explains, these “affirmative” approaches can appear to insufficiently address the realities of impairment such as experiences of chronic pain or distress. This criticism is related to the work of such authors as Hughes and Patterson (1997), who advise that the current distinction between disability and impairment is not progressive for the disability movement overall. </w:t>
      </w:r>
      <w:r>
        <w:lastRenderedPageBreak/>
        <w:t xml:space="preserve">The later point is relevant because the affirmative approach has been criticised for paying undue attention to the positive aspects of disability, whilst failing to address how impairment constrains people in real and everyday ways. Despite these important cri- </w:t>
      </w:r>
      <w:proofErr w:type="spellStart"/>
      <w:r>
        <w:t>ticisms</w:t>
      </w:r>
      <w:proofErr w:type="spellEnd"/>
      <w:r>
        <w:t>, the wider move away from traditional expert-driven approaches that ignore the voices of service users has been largely considered positive within social work (</w:t>
      </w:r>
      <w:proofErr w:type="spellStart"/>
      <w:r>
        <w:t>Dominelli</w:t>
      </w:r>
      <w:proofErr w:type="spellEnd"/>
      <w:r>
        <w:t>, 2002). Within this, the adoption of an affirmative non-tragedy approach may offer some empowerment for disabled children subject to child protection processes.</w:t>
      </w:r>
    </w:p>
    <w:p w:rsidR="0000458C" w:rsidRDefault="0000458C" w:rsidP="0000458C">
      <w:pPr>
        <w:jc w:val="both"/>
      </w:pPr>
    </w:p>
    <w:p w:rsidR="0000458C" w:rsidRPr="0000458C" w:rsidRDefault="0000458C" w:rsidP="0000458C">
      <w:pPr>
        <w:jc w:val="both"/>
        <w:rPr>
          <w:b/>
        </w:rPr>
      </w:pPr>
      <w:r w:rsidRPr="0000458C">
        <w:rPr>
          <w:b/>
        </w:rPr>
        <w:t>Review of Present Child Protection Response to Disabled Children</w:t>
      </w:r>
    </w:p>
    <w:p w:rsidR="0000458C" w:rsidRDefault="0000458C" w:rsidP="0000458C">
      <w:pPr>
        <w:jc w:val="both"/>
      </w:pPr>
      <w:r>
        <w:t xml:space="preserve">This article examines the present child protection response to disabled children drawing upon ongoing qualitative empirical research; the reading of such is explicitly influenced by our respective experience of working in child protection and with disabled children. There are </w:t>
      </w:r>
      <w:proofErr w:type="gramStart"/>
      <w:r>
        <w:t>a number of</w:t>
      </w:r>
      <w:proofErr w:type="gramEnd"/>
      <w:r>
        <w:t xml:space="preserve"> points to cover regarding the current context of child protection and</w:t>
      </w:r>
      <w:r w:rsidRPr="0000458C">
        <w:t xml:space="preserve"> </w:t>
      </w:r>
      <w:r>
        <w:t>disabled children, including child protection responses and experiences in care and leaving care, as set out in this section.</w:t>
      </w:r>
      <w:r>
        <w:t xml:space="preserve"> </w:t>
      </w:r>
      <w:r>
        <w:t xml:space="preserve">Disabled children have distinct vulnerabilities when considered in the context of child protection professional responses. Disabled children are subject to a risk of neglect and abuse that is vividly higher than their non-disabled peers (Kelly, Dowling, &amp; Winter, 2012; Stalker &amp; McArthur, 2012). The most substantial and large-scale study to evidence this was undertaken by Sullivan and Knutson (2000) in the United States. The research features within the Irish Child Protection and Welfare Handbook (Department of Children and Youth Affairs, 2011), which constitutes a key instrument in Irish grass-roots social work practice. Findings evidenced that disabled children are 3.4 times more likely to be neglected or abused than their non-disabled peers. In mapping the relationship between disabled children and child protection systems, the work of </w:t>
      </w:r>
      <w:proofErr w:type="spellStart"/>
      <w:r>
        <w:t>Berni</w:t>
      </w:r>
      <w:proofErr w:type="spellEnd"/>
      <w:r>
        <w:t xml:space="preserve"> Kelly remains and while her research pertains mostly to Northern Ireland, much of her work resonates within the Southern Irish context too. Kelly, for example, points towards extensive research evidence that disabled children, </w:t>
      </w:r>
      <w:proofErr w:type="gramStart"/>
      <w:r>
        <w:t>in particular those</w:t>
      </w:r>
      <w:proofErr w:type="gramEnd"/>
      <w:r>
        <w:t xml:space="preserve"> with an ID, are over- represented in looked-after populations, in child protection and public care systems (Kelly et al., 2012; Stalker &amp; McArthur, 2012). With colleagues, she contends that causal links may be drawn between this over-representation and the over-representation of disabled children in marginalised populations who encounter social disadvantage (Kelly et al., 2012). As emphasised in work by authors such as Browne and Miller (2013), disabled children are also a population with a high dependency on social support infrastructures. In etiological terms, the direction of causality between disability and abuse is a further complicating factor in the relationship which must be considered (Stalker &amp; McArthur, 2012). At the same time, overall the acute social vulnerability of disabled children extends beyond direct abuse to an increased susceptibility to poverty (Emerson, 2004), substance misuse problems (To, </w:t>
      </w:r>
      <w:proofErr w:type="spellStart"/>
      <w:r>
        <w:t>Neirynck</w:t>
      </w:r>
      <w:proofErr w:type="spellEnd"/>
      <w:r>
        <w:t xml:space="preserve">, </w:t>
      </w:r>
      <w:proofErr w:type="spellStart"/>
      <w:r>
        <w:t>Vanderplasschen</w:t>
      </w:r>
      <w:proofErr w:type="spellEnd"/>
      <w:r>
        <w:t xml:space="preserve">, </w:t>
      </w:r>
      <w:proofErr w:type="spellStart"/>
      <w:r>
        <w:t>Vanheule</w:t>
      </w:r>
      <w:proofErr w:type="spellEnd"/>
      <w:r>
        <w:t xml:space="preserve">, &amp; </w:t>
      </w:r>
      <w:proofErr w:type="spellStart"/>
      <w:r>
        <w:t>Vandevelde</w:t>
      </w:r>
      <w:proofErr w:type="spellEnd"/>
      <w:r>
        <w:t xml:space="preserve">, 2014) and negative involvement with the criminal justice system (Van </w:t>
      </w:r>
      <w:proofErr w:type="spellStart"/>
      <w:r>
        <w:t>Vugt</w:t>
      </w:r>
      <w:proofErr w:type="spellEnd"/>
      <w:r>
        <w:t xml:space="preserve"> et al., 2011). Disabled children in care are also subject to a heightened risk of suicide ideation, depression (where this is not the original disability) and homelessness (Kelly, Dowling, &amp; Winter, 2014). Finally, children with ID in residential settings have also been surmised to be at greater risk than their peers, in particular </w:t>
      </w:r>
      <w:proofErr w:type="gramStart"/>
      <w:r>
        <w:t>with regard to</w:t>
      </w:r>
      <w:proofErr w:type="gramEnd"/>
      <w:r>
        <w:t xml:space="preserve"> having parents with mental health or maternal intellectual disability (</w:t>
      </w:r>
      <w:proofErr w:type="spellStart"/>
      <w:r>
        <w:t>Sainero</w:t>
      </w:r>
      <w:proofErr w:type="spellEnd"/>
      <w:r>
        <w:t>, De Valle, Lopez, &amp; Bravo, 2013). Whilst little work has been carried out which critiques the response of child protection professionals towards disabled children, the existing literature has captured an ambiva</w:t>
      </w:r>
      <w:r>
        <w:t>l</w:t>
      </w:r>
      <w:r>
        <w:t>ence and inefficiency in the relationship. It is not the intention here to make the case that the over-representation of disabled children in care and within child protection interventions is a direct result of ineffective child protection responses. Other factors have clear influence; for instance, disabled children typically have more complex needs that can increase stress levels and financial pressure for parents (</w:t>
      </w:r>
      <w:proofErr w:type="spellStart"/>
      <w:r>
        <w:t>Revill</w:t>
      </w:r>
      <w:proofErr w:type="spellEnd"/>
      <w:r>
        <w:t xml:space="preserve">, Ryan, McNamara, &amp; Normand, 2013). Nevertheless, it remains the case that there are some flaws in the </w:t>
      </w:r>
      <w:r>
        <w:lastRenderedPageBreak/>
        <w:t>child protection response to disabled children. Through research quantification, an under-representation of disabled children in child abuse cases has emerged which troublingly appeals to the notion that disabled children are less likely to receive assessment or intervention (Stalker &amp; McArthur, 2012). This posited exclusion plays into the requirement for an affirmative non-tragedy model in child protection social work, which elicits active and consistent attention to the voices of disabled children (French &amp; Swain,</w:t>
      </w:r>
      <w:r w:rsidRPr="0000458C">
        <w:t xml:space="preserve"> </w:t>
      </w:r>
      <w:r>
        <w:t>2008). As the Committee on the Rights of the Child (United Nations, 2006) stresses, the barrier to inclusion of disabled children is not the disability itself but instead a combi- nation of social, cultural, attitudinal and physical obstacles which disabled children encounter in their daily lives. We are interested in the problematisation of the relationship between child protection social work professionals and disabled children, which we assume to be non-linear and complex. To explore this further, we focus on three areas: children in the care system; leaving care and those subject to child protection in the community.</w:t>
      </w:r>
    </w:p>
    <w:p w:rsidR="0000458C" w:rsidRPr="0000458C" w:rsidRDefault="0000458C" w:rsidP="0000458C">
      <w:pPr>
        <w:spacing w:after="0"/>
        <w:jc w:val="both"/>
        <w:rPr>
          <w:b/>
        </w:rPr>
      </w:pPr>
    </w:p>
    <w:p w:rsidR="0000458C" w:rsidRPr="0000458C" w:rsidRDefault="0000458C" w:rsidP="0000458C">
      <w:pPr>
        <w:spacing w:after="0"/>
        <w:jc w:val="both"/>
        <w:rPr>
          <w:b/>
        </w:rPr>
      </w:pPr>
      <w:r w:rsidRPr="0000458C">
        <w:rPr>
          <w:b/>
        </w:rPr>
        <w:t>Disabled Children within the Care System</w:t>
      </w:r>
    </w:p>
    <w:p w:rsidR="0000458C" w:rsidRDefault="0000458C" w:rsidP="0000458C">
      <w:pPr>
        <w:spacing w:after="0"/>
        <w:jc w:val="both"/>
      </w:pPr>
    </w:p>
    <w:p w:rsidR="0000458C" w:rsidRDefault="0000458C" w:rsidP="0000458C">
      <w:pPr>
        <w:spacing w:after="0"/>
        <w:jc w:val="both"/>
      </w:pPr>
      <w:r>
        <w:t>Disabled children who have found themselves in care due to child protection concerns seem to experience a somewhat different path to children who are not disabled. While voluntary arrangements comprise the primary pathway into care for disabled children more generally (Kelly et al., 2012), Morris’s (1998) work appeals to the notion that a diversion, of kinds, may be occurring in this practice away from direct engagement with child protection. In this sense, neglect cases for disabled children avoid child protection services through voluntary arrangements between care providers and parent/guardians (Kelly et al., 2012).</w:t>
      </w:r>
    </w:p>
    <w:p w:rsidR="0000458C" w:rsidRDefault="0000458C" w:rsidP="0000458C">
      <w:pPr>
        <w:spacing w:after="0"/>
        <w:ind w:firstLine="720"/>
        <w:jc w:val="both"/>
      </w:pPr>
      <w:r>
        <w:t xml:space="preserve">This circumstance may be partly owing to the nature and form of Irish service pro- vision. Historically speaking, religious philanthropic and voluntary organisations within Irish civil society have fronted service provision for disabled children. The Irish state has been somewhat hesitant, in an international sense, to interfere in this realm (Power 2009; Power &amp; Kenny, 2011; Quinn &amp; Redmond, 2003). Today, nevertheless, the state comprises the primary source of funding to the disability services sector, doing so with enough detachment to allow the voluntary services to spearhead sector development (Quinn &amp; Redmond, 2003). Ireland is comparatively unique in this sense, given that it has an abnormally long history of depending upon local, independent and self-directing charitable organisations in the provision of services, from within a broadly decentralised approach (Power &amp; Kenny, 2011; </w:t>
      </w:r>
      <w:proofErr w:type="spellStart"/>
      <w:r>
        <w:t>Skehill</w:t>
      </w:r>
      <w:proofErr w:type="spellEnd"/>
      <w:r>
        <w:t xml:space="preserve">, 2004). Significant here also is the shift away from care service provision within congregated or institutional settings towards smaller com- munity-based ones. We consider the latter to be both a progressive development and one partly owed to the practical application of normalisation theory (Brown, </w:t>
      </w:r>
      <w:proofErr w:type="spellStart"/>
      <w:r>
        <w:t>Geider</w:t>
      </w:r>
      <w:proofErr w:type="spellEnd"/>
      <w:r>
        <w:t xml:space="preserve">, Primrose, &amp; Jokinen, 2011). Wider disability discourse has been heavily influenced by this principle of normalisation, which is associated with the work of </w:t>
      </w:r>
      <w:proofErr w:type="spellStart"/>
      <w:r>
        <w:t>Wolfensberger</w:t>
      </w:r>
      <w:proofErr w:type="spellEnd"/>
      <w:r>
        <w:t xml:space="preserve"> (1972). Proponents of the principle believe that disabled children should be supported in making their normative living patterns and experiences close to those which are normative for wider society (</w:t>
      </w:r>
      <w:proofErr w:type="spellStart"/>
      <w:r>
        <w:t>Wolfensberger</w:t>
      </w:r>
      <w:proofErr w:type="spellEnd"/>
      <w:r>
        <w:t xml:space="preserve">, 1972). Partly </w:t>
      </w:r>
      <w:proofErr w:type="gramStart"/>
      <w:r>
        <w:t>as a consequence of</w:t>
      </w:r>
      <w:proofErr w:type="gramEnd"/>
      <w:r>
        <w:t xml:space="preserve"> this, and the overall transition from institutional to smaller community-based settings, the majority of disabled children now reside with their families (Kelly et al., 2012).</w:t>
      </w:r>
    </w:p>
    <w:p w:rsidR="0000458C" w:rsidRDefault="0000458C" w:rsidP="0000458C">
      <w:pPr>
        <w:spacing w:after="0"/>
        <w:ind w:firstLine="720"/>
        <w:jc w:val="both"/>
      </w:pPr>
      <w:r>
        <w:t xml:space="preserve">When it comes to the children who do, despite this dominant trend, come into care, there is a troubling deficiency in research with which one can evidence social, physical or educational outcomes (Kelly et al., 2012). In their literature review, Kelly et al. have drawn some informative emergent themes that can guide further work. First, it is well evidenced that disabled children are over-represented in care populations. Second, it is true to say that they are less likely to return home, they experience a longer duration in </w:t>
      </w:r>
      <w:proofErr w:type="gramStart"/>
      <w:r>
        <w:t>care</w:t>
      </w:r>
      <w:proofErr w:type="gramEnd"/>
      <w:r>
        <w:t xml:space="preserve"> and</w:t>
      </w:r>
      <w:r w:rsidRPr="0000458C">
        <w:t xml:space="preserve"> </w:t>
      </w:r>
      <w:r>
        <w:t xml:space="preserve">they are older in the circumstance of returning home. </w:t>
      </w:r>
      <w:r>
        <w:lastRenderedPageBreak/>
        <w:t>Beyond this, it is clear from the literature that disabled children are less likely to receive a foster care placement; and where they do, extra support proves beneficial—if not indispensable. Regrettably, where children already have another form of disability, the literature also points towards a heightened susceptibility to mental ill health probably owing to, or aggravated by, conditions of care such as possible placement instability. Last, Kelly et al.’s (2012) review calls upon the research community to prioritise the voices and opinions of disabled children within their empirical work.</w:t>
      </w:r>
    </w:p>
    <w:p w:rsidR="0000458C" w:rsidRDefault="0000458C" w:rsidP="0000458C">
      <w:pPr>
        <w:jc w:val="both"/>
      </w:pPr>
    </w:p>
    <w:p w:rsidR="0000458C" w:rsidRPr="0000458C" w:rsidRDefault="0000458C" w:rsidP="0000458C">
      <w:pPr>
        <w:jc w:val="both"/>
        <w:rPr>
          <w:b/>
        </w:rPr>
      </w:pPr>
      <w:r w:rsidRPr="0000458C">
        <w:rPr>
          <w:b/>
        </w:rPr>
        <w:t>Disabled Children’s Experience of Leaving Care</w:t>
      </w:r>
    </w:p>
    <w:p w:rsidR="0000458C" w:rsidRDefault="0000458C" w:rsidP="0000458C">
      <w:pPr>
        <w:spacing w:after="0"/>
        <w:jc w:val="both"/>
      </w:pPr>
      <w:r>
        <w:t xml:space="preserve">Of course, hearing subjugated voices as an aspiration extends beyond the realm of disabled children’s experiences of care, towards those of leaving care. Here, Kelly et al. (2014) offer a formidable start with a broad review of literature on disabled care leavers. Reading this work, a vivid picture forms of the leaving care experience of the children. Eleven empirical studies met the review’s inclusion criteria, drawn from England, Australia, the United States and Canada. The findings of the review conceded that there are few studies which comprise the existing evidence base. Studies cite considerable challenges for dis- abled caregivers, namely constricted access to services combined with strict eligibility criteria, ambiguous categorisation of disability and poor coordination between adult and child service factions. What we may further consider from this work is that good social support infrastructures, longer care placements, access to education and employment, and steady relationships with staff are critically conducive to positive transitions from care. Somewhat differently, Welch, Jones, Stalker, and Stewart (2015) offer a scoping review of international literature focused on permanence in care for disabled children. Critical to note here is their explicit emphasis on social divisions such as gender and age, in tandem with attributes such as impairment type. Impairments, for instance, such as behavioural or mental health disabilities, were more likely to disrupt placement stability. At the same time, boys were more likely than girls to be in foster care or experience delays in adoption. Their emphasis exists in recognition of disabled children as a diverse rather than a homogeneous group. Again, they concede that children’s views have not been adequately elicited in research, in particular </w:t>
      </w:r>
      <w:proofErr w:type="gramStart"/>
      <w:r>
        <w:t>with regard to</w:t>
      </w:r>
      <w:proofErr w:type="gramEnd"/>
      <w:r>
        <w:t xml:space="preserve"> achieving permanence in care.</w:t>
      </w:r>
    </w:p>
    <w:p w:rsidR="0000458C" w:rsidRDefault="0000458C" w:rsidP="0000458C">
      <w:pPr>
        <w:spacing w:after="0"/>
        <w:ind w:firstLine="720"/>
        <w:jc w:val="both"/>
      </w:pPr>
      <w:proofErr w:type="gramStart"/>
      <w:r>
        <w:t>With this in mind, it</w:t>
      </w:r>
      <w:proofErr w:type="gramEnd"/>
      <w:r>
        <w:t xml:space="preserve"> is clear from what has been read so far that one can reasonably proposition that the voices of disabled children need to be better heard within child protection social work research, policy and practice in Ireland. One can ascertain this from the reading of relevant literature, literature which progresses the argument as follows. To begin, a body of material drawn from authors such as Kelly (2005), Kelly, Dowling, &amp; Winter (2012), Flynn (2011) and Whyte (2006) in the Irish and Northern Irish context evidences that the voices of disabled children have been largely omitted from the body of research that concerns them. Stalker, Green Lister, </w:t>
      </w:r>
      <w:proofErr w:type="spellStart"/>
      <w:r>
        <w:t>Lerpiniere</w:t>
      </w:r>
      <w:proofErr w:type="spellEnd"/>
      <w:r>
        <w:t xml:space="preserve">, and McArthur (2010) are well published on the topic of disabled children and child </w:t>
      </w:r>
      <w:proofErr w:type="gramStart"/>
      <w:r>
        <w:t>protection, and</w:t>
      </w:r>
      <w:proofErr w:type="gramEnd"/>
      <w:r>
        <w:t xml:space="preserve"> having undertaken a scoping review the dearth of research in this area is evident. This deficiency leaves one knowing little about how disabled children experience child protection services (Browne &amp; Miller, 2013; Taylor, Stalker, &amp; Stewart, 2015). In tandem, the need for</w:t>
      </w:r>
      <w:r w:rsidRPr="0000458C">
        <w:t xml:space="preserve"> </w:t>
      </w:r>
      <w:r>
        <w:t>research on social workers’ engagement with the voices of children within child protection interventions remains (Ferguson, 2014).</w:t>
      </w:r>
    </w:p>
    <w:p w:rsidR="0000458C" w:rsidRDefault="0000458C" w:rsidP="0000458C">
      <w:pPr>
        <w:jc w:val="both"/>
      </w:pPr>
    </w:p>
    <w:p w:rsidR="0000458C" w:rsidRPr="0000458C" w:rsidRDefault="0000458C" w:rsidP="0000458C">
      <w:pPr>
        <w:jc w:val="both"/>
        <w:rPr>
          <w:b/>
        </w:rPr>
      </w:pPr>
      <w:r w:rsidRPr="0000458C">
        <w:rPr>
          <w:b/>
        </w:rPr>
        <w:t>Disabled Children and Child Protection in the Community</w:t>
      </w:r>
    </w:p>
    <w:p w:rsidR="0000458C" w:rsidRDefault="0000458C" w:rsidP="0000458C">
      <w:pPr>
        <w:spacing w:after="0"/>
        <w:jc w:val="both"/>
      </w:pPr>
      <w:r>
        <w:t xml:space="preserve">Finally, the broader theme of care for children outside child protection per se needs to be examined. Of </w:t>
      </w:r>
      <w:proofErr w:type="gramStart"/>
      <w:r>
        <w:t>particular interest</w:t>
      </w:r>
      <w:proofErr w:type="gramEnd"/>
      <w:r>
        <w:t xml:space="preserve"> to this theme is also the history and circumstance of dis- abled children cared for by their natural families. O’Connell (2008) contends that within Ireland, the informal provision of care for disabled people is one of the foundations of care provision. In this way it is embedded in the </w:t>
      </w:r>
      <w:r>
        <w:lastRenderedPageBreak/>
        <w:t xml:space="preserve">fabric of society through a sense of duty and obligation. O’Connell further contends that this care is carried out in a broadly uncontested and unseen manner. With this in mind, we may consider that internationally an appreciable number of children with complex needs are being cared for within the home; here Ireland offers no exception. To this effect, Irish families constitute the main provider of support to people with an ID (Chadwick et al., 2013; Kelly et al., 2012). It therefore comes as no surprise that demand exceeds supply for respite services in Ireland for disabled children. This is because predominantly Irish parents would rather receive the supports which keep their children within the family home than have that care taken from their hands (Caples &amp; Sweeney, 2011). Nevertheless, research by </w:t>
      </w:r>
      <w:proofErr w:type="spellStart"/>
      <w:r>
        <w:t>McConkey</w:t>
      </w:r>
      <w:proofErr w:type="spellEnd"/>
      <w:r>
        <w:t xml:space="preserve">, Kelly, and Craig (2014) paints a somewhat more disparaging picture. This research was undertaken in the Republic of Ireland and looked at the living arrangements of 700 children over a 10-year period. The study surmised that, </w:t>
      </w:r>
      <w:proofErr w:type="gramStart"/>
      <w:r>
        <w:t>on the whole</w:t>
      </w:r>
      <w:proofErr w:type="gramEnd"/>
      <w:r>
        <w:t xml:space="preserve">, disabled children are more likely to live out of home than non-disabled children (Kelly et al., 2012; </w:t>
      </w:r>
      <w:proofErr w:type="spellStart"/>
      <w:r>
        <w:t>McCon</w:t>
      </w:r>
      <w:proofErr w:type="spellEnd"/>
      <w:r>
        <w:t>- key et al., 2014), especially those within the 10–19 age category. Regrettably, reunifications with family during the period studied were meagre.</w:t>
      </w:r>
    </w:p>
    <w:p w:rsidR="0000458C" w:rsidRDefault="0000458C" w:rsidP="0000458C">
      <w:pPr>
        <w:spacing w:after="0"/>
        <w:ind w:firstLine="720"/>
        <w:jc w:val="both"/>
      </w:pPr>
      <w:r>
        <w:t>These studies paint a picture of the likely social position of disabled children and their families which Irish child protection professionals may encounter. More potently, they illustrate the need for child protection professionals to maintain a specific knowledge base embedded in children’s and human rights to guide practice with disabled children. Here, hearing the voices of disabled children in practice through an affirmative non- tragedy model of disability is a credible, if not formidable, starting point.</w:t>
      </w:r>
    </w:p>
    <w:p w:rsidR="0000458C" w:rsidRDefault="0000458C" w:rsidP="0000458C">
      <w:pPr>
        <w:jc w:val="both"/>
      </w:pPr>
    </w:p>
    <w:p w:rsidR="0000458C" w:rsidRPr="0000458C" w:rsidRDefault="0000458C" w:rsidP="0000458C">
      <w:pPr>
        <w:jc w:val="both"/>
        <w:rPr>
          <w:b/>
        </w:rPr>
      </w:pPr>
      <w:r w:rsidRPr="0000458C">
        <w:rPr>
          <w:b/>
        </w:rPr>
        <w:t>Strategies and Ways Forward</w:t>
      </w:r>
    </w:p>
    <w:p w:rsidR="0000458C" w:rsidRDefault="0000458C" w:rsidP="0000458C">
      <w:pPr>
        <w:spacing w:after="0"/>
        <w:jc w:val="both"/>
      </w:pPr>
      <w:r>
        <w:t xml:space="preserve">The change needs to begin at a practice and policy level. Disabled children have not been a politically influential group and their voices have not been sufficiently articulated or attendant within Irish policy (Hayes, 2002), partly owing to the early influence of the medical model of disability (Browne &amp; Miller, 2013). Yet the current climate is ideal to redress this issue </w:t>
      </w:r>
      <w:proofErr w:type="gramStart"/>
      <w:r>
        <w:t>in light of</w:t>
      </w:r>
      <w:proofErr w:type="gramEnd"/>
      <w:r>
        <w:t xml:space="preserve"> the explicit intention within </w:t>
      </w:r>
      <w:proofErr w:type="spellStart"/>
      <w:r>
        <w:t>Tusla</w:t>
      </w:r>
      <w:proofErr w:type="spellEnd"/>
      <w:r>
        <w:t xml:space="preserve"> to develop a participation strategy for children, which must include those who are disabled. In addition, the “Progressing Disability Services for Children and Young People” initiative represents a new vision for service provision to disabled children in Ireland. The initiative demonstrates the current need for changes in the way disabled children receive services, aiming for more consistency and fairness overall (Health Service Executive, 2016).</w:t>
      </w:r>
    </w:p>
    <w:p w:rsidR="0000458C" w:rsidRDefault="0000458C" w:rsidP="0000458C">
      <w:pPr>
        <w:spacing w:after="0"/>
        <w:ind w:firstLine="720"/>
        <w:jc w:val="both"/>
      </w:pPr>
      <w:proofErr w:type="gramStart"/>
      <w:r>
        <w:t>With this in mind, the</w:t>
      </w:r>
      <w:proofErr w:type="gramEnd"/>
      <w:r>
        <w:t xml:space="preserve"> present article makes the case for an affirmative non-tragedy approach, more specifically, as a vehicle to enhance students’ and practitioners’ capacity to attend to disabled children’s voices. The themes addressed, which are illustrative</w:t>
      </w:r>
      <w:r w:rsidRPr="0000458C">
        <w:t xml:space="preserve"> </w:t>
      </w:r>
      <w:r>
        <w:t>rather than exhaustive, are as follows: communication with children; promotion of a children’s rights approach with a focus on the voice of the child; promotion of more research on this area and for training; and the use of a non-tragedy model to enhance anti-discriminatory practice (ADP) and AOP.</w:t>
      </w:r>
    </w:p>
    <w:p w:rsidR="0000458C" w:rsidRDefault="0000458C" w:rsidP="0000458C">
      <w:pPr>
        <w:jc w:val="both"/>
      </w:pPr>
    </w:p>
    <w:p w:rsidR="0000458C" w:rsidRPr="0000458C" w:rsidRDefault="0000458C" w:rsidP="0000458C">
      <w:pPr>
        <w:jc w:val="both"/>
        <w:rPr>
          <w:b/>
        </w:rPr>
      </w:pPr>
      <w:r w:rsidRPr="0000458C">
        <w:rPr>
          <w:b/>
        </w:rPr>
        <w:t>Communication with Children</w:t>
      </w:r>
    </w:p>
    <w:p w:rsidR="0000458C" w:rsidRDefault="0000458C" w:rsidP="0000458C">
      <w:pPr>
        <w:jc w:val="both"/>
      </w:pPr>
      <w:r>
        <w:t xml:space="preserve">One of the primary concerns here is to address attitudes, judgement and practice limitations that the current literature alludes to. Considering one such concern regarding communicating with children generally, O’Reilly and Dolan (2015) argue that within the Irish child protection and welfare context, social workers are often ineffectively prepared to engage in communication with children. Concurrently, research evidence (Browne &amp; Miller, 2013; Stalker et al., 2010) concedes that child protection practitioners encounter skills gaps through a dearth in training which prevents them from listening to or protecting disabled children as efficiently as their non-disabled peers. As one possible </w:t>
      </w:r>
      <w:r>
        <w:lastRenderedPageBreak/>
        <w:t xml:space="preserve">expression of this inadequacy, </w:t>
      </w:r>
      <w:proofErr w:type="gramStart"/>
      <w:r>
        <w:t>it would appear that disabled</w:t>
      </w:r>
      <w:proofErr w:type="gramEnd"/>
      <w:r>
        <w:t xml:space="preserve"> children are less likely to be in attendance at child protection conferences despite their heightened susceptibility to abuse (Stalker et al., 2010). In addition, O’Reilly and Dolan (2015) further point to Ferguson’s (2014) work which highlights that a significant proportion of children in the Irish context were not observed alone in day-to-day child protective services practice. Overall, listening to the voice of children, </w:t>
      </w:r>
      <w:proofErr w:type="gramStart"/>
      <w:r>
        <w:t>whether or not</w:t>
      </w:r>
      <w:proofErr w:type="gramEnd"/>
      <w:r>
        <w:t xml:space="preserve"> they have a disability, is a generally novel practice. In this sense, difficulties in communicating with disabled children should be framed within wider historical challenges of communicating with children overall. Head (1998,</w:t>
      </w:r>
      <w:r>
        <w:t xml:space="preserve"> </w:t>
      </w:r>
      <w:r>
        <w:t>p. 189) refers to the old Victorian adage that “children should be seen and not heard”. In this sense, concerns around the capacity of children have justified a lack of attention to their voices. Such incapacity concerns are then elevated when disability becomes a factor.</w:t>
      </w:r>
    </w:p>
    <w:p w:rsidR="0000458C" w:rsidRDefault="0000458C" w:rsidP="0000458C">
      <w:pPr>
        <w:jc w:val="both"/>
      </w:pPr>
    </w:p>
    <w:p w:rsidR="0000458C" w:rsidRPr="0000458C" w:rsidRDefault="0000458C" w:rsidP="0000458C">
      <w:pPr>
        <w:jc w:val="both"/>
        <w:rPr>
          <w:b/>
        </w:rPr>
      </w:pPr>
      <w:r w:rsidRPr="0000458C">
        <w:rPr>
          <w:b/>
        </w:rPr>
        <w:t>Voices of the Child with Disability and Promotion of Rights</w:t>
      </w:r>
    </w:p>
    <w:p w:rsidR="0000458C" w:rsidRDefault="0000458C" w:rsidP="0000458C">
      <w:pPr>
        <w:spacing w:after="0"/>
        <w:jc w:val="both"/>
      </w:pPr>
      <w:r>
        <w:t>Hayes (2002) establishes the voice and the rights of disabled children as being largely vocalised by parents or pressure groups. She aptly draws upon a review of court cases within which rulings had to be made to compel the state to uphold its duty to protect disabled children’s safety, in some cases through the provision of out-of-home placements. Hayes concedes that this may reflect a wider conceptualisation of disabled children’s rights and protection as rightly belonging within the private family domain. This leads us to our next examination, an examination that speaks to the question of how well children’s rights in Ireland are currently upheld.</w:t>
      </w:r>
    </w:p>
    <w:p w:rsidR="0000458C" w:rsidRDefault="0000458C" w:rsidP="0000458C">
      <w:pPr>
        <w:spacing w:after="0"/>
        <w:ind w:firstLine="720"/>
        <w:jc w:val="both"/>
      </w:pPr>
      <w:r>
        <w:t xml:space="preserve">This article earlier made explicit how its focus rests particularly upon the ways in which social work students and practitioners can maximise their potential to promote the non- tragedy approach, from a children’s rights perspective. Here a dichotomy is emergent, concerning on the one hand children’s rights, and on the other disability rights. Of course, children’s rights principally have expression within international human rights treaties, which governments accede to through ratification and domestic law (Kennan, </w:t>
      </w:r>
      <w:proofErr w:type="spellStart"/>
      <w:r>
        <w:t>Keenaghan</w:t>
      </w:r>
      <w:proofErr w:type="spellEnd"/>
      <w:r>
        <w:t xml:space="preserve">, O’Connor, </w:t>
      </w:r>
      <w:proofErr w:type="spellStart"/>
      <w:r>
        <w:t>Kinlen</w:t>
      </w:r>
      <w:proofErr w:type="spellEnd"/>
      <w:r>
        <w:t>, &amp; McCord, 2011). Of most concern here is the 1989 United Nations Convention on the Rights of the Child (UNCRC) (Kennan et al., 2011;</w:t>
      </w:r>
      <w:r w:rsidRPr="0000458C">
        <w:t xml:space="preserve"> </w:t>
      </w:r>
      <w:r>
        <w:t xml:space="preserve">United Nations, 1989). The UNCRC explicitly refers to disabled children under Articles 2 and 23 (Browne &amp; Miller, 2013; Flynn, 2011; United Nations, 1989). Concurrently, all children’s rights referred to therein have applicability to disabled children. Nevertheless, a precise reference to disabled children is symptomatic of an appreciation that these children are particularly vulnerable and marginalised (Browne &amp; Miller, 2013). Following the prevalent ratification of the UNCRC, Ireland has grown in recognition of children rights. Therein some rights have </w:t>
      </w:r>
      <w:proofErr w:type="gramStart"/>
      <w:r>
        <w:t>particular applicability</w:t>
      </w:r>
      <w:proofErr w:type="gramEnd"/>
      <w:r>
        <w:t xml:space="preserve"> for hearing the voices of children. The right to expression (United Nations, 1989, Article 13) and to respect for the views of the child (Article 12) are exemplary of such. Article 12 (1), for instance, sets out that:</w:t>
      </w:r>
    </w:p>
    <w:p w:rsidR="0000458C" w:rsidRDefault="0000458C" w:rsidP="0000458C">
      <w:pPr>
        <w:jc w:val="both"/>
      </w:pPr>
    </w:p>
    <w:p w:rsidR="0000458C" w:rsidRDefault="0000458C" w:rsidP="0000458C">
      <w:pPr>
        <w:jc w:val="both"/>
      </w:pPr>
      <w:r>
        <w:t xml:space="preserve">States Parties shall assure to the child who </w:t>
      </w:r>
      <w:proofErr w:type="gramStart"/>
      <w:r>
        <w:t>is capable of forming</w:t>
      </w:r>
      <w:proofErr w:type="gramEnd"/>
      <w:r>
        <w:t xml:space="preserve"> his or her own views the right to express those views freely in all matters affecting the child, the views of the child being given due weight in accordance with the age and maturity of the child. (United Nations, 1989)</w:t>
      </w:r>
    </w:p>
    <w:p w:rsidR="0000458C" w:rsidRDefault="0000458C" w:rsidP="0000458C">
      <w:pPr>
        <w:spacing w:after="0"/>
        <w:jc w:val="both"/>
      </w:pPr>
      <w:proofErr w:type="gramStart"/>
      <w:r>
        <w:t>As a consequence of</w:t>
      </w:r>
      <w:proofErr w:type="gramEnd"/>
      <w:r>
        <w:t xml:space="preserve"> the UNCRC within Ireland, the involvement and consultation of children has gained status (Whyte, 2006). Further to this, the Children Act 2001 is a significant expression of the need to hear children’s voices within Ireland, emphasising not only their right to have their voices heard in proceedings that concern them, but also their right to participation therein. Within the Irish domestic policy context, the publication of the Ryan Report in 2009 represented a decisive occurrence in the recognition of the human rights of disabled children subjected to abuse within Irish Reformatory </w:t>
      </w:r>
      <w:r>
        <w:lastRenderedPageBreak/>
        <w:t xml:space="preserve">and Industrial Schools. Therein was also recognition of the marginalised status of children’s voices in Ireland (Powell, Geoghegan, Scanlon, &amp; </w:t>
      </w:r>
      <w:proofErr w:type="spellStart"/>
      <w:r>
        <w:t>Swirak</w:t>
      </w:r>
      <w:proofErr w:type="spellEnd"/>
      <w:r>
        <w:t>, 2013).</w:t>
      </w:r>
    </w:p>
    <w:p w:rsidR="0000458C" w:rsidRDefault="0000458C" w:rsidP="0000458C">
      <w:pPr>
        <w:spacing w:after="0"/>
        <w:ind w:firstLine="720"/>
        <w:jc w:val="both"/>
      </w:pPr>
      <w:r>
        <w:t>This marginalisation is regrettably situated in the context of an inadequate legal children’s rights infrastructure. Irish research by Browne and Miller (2013), which focused upon the rights and voices of disabled children, looked to Kilkelly (2002 as cited in Browne &amp; Miller, 2013, p. 41) to draw shortcomings of the UNCRC as it applies to dis- abled children. Insightful to note here, in terms of child protection practice, is Article 23 (1) (United Nations, 1989) that fails to guarantee the right of disabled children to enjoy a full and decent life through conditions that ensure their dignity, promote self- reliance and facilitate their active participation in the wider community. As such, the state has no obligation to act upon achieving this end. In addition, the reference “subject to available resources” undermines the right of disabled children to special care under Article 23 (2) (Kilkelly, 2002, p. 120 as cited in Browne &amp; Miller, 2013, p. 41). This raises an important point. Disabled children often have extra and complex needs that can significantly elevate their parents’ expenses and stress levels and place excessive demands on parents’ time and coping ability (</w:t>
      </w:r>
      <w:proofErr w:type="spellStart"/>
      <w:r>
        <w:t>Revill</w:t>
      </w:r>
      <w:proofErr w:type="spellEnd"/>
      <w:r>
        <w:t xml:space="preserve"> et al., 2013). In this way, it would be unfair to portray the matter of resources as anything less than highly complex. When parents cannot access resources, such as a family support service for instance, their coping level can then deteriorate, leading to their child’s admission to care. Further, children with challenging behaviours stemming from their disability may need to be admitted </w:t>
      </w:r>
      <w:proofErr w:type="gramStart"/>
      <w:r>
        <w:t>to care</w:t>
      </w:r>
      <w:proofErr w:type="gramEnd"/>
      <w:r>
        <w:t xml:space="preserve"> for their own safety and not as a consequence of a parenting deficit. Recognising children’s rights inadequacies that are addressed within the literature, we later argue further for the use of the affirmative non-tragedy approach as a vehicle for the progression of disabled children’s rights advocacy. In particular, the right to be heard and listened to.</w:t>
      </w:r>
      <w:r w:rsidRPr="0000458C">
        <w:t xml:space="preserve"> </w:t>
      </w:r>
      <w:r>
        <w:t>Increasing Interest and Commitment to Researching the Field</w:t>
      </w:r>
    </w:p>
    <w:p w:rsidR="0000458C" w:rsidRDefault="0000458C" w:rsidP="0000458C">
      <w:pPr>
        <w:spacing w:after="0"/>
        <w:ind w:firstLine="720"/>
        <w:jc w:val="both"/>
      </w:pPr>
      <w:r>
        <w:t xml:space="preserve">Previously, this article considered </w:t>
      </w:r>
      <w:proofErr w:type="gramStart"/>
      <w:r>
        <w:t>a number of</w:t>
      </w:r>
      <w:proofErr w:type="gramEnd"/>
      <w:r>
        <w:t xml:space="preserve"> dimensions relating to literature and research relating to disabled children and the child protection system. Its use of literature has been illustrative (as opposed to claiming to have a systematic basis) to highlight the many considerations that need to be </w:t>
      </w:r>
      <w:proofErr w:type="gramStart"/>
      <w:r>
        <w:t>taken into account</w:t>
      </w:r>
      <w:proofErr w:type="gramEnd"/>
      <w:r>
        <w:t xml:space="preserve"> when seeking to understand and intervene in cases of child protection with disabled children. To address the concerns raised in the review, our suggestion is that a non-tragedy affirmative approach offers a starting point for hearing the voices of disabled children within practice and for ensuring that the documented learning from research is used to effect change.</w:t>
      </w:r>
    </w:p>
    <w:p w:rsidR="0000458C" w:rsidRDefault="0000458C" w:rsidP="0000458C">
      <w:pPr>
        <w:spacing w:after="0"/>
        <w:ind w:firstLine="720"/>
        <w:jc w:val="both"/>
      </w:pPr>
      <w:r>
        <w:t xml:space="preserve">In addition, increasing interest and commitment to researching the field of disability and child protection can help to address some of the gaps that have presented in this review overall. Flynn (2015) provides a summary of research with practitioners and is currently engaging in a PhD on hearing the voices of disabled </w:t>
      </w:r>
      <w:proofErr w:type="gramStart"/>
      <w:r>
        <w:t>children, and</w:t>
      </w:r>
      <w:proofErr w:type="gramEnd"/>
      <w:r>
        <w:t xml:space="preserve"> operates through the lens of an affirmative non-tragedy model of disability. This maintains a </w:t>
      </w:r>
      <w:proofErr w:type="gramStart"/>
      <w:r>
        <w:t>particular concern</w:t>
      </w:r>
      <w:proofErr w:type="gramEnd"/>
      <w:r>
        <w:t xml:space="preserve"> with the impact of the economic recession on disabled children. Researchers such as Kelly (2005), Kelly, Dowling &amp; Winter (2012, 2014) and others have led the field in promoting this area. Yet this area appears to be somewhat separate from, as opposed to intrinsically connected to and part of, child protection research (Redmond &amp; Jennings, 2015). At the same time, primordial links are evolving between the fields </w:t>
      </w:r>
      <w:proofErr w:type="gramStart"/>
      <w:r>
        <w:t>with regard to</w:t>
      </w:r>
      <w:proofErr w:type="gramEnd"/>
      <w:r>
        <w:t xml:space="preserve"> specific pockets of interest/concern; for instance, the work of Feely (2015a, 2015b, 2016) is progressive in informing how the challenge of sexuality and dis- ability can be approached within an often litigious and constraining society. Overall, more research interest can help to amalgamate and consolidate that which can present as distinctly “disability”-related and “child protection”-related spheres of research.</w:t>
      </w:r>
    </w:p>
    <w:p w:rsidR="0000458C" w:rsidRPr="0000458C" w:rsidRDefault="0000458C" w:rsidP="0000458C">
      <w:pPr>
        <w:jc w:val="both"/>
        <w:rPr>
          <w:b/>
        </w:rPr>
      </w:pPr>
    </w:p>
    <w:p w:rsidR="0000458C" w:rsidRPr="0000458C" w:rsidRDefault="0000458C" w:rsidP="0000458C">
      <w:pPr>
        <w:jc w:val="both"/>
        <w:rPr>
          <w:b/>
        </w:rPr>
      </w:pPr>
      <w:r w:rsidRPr="0000458C">
        <w:rPr>
          <w:b/>
        </w:rPr>
        <w:t>Using Non-Tragedy Theory to Help Develop AOP and ADP within Practice</w:t>
      </w:r>
    </w:p>
    <w:p w:rsidR="0000458C" w:rsidRDefault="0000458C" w:rsidP="0000458C">
      <w:pPr>
        <w:spacing w:after="0"/>
        <w:jc w:val="both"/>
      </w:pPr>
      <w:r>
        <w:t xml:space="preserve">AOP, as explained earlier, and ADP are core to the agenda of social work (International Federation of Social Workers, 2016; Thompson, 2016). According to Thompson (2016) ADP is often oversimplified and misunderstood. It is an approach to practice that directly addresses discrimination which causes </w:t>
      </w:r>
      <w:r>
        <w:lastRenderedPageBreak/>
        <w:t>disadvantage, subjugation and disempowerment. In this sense, the affirmative non-tragedy approach assists with developing ADP by moving towards a more empowering and appropriate way of understanding disability as a form of discrimination. The message from the critical research as one reads it is that while traditional models of AOP (</w:t>
      </w:r>
      <w:proofErr w:type="spellStart"/>
      <w:r>
        <w:t>Dominelli</w:t>
      </w:r>
      <w:proofErr w:type="spellEnd"/>
      <w:r>
        <w:t xml:space="preserve">, 1998, 2002) and ADP (Thompson, 2016) continue to hold relevance as broad frameworks, a more critically informed and nuanced perspective is needed. This is to enable practitioners to go beyond being able to understand and identify </w:t>
      </w:r>
      <w:proofErr w:type="gramStart"/>
      <w:r>
        <w:t>challenges, and</w:t>
      </w:r>
      <w:proofErr w:type="gramEnd"/>
      <w:r>
        <w:t xml:space="preserve"> seek ways to develop skills and competence in addressing these at various levels of the complex systems within which service users find themselves when subjected to child protection interventions. For example, drawing on the narratives of social workers, Robinson (2013) highlights the challenges for social workers doing human rights work (such as activism) in contexts where government policies do not support them, and education and training are inadequate in this respect. Robinson (2013) explains how policy-makers have given priority to alternative areas of policy development such as early intervention, rather than addressing the issue of the abuse of disabled people. Social workers who take an affirmative</w:t>
      </w:r>
      <w:r w:rsidRPr="0000458C">
        <w:t xml:space="preserve"> </w:t>
      </w:r>
      <w:r>
        <w:t>non-tragedy approach whilst doing child protection work with disabled children are better placed to emphasise the need to hear to the voices of disabled children and respond in anti- discriminatory ways.</w:t>
      </w:r>
    </w:p>
    <w:p w:rsidR="0000458C" w:rsidRDefault="0000458C" w:rsidP="0000458C">
      <w:pPr>
        <w:spacing w:after="0"/>
        <w:ind w:firstLine="720"/>
        <w:jc w:val="both"/>
      </w:pPr>
      <w:proofErr w:type="spellStart"/>
      <w:r>
        <w:t>Strier</w:t>
      </w:r>
      <w:proofErr w:type="spellEnd"/>
      <w:r>
        <w:t xml:space="preserve"> and Binyamin (2013) highlight the difficulty of challenging discrimination by showing the lack of change in practice despite AOP principles being embedded in social work discourse for many years with an emphasis on gender, race and class. This article suggests that the issues of disability also need to be added here. A critical approach needs to identify both the individualised and structural challenges reflected in how we patronise, hide, make infantile and even overlook disability on a day-to-day basis (see also Rush &amp; Keenan, 2014; </w:t>
      </w:r>
      <w:proofErr w:type="spellStart"/>
      <w:r>
        <w:t>Mlcek</w:t>
      </w:r>
      <w:proofErr w:type="spellEnd"/>
      <w:r>
        <w:t xml:space="preserve">, 2013). Viewing AOP and ADP from a non-tragedy approach offers the potential to bring in a stronger emphasis on power and power relations (McGregor, 2016; Smith, 2008; </w:t>
      </w:r>
      <w:proofErr w:type="spellStart"/>
      <w:r>
        <w:t>Tew</w:t>
      </w:r>
      <w:proofErr w:type="spellEnd"/>
      <w:r>
        <w:t>, 2006). This should also lead to a more critical and dynamic perspective on the social construction of disability within a broadly problem-based, mostly hidden and subtly managed, context.</w:t>
      </w:r>
    </w:p>
    <w:p w:rsidR="0000458C" w:rsidRDefault="0000458C" w:rsidP="0000458C">
      <w:pPr>
        <w:jc w:val="both"/>
      </w:pPr>
    </w:p>
    <w:p w:rsidR="0000458C" w:rsidRPr="0000458C" w:rsidRDefault="0000458C" w:rsidP="0000458C">
      <w:pPr>
        <w:jc w:val="both"/>
        <w:rPr>
          <w:b/>
        </w:rPr>
      </w:pPr>
      <w:r w:rsidRPr="0000458C">
        <w:rPr>
          <w:b/>
        </w:rPr>
        <w:t>Making the Change Happen</w:t>
      </w:r>
    </w:p>
    <w:p w:rsidR="0000458C" w:rsidRDefault="0000458C" w:rsidP="0000458C">
      <w:pPr>
        <w:spacing w:after="0"/>
        <w:jc w:val="both"/>
      </w:pPr>
      <w:r>
        <w:t xml:space="preserve">Making the case for the use of an affirmative non-tragedy approach, as a theoretical device to enhance students’ and practitioners’ capacity to attend to disabled children’s voices, has largely been the focus of the later discussion. Critical consideration of how this change will practically occur, however, must be situated </w:t>
      </w:r>
      <w:proofErr w:type="gramStart"/>
      <w:r>
        <w:t>with regard to</w:t>
      </w:r>
      <w:proofErr w:type="gramEnd"/>
      <w:r>
        <w:t xml:space="preserve"> the present and specific child protection context and the changes that it is, and will be, subject to. Here perhaps one of the most relevant and significant changes within the Irish context is the establishment of </w:t>
      </w:r>
      <w:proofErr w:type="spellStart"/>
      <w:r>
        <w:t>Tusla</w:t>
      </w:r>
      <w:proofErr w:type="spellEnd"/>
      <w:r>
        <w:t xml:space="preserve">, the new Child and Family Agency (McGregor, 2014). Keenan et al. (2015) delineates the way in which </w:t>
      </w:r>
      <w:proofErr w:type="spellStart"/>
      <w:r>
        <w:t>Tusla</w:t>
      </w:r>
      <w:proofErr w:type="spellEnd"/>
      <w:r>
        <w:t xml:space="preserve"> must develop a participation strategy for children that must include those who are disabled. This opportunity should be considered </w:t>
      </w:r>
      <w:proofErr w:type="gramStart"/>
      <w:r>
        <w:t>in light of</w:t>
      </w:r>
      <w:proofErr w:type="gramEnd"/>
      <w:r>
        <w:t xml:space="preserve"> the previous review of the literature, which demonstrates that disabled children’s voices have not been adequately attended to and that the area of communication with disabled children requires development for practitioners (Hayes, 2002; O’Reilly &amp; Dolan, 2015). It is here that the affirmative non-tragedy model specifically fits as a theoretical and conceptual medium to bridge the gap between the aspiration within </w:t>
      </w:r>
      <w:proofErr w:type="spellStart"/>
      <w:r>
        <w:t>Tusla</w:t>
      </w:r>
      <w:proofErr w:type="spellEnd"/>
      <w:r>
        <w:t xml:space="preserve"> for participation (Keenan et al., 2015) and the requirement for a more nuanced and critical approach to working with disabled children that has been outlined previously. In bridging this gap, the affirmative non-tragedy approach also progresses an explicit human rights approach to disabled children by eliciting an active attention to their rights and needs centralised upon their right to have their voices heard (French &amp; Swain, 2008). As explained earlier, the right for children to have their voices heard is not just a global principle of the social work profession (International Federation </w:t>
      </w:r>
      <w:r>
        <w:lastRenderedPageBreak/>
        <w:t>of Social Workers, 2016), but also an essential requirement in child protection social work. The affirmative non-tragedy approach helps to refocus child protection social workers towards this task.</w:t>
      </w:r>
    </w:p>
    <w:p w:rsidR="0000458C" w:rsidRDefault="0000458C" w:rsidP="0000458C">
      <w:pPr>
        <w:spacing w:after="0"/>
        <w:jc w:val="both"/>
      </w:pPr>
      <w:r>
        <w:t xml:space="preserve">This is important for </w:t>
      </w:r>
      <w:proofErr w:type="gramStart"/>
      <w:r>
        <w:t>a number of</w:t>
      </w:r>
      <w:proofErr w:type="gramEnd"/>
      <w:r>
        <w:t xml:space="preserve"> reasons. Authors such as McGregor (2016), Buckley and Burns (2015) and Garrett (2014) contribute to a critical establishment of the defining factors of the current child protection context and highlight how this area is increasingly typified by </w:t>
      </w:r>
      <w:proofErr w:type="spellStart"/>
      <w:r>
        <w:t>proceduralisation</w:t>
      </w:r>
      <w:proofErr w:type="spellEnd"/>
      <w:r>
        <w:t xml:space="preserve"> arising from the encroachment of forces of managerialism and neo-liberalism. </w:t>
      </w:r>
      <w:proofErr w:type="gramStart"/>
      <w:r>
        <w:t>Particular problems</w:t>
      </w:r>
      <w:proofErr w:type="gramEnd"/>
      <w:r>
        <w:t xml:space="preserve"> here include steep caseloads, pressurised practice and lack of resources (such as suitable foster care placements for children). Within this</w:t>
      </w:r>
      <w:r w:rsidRPr="0000458C">
        <w:t xml:space="preserve"> </w:t>
      </w:r>
      <w:r>
        <w:t xml:space="preserve">specific context, </w:t>
      </w:r>
      <w:proofErr w:type="spellStart"/>
      <w:r>
        <w:t>Tusla’s</w:t>
      </w:r>
      <w:proofErr w:type="spellEnd"/>
      <w:r>
        <w:t xml:space="preserve"> current participation strategy is based upon an explicit acknowledgement that successive state inquiries demonstrate that a failure to listen to children has been a persistent contribution to the failure to keep them safe (Keenan et al., 2015).</w:t>
      </w:r>
    </w:p>
    <w:p w:rsidR="0000458C" w:rsidRDefault="0000458C" w:rsidP="0000458C">
      <w:pPr>
        <w:spacing w:after="0"/>
        <w:ind w:firstLine="720"/>
        <w:jc w:val="both"/>
      </w:pPr>
      <w:r>
        <w:t xml:space="preserve">Failing to hear a child’s voice, for instance, may prevent valuable information from being uncovered </w:t>
      </w:r>
      <w:proofErr w:type="gramStart"/>
      <w:r>
        <w:t>with regard to</w:t>
      </w:r>
      <w:proofErr w:type="gramEnd"/>
      <w:r>
        <w:t xml:space="preserve"> how that child, and indeed other children, may be subject to various forms of abuse. In addition, research supports the claim that, overall, the meaningful engagement of children in social work intervention leads to better out- comes (La Valle, Payne, &amp; </w:t>
      </w:r>
      <w:proofErr w:type="spellStart"/>
      <w:r>
        <w:t>Jelicic</w:t>
      </w:r>
      <w:proofErr w:type="spellEnd"/>
      <w:r>
        <w:t xml:space="preserve">, 2012). In this sense, children and families may be more likely to be happy with the service that they have received, when their views and wishes have been sought out. The service provided may also be more likely to be tailored to their individual needs. Here it is meaningful rather than procedural engagement that is the requisite and decisive condition. Bearing this in mind, the affirmative non-tragedy approach offers a more nuanced approach that refines and specialises, rather than replaces or contradicts, elements of the wider overarching theorisation of AOP and ADP towards work with disabled children. At the same time, the approach complements the participation ethos of </w:t>
      </w:r>
      <w:proofErr w:type="spellStart"/>
      <w:r>
        <w:t>Tusla</w:t>
      </w:r>
      <w:proofErr w:type="spellEnd"/>
      <w:r>
        <w:t xml:space="preserve"> and offers a tool to promote and progress meaningful engagement with disabled children. A tool that may be used concurrently with the processes of the Business Process Standardisation Project (NCCIS Project, 2009) which structuralises the arena of social work intervention, as implemented at a grass-roots level. This is not to suggest that standardisation is helpful to child protection work with disabled children. In fact, Featherstone, White, and </w:t>
      </w:r>
      <w:proofErr w:type="spellStart"/>
      <w:r>
        <w:t>Wastell</w:t>
      </w:r>
      <w:proofErr w:type="spellEnd"/>
      <w:r>
        <w:t xml:space="preserve"> (2012) demonstrate that probably the opposite is the case, due to the inability of standardisation to flexibly address the complexity of dis- abled children’s needs within the child protection context. Rather, it is to acknowledge the reality that child protection workers are practically limited in their work by standardisation. A reality that the affirmative non-tragedy approach suggested must acknowledge in some respect.</w:t>
      </w:r>
    </w:p>
    <w:p w:rsidR="0000458C" w:rsidRDefault="0000458C" w:rsidP="0000458C">
      <w:pPr>
        <w:jc w:val="both"/>
      </w:pPr>
      <w:r>
        <w:t xml:space="preserve">Finally, if one is to consider </w:t>
      </w:r>
      <w:proofErr w:type="gramStart"/>
      <w:r>
        <w:t>all of</w:t>
      </w:r>
      <w:proofErr w:type="gramEnd"/>
      <w:r>
        <w:t xml:space="preserve"> the aforementioned, then hopefully the message imparted therein is not only that disabled children’s voices must be meaningfully heard in the child protection setting (a critical but not necessarily novel message), but further that the affirmative non-tragedy approach offers an informed, progressive and effective means for doing so. A means to elicit a unique shift in focus, and, ultimately, to better promote the welfare and protection of children as the defining aspiration of the child protection challenge.</w:t>
      </w:r>
    </w:p>
    <w:p w:rsidR="0000458C" w:rsidRDefault="0000458C" w:rsidP="0000458C">
      <w:pPr>
        <w:jc w:val="both"/>
      </w:pPr>
    </w:p>
    <w:p w:rsidR="0000458C" w:rsidRPr="0000458C" w:rsidRDefault="0000458C" w:rsidP="0000458C">
      <w:pPr>
        <w:jc w:val="both"/>
        <w:rPr>
          <w:b/>
        </w:rPr>
      </w:pPr>
      <w:r w:rsidRPr="0000458C">
        <w:rPr>
          <w:b/>
        </w:rPr>
        <w:t>Conclusion</w:t>
      </w:r>
    </w:p>
    <w:p w:rsidR="0000458C" w:rsidRDefault="0000458C" w:rsidP="0000458C">
      <w:pPr>
        <w:jc w:val="both"/>
      </w:pPr>
      <w:r>
        <w:t xml:space="preserve">The field of child welfare and protection reflects the persistent debate as to how best to intervene with families to protect children and promote family welfare in well-established systems like the United Kingdom (e.g., Frost, 2011; Munro, 2011; Ruch, 2005; Ruch, Turney &amp; Ward, 2010) as well as in comparative and global studies (Gilbert, Parton, &amp; </w:t>
      </w:r>
      <w:proofErr w:type="spellStart"/>
      <w:r>
        <w:t>Skivens</w:t>
      </w:r>
      <w:proofErr w:type="spellEnd"/>
      <w:r>
        <w:t xml:space="preserve">, 2011). In Ireland specifically, a strong body of literature is now available relating to practice in Northern Ireland (e.g., Spratt, 2001; Spratt &amp; Callan, 2004) and the Republic (Buckley, Whelan, </w:t>
      </w:r>
      <w:proofErr w:type="spellStart"/>
      <w:r>
        <w:t>Carr</w:t>
      </w:r>
      <w:proofErr w:type="spellEnd"/>
      <w:r>
        <w:t xml:space="preserve">, &amp; Murphy, 2008; Burns &amp; Lynch, 2008; </w:t>
      </w:r>
      <w:proofErr w:type="spellStart"/>
      <w:r>
        <w:t>Skehill</w:t>
      </w:r>
      <w:proofErr w:type="spellEnd"/>
      <w:r>
        <w:t xml:space="preserve">, 2004). Major changes are now underway in the Irish system with the establishment of </w:t>
      </w:r>
      <w:proofErr w:type="spellStart"/>
      <w:r>
        <w:t>Tusla</w:t>
      </w:r>
      <w:proofErr w:type="spellEnd"/>
      <w:r>
        <w:t xml:space="preserve">, a new Child and Family Agency, with the intention being that services will be more coordinated, preventative </w:t>
      </w:r>
      <w:r>
        <w:lastRenderedPageBreak/>
        <w:t>and overall more effective at addressing family need and preventing abuse</w:t>
      </w:r>
      <w:r w:rsidRPr="0000458C">
        <w:t xml:space="preserve"> </w:t>
      </w:r>
      <w:r>
        <w:t xml:space="preserve">and neglect (Task Force on Child and Family Support, Child and Family Agency, 2013). What is more, the “Progressing Disability Services for Children and Young People” initiative confirms the need for changes in service provision for disabled children at the present time. Within this, the </w:t>
      </w:r>
      <w:proofErr w:type="gramStart"/>
      <w:r>
        <w:t>particular challenge</w:t>
      </w:r>
      <w:proofErr w:type="gramEnd"/>
      <w:r>
        <w:t xml:space="preserve"> of how we protect and support families in which there are disabled children is a crucially important and to date neglected area. This trans- formational period offers a great opportunity to look critically and thoughtfully at practice in this field with a view to considering how we can enhance it. In this article, the potential of the theoretical device around “non-tragedy” is one way that can link in well with the advocacy and support work which is central to practice with disabled children.</w:t>
      </w:r>
    </w:p>
    <w:p w:rsidR="004D345D" w:rsidRPr="004D345D" w:rsidRDefault="004D345D" w:rsidP="004D345D">
      <w:pPr>
        <w:jc w:val="both"/>
        <w:rPr>
          <w:b/>
        </w:rPr>
      </w:pPr>
      <w:r w:rsidRPr="004D345D">
        <w:rPr>
          <w:b/>
        </w:rPr>
        <w:t>References</w:t>
      </w:r>
    </w:p>
    <w:p w:rsidR="004D345D" w:rsidRDefault="004D345D" w:rsidP="004D345D">
      <w:pPr>
        <w:jc w:val="both"/>
      </w:pPr>
      <w:r>
        <w:t xml:space="preserve">Brown, R. I., </w:t>
      </w:r>
      <w:proofErr w:type="spellStart"/>
      <w:r>
        <w:t>Geider</w:t>
      </w:r>
      <w:proofErr w:type="spellEnd"/>
      <w:r>
        <w:t xml:space="preserve">, S., Primrose, A., &amp; Jokinen, N. S. (2011). Family life and the impact of previous and present residential and day care support for children with major cognitive and </w:t>
      </w:r>
      <w:proofErr w:type="spellStart"/>
      <w:r>
        <w:t>behavioral</w:t>
      </w:r>
      <w:proofErr w:type="spellEnd"/>
      <w:r>
        <w:t xml:space="preserve"> challenges; a dilemma for services and policy. Journal of Intellectual Disability Research, 55(9), 904–917.</w:t>
      </w:r>
    </w:p>
    <w:p w:rsidR="004D345D" w:rsidRDefault="004D345D" w:rsidP="004D345D">
      <w:pPr>
        <w:jc w:val="both"/>
      </w:pPr>
      <w:r>
        <w:t>Browne, M., &amp; Miller, M. (2013). Holding a vision: An investigation of a rights-based social sup- ports infrastructure for children/young people with an intellectual disability (Published PhD Thesis). National University of Ireland, Galway, Galway.</w:t>
      </w:r>
    </w:p>
    <w:p w:rsidR="004D345D" w:rsidRDefault="004D345D" w:rsidP="004D345D">
      <w:pPr>
        <w:jc w:val="both"/>
      </w:pPr>
      <w:r>
        <w:t>Buckley, H., &amp; Burns, K. (2015). Child welfare and protection in Ireland: Déjà vu all over again. In</w:t>
      </w:r>
      <w:r>
        <w:t xml:space="preserve"> </w:t>
      </w:r>
      <w:r>
        <w:t>A. Christie &amp; T. Walsh (Eds.), Social work in Ireland: Continuities and changes (pp. 51–70). Basingstoke: Palgrave and Macmillan.</w:t>
      </w:r>
    </w:p>
    <w:p w:rsidR="004D345D" w:rsidRDefault="004D345D" w:rsidP="004D345D">
      <w:pPr>
        <w:jc w:val="both"/>
      </w:pPr>
      <w:r>
        <w:t xml:space="preserve">Buckley, H., Whelan, S., </w:t>
      </w:r>
      <w:proofErr w:type="spellStart"/>
      <w:r>
        <w:t>Carr</w:t>
      </w:r>
      <w:proofErr w:type="spellEnd"/>
      <w:r>
        <w:t xml:space="preserve">, N., &amp; Murphy, C. (2008). Service users’ perceptions of the child pro- </w:t>
      </w:r>
      <w:proofErr w:type="spellStart"/>
      <w:r>
        <w:t>tection</w:t>
      </w:r>
      <w:proofErr w:type="spellEnd"/>
      <w:r>
        <w:t xml:space="preserve"> system. Dublin: OMCYA.</w:t>
      </w:r>
    </w:p>
    <w:p w:rsidR="004D345D" w:rsidRDefault="004D345D" w:rsidP="004D345D">
      <w:pPr>
        <w:jc w:val="both"/>
      </w:pPr>
      <w:r>
        <w:t xml:space="preserve">Burns, K., &amp; Lynch, D. (2008). Child protection and welfare social work, contemporary themes and practice perspectives. Dublin: A. &amp; A. </w:t>
      </w:r>
      <w:proofErr w:type="spellStart"/>
      <w:r>
        <w:t>Farmar</w:t>
      </w:r>
      <w:proofErr w:type="spellEnd"/>
      <w:r>
        <w:t>.</w:t>
      </w:r>
    </w:p>
    <w:p w:rsidR="004D345D" w:rsidRDefault="004D345D" w:rsidP="004D345D">
      <w:pPr>
        <w:jc w:val="both"/>
      </w:pPr>
      <w:r>
        <w:t xml:space="preserve">Caples, M., &amp; Sweeney, J. (2011). Quality of life: A survey of parents of children/adults with an intel- </w:t>
      </w:r>
      <w:proofErr w:type="spellStart"/>
      <w:r>
        <w:t>lectual</w:t>
      </w:r>
      <w:proofErr w:type="spellEnd"/>
      <w:r>
        <w:t xml:space="preserve"> disability who are availing of respite care. British Journal of Learning Disabilities, 39(1), 64–72.</w:t>
      </w:r>
    </w:p>
    <w:p w:rsidR="004D345D" w:rsidRDefault="004D345D" w:rsidP="004D345D">
      <w:pPr>
        <w:jc w:val="both"/>
      </w:pPr>
      <w:r>
        <w:t>Central Statistics Office. (2012). Profile 8 our bill of health. Dublin: Stationary Office.</w:t>
      </w:r>
    </w:p>
    <w:p w:rsidR="004D345D" w:rsidRDefault="004D345D" w:rsidP="004D345D">
      <w:pPr>
        <w:jc w:val="both"/>
      </w:pPr>
      <w:r>
        <w:t xml:space="preserve">Chadwick, D. D., </w:t>
      </w:r>
      <w:proofErr w:type="spellStart"/>
      <w:r>
        <w:t>Mannon</w:t>
      </w:r>
      <w:proofErr w:type="spellEnd"/>
      <w:r>
        <w:t xml:space="preserve">, H., Garcia </w:t>
      </w:r>
      <w:proofErr w:type="spellStart"/>
      <w:r>
        <w:t>Iniarte</w:t>
      </w:r>
      <w:proofErr w:type="spellEnd"/>
      <w:r>
        <w:t xml:space="preserve">, E., </w:t>
      </w:r>
      <w:proofErr w:type="spellStart"/>
      <w:r>
        <w:t>McConkey</w:t>
      </w:r>
      <w:proofErr w:type="spellEnd"/>
      <w:r>
        <w:t>, R., O’Brien, P., Finlay, F., … Harrington, G. (2013). Family voices: Life for family carers of people with intellectual disabilities in Ireland. Journal of Applied Research in Intellectual Disabilities, 26(2), 119–132.</w:t>
      </w:r>
    </w:p>
    <w:p w:rsidR="004D345D" w:rsidRDefault="004D345D" w:rsidP="004D345D">
      <w:pPr>
        <w:jc w:val="both"/>
      </w:pPr>
      <w:r>
        <w:t>Crow, L. (1996). Including all our lives. In J. Morris (Ed.), Encounters with strangers: Feminism and disability. (pp. 55–72). London: Women’s Press.</w:t>
      </w:r>
    </w:p>
    <w:p w:rsidR="0000458C" w:rsidRDefault="004D345D" w:rsidP="004D345D">
      <w:pPr>
        <w:jc w:val="both"/>
      </w:pPr>
      <w:r>
        <w:t>Department of Children and Youth Affairs. (2011). Children first, national guidance for the protection and welfare of children. Dublin: Department of Children and Youth Affairs.</w:t>
      </w:r>
    </w:p>
    <w:p w:rsidR="00382610" w:rsidRDefault="00382610" w:rsidP="00382610">
      <w:pPr>
        <w:jc w:val="both"/>
      </w:pPr>
      <w:r>
        <w:t>Department of Health. (2012). Value for money and policy review of disability services in Ireland.</w:t>
      </w:r>
    </w:p>
    <w:p w:rsidR="00382610" w:rsidRDefault="00382610" w:rsidP="00382610">
      <w:pPr>
        <w:jc w:val="both"/>
      </w:pPr>
      <w:r>
        <w:t>Dublin: Department of Health.</w:t>
      </w:r>
    </w:p>
    <w:p w:rsidR="00382610" w:rsidRDefault="00382610" w:rsidP="00382610">
      <w:pPr>
        <w:jc w:val="both"/>
      </w:pPr>
      <w:proofErr w:type="spellStart"/>
      <w:r>
        <w:t>Dominelli</w:t>
      </w:r>
      <w:proofErr w:type="spellEnd"/>
      <w:r>
        <w:t xml:space="preserve">, L. (1998). Anti-Oppressive practice in context. In R. Adams, L. </w:t>
      </w:r>
      <w:proofErr w:type="spellStart"/>
      <w:r>
        <w:t>Dominelli</w:t>
      </w:r>
      <w:proofErr w:type="spellEnd"/>
      <w:r>
        <w:t>, &amp; M. Payne, (Eds.), Social work, themes, issues and critical debates (pp. 49–60). London: MacMillan.</w:t>
      </w:r>
    </w:p>
    <w:p w:rsidR="00382610" w:rsidRDefault="00382610" w:rsidP="00382610">
      <w:pPr>
        <w:jc w:val="both"/>
      </w:pPr>
      <w:proofErr w:type="spellStart"/>
      <w:r>
        <w:lastRenderedPageBreak/>
        <w:t>Dominelli</w:t>
      </w:r>
      <w:proofErr w:type="spellEnd"/>
      <w:r>
        <w:t xml:space="preserve">, L. (2002). Anti-oppressive social work theory and practice. </w:t>
      </w:r>
      <w:proofErr w:type="spellStart"/>
      <w:r>
        <w:t>Houndsmills</w:t>
      </w:r>
      <w:proofErr w:type="spellEnd"/>
      <w:r>
        <w:t xml:space="preserve">: Palgrave </w:t>
      </w:r>
      <w:proofErr w:type="spellStart"/>
      <w:r>
        <w:t>Macmillian</w:t>
      </w:r>
      <w:proofErr w:type="spellEnd"/>
      <w:r>
        <w:t>.</w:t>
      </w:r>
    </w:p>
    <w:p w:rsidR="00382610" w:rsidRDefault="00382610" w:rsidP="00382610">
      <w:pPr>
        <w:jc w:val="both"/>
      </w:pPr>
      <w:r>
        <w:t>Emerson, E. (2004). Poverty and children with intellectual disabilities in the world’s richer countries. Journal of Intellectual &amp; Developmental Disability, 29(4), 319–338.</w:t>
      </w:r>
    </w:p>
    <w:p w:rsidR="00382610" w:rsidRDefault="00382610" w:rsidP="00382610">
      <w:pPr>
        <w:jc w:val="both"/>
      </w:pPr>
      <w:r>
        <w:t xml:space="preserve">Featherstone, B., White, S., &amp; </w:t>
      </w:r>
      <w:proofErr w:type="spellStart"/>
      <w:r>
        <w:t>Wastell</w:t>
      </w:r>
      <w:proofErr w:type="spellEnd"/>
      <w:r>
        <w:t xml:space="preserve">, D. (2012). Ireland’s opportunity to learn from England’s </w:t>
      </w:r>
      <w:proofErr w:type="spellStart"/>
      <w:r>
        <w:t>diffi</w:t>
      </w:r>
      <w:proofErr w:type="spellEnd"/>
      <w:r>
        <w:t xml:space="preserve">- </w:t>
      </w:r>
      <w:proofErr w:type="spellStart"/>
      <w:r>
        <w:t>culties</w:t>
      </w:r>
      <w:proofErr w:type="spellEnd"/>
      <w:r>
        <w:t>? Auditing uncertainty in child protection. Irish Journal of Applied Social Studies, 12(1), 49–62.</w:t>
      </w:r>
    </w:p>
    <w:p w:rsidR="00382610" w:rsidRDefault="00382610" w:rsidP="00382610">
      <w:pPr>
        <w:jc w:val="both"/>
      </w:pPr>
      <w:r>
        <w:t xml:space="preserve">Feely, M. (2015a). IQ, speciation and sexuality: How suspicions of sexual abuse are produced within a contemporary intellectual disability service. </w:t>
      </w:r>
      <w:proofErr w:type="spellStart"/>
      <w:r>
        <w:t>Somatechnics</w:t>
      </w:r>
      <w:proofErr w:type="spellEnd"/>
      <w:r>
        <w:t>, 5(2), 174–196.</w:t>
      </w:r>
    </w:p>
    <w:p w:rsidR="00382610" w:rsidRDefault="00382610" w:rsidP="00382610">
      <w:pPr>
        <w:jc w:val="both"/>
      </w:pPr>
      <w:r>
        <w:t>Feely, M. (2015b). Sexual surveillance and control in a community based intellectual disability service. Sexualities, 0(0), 1–26.</w:t>
      </w:r>
    </w:p>
    <w:p w:rsidR="00382610" w:rsidRDefault="00382610" w:rsidP="00382610">
      <w:pPr>
        <w:jc w:val="both"/>
      </w:pPr>
      <w:r>
        <w:t>Feely, M. (2016). Disability studies after the ontological turn: A return the material world and material bodies without a return to essentialism. Manuscript submitted for publication.</w:t>
      </w:r>
    </w:p>
    <w:p w:rsidR="00382610" w:rsidRDefault="00382610" w:rsidP="00382610">
      <w:pPr>
        <w:jc w:val="both"/>
      </w:pPr>
      <w:r>
        <w:t>Ferguson, H. (2014). What social workers do in performing child protection work: Evidence from research into face-to-face practice. Child &amp; Family Social Work, Advance Access published March 21, 2014. doi:10.1111/cfs.12142</w:t>
      </w:r>
    </w:p>
    <w:p w:rsidR="00382610" w:rsidRDefault="00382610" w:rsidP="00382610">
      <w:pPr>
        <w:jc w:val="both"/>
      </w:pPr>
      <w:r>
        <w:t>Flynn, E. (2011). From rhetoric to action: Implementing the UN convention on the rights of persons with disabilities. Cambridge: Cambridge University Press.</w:t>
      </w:r>
    </w:p>
    <w:p w:rsidR="00382610" w:rsidRDefault="00382610" w:rsidP="00382610">
      <w:pPr>
        <w:jc w:val="both"/>
      </w:pPr>
      <w:r>
        <w:t>Flynn, S. (2015, Spring). The current economic recession: Social work perspectives on its impact on people with an intellectual disability. The Irish Social Worker, 31–35.</w:t>
      </w:r>
    </w:p>
    <w:p w:rsidR="00382610" w:rsidRDefault="00382610" w:rsidP="00382610">
      <w:pPr>
        <w:jc w:val="both"/>
      </w:pPr>
      <w:r>
        <w:t>French, S., &amp; Swain, J. (2008). On equal terms: Working with disabled people. Oxford: Butterworth- Heinemann 1994.</w:t>
      </w:r>
    </w:p>
    <w:p w:rsidR="00382610" w:rsidRDefault="00382610" w:rsidP="00382610">
      <w:pPr>
        <w:jc w:val="both"/>
      </w:pPr>
      <w:r>
        <w:t>Frost, N. (2011). Rethinking children and families, the relationship between the childhood, families and the state. London: Continuum.</w:t>
      </w:r>
    </w:p>
    <w:p w:rsidR="00382610" w:rsidRDefault="00382610" w:rsidP="00382610">
      <w:pPr>
        <w:jc w:val="both"/>
      </w:pPr>
      <w:r>
        <w:t>Garrett, P. M. (2014). Children and families. Policy Press: Bristol.</w:t>
      </w:r>
    </w:p>
    <w:p w:rsidR="00382610" w:rsidRDefault="00382610" w:rsidP="00382610">
      <w:pPr>
        <w:jc w:val="both"/>
      </w:pPr>
      <w:r>
        <w:t xml:space="preserve">Gilbert, N., Parton, N., &amp; </w:t>
      </w:r>
      <w:proofErr w:type="spellStart"/>
      <w:r>
        <w:t>Skivens</w:t>
      </w:r>
      <w:proofErr w:type="spellEnd"/>
      <w:r>
        <w:t>, M. (2011). Child protection systems: International trends and orientations. Oxford: Oxford University Press.</w:t>
      </w:r>
    </w:p>
    <w:p w:rsidR="00382610" w:rsidRDefault="00382610" w:rsidP="00382610">
      <w:pPr>
        <w:jc w:val="both"/>
      </w:pPr>
      <w:r>
        <w:t>Goodley, D. (2001). Learning difficulties, the social model of disability and impairment: Challenging epistemologies. Disability &amp; Society, 16(2), 207–231.</w:t>
      </w:r>
    </w:p>
    <w:p w:rsidR="00382610" w:rsidRDefault="00382610" w:rsidP="00382610">
      <w:pPr>
        <w:jc w:val="both"/>
      </w:pPr>
      <w:r>
        <w:t>Hayes, N. (2002). Children’s right—whose right? A review of child policy development in Ireland.</w:t>
      </w:r>
    </w:p>
    <w:p w:rsidR="00382610" w:rsidRDefault="00382610" w:rsidP="00382610">
      <w:pPr>
        <w:jc w:val="both"/>
      </w:pPr>
      <w:r>
        <w:t>Studies in Public Policy 9. Dublin: The Policy Institute, Trinity College.</w:t>
      </w:r>
    </w:p>
    <w:p w:rsidR="00382610" w:rsidRDefault="00382610" w:rsidP="00382610">
      <w:pPr>
        <w:jc w:val="both"/>
      </w:pPr>
      <w:r>
        <w:t>Head, A. (1998). The child’s voice in child and family social work decision making: The perspective of a Guardian Ad Litem. Child &amp; Family Social Work, 3(3), 189–196.</w:t>
      </w:r>
    </w:p>
    <w:p w:rsidR="00382610" w:rsidRDefault="00382610" w:rsidP="00382610">
      <w:pPr>
        <w:jc w:val="both"/>
      </w:pPr>
      <w:r>
        <w:t xml:space="preserve">Health Service Executive. (2016, June 11). Progressing </w:t>
      </w:r>
      <w:proofErr w:type="spellStart"/>
      <w:r>
        <w:t>disabilty</w:t>
      </w:r>
      <w:proofErr w:type="spellEnd"/>
      <w:r>
        <w:t xml:space="preserve"> services for children and young people: The vision for children’s disability services. Retrieved from http://www.hse.ie/ </w:t>
      </w:r>
      <w:proofErr w:type="spellStart"/>
      <w:r>
        <w:t>progressingdisabilityservices</w:t>
      </w:r>
      <w:proofErr w:type="spellEnd"/>
      <w:r>
        <w:t>/.</w:t>
      </w:r>
    </w:p>
    <w:p w:rsidR="00382610" w:rsidRDefault="00382610" w:rsidP="00382610">
      <w:pPr>
        <w:jc w:val="both"/>
      </w:pPr>
      <w:r>
        <w:t>Hughes, B., &amp; Patterson, K. (1997). The social model of disability and the disappearing body: Towards a sociology of impairment. Disability &amp; Society, 12(3), 325–340.</w:t>
      </w:r>
    </w:p>
    <w:p w:rsidR="00382610" w:rsidRDefault="00382610" w:rsidP="00382610">
      <w:pPr>
        <w:jc w:val="both"/>
      </w:pPr>
      <w:r>
        <w:lastRenderedPageBreak/>
        <w:t>International Federation of Social Workers. (2016, June 8). Principles (of social work). Retrieved from http://ifsw.org/get-involved/global-definition-of-social-work.</w:t>
      </w:r>
    </w:p>
    <w:p w:rsidR="00382610" w:rsidRDefault="00382610" w:rsidP="00382610">
      <w:pPr>
        <w:jc w:val="both"/>
      </w:pPr>
      <w:r>
        <w:t>Keenan, D., Redmond, S., Devaney, C., Landy, F., Canavan, J., &amp; Gillen, A. (2015). Toward the development of a participation strategy for children and young people: National guidance &amp; local implementation. Retrieved February 3rd, 2016, from http://www.tusla.ie/uploads/ content/toward_the_development_of_a_participation_strategy_0.pdf.</w:t>
      </w:r>
    </w:p>
    <w:p w:rsidR="00382610" w:rsidRDefault="00382610" w:rsidP="00382610">
      <w:pPr>
        <w:jc w:val="both"/>
      </w:pPr>
      <w:r>
        <w:t xml:space="preserve">Kelly, B. (2005). Social work with disabled children. </w:t>
      </w:r>
      <w:proofErr w:type="spellStart"/>
      <w:r>
        <w:t>Childrenz</w:t>
      </w:r>
      <w:proofErr w:type="spellEnd"/>
      <w:r>
        <w:t xml:space="preserve"> Issues, 9(1), 22–28.</w:t>
      </w:r>
    </w:p>
    <w:p w:rsidR="00382610" w:rsidRDefault="00382610" w:rsidP="00382610">
      <w:pPr>
        <w:jc w:val="both"/>
      </w:pPr>
      <w:r>
        <w:t>Kelly, B., Dowling, S., &amp; Winter, K. (2012). Disabled children and young people who are looked after: A literature review. Retrieved December 28, 2015, from http://pure.qub.ac.uk/portal/files/10445548/ Literature_Review_Disabled_Children_and_Young_People_who_are_Looked_After.pdf</w:t>
      </w:r>
    </w:p>
    <w:p w:rsidR="004D345D" w:rsidRDefault="00382610" w:rsidP="00382610">
      <w:pPr>
        <w:jc w:val="both"/>
      </w:pPr>
      <w:r>
        <w:t xml:space="preserve">Kelly, B., Dowling, S., &amp; Winter, K. (2014). A review of the policy context in relation to looked after disabled children and young people in Northern Ireland. Retrieved December 28, 2015, from </w:t>
      </w:r>
      <w:hyperlink r:id="rId4" w:history="1">
        <w:r w:rsidRPr="007F6F52">
          <w:rPr>
            <w:rStyle w:val="Hyperlink"/>
          </w:rPr>
          <w:t>http://pure.qub.ac.uk/portal/files/10445592/POLICY_REVIEW_KELLY_ET_AL.pdf</w:t>
        </w:r>
      </w:hyperlink>
      <w:r>
        <w:t>.</w:t>
      </w:r>
    </w:p>
    <w:p w:rsidR="00382610" w:rsidRDefault="00382610" w:rsidP="00382610">
      <w:pPr>
        <w:jc w:val="both"/>
      </w:pPr>
      <w:r>
        <w:t xml:space="preserve">Kelly, C., &amp; </w:t>
      </w:r>
      <w:proofErr w:type="spellStart"/>
      <w:r>
        <w:t>O’Donohoe</w:t>
      </w:r>
      <w:proofErr w:type="spellEnd"/>
      <w:r>
        <w:t>, A. (2014). HRB statistic series 24: Annual report of The National intellectual disability database committee 2013. Dublin: Health Research Board.</w:t>
      </w:r>
    </w:p>
    <w:p w:rsidR="00382610" w:rsidRDefault="00382610" w:rsidP="00382610">
      <w:pPr>
        <w:jc w:val="both"/>
      </w:pPr>
      <w:r>
        <w:t xml:space="preserve">Kennan, D., </w:t>
      </w:r>
      <w:proofErr w:type="spellStart"/>
      <w:r>
        <w:t>Keenaghan</w:t>
      </w:r>
      <w:proofErr w:type="spellEnd"/>
      <w:r>
        <w:t xml:space="preserve">, C., O’Connor, U., </w:t>
      </w:r>
      <w:proofErr w:type="spellStart"/>
      <w:r>
        <w:t>Kinlen</w:t>
      </w:r>
      <w:proofErr w:type="spellEnd"/>
      <w:r>
        <w:t xml:space="preserve">, L., &amp; McCord, J. (2011). A </w:t>
      </w:r>
      <w:proofErr w:type="gramStart"/>
      <w:r>
        <w:t>rights based</w:t>
      </w:r>
      <w:proofErr w:type="gramEnd"/>
      <w:r>
        <w:t xml:space="preserve"> approach to monitoring children and young </w:t>
      </w:r>
      <w:proofErr w:type="spellStart"/>
      <w:r>
        <w:t>peoples</w:t>
      </w:r>
      <w:proofErr w:type="spellEnd"/>
      <w:r>
        <w:t xml:space="preserve"> well-being. Ireland: Children and Youth Program. Retrieved February 14, 2016, from http://www.childrenandyouthprogramme.info/cyp_reports/ </w:t>
      </w:r>
      <w:proofErr w:type="spellStart"/>
      <w:r>
        <w:t>cyp_reports.php</w:t>
      </w:r>
      <w:proofErr w:type="spellEnd"/>
      <w:r>
        <w:t>.</w:t>
      </w:r>
    </w:p>
    <w:p w:rsidR="00382610" w:rsidRDefault="00382610" w:rsidP="00382610">
      <w:pPr>
        <w:jc w:val="both"/>
      </w:pPr>
      <w:r>
        <w:t xml:space="preserve">Kilkelly, U. (2002). Disability and children: The Convention on the Rights of the Child (CRC). In G. Quinn, T. </w:t>
      </w:r>
      <w:proofErr w:type="spellStart"/>
      <w:r>
        <w:t>Degener</w:t>
      </w:r>
      <w:proofErr w:type="spellEnd"/>
      <w:r>
        <w:t xml:space="preserve">, A. Bruce, C. Burke, J. </w:t>
      </w:r>
      <w:proofErr w:type="spellStart"/>
      <w:r>
        <w:t>Castellino</w:t>
      </w:r>
      <w:proofErr w:type="spellEnd"/>
      <w:r>
        <w:t xml:space="preserve">, P. Kenna, U. Kilkelly, S. </w:t>
      </w:r>
      <w:proofErr w:type="spellStart"/>
      <w:r>
        <w:t>Quinlivan</w:t>
      </w:r>
      <w:proofErr w:type="spellEnd"/>
      <w:r>
        <w:t xml:space="preserve"> (Eds.), Human rights and disability (pp. 119–140). Geneva: United Nations.</w:t>
      </w:r>
    </w:p>
    <w:p w:rsidR="00382610" w:rsidRDefault="00382610" w:rsidP="00382610">
      <w:pPr>
        <w:jc w:val="both"/>
      </w:pPr>
      <w:r>
        <w:t xml:space="preserve">La Valle, I., Payne, L., &amp; </w:t>
      </w:r>
      <w:proofErr w:type="spellStart"/>
      <w:r>
        <w:t>Jelicic</w:t>
      </w:r>
      <w:proofErr w:type="spellEnd"/>
      <w:r>
        <w:t>, H. (2012). The voice of the child in the child protection system, research summary 7. London: National Children’s Bureau Research Centre.</w:t>
      </w:r>
    </w:p>
    <w:p w:rsidR="00382610" w:rsidRDefault="00382610" w:rsidP="00382610">
      <w:pPr>
        <w:jc w:val="both"/>
      </w:pPr>
      <w:proofErr w:type="spellStart"/>
      <w:r>
        <w:t>McConkey</w:t>
      </w:r>
      <w:proofErr w:type="spellEnd"/>
      <w:r>
        <w:t xml:space="preserve">, R., Kelly, F., &amp; Craig, S. (2014). A national comparative study over one decade of </w:t>
      </w:r>
      <w:proofErr w:type="spellStart"/>
      <w:r>
        <w:t>chil</w:t>
      </w:r>
      <w:proofErr w:type="spellEnd"/>
      <w:r>
        <w:t xml:space="preserve">- </w:t>
      </w:r>
      <w:proofErr w:type="spellStart"/>
      <w:r>
        <w:t>dren</w:t>
      </w:r>
      <w:proofErr w:type="spellEnd"/>
      <w:r>
        <w:t xml:space="preserve"> with intellectual disabilities living away from their natural parents. British Journal of Social Work, 44(3), 714–728.</w:t>
      </w:r>
    </w:p>
    <w:p w:rsidR="00382610" w:rsidRDefault="00382610" w:rsidP="00382610">
      <w:pPr>
        <w:jc w:val="both"/>
      </w:pPr>
      <w:r>
        <w:t xml:space="preserve">McGregor, C. (2014). Why is history important at moments of transition? The case of “transform- </w:t>
      </w:r>
      <w:proofErr w:type="spellStart"/>
      <w:r>
        <w:t>ation</w:t>
      </w:r>
      <w:proofErr w:type="spellEnd"/>
      <w:r>
        <w:t>” of Irish child welfare via the new child and family agency. European Journal of Social Work, 17(5), 771–783.</w:t>
      </w:r>
    </w:p>
    <w:p w:rsidR="00382610" w:rsidRDefault="00382610" w:rsidP="00382610">
      <w:pPr>
        <w:jc w:val="both"/>
      </w:pPr>
      <w:r>
        <w:t>McGregor, C. (2016, Spring). Balancing regulation and support in child protection: Using theories of power to develop reflective tools for practice. Irish Social Worker, 11–17.</w:t>
      </w:r>
    </w:p>
    <w:p w:rsidR="00382610" w:rsidRDefault="00382610" w:rsidP="00382610">
      <w:pPr>
        <w:jc w:val="both"/>
      </w:pPr>
      <w:proofErr w:type="spellStart"/>
      <w:r>
        <w:t>Mlcek</w:t>
      </w:r>
      <w:proofErr w:type="spellEnd"/>
      <w:r>
        <w:t>, S. (2013). Are we doing enough to develop cross-cultural competencies for social work?</w:t>
      </w:r>
      <w:r>
        <w:t xml:space="preserve"> </w:t>
      </w:r>
      <w:r>
        <w:t>British Journal of Social Work, 44(7), 1–20.</w:t>
      </w:r>
    </w:p>
    <w:p w:rsidR="00382610" w:rsidRDefault="00382610" w:rsidP="00382610">
      <w:pPr>
        <w:jc w:val="both"/>
      </w:pPr>
      <w:r>
        <w:t>Morris, J. (1991). Pride against prejudice. London: The Women’s Press.</w:t>
      </w:r>
    </w:p>
    <w:p w:rsidR="00382610" w:rsidRDefault="00382610" w:rsidP="00382610">
      <w:pPr>
        <w:jc w:val="both"/>
      </w:pPr>
      <w:r>
        <w:t>Morris, J. (1998). Still missing? The experiences of disabled children and young people living away from their families. London: The Who Cares? Trust.</w:t>
      </w:r>
    </w:p>
    <w:p w:rsidR="00382610" w:rsidRDefault="00382610" w:rsidP="00382610">
      <w:pPr>
        <w:jc w:val="both"/>
      </w:pPr>
      <w:r>
        <w:t>Munro, E. (2011). The Munro review of child protection (Final Report): A child-centred system.</w:t>
      </w:r>
      <w:r>
        <w:t xml:space="preserve"> </w:t>
      </w:r>
      <w:r>
        <w:t>Retrieved June 20, 2012, from http://www.officialdocuments.gov.uk.</w:t>
      </w:r>
    </w:p>
    <w:p w:rsidR="00382610" w:rsidRDefault="00382610" w:rsidP="00382610">
      <w:pPr>
        <w:jc w:val="both"/>
      </w:pPr>
      <w:r>
        <w:lastRenderedPageBreak/>
        <w:t>NCCIS Project. (2009). Report of the NCCIS Business Process Standardisation Project. Retrieved December 29, 2015, from http://www.hse.ie/eng/services/publications/Children/nccisbpsp_ part1.pdf.</w:t>
      </w:r>
    </w:p>
    <w:p w:rsidR="00382610" w:rsidRDefault="00382610" w:rsidP="00382610">
      <w:pPr>
        <w:jc w:val="both"/>
      </w:pPr>
      <w:r>
        <w:t>O’Connell. (2008). Hidden voices: An exploratory study of young carers in cork. Ireland: Combat Poverty Agency.</w:t>
      </w:r>
    </w:p>
    <w:p w:rsidR="00382610" w:rsidRDefault="00382610" w:rsidP="00382610">
      <w:pPr>
        <w:jc w:val="both"/>
      </w:pPr>
      <w:r>
        <w:t xml:space="preserve">Oliver, M., </w:t>
      </w:r>
      <w:proofErr w:type="spellStart"/>
      <w:r>
        <w:t>Sapey</w:t>
      </w:r>
      <w:proofErr w:type="spellEnd"/>
      <w:r>
        <w:t>, B., &amp; Thomas, P. (2012). Social work with disabled people (4th ed.). Basingstoke: Palgrave.</w:t>
      </w:r>
    </w:p>
    <w:p w:rsidR="00382610" w:rsidRDefault="00382610" w:rsidP="00382610">
      <w:pPr>
        <w:jc w:val="both"/>
      </w:pPr>
      <w:r>
        <w:t>O’Reilly, L., &amp; Dolan, P. (2015). The voice of the child in social work assessments: Age appropriate communication with children. British Journal of Social Work, 1–7.</w:t>
      </w:r>
    </w:p>
    <w:p w:rsidR="00382610" w:rsidRDefault="00382610" w:rsidP="00382610">
      <w:pPr>
        <w:jc w:val="both"/>
      </w:pPr>
      <w:r>
        <w:t xml:space="preserve">Powell, F., Geoghegan, M., Scanlon, M., &amp; </w:t>
      </w:r>
      <w:proofErr w:type="spellStart"/>
      <w:r>
        <w:t>Swirak</w:t>
      </w:r>
      <w:proofErr w:type="spellEnd"/>
      <w:r>
        <w:t>, K. (2013). The Irish charity myth, child abuse and human rights: Contextualising the Ryan report into care institutions. British Journal of Social Work, 43(1), 7–23.</w:t>
      </w:r>
    </w:p>
    <w:p w:rsidR="00382610" w:rsidRDefault="00382610" w:rsidP="00382610">
      <w:pPr>
        <w:jc w:val="both"/>
      </w:pPr>
      <w:r>
        <w:t>Power, A. (2009). Spatial perspectives on voluntarism in learning disabilities services in Ireland.</w:t>
      </w:r>
      <w:r>
        <w:t xml:space="preserve"> </w:t>
      </w:r>
      <w:r>
        <w:t>Journal of Social Policy, 38 (2), 299–315.</w:t>
      </w:r>
    </w:p>
    <w:p w:rsidR="00382610" w:rsidRDefault="00382610" w:rsidP="00382610">
      <w:pPr>
        <w:jc w:val="both"/>
      </w:pPr>
      <w:r>
        <w:t xml:space="preserve">Power, A., &amp; Kenny, K. (2011). When care is left to roam: Carers’ experiences of grassroots non- profit services in </w:t>
      </w:r>
      <w:proofErr w:type="spellStart"/>
      <w:r>
        <w:t>ireland</w:t>
      </w:r>
      <w:proofErr w:type="spellEnd"/>
      <w:r>
        <w:t>. Health &amp; Place, 17(2), 422–429.</w:t>
      </w:r>
    </w:p>
    <w:p w:rsidR="00382610" w:rsidRDefault="00382610" w:rsidP="00382610">
      <w:pPr>
        <w:jc w:val="both"/>
      </w:pPr>
      <w:r>
        <w:t>Quinn, S., &amp; Redmond, B. (2003). Disability and social policy in Ireland. Dublin: University of Dublin Press.</w:t>
      </w:r>
    </w:p>
    <w:p w:rsidR="00382610" w:rsidRDefault="00382610" w:rsidP="00382610">
      <w:pPr>
        <w:jc w:val="both"/>
      </w:pPr>
      <w:r>
        <w:t xml:space="preserve">Redmond, B., &amp; Jennings, A. (2015). Responding to the life course goals and challenges for </w:t>
      </w:r>
      <w:proofErr w:type="spellStart"/>
      <w:r>
        <w:t>individ</w:t>
      </w:r>
      <w:proofErr w:type="spellEnd"/>
      <w:r>
        <w:t xml:space="preserve">- </w:t>
      </w:r>
      <w:proofErr w:type="spellStart"/>
      <w:r>
        <w:t>uals</w:t>
      </w:r>
      <w:proofErr w:type="spellEnd"/>
      <w:r>
        <w:t xml:space="preserve"> and their families. In A. Christie, B. Featherstone, S. Quin, &amp; T. Walsh (Eds.), Social work in Ireland: Changes and continuities (pp. 125–141). London: Palgrave.</w:t>
      </w:r>
    </w:p>
    <w:p w:rsidR="00382610" w:rsidRDefault="00382610" w:rsidP="00382610">
      <w:pPr>
        <w:jc w:val="both"/>
      </w:pPr>
      <w:proofErr w:type="spellStart"/>
      <w:r>
        <w:t>Revill</w:t>
      </w:r>
      <w:proofErr w:type="spellEnd"/>
      <w:r>
        <w:t xml:space="preserve">, P., Ryan, P., McNamara, A., &amp; Normand, C. (2013). A cost and outcomes analysis of alternative models of care for young children with severe disabilities in Ireland. ALTER— European Journal of Disability Research / Revue </w:t>
      </w:r>
      <w:proofErr w:type="spellStart"/>
      <w:r>
        <w:t>Européenne</w:t>
      </w:r>
      <w:proofErr w:type="spellEnd"/>
      <w:r>
        <w:t xml:space="preserve"> de Recherche sur le Handicap, 7(4), 260–274.</w:t>
      </w:r>
    </w:p>
    <w:p w:rsidR="00382610" w:rsidRDefault="00382610" w:rsidP="00382610">
      <w:pPr>
        <w:jc w:val="both"/>
      </w:pPr>
      <w:r>
        <w:t>Robinson, S. (2013). Preventing the emotional abuse and neglect of people with intellectual disability.</w:t>
      </w:r>
      <w:r>
        <w:t xml:space="preserve"> </w:t>
      </w:r>
      <w:r>
        <w:t>London: Jessica Kingsley Publishers.</w:t>
      </w:r>
    </w:p>
    <w:p w:rsidR="00382610" w:rsidRDefault="00382610" w:rsidP="00382610">
      <w:pPr>
        <w:jc w:val="both"/>
      </w:pPr>
      <w:r>
        <w:t>Ruch, G. (2005). Relationships-based practice and reflective practice: Holistic approaches to con- temporary child care social work. Child and Family Social Work, 10(2), 111–123.</w:t>
      </w:r>
    </w:p>
    <w:p w:rsidR="00382610" w:rsidRDefault="00382610" w:rsidP="00382610">
      <w:pPr>
        <w:jc w:val="both"/>
      </w:pPr>
      <w:r>
        <w:t xml:space="preserve">Ruch, G., Turney, D., &amp; Ward, A. (2010). Relationship-based social work, getting to the heart of </w:t>
      </w:r>
      <w:proofErr w:type="spellStart"/>
      <w:r>
        <w:t>prac</w:t>
      </w:r>
      <w:proofErr w:type="spellEnd"/>
      <w:r>
        <w:t>- tice. London: Jessica Kingsley.</w:t>
      </w:r>
    </w:p>
    <w:p w:rsidR="00382610" w:rsidRDefault="00382610" w:rsidP="00382610">
      <w:pPr>
        <w:jc w:val="both"/>
      </w:pPr>
      <w:r>
        <w:t>Rush, M., &amp; Keenan, M. (2014). The social politics of social work: Anti-oppressive social work dilemmas in twenty-first-century welfare regimes. British Journal of Social Work, 44(6), 1436–1453.</w:t>
      </w:r>
    </w:p>
    <w:p w:rsidR="00382610" w:rsidRDefault="00382610" w:rsidP="00382610">
      <w:pPr>
        <w:jc w:val="both"/>
      </w:pPr>
      <w:proofErr w:type="spellStart"/>
      <w:r>
        <w:t>Sainero</w:t>
      </w:r>
      <w:proofErr w:type="spellEnd"/>
      <w:r>
        <w:t>, A., De Valle, J. F., Lopez, M., &amp; Bravo, A. (2013). Exploring the specific needs of an under- studied group: Children with intellectual disability in residential child care. Children and Youth Services Review, 35(9), 1393–1399.</w:t>
      </w:r>
    </w:p>
    <w:p w:rsidR="00382610" w:rsidRDefault="00382610" w:rsidP="00382610">
      <w:pPr>
        <w:jc w:val="both"/>
      </w:pPr>
      <w:proofErr w:type="spellStart"/>
      <w:r>
        <w:t>Skalecka</w:t>
      </w:r>
      <w:proofErr w:type="spellEnd"/>
      <w:r>
        <w:t xml:space="preserve">, M. (2014). From boom to bust: How the economic crisis renders disabled people to the bottom shelf: A qualitative study of the views of adults with physical impairments on the econ- </w:t>
      </w:r>
      <w:proofErr w:type="spellStart"/>
      <w:r>
        <w:t>omic</w:t>
      </w:r>
      <w:proofErr w:type="spellEnd"/>
      <w:r>
        <w:t xml:space="preserve"> crisis in Co. Kerry, Ireland (Thesis). National University of Ireland, Galway.</w:t>
      </w:r>
    </w:p>
    <w:p w:rsidR="00382610" w:rsidRDefault="00382610" w:rsidP="00382610">
      <w:pPr>
        <w:jc w:val="both"/>
      </w:pPr>
      <w:proofErr w:type="spellStart"/>
      <w:r>
        <w:lastRenderedPageBreak/>
        <w:t>Skehill</w:t>
      </w:r>
      <w:proofErr w:type="spellEnd"/>
      <w:r>
        <w:t>, C. (2004). History of the present of child protection and welfare social work in Ireland.</w:t>
      </w:r>
      <w:r>
        <w:t xml:space="preserve"> </w:t>
      </w:r>
      <w:bookmarkStart w:id="0" w:name="_GoBack"/>
      <w:bookmarkEnd w:id="0"/>
      <w:r>
        <w:t xml:space="preserve">Lampeter: Edwin </w:t>
      </w:r>
      <w:proofErr w:type="spellStart"/>
      <w:r>
        <w:t>Mellen</w:t>
      </w:r>
      <w:proofErr w:type="spellEnd"/>
      <w:r>
        <w:t xml:space="preserve"> Press.</w:t>
      </w:r>
    </w:p>
    <w:p w:rsidR="00382610" w:rsidRDefault="00382610" w:rsidP="00382610">
      <w:pPr>
        <w:jc w:val="both"/>
      </w:pPr>
      <w:r>
        <w:t>Smith, R. (2008). Social work and power. Basingstoke: Palgrave MacMillan.</w:t>
      </w:r>
    </w:p>
    <w:p w:rsidR="00382610" w:rsidRDefault="00382610" w:rsidP="00382610">
      <w:pPr>
        <w:jc w:val="both"/>
      </w:pPr>
      <w:r>
        <w:t>Spratt, T. (2001). The influence of child protection orientation on child welfare practice. British Journal of Social Work, 31(6), 933–954.</w:t>
      </w:r>
    </w:p>
    <w:p w:rsidR="00382610" w:rsidRDefault="00382610" w:rsidP="00382610">
      <w:pPr>
        <w:jc w:val="both"/>
      </w:pPr>
      <w:r>
        <w:t>Spratt, T., &amp; Callan, J. (2004). Parents’ views on social work interventions in child welfare cases.</w:t>
      </w:r>
      <w:r>
        <w:t xml:space="preserve"> </w:t>
      </w:r>
      <w:r>
        <w:t>British Journal of Social Work, 34(2), 199–224.</w:t>
      </w:r>
    </w:p>
    <w:p w:rsidR="00382610" w:rsidRDefault="00382610" w:rsidP="00382610">
      <w:pPr>
        <w:jc w:val="both"/>
      </w:pPr>
      <w:r>
        <w:t xml:space="preserve">Stalker, K., Green Lister, P., </w:t>
      </w:r>
      <w:proofErr w:type="spellStart"/>
      <w:r>
        <w:t>Lerpiniere</w:t>
      </w:r>
      <w:proofErr w:type="spellEnd"/>
      <w:r>
        <w:t>, J., &amp; McArthur, K. (2010). Child protection and the needs and rights of disabled children: Abridged report. Glasgow: University of Strathclyde Faculty of Education/ Sir Halley Stewart Trust.</w:t>
      </w:r>
    </w:p>
    <w:p w:rsidR="00382610" w:rsidRDefault="00382610" w:rsidP="00382610">
      <w:pPr>
        <w:jc w:val="both"/>
      </w:pPr>
      <w:r>
        <w:t>Stalker, K., &amp; McArthur, K. (2012). Child abuse, child protection and disabled children: A review of recent research. Child Abuse Review, 21(2), 24–40.</w:t>
      </w:r>
    </w:p>
    <w:p w:rsidR="00382610" w:rsidRDefault="00382610" w:rsidP="00382610">
      <w:pPr>
        <w:jc w:val="both"/>
      </w:pPr>
      <w:proofErr w:type="spellStart"/>
      <w:r>
        <w:t>Strier</w:t>
      </w:r>
      <w:proofErr w:type="spellEnd"/>
      <w:r>
        <w:t>, R., &amp; Binyamin, S. (2013). Introducing anti-oppressive social work practices in public ser- vices: Rhetoric to practice. British Journal of Social Work, 44(8), 1–18.</w:t>
      </w:r>
    </w:p>
    <w:p w:rsidR="00382610" w:rsidRDefault="00382610" w:rsidP="00382610">
      <w:pPr>
        <w:jc w:val="both"/>
      </w:pPr>
      <w:r>
        <w:t>Sullivan, P., &amp; Knutson, J. (2000). Maltreatment and disabilities: A population-based epidemiological study. Child Abuse and Neglect, 24(10), 1257–1273.</w:t>
      </w:r>
    </w:p>
    <w:p w:rsidR="00382610" w:rsidRDefault="00382610" w:rsidP="00382610">
      <w:pPr>
        <w:jc w:val="both"/>
      </w:pPr>
      <w:r>
        <w:t>Swain, J., &amp; French, S. (2000). Towards an affirmation model of disability. Disability &amp; Society, 15</w:t>
      </w:r>
      <w:r>
        <w:t xml:space="preserve"> </w:t>
      </w:r>
      <w:r>
        <w:t>(4), 569–582.</w:t>
      </w:r>
    </w:p>
    <w:p w:rsidR="00382610" w:rsidRDefault="00382610" w:rsidP="00382610">
      <w:pPr>
        <w:jc w:val="both"/>
      </w:pPr>
      <w:r>
        <w:t>Task Force on Child and Family Support, Child and Family Agency. (2013). Report on task force on the child and family agency. Dublin2: Government Publications.</w:t>
      </w:r>
    </w:p>
    <w:p w:rsidR="00382610" w:rsidRDefault="00382610" w:rsidP="00382610">
      <w:pPr>
        <w:jc w:val="both"/>
      </w:pPr>
      <w:r>
        <w:t>Taylor, J., Stalker, K., &amp; Stewart, A. (2015). Disabled children and the child protection system: A cause for concern. Child Abuse Review. May 2015.</w:t>
      </w:r>
    </w:p>
    <w:p w:rsidR="00382610" w:rsidRDefault="00382610" w:rsidP="00382610">
      <w:pPr>
        <w:jc w:val="both"/>
      </w:pPr>
      <w:proofErr w:type="spellStart"/>
      <w:r>
        <w:t>Tew</w:t>
      </w:r>
      <w:proofErr w:type="spellEnd"/>
      <w:r>
        <w:t>, J. (2006). Understanding power and powerlessness: Towards a framework for emancipatory practice in social work. Journal of Social Work, 6(1), 33–51.</w:t>
      </w:r>
    </w:p>
    <w:p w:rsidR="00382610" w:rsidRDefault="00382610" w:rsidP="00382610">
      <w:pPr>
        <w:jc w:val="both"/>
      </w:pPr>
      <w:r>
        <w:t>Thompson, N. (2016). Anti-discriminatory practice (6th ed.). Basingstoke: Palgrave Macmillan.</w:t>
      </w:r>
    </w:p>
    <w:p w:rsidR="00382610" w:rsidRDefault="00382610" w:rsidP="00382610">
      <w:pPr>
        <w:jc w:val="both"/>
      </w:pPr>
      <w:r>
        <w:t xml:space="preserve">To, W. T., </w:t>
      </w:r>
      <w:proofErr w:type="spellStart"/>
      <w:r>
        <w:t>Neirynck</w:t>
      </w:r>
      <w:proofErr w:type="spellEnd"/>
      <w:r>
        <w:t xml:space="preserve">, S., </w:t>
      </w:r>
      <w:proofErr w:type="spellStart"/>
      <w:r>
        <w:t>Vanderplasschen</w:t>
      </w:r>
      <w:proofErr w:type="spellEnd"/>
      <w:r>
        <w:t xml:space="preserve">, W., </w:t>
      </w:r>
      <w:proofErr w:type="spellStart"/>
      <w:r>
        <w:t>Vanheule</w:t>
      </w:r>
      <w:proofErr w:type="spellEnd"/>
      <w:r>
        <w:t xml:space="preserve">, S., &amp; </w:t>
      </w:r>
      <w:proofErr w:type="spellStart"/>
      <w:r>
        <w:t>Vandevelde</w:t>
      </w:r>
      <w:proofErr w:type="spellEnd"/>
      <w:r>
        <w:t>, S. (2014). Substance use and misuse in persons with intellectual disabilities (ID): Results of a survey in ID and addiction services in Flanders. Research in Developmental Disabilities, 35(1), 1–9.</w:t>
      </w:r>
    </w:p>
    <w:p w:rsidR="00382610" w:rsidRDefault="00382610" w:rsidP="00382610">
      <w:pPr>
        <w:jc w:val="both"/>
      </w:pPr>
      <w:r>
        <w:t>United Nations. (1989). Convention on the rights of the child. New York: United Nations.</w:t>
      </w:r>
    </w:p>
    <w:p w:rsidR="00382610" w:rsidRDefault="00382610" w:rsidP="00382610">
      <w:pPr>
        <w:jc w:val="both"/>
      </w:pPr>
      <w:r>
        <w:t>United Nations. (2006). Convention on the rights of persons with disabilities. New York: United Nations.</w:t>
      </w:r>
    </w:p>
    <w:p w:rsidR="00382610" w:rsidRDefault="00382610" w:rsidP="00382610">
      <w:pPr>
        <w:jc w:val="both"/>
      </w:pPr>
      <w:r>
        <w:t xml:space="preserve">Van </w:t>
      </w:r>
      <w:proofErr w:type="spellStart"/>
      <w:r>
        <w:t>Vugt</w:t>
      </w:r>
      <w:proofErr w:type="spellEnd"/>
      <w:r>
        <w:t xml:space="preserve">, E., </w:t>
      </w:r>
      <w:proofErr w:type="spellStart"/>
      <w:r>
        <w:t>Asscher</w:t>
      </w:r>
      <w:proofErr w:type="spellEnd"/>
      <w:r>
        <w:t xml:space="preserve">, J., </w:t>
      </w:r>
      <w:proofErr w:type="spellStart"/>
      <w:r>
        <w:t>Stams</w:t>
      </w:r>
      <w:proofErr w:type="spellEnd"/>
      <w:r>
        <w:t xml:space="preserve">, G. J., Hendriks, J., </w:t>
      </w:r>
      <w:proofErr w:type="spellStart"/>
      <w:r>
        <w:t>Bijleveld</w:t>
      </w:r>
      <w:proofErr w:type="spellEnd"/>
      <w:r>
        <w:t xml:space="preserve">, C., &amp; Van Der </w:t>
      </w:r>
      <w:proofErr w:type="spellStart"/>
      <w:r>
        <w:t>Laan</w:t>
      </w:r>
      <w:proofErr w:type="spellEnd"/>
      <w:r>
        <w:t>, P. (2011). Moral judgment of young sex offenders with and without intellectual disabilities. Research in Developmental Disabilities, 32(6), 2841–2846.</w:t>
      </w:r>
    </w:p>
    <w:p w:rsidR="00382610" w:rsidRDefault="00382610" w:rsidP="00382610">
      <w:pPr>
        <w:jc w:val="both"/>
      </w:pPr>
      <w:r>
        <w:t>Welch, V., Jones, C., Stalker, K., &amp; Stewart, A. (2015). Permanence for disabled children and young people through foster care and adoption: A selective review of international literature. Children and Youth Services Review, 53, 137–146.</w:t>
      </w:r>
    </w:p>
    <w:p w:rsidR="00382610" w:rsidRDefault="00382610" w:rsidP="00382610">
      <w:pPr>
        <w:jc w:val="both"/>
      </w:pPr>
      <w:r>
        <w:lastRenderedPageBreak/>
        <w:t xml:space="preserve">Whyte, J. (2006). Consulting with children with disabilities as service users: Practical and </w:t>
      </w:r>
      <w:proofErr w:type="spellStart"/>
      <w:r>
        <w:t>methodo</w:t>
      </w:r>
      <w:proofErr w:type="spellEnd"/>
      <w:r>
        <w:t>- logical considerations. Dublin: The Stationary Office.</w:t>
      </w:r>
    </w:p>
    <w:p w:rsidR="00382610" w:rsidRDefault="00382610" w:rsidP="00382610">
      <w:pPr>
        <w:jc w:val="both"/>
      </w:pPr>
      <w:proofErr w:type="spellStart"/>
      <w:r>
        <w:t>Wolfensberger</w:t>
      </w:r>
      <w:proofErr w:type="spellEnd"/>
      <w:r>
        <w:t>, W. (1972). The principle of normalization in human services. Toronto: National Institute on Mental Retardation.</w:t>
      </w:r>
    </w:p>
    <w:p w:rsidR="004D345D" w:rsidRDefault="004D345D" w:rsidP="004D345D">
      <w:pPr>
        <w:jc w:val="both"/>
      </w:pPr>
    </w:p>
    <w:sectPr w:rsidR="004D3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58C"/>
    <w:rsid w:val="0000458C"/>
    <w:rsid w:val="00382610"/>
    <w:rsid w:val="004D345D"/>
    <w:rsid w:val="005C379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664C9"/>
  <w15:chartTrackingRefBased/>
  <w15:docId w15:val="{24D7C6FA-4666-41E1-B017-38BAECA37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2610"/>
    <w:rPr>
      <w:color w:val="0563C1" w:themeColor="hyperlink"/>
      <w:u w:val="single"/>
    </w:rPr>
  </w:style>
  <w:style w:type="character" w:styleId="UnresolvedMention">
    <w:name w:val="Unresolved Mention"/>
    <w:basedOn w:val="DefaultParagraphFont"/>
    <w:uiPriority w:val="99"/>
    <w:semiHidden/>
    <w:unhideWhenUsed/>
    <w:rsid w:val="003826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ure.qub.ac.uk/portal/files/10445592/POLICY_REVIEW_KELLY_ET_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17</Pages>
  <Words>9291</Words>
  <Characters>52963</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3</cp:revision>
  <dcterms:created xsi:type="dcterms:W3CDTF">2019-12-12T15:23:00Z</dcterms:created>
  <dcterms:modified xsi:type="dcterms:W3CDTF">2019-12-12T15:39:00Z</dcterms:modified>
</cp:coreProperties>
</file>