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2AAEF9" w14:textId="77777777" w:rsidR="00676DA8" w:rsidRDefault="00676DA8" w:rsidP="00676DA8"/>
    <w:p w14:paraId="14874600" w14:textId="17B134F0" w:rsidR="004D4315" w:rsidRDefault="00151F9A" w:rsidP="005E793C">
      <w:pPr>
        <w:pStyle w:val="Heading1"/>
        <w:numPr>
          <w:ilvl w:val="0"/>
          <w:numId w:val="2"/>
        </w:numPr>
      </w:pPr>
      <w:r>
        <w:t>GEN</w:t>
      </w:r>
      <w:r w:rsidR="001152F2" w:rsidRPr="001152F2">
        <w:t>OMICS TOOLS TO STUDY MEMBRANE-BASED SYSTEMS</w:t>
      </w:r>
    </w:p>
    <w:p w14:paraId="249522AD" w14:textId="091DA6AB" w:rsidR="00843C97" w:rsidRPr="005302C2" w:rsidRDefault="001152F2" w:rsidP="00843C97">
      <w:pPr>
        <w:pStyle w:val="Authors"/>
      </w:pPr>
      <w:bookmarkStart w:id="0" w:name="_Hlk47788342"/>
      <w:r w:rsidRPr="001152F2">
        <w:t xml:space="preserve">Muhammad Ali, Lucia Ruiz Haddad, Mohamed </w:t>
      </w:r>
      <w:proofErr w:type="spellStart"/>
      <w:r w:rsidRPr="001152F2">
        <w:t>Fauzi</w:t>
      </w:r>
      <w:proofErr w:type="spellEnd"/>
      <w:r w:rsidRPr="001152F2">
        <w:t xml:space="preserve"> Haroon, and Pascal E. Saikaly</w:t>
      </w:r>
    </w:p>
    <w:p w14:paraId="7C138169" w14:textId="77777777" w:rsidR="008A0C3C" w:rsidRPr="005302C2" w:rsidRDefault="008A0C3C" w:rsidP="001A02E3"/>
    <w:p w14:paraId="02DDF3AD" w14:textId="77777777" w:rsidR="008A0C3C" w:rsidRDefault="008A0C3C" w:rsidP="008A0C3C">
      <w:pPr>
        <w:pBdr>
          <w:top w:val="single" w:sz="4" w:space="1" w:color="auto"/>
          <w:left w:val="single" w:sz="4" w:space="4" w:color="auto"/>
          <w:bottom w:val="single" w:sz="4" w:space="1" w:color="auto"/>
          <w:right w:val="single" w:sz="4" w:space="4" w:color="auto"/>
        </w:pBdr>
        <w:shd w:val="clear" w:color="auto" w:fill="DBE5F1" w:themeFill="accent1" w:themeFillTint="33"/>
      </w:pPr>
      <w:r>
        <w:t>The learning objectives of this chapter are the following:</w:t>
      </w:r>
    </w:p>
    <w:p w14:paraId="1B3B6AA5" w14:textId="3417B391" w:rsidR="001152F2" w:rsidRDefault="001152F2" w:rsidP="001152F2">
      <w:pPr>
        <w:pBdr>
          <w:top w:val="single" w:sz="4" w:space="1" w:color="auto"/>
          <w:left w:val="single" w:sz="4" w:space="4" w:color="auto"/>
          <w:bottom w:val="single" w:sz="4" w:space="1" w:color="auto"/>
          <w:right w:val="single" w:sz="4" w:space="4" w:color="auto"/>
        </w:pBdr>
        <w:shd w:val="clear" w:color="auto" w:fill="DBE5F1" w:themeFill="accent1" w:themeFillTint="33"/>
      </w:pPr>
      <w:r>
        <w:t>- Designing an experimental plan for omics-based study for membrane-based systems</w:t>
      </w:r>
    </w:p>
    <w:p w14:paraId="5176FBEE" w14:textId="35084065" w:rsidR="001152F2" w:rsidRDefault="001152F2" w:rsidP="001152F2">
      <w:pPr>
        <w:pBdr>
          <w:top w:val="single" w:sz="4" w:space="1" w:color="auto"/>
          <w:left w:val="single" w:sz="4" w:space="4" w:color="auto"/>
          <w:bottom w:val="single" w:sz="4" w:space="1" w:color="auto"/>
          <w:right w:val="single" w:sz="4" w:space="4" w:color="auto"/>
        </w:pBdr>
        <w:shd w:val="clear" w:color="auto" w:fill="DBE5F1" w:themeFill="accent1" w:themeFillTint="33"/>
      </w:pPr>
      <w:r>
        <w:t>- Omics tools to investigate microbial communities of membrane-based systems</w:t>
      </w:r>
    </w:p>
    <w:p w14:paraId="5CABB7F2" w14:textId="46ED2151" w:rsidR="001152F2" w:rsidRDefault="001152F2" w:rsidP="001152F2">
      <w:pPr>
        <w:pBdr>
          <w:top w:val="single" w:sz="4" w:space="1" w:color="auto"/>
          <w:left w:val="single" w:sz="4" w:space="4" w:color="auto"/>
          <w:bottom w:val="single" w:sz="4" w:space="1" w:color="auto"/>
          <w:right w:val="single" w:sz="4" w:space="4" w:color="auto"/>
        </w:pBdr>
        <w:shd w:val="clear" w:color="auto" w:fill="DBE5F1" w:themeFill="accent1" w:themeFillTint="33"/>
      </w:pPr>
      <w:r>
        <w:t>- Introduction to state-of-the-art bioinformatics tools and reference database resources</w:t>
      </w:r>
    </w:p>
    <w:p w14:paraId="478A8F11" w14:textId="41D20705" w:rsidR="00E90AA2" w:rsidRPr="005310EE" w:rsidRDefault="001152F2" w:rsidP="001152F2">
      <w:pPr>
        <w:pBdr>
          <w:top w:val="single" w:sz="4" w:space="1" w:color="auto"/>
          <w:left w:val="single" w:sz="4" w:space="4" w:color="auto"/>
          <w:bottom w:val="single" w:sz="4" w:space="1" w:color="auto"/>
          <w:right w:val="single" w:sz="4" w:space="4" w:color="auto"/>
        </w:pBdr>
        <w:shd w:val="clear" w:color="auto" w:fill="DBE5F1" w:themeFill="accent1" w:themeFillTint="33"/>
      </w:pPr>
      <w:r>
        <w:t>- Application of genome-resolved metatranscriptomics approach to study the activity of microorganisms</w:t>
      </w:r>
    </w:p>
    <w:p w14:paraId="6A6DA3C1" w14:textId="0B300772" w:rsidR="003E338A" w:rsidRDefault="003E338A">
      <w:pPr>
        <w:spacing w:after="0"/>
        <w:jc w:val="left"/>
      </w:pPr>
    </w:p>
    <w:p w14:paraId="37446FA2" w14:textId="77777777" w:rsidR="00991E48" w:rsidRPr="005310EE" w:rsidRDefault="00991E48" w:rsidP="004D658B">
      <w:pPr>
        <w:pStyle w:val="Heading2"/>
      </w:pPr>
      <w:bookmarkStart w:id="1" w:name="_Toc267665323"/>
      <w:bookmarkStart w:id="2" w:name="_Toc302386052"/>
      <w:bookmarkStart w:id="3" w:name="_Toc519863039"/>
      <w:bookmarkStart w:id="4" w:name="_Toc54180698"/>
      <w:r w:rsidRPr="005310EE">
        <w:t>Introduction</w:t>
      </w:r>
      <w:bookmarkEnd w:id="1"/>
      <w:bookmarkEnd w:id="2"/>
      <w:bookmarkEnd w:id="3"/>
      <w:bookmarkEnd w:id="4"/>
    </w:p>
    <w:p w14:paraId="38FF87C5" w14:textId="2DCD8BB1" w:rsidR="00A559B1" w:rsidRDefault="001152F2" w:rsidP="00A559B1">
      <w:r>
        <w:t>The performance of membrane-based operations is significantly decreased by the accumulation of microbes and chemical foulants on the membrane surface. Thus, biofouling is the main operational challenge for membrane-based processes (Flemming et al., 2011). Various molecular biological techniques are utilized to understand the behaviour of microbes in membrane-based water treatment systems. These techniques enable the analysis of microbes</w:t>
      </w:r>
      <w:r w:rsidR="00A6014C">
        <w:t>’</w:t>
      </w:r>
      <w:r>
        <w:t xml:space="preserve"> taxonomy, morphology, physiology, and ecology. </w:t>
      </w:r>
      <w:r w:rsidR="00304B28">
        <w:t xml:space="preserve">The molecular methods can be applied to study membrane-based systems for fast, reliable and cheap identification of relevant microorganisms. </w:t>
      </w:r>
      <w:r>
        <w:t xml:space="preserve">The </w:t>
      </w:r>
      <w:r w:rsidR="00EF1640">
        <w:t xml:space="preserve">most common </w:t>
      </w:r>
      <w:r>
        <w:t>molecular methods include polymerase chain reaction (PCR), quantitative polymerase chain reaction (qPCR), fluorescence in situ hybridization (FISH), denaturing gradient gel electrophoresis (DGGE), and terminal restriction fragment length polymorphism (T-RFLP) (</w:t>
      </w:r>
      <w:proofErr w:type="spellStart"/>
      <w:r>
        <w:t>Lovley</w:t>
      </w:r>
      <w:proofErr w:type="spellEnd"/>
      <w:r>
        <w:t xml:space="preserve">, 2003; Nielsen et al., 2009). However, these techniques fail to address the function of microorganisms and the mechanisms underlying their interactions due to limited throughput </w:t>
      </w:r>
      <w:r w:rsidR="00EF1640">
        <w:t xml:space="preserve">as compared to their high-throughput sequencing-based counterparts </w:t>
      </w:r>
      <w:r>
        <w:t xml:space="preserve">and cannot resolve abundance and activity for functionally </w:t>
      </w:r>
      <w:r>
        <w:lastRenderedPageBreak/>
        <w:t>important microbes in low concentrations (</w:t>
      </w:r>
      <w:proofErr w:type="spellStart"/>
      <w:r>
        <w:t>Hugenholtz</w:t>
      </w:r>
      <w:proofErr w:type="spellEnd"/>
      <w:r>
        <w:t xml:space="preserve">, 2002). Now, the cost of culture-independent next-generation sequencing (NGS) technologies rapidly decreases </w:t>
      </w:r>
      <w:r w:rsidRPr="00E80035">
        <w:rPr>
          <w:b/>
          <w:bCs/>
        </w:rPr>
        <w:t>(Fig. 1)</w:t>
      </w:r>
      <w:r>
        <w:t>, significantly improving our understanding and functions in various natural (</w:t>
      </w:r>
      <w:proofErr w:type="spellStart"/>
      <w:r>
        <w:t>Alqahtani</w:t>
      </w:r>
      <w:proofErr w:type="spellEnd"/>
      <w:r>
        <w:t xml:space="preserve"> et al., 2019; </w:t>
      </w:r>
      <w:proofErr w:type="spellStart"/>
      <w:r>
        <w:t>Bougouffa</w:t>
      </w:r>
      <w:proofErr w:type="spellEnd"/>
      <w:r>
        <w:t xml:space="preserve"> et al., 2013; </w:t>
      </w:r>
      <w:proofErr w:type="spellStart"/>
      <w:r>
        <w:t>Garcias</w:t>
      </w:r>
      <w:proofErr w:type="spellEnd"/>
      <w:r>
        <w:t xml:space="preserve">-Bonet et al., 2018; </w:t>
      </w:r>
      <w:proofErr w:type="spellStart"/>
      <w:r>
        <w:t>Speth</w:t>
      </w:r>
      <w:proofErr w:type="spellEnd"/>
      <w:r>
        <w:t xml:space="preserve"> et al., 2017; Wang et al., 2013) and engineered (Ali et al., 2020b; Ali et al., 2019; </w:t>
      </w:r>
      <w:proofErr w:type="spellStart"/>
      <w:r>
        <w:t>Matar</w:t>
      </w:r>
      <w:proofErr w:type="spellEnd"/>
      <w:r>
        <w:t xml:space="preserve"> et al., 2021; Rehman et al., 2019) ecosystems.</w:t>
      </w:r>
      <w:r w:rsidR="00A559B1">
        <w:t xml:space="preserve"> </w:t>
      </w:r>
    </w:p>
    <w:p w14:paraId="6426269B" w14:textId="77777777" w:rsidR="00A559B1" w:rsidRDefault="00A559B1" w:rsidP="001152F2"/>
    <w:p w14:paraId="27D17703" w14:textId="46AE41CA" w:rsidR="001152F2" w:rsidRDefault="001152F2" w:rsidP="001152F2">
      <w:r>
        <w:t xml:space="preserve">Most environments harbour a diverse range of organisms (genomes). The metagenome is the entire DNA content of an environment, so it includes the collection of individual genomes. Metagenomes allow </w:t>
      </w:r>
      <w:r w:rsidR="00C85644">
        <w:t>to 1</w:t>
      </w:r>
      <w:r>
        <w:t>) Obtain a gene catalogue of the environment; 2) Screen for genes that confer novel functions (Ali et al., 2020a; Garcia Martin et al., 2006); 3) Discover and characterize new bacterial candidate divisions, and 4) Reconstruct microbial genomes via metagenome assembly and binning (</w:t>
      </w:r>
      <w:proofErr w:type="spellStart"/>
      <w:r>
        <w:t>Albertsen</w:t>
      </w:r>
      <w:proofErr w:type="spellEnd"/>
      <w:r>
        <w:t xml:space="preserve"> et al., 2013), offering novel insights into the microbial functions and metabolic pathways involved in complex microbial systems. On the other hand, metatranscriptomics is the entire RNA content of a given environment. </w:t>
      </w:r>
      <w:r w:rsidR="00A6014C">
        <w:t xml:space="preserve">High-throughput sequencing can be applied for metagenomics or metatranscriptomics, where all the DNA or expressed genes (mRNA) from a certain community are sequenced to resolve abundance and activity for functionally important microbes in low concentrations. </w:t>
      </w:r>
      <w:r>
        <w:t>Metatranscriptomics analysis presents unique challenges due to RNA</w:t>
      </w:r>
      <w:r w:rsidR="00A6014C">
        <w:t>’</w:t>
      </w:r>
      <w:r>
        <w:t>s short half-life and the variability in sequencing coverage caused by the molecule</w:t>
      </w:r>
      <w:r w:rsidR="00A6014C">
        <w:t>’</w:t>
      </w:r>
      <w:r>
        <w:t xml:space="preserve">s secondary structure. Unlike metagenomes, metatranscriptomes can shed light on the activity of environmental populations. As a result, metagenomes and metatranscriptomes from the same samples can be </w:t>
      </w:r>
      <w:proofErr w:type="spellStart"/>
      <w:r>
        <w:t>analyzed</w:t>
      </w:r>
      <w:proofErr w:type="spellEnd"/>
      <w:r>
        <w:t xml:space="preserve"> together to identify </w:t>
      </w:r>
      <w:r w:rsidR="00A6014C">
        <w:t>“</w:t>
      </w:r>
      <w:r>
        <w:t>active</w:t>
      </w:r>
      <w:r w:rsidR="00A6014C">
        <w:t>”</w:t>
      </w:r>
      <w:r>
        <w:t xml:space="preserve"> microorganisms and their gene expression patterns caused by the metabolic activities of the microbial community (Ali et al., 2020b; Shaw et al., 2020). </w:t>
      </w:r>
    </w:p>
    <w:p w14:paraId="29CF7B45" w14:textId="77777777" w:rsidR="001152F2" w:rsidRDefault="001152F2" w:rsidP="001152F2"/>
    <w:p w14:paraId="6232BBE3" w14:textId="5045D7F6" w:rsidR="001152F2" w:rsidRDefault="001152F2" w:rsidP="001152F2">
      <w:r>
        <w:t xml:space="preserve">Metagenomics, metatranscriptomics, and next-generation sequencing (NGS) revolutionize microbiology and ecology research. However, the most challenging aspect, particularly for newcomers, is the bioinformatics analysis of the massive sequencing data (Desai et al., 2012). Therefore, this chapter covers high-performance bioinformatics computing methods, tools, and pipelines. Besides, the experimental design and sample </w:t>
      </w:r>
      <w:r w:rsidR="00C85644">
        <w:t>preparations</w:t>
      </w:r>
      <w:r>
        <w:t xml:space="preserve"> are critical preliminary steps in determining the dependability, comparability, and (cost-)effectiveness of the sequence data and analytical result (Desai et al., 2012; Goodrich et al., 2014; Knight et al., 2012; </w:t>
      </w:r>
      <w:proofErr w:type="spellStart"/>
      <w:r>
        <w:t>Kunin</w:t>
      </w:r>
      <w:proofErr w:type="spellEnd"/>
      <w:r>
        <w:t xml:space="preserve"> et al., 2008; Thomas et al., 2012). For example, several factors can cause bias in sequence data or render all experimental efforts less significant (</w:t>
      </w:r>
      <w:proofErr w:type="spellStart"/>
      <w:r>
        <w:t>Kunin</w:t>
      </w:r>
      <w:proofErr w:type="spellEnd"/>
      <w:r>
        <w:t xml:space="preserve"> et al., 2008; Scholz et al., 2012). As a result, this chapter will provide a comprehensive technical guide for using metagenomics in the study </w:t>
      </w:r>
      <w:r w:rsidR="00A6014C">
        <w:t xml:space="preserve">of microbiology and ecology </w:t>
      </w:r>
      <w:r>
        <w:t xml:space="preserve">of membrane-based systems </w:t>
      </w:r>
      <w:r w:rsidRPr="00E80035">
        <w:rPr>
          <w:b/>
          <w:bCs/>
        </w:rPr>
        <w:t>(Fig. 2)</w:t>
      </w:r>
      <w:r>
        <w:t>.</w:t>
      </w:r>
    </w:p>
    <w:p w14:paraId="5A4D385B" w14:textId="452C7BF7" w:rsidR="00C85644" w:rsidRDefault="00C85644" w:rsidP="001152F2"/>
    <w:p w14:paraId="04D74A70" w14:textId="77777777" w:rsidR="00A6014C" w:rsidRDefault="00A6014C" w:rsidP="00A6014C"/>
    <w:p w14:paraId="524F59BE" w14:textId="77777777" w:rsidR="00A6014C" w:rsidRDefault="00A6014C" w:rsidP="00A6014C">
      <w:pPr>
        <w:rPr>
          <w:b/>
          <w:bCs/>
        </w:rPr>
      </w:pPr>
      <w:r>
        <w:rPr>
          <w:b/>
          <w:bCs/>
          <w:noProof/>
        </w:rPr>
        <w:lastRenderedPageBreak/>
        <w:drawing>
          <wp:inline distT="0" distB="0" distL="0" distR="0" wp14:anchorId="37C6164D" wp14:editId="45526675">
            <wp:extent cx="5003800" cy="5047615"/>
            <wp:effectExtent l="0" t="0" r="0" b="0"/>
            <wp:docPr id="4" name="Picture 4" descr="A picture containing text, music,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music, screenshot&#10;&#10;Description automatically generated"/>
                    <pic:cNvPicPr/>
                  </pic:nvPicPr>
                  <pic:blipFill>
                    <a:blip r:embed="rId11"/>
                    <a:stretch>
                      <a:fillRect/>
                    </a:stretch>
                  </pic:blipFill>
                  <pic:spPr>
                    <a:xfrm>
                      <a:off x="0" y="0"/>
                      <a:ext cx="5003800" cy="5047615"/>
                    </a:xfrm>
                    <a:prstGeom prst="rect">
                      <a:avLst/>
                    </a:prstGeom>
                  </pic:spPr>
                </pic:pic>
              </a:graphicData>
            </a:graphic>
          </wp:inline>
        </w:drawing>
      </w:r>
    </w:p>
    <w:p w14:paraId="4932AA8F" w14:textId="34B7422A" w:rsidR="00A6014C" w:rsidRPr="009C1DFC" w:rsidRDefault="00A6014C" w:rsidP="00A6014C">
      <w:pPr>
        <w:rPr>
          <w:rFonts w:cstheme="minorHAnsi"/>
          <w:lang w:eastAsia="en-GB"/>
        </w:rPr>
      </w:pPr>
      <w:r w:rsidRPr="00154397">
        <w:rPr>
          <w:b/>
          <w:bCs/>
        </w:rPr>
        <w:t xml:space="preserve">Figure </w:t>
      </w:r>
      <w:r>
        <w:rPr>
          <w:b/>
          <w:bCs/>
        </w:rPr>
        <w:t xml:space="preserve">1: A) </w:t>
      </w:r>
      <w:r w:rsidRPr="009C1DFC">
        <w:t xml:space="preserve">Timeline for sequencing technology development. The data </w:t>
      </w:r>
      <w:r w:rsidR="00853928">
        <w:t xml:space="preserve">is </w:t>
      </w:r>
      <w:r w:rsidRPr="009C1DFC">
        <w:t xml:space="preserve">adopted from this link </w:t>
      </w:r>
      <w:hyperlink r:id="rId12" w:history="1">
        <w:r w:rsidRPr="009C1DFC">
          <w:rPr>
            <w:rStyle w:val="Hyperlink"/>
          </w:rPr>
          <w:t>https://figshare.com/articles/dataset/developments_in_NGS/100940?file=5470844</w:t>
        </w:r>
      </w:hyperlink>
      <w:r w:rsidRPr="008C6467">
        <w:rPr>
          <w:rStyle w:val="Hyperlink"/>
        </w:rPr>
        <w:t xml:space="preserve">. </w:t>
      </w:r>
      <w:r>
        <w:rPr>
          <w:b/>
          <w:bCs/>
        </w:rPr>
        <w:t xml:space="preserve">B) </w:t>
      </w:r>
      <w:r w:rsidRPr="009C1DFC">
        <w:t xml:space="preserve">Cost of per raw </w:t>
      </w:r>
      <w:proofErr w:type="spellStart"/>
      <w:r w:rsidRPr="009C1DFC">
        <w:t>megabase</w:t>
      </w:r>
      <w:proofErr w:type="spellEnd"/>
      <w:r w:rsidRPr="009C1DFC">
        <w:t xml:space="preserve"> of DNA Sequencing. </w:t>
      </w:r>
      <w:hyperlink r:id="rId13" w:history="1">
        <w:r w:rsidRPr="009C1DFC">
          <w:rPr>
            <w:rStyle w:val="Hyperlink"/>
          </w:rPr>
          <w:t>https://www.genome.gov/about-genomics/fact-sheets/DNA-Sequencing-Costs-Data</w:t>
        </w:r>
      </w:hyperlink>
      <w:r w:rsidRPr="009C1DFC">
        <w:t xml:space="preserve"> </w:t>
      </w:r>
      <w:r w:rsidRPr="008C6467">
        <w:t xml:space="preserve">and </w:t>
      </w:r>
      <w:r w:rsidRPr="009C1DFC">
        <w:t xml:space="preserve">Number of publications using metagenomics tools. Data obtained from PubMed: </w:t>
      </w:r>
      <w:proofErr w:type="spellStart"/>
      <w:r w:rsidRPr="009C1DFC">
        <w:t>metagenom</w:t>
      </w:r>
      <w:proofErr w:type="spellEnd"/>
      <w:r w:rsidRPr="009C1DFC">
        <w:t xml:space="preserve">*[Title/Abstract] </w:t>
      </w:r>
    </w:p>
    <w:p w14:paraId="1DBA0826" w14:textId="77777777" w:rsidR="00A6014C" w:rsidRDefault="00A6014C" w:rsidP="001152F2"/>
    <w:p w14:paraId="4D35E0FB" w14:textId="751B0A5B" w:rsidR="001152F2" w:rsidRDefault="001152F2" w:rsidP="001152F2">
      <w:r w:rsidRPr="001152F2">
        <w:t xml:space="preserve">This chapter presents the relevant concepts and protocols required for the experimental design, sample preparation, library construction, and NGS sequencing. These steps are crucial for metagenomics analysis of microbial communities in membrane-based bioengineered systems operated for research or industrial aims (e.g., bioenergy production and bioremediation). Additionally, the methods for annotating metagenomic and </w:t>
      </w:r>
      <w:r w:rsidRPr="001152F2">
        <w:lastRenderedPageBreak/>
        <w:t>metatranscriptomics data are compared, and their conditions of applicability are discussed. Likewise, the chapter provides an overview of the most cited, user-friendly, rigorous, and complete bioinformatics analysis tools and reference database resources, along with some analysis examples. These metagenomic data mining strategies and resources will make it simpler for users to select the best resources to meet their needs. Finally, the significant pitfalls and limitations of applying metagenomics are discussed.</w:t>
      </w:r>
    </w:p>
    <w:p w14:paraId="314B2995" w14:textId="227AE41E" w:rsidR="006273F7" w:rsidRDefault="006273F7" w:rsidP="006273F7">
      <w:pPr>
        <w:rPr>
          <w:b/>
          <w:bCs/>
        </w:rPr>
      </w:pPr>
    </w:p>
    <w:p w14:paraId="5F8E0E04" w14:textId="77777777" w:rsidR="00A6014C" w:rsidRPr="00154397" w:rsidRDefault="00A6014C" w:rsidP="006273F7">
      <w:pPr>
        <w:rPr>
          <w:b/>
          <w:bCs/>
        </w:rPr>
      </w:pPr>
    </w:p>
    <w:p w14:paraId="2B86F932" w14:textId="39A206D1" w:rsidR="006273F7" w:rsidRDefault="006273F7" w:rsidP="006273F7">
      <w:r>
        <w:rPr>
          <w:noProof/>
        </w:rPr>
        <w:drawing>
          <wp:inline distT="0" distB="0" distL="0" distR="0" wp14:anchorId="17EC5054" wp14:editId="685BFC77">
            <wp:extent cx="4927963" cy="1045003"/>
            <wp:effectExtent l="0" t="0" r="6350" b="3175"/>
            <wp:docPr id="5" name="Picture 5"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imeline&#10;&#10;Description automatically generated"/>
                    <pic:cNvPicPr/>
                  </pic:nvPicPr>
                  <pic:blipFill>
                    <a:blip r:embed="rId14"/>
                    <a:stretch>
                      <a:fillRect/>
                    </a:stretch>
                  </pic:blipFill>
                  <pic:spPr>
                    <a:xfrm>
                      <a:off x="0" y="0"/>
                      <a:ext cx="5002186" cy="1060742"/>
                    </a:xfrm>
                    <a:prstGeom prst="rect">
                      <a:avLst/>
                    </a:prstGeom>
                  </pic:spPr>
                </pic:pic>
              </a:graphicData>
            </a:graphic>
          </wp:inline>
        </w:drawing>
      </w:r>
    </w:p>
    <w:p w14:paraId="7412B240" w14:textId="663CD72E" w:rsidR="006273F7" w:rsidRDefault="006273F7" w:rsidP="006273F7">
      <w:r w:rsidRPr="008B3D3B">
        <w:rPr>
          <w:b/>
          <w:bCs/>
        </w:rPr>
        <w:t xml:space="preserve">Figure </w:t>
      </w:r>
      <w:r>
        <w:rPr>
          <w:b/>
          <w:bCs/>
        </w:rPr>
        <w:t>2</w:t>
      </w:r>
      <w:r w:rsidRPr="008B3D3B">
        <w:rPr>
          <w:b/>
          <w:bCs/>
        </w:rPr>
        <w:t xml:space="preserve">: </w:t>
      </w:r>
      <w:r w:rsidRPr="008C6467">
        <w:t xml:space="preserve">Step-by-step </w:t>
      </w:r>
      <w:r>
        <w:t>workflow for metagenomics experiment</w:t>
      </w:r>
      <w:r w:rsidRPr="008C6467">
        <w:t>.</w:t>
      </w:r>
      <w:r w:rsidR="00626A71">
        <w:t xml:space="preserve"> </w:t>
      </w:r>
      <w:r w:rsidR="000A40D0" w:rsidRPr="000A40D0">
        <w:t>“Created with BioRender.com”</w:t>
      </w:r>
    </w:p>
    <w:p w14:paraId="48BA9F19" w14:textId="77777777" w:rsidR="00A6014C" w:rsidRPr="008C6467" w:rsidRDefault="00A6014C" w:rsidP="006273F7"/>
    <w:p w14:paraId="631160BA" w14:textId="6E977303" w:rsidR="005302C2" w:rsidRDefault="0006646C" w:rsidP="005302C2">
      <w:pPr>
        <w:pStyle w:val="Heading2"/>
        <w:rPr>
          <w:lang w:eastAsia="en-GB"/>
        </w:rPr>
      </w:pPr>
      <w:bookmarkStart w:id="5" w:name="_Toc54180717"/>
      <w:r w:rsidRPr="0006646C">
        <w:rPr>
          <w:lang w:eastAsia="en-GB"/>
        </w:rPr>
        <w:t>Experimental Design and Sample Preparation</w:t>
      </w:r>
      <w:r w:rsidR="005302C2">
        <w:rPr>
          <w:lang w:eastAsia="en-GB"/>
        </w:rPr>
        <w:t xml:space="preserve"> </w:t>
      </w:r>
    </w:p>
    <w:p w14:paraId="0D9EB50C" w14:textId="1C943B85" w:rsidR="00F951E0" w:rsidRDefault="00F951E0" w:rsidP="00F951E0">
      <w:pPr>
        <w:rPr>
          <w:lang w:eastAsia="en-GB"/>
        </w:rPr>
      </w:pPr>
    </w:p>
    <w:p w14:paraId="323C14A9" w14:textId="61777383" w:rsidR="00F951E0" w:rsidRDefault="00F951E0" w:rsidP="00A233F3">
      <w:pPr>
        <w:pStyle w:val="Heading3"/>
      </w:pPr>
      <w:bookmarkStart w:id="6" w:name="_Toc104472833"/>
      <w:r w:rsidRPr="00FC6EEC">
        <w:t>Experimental Design in a Metagenomics</w:t>
      </w:r>
      <w:bookmarkEnd w:id="6"/>
    </w:p>
    <w:p w14:paraId="5FE1AE88" w14:textId="78FC3942" w:rsidR="002D5570" w:rsidRDefault="002D5570" w:rsidP="00333E79">
      <w:r w:rsidRPr="002D5570">
        <w:t xml:space="preserve">A rigorous design of an experimental plan is vital for acquiring data to answer </w:t>
      </w:r>
      <w:r w:rsidR="00995736">
        <w:t xml:space="preserve">the </w:t>
      </w:r>
      <w:r w:rsidRPr="002D5570">
        <w:t>scientific question of interest in membrane-based systems. The following key aspects should be considered when designing omics experiments. First, an adequate number of technical and biological replicates of experimental samples is necessary for statistically meaningful analyses. Technical replicates are repeated measurements of the same sample, demonstrating the protocol</w:t>
      </w:r>
      <w:r w:rsidR="00995736">
        <w:t>’</w:t>
      </w:r>
      <w:r w:rsidRPr="002D5570">
        <w:t xml:space="preserve">s variability. Therefore, technical replicates measure the reproducibility of the data generated using identical NGS protocols (e.g., library construction and sample multiplexing) and molecular methods (e.g., DNA extraction and PCR amplification). Besides, biological replicates are parallel measurements of biologically distinct samples (at least three) within one experimental group (e.g., the same treatment or condition). This captures the random biological variation within a group, which may be a subject of study or a noise source. Understanding biological variation allows an accurate assessment of the effectiveness and differences between different experimental groups. Besides replicates, positive and negative controls may be required to ensure no contamination occurs among samples. Many metagenomics-based studies failed to address this issue adequately. </w:t>
      </w:r>
      <w:r w:rsidR="00995736">
        <w:t xml:space="preserve">Now that the </w:t>
      </w:r>
      <w:r w:rsidR="00995736" w:rsidRPr="002D5570">
        <w:t xml:space="preserve">sequencing </w:t>
      </w:r>
      <w:r w:rsidR="00995736" w:rsidRPr="002D5570">
        <w:lastRenderedPageBreak/>
        <w:t>costs have been significantly reduced</w:t>
      </w:r>
      <w:r w:rsidR="00995736">
        <w:t>, the e</w:t>
      </w:r>
      <w:r w:rsidRPr="002D5570">
        <w:t xml:space="preserve">conomic constraints should not be used to compromise experimental </w:t>
      </w:r>
      <w:r w:rsidR="00995736">
        <w:t>rigour</w:t>
      </w:r>
      <w:r w:rsidRPr="002D5570">
        <w:t>.</w:t>
      </w:r>
    </w:p>
    <w:p w14:paraId="1F0AB31C" w14:textId="66512599" w:rsidR="002D5570" w:rsidRDefault="002D5570" w:rsidP="00333E79"/>
    <w:p w14:paraId="521C4156" w14:textId="5F1814DF" w:rsidR="00414FE1" w:rsidRDefault="00414FE1" w:rsidP="00333E79">
      <w:r w:rsidRPr="00414FE1">
        <w:t>Moreover, decisions must be made at different experimental stages, including selecting the following: physiochemical parameters, biological parameters, sequencing platform, sample preservation, quality control, bioinformatics tools, and reference databases. Physiochemical parameters include temperature, pH, conductivity, alkalinity, turbidity, dissolved oxygen, metals, nutrients, etc. Biological parameters include the sample size and the scales (temporal or spatial). The sequencing platform will be determined by the desired depth, sequence length, and error rate</w:t>
      </w:r>
      <w:r w:rsidR="00995736">
        <w:t xml:space="preserve"> </w:t>
      </w:r>
      <w:r w:rsidR="00995736" w:rsidRPr="00995736">
        <w:rPr>
          <w:b/>
          <w:bCs/>
        </w:rPr>
        <w:t>(Fig. 1A)</w:t>
      </w:r>
      <w:r w:rsidRPr="00414FE1">
        <w:t>. While sampling preparation includes methods for fixing or storing samples on-site (RNA latter or freezing). Finally, quality control allows for increased amount and purity of DNA or RNA, especially when yield is low or microbial diversity is high. This could be accomplished through amplification, assembly, and binning steps. On the other hand, compiling metadata is an equally important step in the process. Correlating reactor performance with the structure and functions of microbial communities requires synchronous preservation of biological samples and regular monitoring of reactor performance (</w:t>
      </w:r>
      <w:r w:rsidR="00995736">
        <w:t>removal rates, production rate</w:t>
      </w:r>
      <w:r w:rsidRPr="00414FE1">
        <w:t>, biodegradation, and accumulation) in different operating conditions.</w:t>
      </w:r>
    </w:p>
    <w:p w14:paraId="468E90AD" w14:textId="77777777" w:rsidR="00414FE1" w:rsidRDefault="00414FE1" w:rsidP="00333E79"/>
    <w:p w14:paraId="727DDE73" w14:textId="25844373" w:rsidR="00A14A2D" w:rsidRDefault="00A14A2D" w:rsidP="00356BB1">
      <w:pPr>
        <w:pStyle w:val="Heading3"/>
      </w:pPr>
      <w:r>
        <w:t>Sample Collection and Preservation</w:t>
      </w:r>
    </w:p>
    <w:p w14:paraId="7EA31AB3" w14:textId="20A65184" w:rsidR="008A79A5" w:rsidRDefault="00414FE1" w:rsidP="00414FE1">
      <w:r w:rsidRPr="00414FE1">
        <w:t xml:space="preserve">Sample collection and preservation are the first critical steps in an omics-based study. For sampling from a </w:t>
      </w:r>
      <w:r w:rsidR="00355998">
        <w:t>membrane-based system</w:t>
      </w:r>
      <w:r w:rsidRPr="00414FE1">
        <w:t xml:space="preserve">, the following factors should be considered: </w:t>
      </w:r>
      <w:r w:rsidR="00355998">
        <w:t>biomass</w:t>
      </w:r>
      <w:r w:rsidRPr="00414FE1">
        <w:t xml:space="preserve"> type (e.g., an attached vs. suspended </w:t>
      </w:r>
      <w:r w:rsidR="00355998">
        <w:t>biomass</w:t>
      </w:r>
      <w:r w:rsidRPr="00414FE1">
        <w:t xml:space="preserve">), </w:t>
      </w:r>
      <w:r w:rsidR="00355998">
        <w:t xml:space="preserve">bioreactor </w:t>
      </w:r>
      <w:r w:rsidRPr="00414FE1">
        <w:t>configuration (e.g., plug flow vs. mixed), modification (e.g., presence of carriers or baffles), mixing state and operating time</w:t>
      </w:r>
      <w:r w:rsidR="00355998">
        <w:t xml:space="preserve"> and condition</w:t>
      </w:r>
      <w:r w:rsidRPr="00414FE1">
        <w:t xml:space="preserve">. These factors affect biomass distribution and evenness, granule size, substrate gradients, and mass transfer, leading to a heterogeneous microbial composition within </w:t>
      </w:r>
      <w:r w:rsidR="00355998" w:rsidRPr="00414FE1">
        <w:t xml:space="preserve">a </w:t>
      </w:r>
      <w:r w:rsidR="00355998">
        <w:t>membrane-based system</w:t>
      </w:r>
      <w:r w:rsidRPr="00414FE1">
        <w:t xml:space="preserve">. </w:t>
      </w:r>
      <w:r w:rsidR="008C2B61" w:rsidRPr="008C2B61">
        <w:t>In certain membrane systems, when extracting DNA material, it may be necessary to obtain a sample by cutting a piece of the membrane, typically measuring at least 1</w:t>
      </w:r>
      <w:r w:rsidR="008C2B61">
        <w:t xml:space="preserve"> – 5 </w:t>
      </w:r>
      <w:r w:rsidR="008C2B61" w:rsidRPr="008C2B61">
        <w:t>cm</w:t>
      </w:r>
      <w:r w:rsidR="008C2B61" w:rsidRPr="004074D6">
        <w:rPr>
          <w:vertAlign w:val="superscript"/>
        </w:rPr>
        <w:t>2</w:t>
      </w:r>
      <w:r w:rsidR="008C2B61">
        <w:t xml:space="preserve">. </w:t>
      </w:r>
      <w:r w:rsidRPr="00414FE1">
        <w:t>Multiple samples can be collected separately to reflect microbial heterogeneity, or a composite sample can be taken to represent average microbial profiles. DNA extraction of sludge/slurry samples is preserved at −80 °C (Mason et al., 2012) or fixed in 50% ethanol before storage at −20 °C (Zhang et al., 2012). In contrast, centrifugation and membrane filtration are viable methods for recovering microbial cells in samples containing less biomass</w:t>
      </w:r>
      <w:r w:rsidR="00355998">
        <w:t xml:space="preserve"> such as effluent samples</w:t>
      </w:r>
      <w:r w:rsidRPr="00414FE1">
        <w:t xml:space="preserve"> (Thomas et al., 2012). </w:t>
      </w:r>
      <w:r w:rsidR="00355998">
        <w:t>For mRNA-based studies</w:t>
      </w:r>
      <w:r w:rsidRPr="00414FE1">
        <w:t xml:space="preserve">, two preservation methods are frequently used: 1) Flash freezing with liquid nitrogen and 2) Immersion in </w:t>
      </w:r>
      <w:proofErr w:type="spellStart"/>
      <w:r w:rsidRPr="00414FE1">
        <w:t>RNAlater</w:t>
      </w:r>
      <w:proofErr w:type="spellEnd"/>
      <w:r w:rsidRPr="00414FE1">
        <w:t>, which is widely used to recover high-quality mRNA (</w:t>
      </w:r>
      <w:proofErr w:type="spellStart"/>
      <w:r w:rsidRPr="00414FE1">
        <w:t>Riesgo</w:t>
      </w:r>
      <w:proofErr w:type="spellEnd"/>
      <w:r w:rsidRPr="00414FE1">
        <w:t xml:space="preserve"> et al., 2012).</w:t>
      </w:r>
    </w:p>
    <w:p w14:paraId="7EABB2AD" w14:textId="45178C07" w:rsidR="005875FF" w:rsidRDefault="005875FF" w:rsidP="000A0F17"/>
    <w:p w14:paraId="626D512D" w14:textId="3847F6BD" w:rsidR="00A14A2D" w:rsidRDefault="00A14A2D" w:rsidP="00356BB1">
      <w:pPr>
        <w:pStyle w:val="Heading3"/>
      </w:pPr>
      <w:r>
        <w:lastRenderedPageBreak/>
        <w:t>DNA Extraction</w:t>
      </w:r>
    </w:p>
    <w:p w14:paraId="63E0F2FA" w14:textId="3536F1A9" w:rsidR="00C85644" w:rsidRDefault="00C85644" w:rsidP="00C85644">
      <w:r>
        <w:t xml:space="preserve">An optimized protocol for DNA/RNA extraction is essential to any analysis of microbial composition and function. The microbes differ enormously in their resistance to different lysing methods (Thomas et al., 2012). Hence, microbes with cell walls that are difficult to lyse will effectively seem less abundant if sub-optimal extraction protocols are used. Thus, the method for DNA/RNA extraction needs to be robust </w:t>
      </w:r>
      <w:r w:rsidR="00355998">
        <w:t>to</w:t>
      </w:r>
      <w:r>
        <w:t xml:space="preserve"> cope with the challenges.  </w:t>
      </w:r>
    </w:p>
    <w:p w14:paraId="053581CA" w14:textId="77777777" w:rsidR="00C85644" w:rsidRDefault="00C85644" w:rsidP="00524CF4"/>
    <w:p w14:paraId="44264EAF" w14:textId="3156D88A" w:rsidR="008D4C9B" w:rsidRDefault="00414FE1" w:rsidP="00524CF4">
      <w:r w:rsidRPr="00414FE1">
        <w:t xml:space="preserve">The protocols and kits used for DNA/RNA extraction should be consistent </w:t>
      </w:r>
      <w:r w:rsidR="00355998">
        <w:t>throughout</w:t>
      </w:r>
      <w:r w:rsidRPr="00414FE1">
        <w:t xml:space="preserve"> a study to increase the reliability and comparability of data (Goodrich et al., 2014). These kits should be used following the manufacturer</w:t>
      </w:r>
      <w:r w:rsidR="00355998">
        <w:t>’</w:t>
      </w:r>
      <w:r w:rsidRPr="00414FE1">
        <w:t xml:space="preserve">s instructions. Likewise, </w:t>
      </w:r>
      <w:r w:rsidR="00C85644" w:rsidRPr="00414FE1">
        <w:t>in</w:t>
      </w:r>
      <w:r w:rsidRPr="00414FE1">
        <w:t xml:space="preserve"> 201</w:t>
      </w:r>
      <w:r w:rsidR="00C85644">
        <w:t>2</w:t>
      </w:r>
      <w:r w:rsidRPr="00414FE1">
        <w:t xml:space="preserve"> Thomas and co-workers established a guide for isolating high-quality nucleic acid for NGS library preparation and sequencing. Following the extraction of DNA and RNA, their quality must be determined using various quality indicators. Generally, the ratio of absorbance at 260 and 280 nm is used to assess the purity of DNA and RNA. A ratio of 1.8 is commonly accepted as pure DNA, and a value of 2.0 is recognized as pure RNA. (</w:t>
      </w:r>
      <w:proofErr w:type="spellStart"/>
      <w:r w:rsidRPr="00414FE1">
        <w:t>Lucena</w:t>
      </w:r>
      <w:proofErr w:type="spellEnd"/>
      <w:r w:rsidRPr="00414FE1">
        <w:t>-Aguilar et al., 2016). At the same time, lower ratios indicate the presence of non-nucleic acid content, such as protein, phenol, or other contaminants that absorb strongly at or near 280 nm.  Besides, the absorbance ratio of 260/230 can be used as a secondary measure of nucleic acid purity.  The typical values for nucleic acid samples are between 2.0-2.2 (</w:t>
      </w:r>
      <w:proofErr w:type="spellStart"/>
      <w:r w:rsidRPr="00414FE1">
        <w:t>Lucena</w:t>
      </w:r>
      <w:proofErr w:type="spellEnd"/>
      <w:r w:rsidRPr="00414FE1">
        <w:t>-Aguilar et al., 2016). If the ratio is lower, it may indicate the presence of contaminants that absorb at 230 nm. These absorbance parameters should be checked with spectrophotometers or qubit.</w:t>
      </w:r>
    </w:p>
    <w:p w14:paraId="6962A502" w14:textId="08611DA3" w:rsidR="00414FE1" w:rsidRDefault="00414FE1" w:rsidP="00524CF4"/>
    <w:p w14:paraId="10BABCE0" w14:textId="2357C181" w:rsidR="00414FE1" w:rsidRDefault="00414FE1" w:rsidP="00356BB1">
      <w:pPr>
        <w:pStyle w:val="Heading3"/>
      </w:pPr>
      <w:r w:rsidRPr="00414FE1">
        <w:t>Library Preparation</w:t>
      </w:r>
    </w:p>
    <w:p w14:paraId="41A571F1" w14:textId="451250E2" w:rsidR="00414FE1" w:rsidRDefault="00414FE1" w:rsidP="00524CF4">
      <w:r w:rsidRPr="00414FE1">
        <w:t xml:space="preserve">Library construction transforms the RNA/DNA into a format compatible with the </w:t>
      </w:r>
      <w:r w:rsidR="00355998">
        <w:t>sequencing</w:t>
      </w:r>
      <w:r w:rsidRPr="00414FE1">
        <w:t xml:space="preserve"> platforms. Various physical, enzymatic, and chemical methods can be used for fragmentation and size selection required for library preparation on the different </w:t>
      </w:r>
      <w:r w:rsidR="00355998">
        <w:t>sequencing</w:t>
      </w:r>
      <w:r w:rsidRPr="00414FE1">
        <w:t xml:space="preserve"> platforms</w:t>
      </w:r>
      <w:r w:rsidR="00355998">
        <w:t xml:space="preserve"> </w:t>
      </w:r>
      <w:r w:rsidR="00355998" w:rsidRPr="00355998">
        <w:t xml:space="preserve">(see </w:t>
      </w:r>
      <w:r w:rsidR="00355998" w:rsidRPr="00355998">
        <w:rPr>
          <w:b/>
          <w:bCs/>
        </w:rPr>
        <w:t>Fig. 1A</w:t>
      </w:r>
      <w:r w:rsidR="00355998" w:rsidRPr="00355998">
        <w:t xml:space="preserve"> </w:t>
      </w:r>
      <w:r w:rsidR="00355998">
        <w:t xml:space="preserve">for desired </w:t>
      </w:r>
      <w:r w:rsidR="00355998" w:rsidRPr="00355998">
        <w:t>read length)</w:t>
      </w:r>
      <w:r w:rsidRPr="00414FE1">
        <w:t>. The library preparation strategy, the sequence length, and the sequencing platforms</w:t>
      </w:r>
      <w:r w:rsidR="00355998">
        <w:t>’</w:t>
      </w:r>
      <w:r w:rsidRPr="00414FE1">
        <w:t xml:space="preserve"> length and depth are all essential considerations for sequencing. Moreover, </w:t>
      </w:r>
      <w:r w:rsidR="00355998">
        <w:t>t</w:t>
      </w:r>
      <w:r w:rsidRPr="00414FE1">
        <w:t xml:space="preserve">echnical details on </w:t>
      </w:r>
      <w:r w:rsidR="00355998">
        <w:t>sequencing</w:t>
      </w:r>
      <w:r w:rsidRPr="00414FE1">
        <w:t xml:space="preserve"> library construction have been well documented (Head et al., 2014). However, library preparation generally shares similar principles and considerations regardless of the </w:t>
      </w:r>
      <w:r w:rsidR="00355998">
        <w:t>sequencing</w:t>
      </w:r>
      <w:r w:rsidRPr="00414FE1">
        <w:t xml:space="preserve"> platform. For example, two objectives are to maximize library complexity (e.g., a lower ratio of artificial duplicate reads may indicate higher complexity) and to minimize PCR or other amplification-based biases (e.g., less amplification and more sample RNA/DNA). Therefore, a paired-end (PE) library is recommended over a single-end library. A PE improves the performance of metagenome (e.g., scaffolding and chimera detection) (Peng et al., 2012), binning (e.g., tracking multiple-copy genes) (</w:t>
      </w:r>
      <w:proofErr w:type="spellStart"/>
      <w:r w:rsidRPr="00414FE1">
        <w:t>Albertsen</w:t>
      </w:r>
      <w:proofErr w:type="spellEnd"/>
      <w:r w:rsidRPr="00414FE1">
        <w:t xml:space="preserve"> et al., 2013), and enables the use of computational tools designed to consider PE relationships (</w:t>
      </w:r>
      <w:proofErr w:type="spellStart"/>
      <w:r w:rsidRPr="00414FE1">
        <w:t>Imelfort</w:t>
      </w:r>
      <w:proofErr w:type="spellEnd"/>
      <w:r w:rsidRPr="00414FE1">
        <w:t xml:space="preserve"> et al., 2014).</w:t>
      </w:r>
    </w:p>
    <w:p w14:paraId="27F35526" w14:textId="77777777" w:rsidR="00414FE1" w:rsidRDefault="00414FE1" w:rsidP="00524CF4"/>
    <w:p w14:paraId="480B3286" w14:textId="6468D0BB" w:rsidR="00A233F3" w:rsidRPr="00A233F3" w:rsidRDefault="00A14A2D" w:rsidP="00356BB1">
      <w:pPr>
        <w:pStyle w:val="Heading3"/>
      </w:pPr>
      <w:r>
        <w:t>Sequencing</w:t>
      </w:r>
      <w:r w:rsidR="00356BB1">
        <w:t xml:space="preserve"> platforms</w:t>
      </w:r>
    </w:p>
    <w:p w14:paraId="2C06070F" w14:textId="5931CC54" w:rsidR="00294E6E" w:rsidRDefault="00294E6E" w:rsidP="00294E6E">
      <w:pPr>
        <w:rPr>
          <w:lang w:eastAsia="en-GB"/>
        </w:rPr>
      </w:pPr>
      <w:r>
        <w:rPr>
          <w:lang w:eastAsia="en-GB"/>
        </w:rPr>
        <w:t>The expected sequence depth is related to the biodiversity and complexity of microbial samples. Generally, the soil (</w:t>
      </w:r>
      <w:proofErr w:type="spellStart"/>
      <w:r>
        <w:rPr>
          <w:lang w:eastAsia="en-GB"/>
        </w:rPr>
        <w:t>Roesch</w:t>
      </w:r>
      <w:proofErr w:type="spellEnd"/>
      <w:r>
        <w:rPr>
          <w:lang w:eastAsia="en-GB"/>
        </w:rPr>
        <w:t xml:space="preserve"> et al., 2007) and sediments (</w:t>
      </w:r>
      <w:proofErr w:type="spellStart"/>
      <w:r>
        <w:rPr>
          <w:lang w:eastAsia="en-GB"/>
        </w:rPr>
        <w:t>Roesch</w:t>
      </w:r>
      <w:proofErr w:type="spellEnd"/>
      <w:r>
        <w:rPr>
          <w:lang w:eastAsia="en-GB"/>
        </w:rPr>
        <w:t xml:space="preserve"> et al., 2007) </w:t>
      </w:r>
      <w:proofErr w:type="spellStart"/>
      <w:r>
        <w:rPr>
          <w:lang w:eastAsia="en-GB"/>
        </w:rPr>
        <w:t>harbor</w:t>
      </w:r>
      <w:proofErr w:type="spellEnd"/>
      <w:r>
        <w:rPr>
          <w:lang w:eastAsia="en-GB"/>
        </w:rPr>
        <w:t xml:space="preserve"> more diverse microbial species than the bioengineered ecosystems (</w:t>
      </w:r>
      <w:proofErr w:type="spellStart"/>
      <w:r>
        <w:rPr>
          <w:lang w:eastAsia="en-GB"/>
        </w:rPr>
        <w:t>Dueholm</w:t>
      </w:r>
      <w:proofErr w:type="spellEnd"/>
      <w:r>
        <w:rPr>
          <w:lang w:eastAsia="en-GB"/>
        </w:rPr>
        <w:t xml:space="preserve"> et al., 2022; Wang et al., 2012a; Wu et al., 2019). For biological wastewater treatment systems, higher biodiversity is generally detected in 1) full-scale than lab-scale bioreactors (</w:t>
      </w:r>
      <w:proofErr w:type="spellStart"/>
      <w:r>
        <w:rPr>
          <w:lang w:eastAsia="en-GB"/>
        </w:rPr>
        <w:t>Matar</w:t>
      </w:r>
      <w:proofErr w:type="spellEnd"/>
      <w:r>
        <w:rPr>
          <w:lang w:eastAsia="en-GB"/>
        </w:rPr>
        <w:t xml:space="preserve"> et al., 2021), 2) biofilm than suspended sludge and 3) activated sludge than anaerobic sludge (Ali et al., 2019; </w:t>
      </w:r>
      <w:proofErr w:type="spellStart"/>
      <w:r>
        <w:rPr>
          <w:lang w:eastAsia="en-GB"/>
        </w:rPr>
        <w:t>Trego</w:t>
      </w:r>
      <w:proofErr w:type="spellEnd"/>
      <w:r>
        <w:rPr>
          <w:lang w:eastAsia="en-GB"/>
        </w:rPr>
        <w:t xml:space="preserve"> et al., 2020). Recent attempts to assemble large complex soil metagenomes suggest that 80% of the sequencing data could not be assembled due to the low coverage. For instance, even 300 Gb sequencing data are insufficient to deeply cover a localized soil sample (Howe et al., 2014). In contrast, in an enriched microbial system, more than 45% of the metagenomics reads could be effectively assembled (</w:t>
      </w:r>
      <w:proofErr w:type="spellStart"/>
      <w:r>
        <w:rPr>
          <w:lang w:eastAsia="en-GB"/>
        </w:rPr>
        <w:t>Albertsen</w:t>
      </w:r>
      <w:proofErr w:type="spellEnd"/>
      <w:r>
        <w:rPr>
          <w:lang w:eastAsia="en-GB"/>
        </w:rPr>
        <w:t xml:space="preserve"> et al., 2013). </w:t>
      </w:r>
    </w:p>
    <w:p w14:paraId="7E499CF1" w14:textId="77777777" w:rsidR="00294E6E" w:rsidRDefault="00294E6E" w:rsidP="00294E6E">
      <w:pPr>
        <w:rPr>
          <w:lang w:eastAsia="en-GB"/>
        </w:rPr>
      </w:pPr>
    </w:p>
    <w:p w14:paraId="6916C93A" w14:textId="77777777" w:rsidR="00294E6E" w:rsidRDefault="00294E6E" w:rsidP="00294E6E">
      <w:pPr>
        <w:rPr>
          <w:lang w:eastAsia="en-GB"/>
        </w:rPr>
      </w:pPr>
      <w:r>
        <w:rPr>
          <w:lang w:eastAsia="en-GB"/>
        </w:rPr>
        <w:t>The following equation can calculate the required sequencing depth for a given genome coverage in metagenomic samples.</w:t>
      </w:r>
    </w:p>
    <w:p w14:paraId="2A32A3B1" w14:textId="77777777" w:rsidR="00294E6E" w:rsidRDefault="00294E6E" w:rsidP="00294E6E">
      <w:pPr>
        <w:rPr>
          <w:lang w:eastAsia="en-GB"/>
        </w:rPr>
      </w:pPr>
    </w:p>
    <w:p w14:paraId="73BE8D2C" w14:textId="75D80876" w:rsidR="00294E6E" w:rsidRDefault="00294E6E" w:rsidP="00294E6E">
      <w:pPr>
        <w:rPr>
          <w:lang w:eastAsia="en-GB"/>
        </w:rPr>
      </w:pPr>
      <w:r>
        <w:rPr>
          <w:lang w:eastAsia="en-GB"/>
        </w:rPr>
        <w:t xml:space="preserve">Sequencing Depth </w:t>
      </w:r>
      <w:r w:rsidR="004628F8">
        <w:rPr>
          <w:lang w:eastAsia="en-GB"/>
        </w:rPr>
        <w:t>= (</w:t>
      </w:r>
      <w:r>
        <w:rPr>
          <w:lang w:eastAsia="en-GB"/>
        </w:rPr>
        <w:t>Genome Size x Coverage x 100)</w:t>
      </w:r>
      <w:proofErr w:type="gramStart"/>
      <w:r>
        <w:rPr>
          <w:lang w:eastAsia="en-GB"/>
        </w:rPr>
        <w:t>/(</w:t>
      </w:r>
      <w:proofErr w:type="gramEnd"/>
      <w:r>
        <w:rPr>
          <w:lang w:eastAsia="en-GB"/>
        </w:rPr>
        <w:t>Relative Abundance)</w:t>
      </w:r>
    </w:p>
    <w:p w14:paraId="703AC2F3" w14:textId="77777777" w:rsidR="00294E6E" w:rsidRDefault="00294E6E" w:rsidP="00294E6E">
      <w:pPr>
        <w:rPr>
          <w:lang w:eastAsia="en-GB"/>
        </w:rPr>
      </w:pPr>
    </w:p>
    <w:p w14:paraId="1955C8C2" w14:textId="77777777" w:rsidR="00294E6E" w:rsidRDefault="00294E6E" w:rsidP="00294E6E">
      <w:pPr>
        <w:rPr>
          <w:lang w:eastAsia="en-GB"/>
        </w:rPr>
      </w:pPr>
      <w:r>
        <w:rPr>
          <w:lang w:eastAsia="en-GB"/>
        </w:rPr>
        <w:t>Here,</w:t>
      </w:r>
    </w:p>
    <w:p w14:paraId="0B038449" w14:textId="4A0C2F4B" w:rsidR="00294E6E" w:rsidRDefault="00294E6E" w:rsidP="00294E6E">
      <w:pPr>
        <w:rPr>
          <w:lang w:eastAsia="en-GB"/>
        </w:rPr>
      </w:pPr>
      <w:r>
        <w:rPr>
          <w:lang w:eastAsia="en-GB"/>
        </w:rPr>
        <w:t>Genome Size</w:t>
      </w:r>
      <w:r w:rsidR="004628F8">
        <w:rPr>
          <w:lang w:eastAsia="en-GB"/>
        </w:rPr>
        <w:t xml:space="preserve"> </w:t>
      </w:r>
      <w:r>
        <w:rPr>
          <w:lang w:eastAsia="en-GB"/>
        </w:rPr>
        <w:t xml:space="preserve">= </w:t>
      </w:r>
      <w:r w:rsidR="004628F8">
        <w:rPr>
          <w:lang w:eastAsia="en-GB"/>
        </w:rPr>
        <w:tab/>
      </w:r>
      <w:r w:rsidR="004628F8">
        <w:rPr>
          <w:lang w:eastAsia="en-GB"/>
        </w:rPr>
        <w:tab/>
      </w:r>
      <w:r>
        <w:rPr>
          <w:lang w:eastAsia="en-GB"/>
        </w:rPr>
        <w:t xml:space="preserve">Bacterial </w:t>
      </w:r>
      <w:r w:rsidR="00EB5E95">
        <w:rPr>
          <w:lang w:eastAsia="en-GB"/>
        </w:rPr>
        <w:t>genome</w:t>
      </w:r>
      <w:r>
        <w:rPr>
          <w:lang w:eastAsia="en-GB"/>
        </w:rPr>
        <w:t xml:space="preserve"> </w:t>
      </w:r>
      <w:r w:rsidR="004628F8">
        <w:rPr>
          <w:lang w:eastAsia="en-GB"/>
        </w:rPr>
        <w:t>length (usually</w:t>
      </w:r>
      <w:r>
        <w:rPr>
          <w:lang w:eastAsia="en-GB"/>
        </w:rPr>
        <w:t xml:space="preserve"> between 2.5- 5 </w:t>
      </w:r>
      <w:proofErr w:type="spellStart"/>
      <w:r>
        <w:rPr>
          <w:lang w:eastAsia="en-GB"/>
        </w:rPr>
        <w:t>Mbp</w:t>
      </w:r>
      <w:proofErr w:type="spellEnd"/>
      <w:r>
        <w:rPr>
          <w:lang w:eastAsia="en-GB"/>
        </w:rPr>
        <w:t>)</w:t>
      </w:r>
    </w:p>
    <w:p w14:paraId="20F694C7" w14:textId="507F3ACB" w:rsidR="00294E6E" w:rsidRDefault="00294E6E" w:rsidP="00294E6E">
      <w:pPr>
        <w:rPr>
          <w:lang w:eastAsia="en-GB"/>
        </w:rPr>
      </w:pPr>
      <w:r>
        <w:rPr>
          <w:lang w:eastAsia="en-GB"/>
        </w:rPr>
        <w:t>Coverage</w:t>
      </w:r>
      <w:r w:rsidR="004628F8">
        <w:rPr>
          <w:lang w:eastAsia="en-GB"/>
        </w:rPr>
        <w:t xml:space="preserve"> </w:t>
      </w:r>
      <w:r>
        <w:rPr>
          <w:lang w:eastAsia="en-GB"/>
        </w:rPr>
        <w:t xml:space="preserve">= </w:t>
      </w:r>
      <w:r w:rsidR="004628F8">
        <w:rPr>
          <w:lang w:eastAsia="en-GB"/>
        </w:rPr>
        <w:tab/>
      </w:r>
      <w:r w:rsidR="004628F8">
        <w:rPr>
          <w:lang w:eastAsia="en-GB"/>
        </w:rPr>
        <w:tab/>
      </w:r>
      <w:r>
        <w:rPr>
          <w:lang w:eastAsia="en-GB"/>
        </w:rPr>
        <w:t>Required depth coverage</w:t>
      </w:r>
      <w:r w:rsidR="004628F8">
        <w:rPr>
          <w:lang w:eastAsia="en-GB"/>
        </w:rPr>
        <w:t xml:space="preserve"> </w:t>
      </w:r>
      <w:r>
        <w:rPr>
          <w:lang w:eastAsia="en-GB"/>
        </w:rPr>
        <w:t>(between 5 to 10X)</w:t>
      </w:r>
    </w:p>
    <w:p w14:paraId="22165DCB" w14:textId="7327AF74" w:rsidR="00294E6E" w:rsidRDefault="00294E6E" w:rsidP="00294E6E">
      <w:pPr>
        <w:rPr>
          <w:lang w:eastAsia="en-GB"/>
        </w:rPr>
      </w:pPr>
      <w:r>
        <w:rPr>
          <w:lang w:eastAsia="en-GB"/>
        </w:rPr>
        <w:t>Relative Abundance</w:t>
      </w:r>
      <w:r w:rsidR="004628F8">
        <w:rPr>
          <w:lang w:eastAsia="en-GB"/>
        </w:rPr>
        <w:t xml:space="preserve"> </w:t>
      </w:r>
      <w:r>
        <w:rPr>
          <w:lang w:eastAsia="en-GB"/>
        </w:rPr>
        <w:t>=</w:t>
      </w:r>
      <w:r w:rsidR="004628F8">
        <w:rPr>
          <w:lang w:eastAsia="en-GB"/>
        </w:rPr>
        <w:tab/>
      </w:r>
      <w:r>
        <w:rPr>
          <w:lang w:eastAsia="en-GB"/>
        </w:rPr>
        <w:t>Expected relative abundance of targeted bacteria species. The relative abundance value might be estimated from previous studies on similar ecosystems.</w:t>
      </w:r>
    </w:p>
    <w:p w14:paraId="4F18F2DC" w14:textId="77777777" w:rsidR="00294E6E" w:rsidRDefault="00294E6E" w:rsidP="00294E6E">
      <w:pPr>
        <w:rPr>
          <w:lang w:eastAsia="en-GB"/>
        </w:rPr>
      </w:pPr>
    </w:p>
    <w:p w14:paraId="5F65F22A" w14:textId="25F01FF2" w:rsidR="00294E6E" w:rsidRDefault="00294E6E" w:rsidP="00294E6E">
      <w:pPr>
        <w:rPr>
          <w:lang w:eastAsia="en-GB"/>
        </w:rPr>
      </w:pPr>
      <w:r>
        <w:rPr>
          <w:lang w:eastAsia="en-GB"/>
        </w:rPr>
        <w:t xml:space="preserve">For example, a sample with a relative abundance of 0.5% for the target bacteria species and a genome size of 3Mbp will require 6 Gb of sequencing depth to achieve 10X coverage. Furthermore, a sequencing depth of 6Gb and a PE read length of 150bp will produce 300bp (150bp×2) per reading, 20 </w:t>
      </w:r>
      <w:r w:rsidR="00B3139E">
        <w:rPr>
          <w:lang w:eastAsia="en-GB"/>
        </w:rPr>
        <w:t>million of</w:t>
      </w:r>
      <w:r>
        <w:rPr>
          <w:lang w:eastAsia="en-GB"/>
        </w:rPr>
        <w:t xml:space="preserve"> paired reads((6</w:t>
      </w:r>
      <w:proofErr w:type="gramStart"/>
      <w:r>
        <w:rPr>
          <w:lang w:eastAsia="en-GB"/>
        </w:rPr>
        <w:t>Gb)⁄</w:t>
      </w:r>
      <w:proofErr w:type="gramEnd"/>
      <w:r>
        <w:rPr>
          <w:lang w:eastAsia="en-GB"/>
        </w:rPr>
        <w:t xml:space="preserve">(300bp)), and 40 million of single reads((6Gb)⁄(150bp)). Illumina has recently been the most popular commercial </w:t>
      </w:r>
      <w:r w:rsidR="00EB5E95">
        <w:t>sequencing</w:t>
      </w:r>
      <w:r>
        <w:rPr>
          <w:lang w:eastAsia="en-GB"/>
        </w:rPr>
        <w:t xml:space="preserve"> platform due to its high data throughput and low per-base cost (van Dijk et al., 2014). Notably, the short but high-quality PE sequences (100−150 bps) generated by Illumina’s platforms could be used to rectify (&gt; 99.9% accuracy) (Koren et al., 2012) and concatenate the low-quality but exceptionally long reads (e.g., 20 kb) from third-generation sequencing platforms, (van Dijk et al., 2014) such as PacBio RS and nanopore technologies.</w:t>
      </w:r>
    </w:p>
    <w:p w14:paraId="17172D0A" w14:textId="6F278D4E" w:rsidR="00294E6E" w:rsidRDefault="00294E6E" w:rsidP="00B81B2C">
      <w:pPr>
        <w:rPr>
          <w:lang w:eastAsia="en-GB"/>
        </w:rPr>
      </w:pPr>
    </w:p>
    <w:p w14:paraId="3228EF7C" w14:textId="77777777" w:rsidR="000A5AA3" w:rsidRPr="00CD440D" w:rsidRDefault="000A5AA3" w:rsidP="00CD440D">
      <w:pPr>
        <w:pStyle w:val="Heading2"/>
        <w:ind w:left="578" w:hanging="578"/>
        <w:rPr>
          <w:lang w:eastAsia="en-GB"/>
        </w:rPr>
      </w:pPr>
      <w:bookmarkStart w:id="7" w:name="_Toc104472841"/>
      <w:r w:rsidRPr="00CD440D">
        <w:rPr>
          <w:lang w:eastAsia="en-GB"/>
        </w:rPr>
        <w:lastRenderedPageBreak/>
        <w:t>Bioinformatics Analysis.</w:t>
      </w:r>
      <w:bookmarkEnd w:id="7"/>
    </w:p>
    <w:p w14:paraId="5C3055D0" w14:textId="6B0F4CC0" w:rsidR="00294E6E" w:rsidRDefault="00294E6E" w:rsidP="00294E6E">
      <w:r w:rsidRPr="00294E6E">
        <w:t xml:space="preserve">Bioinformatics studies biological data in conjunction with computer science and statistics. This field is constantly evolving and developing new tools to make </w:t>
      </w:r>
      <w:r w:rsidR="00EB5E95" w:rsidRPr="00294E6E">
        <w:t>metagenomics</w:t>
      </w:r>
      <w:r w:rsidR="00EB5E95">
        <w:t>/</w:t>
      </w:r>
      <w:r w:rsidRPr="00294E6E">
        <w:t>metatranscriptomics analysis and genetic engineering simpler and more reliable. The main steps required for bioinformatics analysis are listed below</w:t>
      </w:r>
    </w:p>
    <w:p w14:paraId="20815A22" w14:textId="77777777" w:rsidR="00B3139E" w:rsidRPr="00294E6E" w:rsidRDefault="00B3139E" w:rsidP="00294E6E"/>
    <w:p w14:paraId="0C4ACA37" w14:textId="7AE8C129" w:rsidR="000A5AA3" w:rsidRPr="006344F3" w:rsidRDefault="000A5AA3" w:rsidP="00CD440D">
      <w:pPr>
        <w:pStyle w:val="Heading3"/>
      </w:pPr>
      <w:bookmarkStart w:id="8" w:name="_Toc104472842"/>
      <w:r w:rsidRPr="006344F3">
        <w:t>Data Pre</w:t>
      </w:r>
      <w:r w:rsidR="00772516">
        <w:t>-</w:t>
      </w:r>
      <w:r w:rsidRPr="006344F3">
        <w:t>treatment.</w:t>
      </w:r>
      <w:bookmarkEnd w:id="8"/>
    </w:p>
    <w:p w14:paraId="1C7C8022" w14:textId="77202A8F" w:rsidR="00294E6E" w:rsidRDefault="00294E6E" w:rsidP="000D17C9">
      <w:r w:rsidRPr="00294E6E">
        <w:t xml:space="preserve">Raw </w:t>
      </w:r>
      <w:r w:rsidR="00EB5E95">
        <w:t>sequencing</w:t>
      </w:r>
      <w:r w:rsidRPr="00294E6E">
        <w:t xml:space="preserve"> reads must be pre-treated to ensure that only high-quality sequences (clean reads) are used for the downstream analysis. Before pre-treatment, FASTQC can be used to check the data quality (base quality, GC content, ambiguous bases, length distribution, sequence duplication levels, and adapter content). In general, data pre-treatment includes the following steps: adaptors/linkers removal, demultiplexing (assign reads to samples using index reads or barcodes), quality control, dereplication (identifying unique sequences and abundances), and reads overlapping (for PE library sequencing)</w:t>
      </w:r>
      <w:r w:rsidR="00EB5E95">
        <w:t xml:space="preserve"> etc</w:t>
      </w:r>
      <w:r w:rsidRPr="00294E6E">
        <w:t>.</w:t>
      </w:r>
    </w:p>
    <w:p w14:paraId="1560F76F" w14:textId="77777777" w:rsidR="00C86A7B" w:rsidRDefault="00C86A7B" w:rsidP="000D17C9"/>
    <w:p w14:paraId="24AA7B07" w14:textId="5B7CFA3F" w:rsidR="000A5AA3" w:rsidRDefault="00294E6E" w:rsidP="00CD440D">
      <w:pPr>
        <w:pStyle w:val="Heading3"/>
      </w:pPr>
      <w:bookmarkStart w:id="9" w:name="_Toc104472843"/>
      <w:r>
        <w:t>A</w:t>
      </w:r>
      <w:r w:rsidR="000A5AA3" w:rsidRPr="00CD440D">
        <w:t>mplicon-based approach</w:t>
      </w:r>
      <w:bookmarkEnd w:id="9"/>
    </w:p>
    <w:p w14:paraId="64992FC1" w14:textId="23863B8C" w:rsidR="00294E6E" w:rsidRPr="00294E6E" w:rsidRDefault="00294E6E" w:rsidP="00294E6E">
      <w:r w:rsidRPr="00294E6E">
        <w:t>Amplicon-based sequencing is a useful tool for understanding microbial community composition and diversity. It is a cost-effective and computationally simple method (</w:t>
      </w:r>
      <w:proofErr w:type="spellStart"/>
      <w:r w:rsidRPr="00294E6E">
        <w:t>Bodilis</w:t>
      </w:r>
      <w:proofErr w:type="spellEnd"/>
      <w:r w:rsidRPr="00294E6E">
        <w:t xml:space="preserve"> et al., 2012). However, an amplicon-based analysis could not always classify microbes to a lower taxonomic level, such as genus or species. Also, generally, it targets hypervariable region(s) of the 16S rRNA gene, which does not provide the functional identity of the microbe (</w:t>
      </w:r>
      <w:proofErr w:type="spellStart"/>
      <w:r w:rsidRPr="00294E6E">
        <w:t>Siegwald</w:t>
      </w:r>
      <w:proofErr w:type="spellEnd"/>
      <w:r w:rsidRPr="00294E6E">
        <w:t xml:space="preserve"> et al., 2017). Though, efforts are made to manually curate the existing 16S rRNA gene database (SILVA, (</w:t>
      </w:r>
      <w:proofErr w:type="spellStart"/>
      <w:r w:rsidRPr="00294E6E">
        <w:t>Pruesse</w:t>
      </w:r>
      <w:proofErr w:type="spellEnd"/>
      <w:r w:rsidRPr="00294E6E">
        <w:t xml:space="preserve"> et al., 2012)) to provide information about the physiology (function) and ecology of the microorganisms present in </w:t>
      </w:r>
      <w:r w:rsidR="00EB5E95">
        <w:t>bio</w:t>
      </w:r>
      <w:r w:rsidRPr="00294E6E">
        <w:t>engineered ecosystems (</w:t>
      </w:r>
      <w:proofErr w:type="spellStart"/>
      <w:r w:rsidRPr="00294E6E">
        <w:t>Albertsen</w:t>
      </w:r>
      <w:proofErr w:type="spellEnd"/>
      <w:r w:rsidRPr="00294E6E">
        <w:t xml:space="preserve"> et al., 2015; </w:t>
      </w:r>
      <w:proofErr w:type="spellStart"/>
      <w:r w:rsidRPr="00294E6E">
        <w:t>Dueholm</w:t>
      </w:r>
      <w:proofErr w:type="spellEnd"/>
      <w:r w:rsidRPr="00294E6E">
        <w:t xml:space="preserve"> et al., 2022). For amplicon sequencing data processing, there are numerous open-source packages available, such as QIIME (</w:t>
      </w:r>
      <w:proofErr w:type="spellStart"/>
      <w:r w:rsidRPr="00294E6E">
        <w:t>Caporaso</w:t>
      </w:r>
      <w:proofErr w:type="spellEnd"/>
      <w:r w:rsidRPr="00294E6E">
        <w:t xml:space="preserve"> et al., 2010), USEARCH (Edgar, 2013), MOTHUR (Schloss et al., 2009), etc.</w:t>
      </w:r>
    </w:p>
    <w:p w14:paraId="66EDB0B3" w14:textId="77777777" w:rsidR="000A5AA3" w:rsidRPr="00585AC0" w:rsidRDefault="000A5AA3" w:rsidP="00CD440D">
      <w:pPr>
        <w:pStyle w:val="Heading3"/>
      </w:pPr>
      <w:bookmarkStart w:id="10" w:name="_Toc104472844"/>
      <w:r w:rsidRPr="00585AC0">
        <w:t>Metagenomics, read-based approach</w:t>
      </w:r>
      <w:bookmarkEnd w:id="10"/>
    </w:p>
    <w:p w14:paraId="47A0B212" w14:textId="7922FDA7" w:rsidR="000A5AA3" w:rsidRDefault="00294E6E" w:rsidP="000A5AA3">
      <w:r w:rsidRPr="00294E6E">
        <w:t xml:space="preserve">Bioinformatics analyses of metagenomic data can be performed using short-reads, assembled contigs (assembled overlapping reads), or reconstructed draft genomes through a self-accelerating data mining circle. The first strategy for metagenomic analysis is to directly use unassembled clean reads for the quantitative analysis of microbial community composition and function. The assembly-free approach is advantageous when studying rare organisms (with low sequencing depth or coverage) to avoid bias, such as their removal due to their </w:t>
      </w:r>
      <w:r w:rsidRPr="00294E6E">
        <w:lastRenderedPageBreak/>
        <w:t xml:space="preserve">inability to be assembled. In an assembly-free (read-based) approach, reads are directly compared against a reference database for taxonomic profiling and functional analyses. Generally, unassembled </w:t>
      </w:r>
      <w:r w:rsidR="00EB5E95" w:rsidRPr="00294E6E">
        <w:t>short reads</w:t>
      </w:r>
      <w:r w:rsidRPr="00294E6E">
        <w:t xml:space="preserve"> retain the original abundance information and enable quantitative comparisons of microbial taxa, functional genes, and metabolic profiles (Yang et al., 2013). However, they have a large amount of data and lack resolution for taxonomic and functional annotations.</w:t>
      </w:r>
    </w:p>
    <w:p w14:paraId="7ADC3DB8" w14:textId="2472BCCA" w:rsidR="000A5AA3" w:rsidRDefault="000A5AA3" w:rsidP="00CD440D">
      <w:pPr>
        <w:pStyle w:val="Heading3"/>
      </w:pPr>
      <w:bookmarkStart w:id="11" w:name="_Toc104472845"/>
      <w:r w:rsidRPr="00585AC0">
        <w:t>Metagenomics, assembly-based approach</w:t>
      </w:r>
      <w:bookmarkEnd w:id="11"/>
    </w:p>
    <w:p w14:paraId="60C14455" w14:textId="356B1E2A" w:rsidR="00294E6E" w:rsidRDefault="00294E6E" w:rsidP="00294E6E">
      <w:r w:rsidRPr="00294E6E">
        <w:t>The assembly is a computational process that connects the clean short-reads sequences to form long contigs</w:t>
      </w:r>
      <w:r w:rsidR="00EB5E95">
        <w:t xml:space="preserve"> (&gt;1,000 bp)</w:t>
      </w:r>
      <w:r w:rsidRPr="00294E6E">
        <w:t xml:space="preserve">. This is especially relevant to 1) Recover genomic sequences (via binning as discussed in sections </w:t>
      </w:r>
      <w:r w:rsidR="005C2052">
        <w:t>15.</w:t>
      </w:r>
      <w:r w:rsidRPr="00294E6E">
        <w:t xml:space="preserve">3.5 and </w:t>
      </w:r>
      <w:r w:rsidR="005C2052">
        <w:t>15.</w:t>
      </w:r>
      <w:r w:rsidRPr="00294E6E">
        <w:t xml:space="preserve">3.6; 2) </w:t>
      </w:r>
      <w:proofErr w:type="spellStart"/>
      <w:r w:rsidRPr="00294E6E">
        <w:t>Analyze</w:t>
      </w:r>
      <w:proofErr w:type="spellEnd"/>
      <w:r w:rsidRPr="00294E6E">
        <w:t xml:space="preserve"> full-length protein-coding genes; 3) Identify strain-specific genomes (</w:t>
      </w:r>
      <w:proofErr w:type="spellStart"/>
      <w:r w:rsidRPr="00294E6E">
        <w:t>Langille</w:t>
      </w:r>
      <w:proofErr w:type="spellEnd"/>
      <w:r w:rsidRPr="00294E6E">
        <w:t xml:space="preserve"> et al., 2010); 4) </w:t>
      </w:r>
      <w:proofErr w:type="spellStart"/>
      <w:r w:rsidRPr="00294E6E">
        <w:t>Analyze</w:t>
      </w:r>
      <w:proofErr w:type="spellEnd"/>
      <w:r w:rsidRPr="00294E6E">
        <w:t xml:space="preserve"> the genetic content (e.g., at the strain or species level), especially for uncultured microorganisms. Moreover, a metagenomic assembly reduces the data size to be </w:t>
      </w:r>
      <w:proofErr w:type="spellStart"/>
      <w:r w:rsidRPr="00294E6E">
        <w:t>analyzed</w:t>
      </w:r>
      <w:proofErr w:type="spellEnd"/>
      <w:r w:rsidRPr="00294E6E">
        <w:t xml:space="preserve"> in the downstream processing, though assembly requires substantial computational resources (Howe et al., 2014). Two assembly strategies are used depending on whether a reference database is used: reference-based </w:t>
      </w:r>
      <w:r w:rsidR="005C2052">
        <w:t>and</w:t>
      </w:r>
      <w:r w:rsidRPr="00294E6E">
        <w:t xml:space="preserve"> de novo. Reference-based assembly aligns short-read fragments with reference genomes. However, this analysis cannot capture the differences between the genomes of novel species, resulting in an underestimation of microbial diversity in an open microbial system. (e.g., activated sludge, soil) (Howe et al., 2014). As a result, a de novo strategy should be used when genetic novelty and diversity are high.</w:t>
      </w:r>
    </w:p>
    <w:p w14:paraId="26330CEC" w14:textId="6FD191AB" w:rsidR="000A5AA3" w:rsidRPr="00C51242" w:rsidRDefault="00294E6E" w:rsidP="00294E6E">
      <w:pPr>
        <w:pStyle w:val="Heading3"/>
      </w:pPr>
      <w:bookmarkStart w:id="12" w:name="_Toc104472847"/>
      <w:r w:rsidRPr="00294E6E">
        <w:t>Metagenome-assembled Genome (MAG) Binning</w:t>
      </w:r>
      <w:r w:rsidR="000A5AA3" w:rsidRPr="00C51242">
        <w:t>.</w:t>
      </w:r>
      <w:bookmarkEnd w:id="12"/>
    </w:p>
    <w:p w14:paraId="2CEA93FE" w14:textId="60F88B2A" w:rsidR="00294E6E" w:rsidRDefault="00CA3B7D" w:rsidP="008B23DB">
      <w:r w:rsidRPr="004B6CB4">
        <w:t xml:space="preserve">The continuously decreasing sequencing cost has allowed researchers to access environmental metagenomes at increasing sequencing depths (e.g., &gt; 50 </w:t>
      </w:r>
      <w:proofErr w:type="spellStart"/>
      <w:r w:rsidRPr="004B6CB4">
        <w:t>Gbp</w:t>
      </w:r>
      <w:proofErr w:type="spellEnd"/>
      <w:r w:rsidRPr="004B6CB4">
        <w:t>). As a result, sufficient resolution can be obtained to retrieve partial or near-complete genomes of rare (1%), novel, and/or uncultured microorganisms from complex communities (</w:t>
      </w:r>
      <w:proofErr w:type="spellStart"/>
      <w:r w:rsidRPr="004B6CB4">
        <w:t>Albertsen</w:t>
      </w:r>
      <w:proofErr w:type="spellEnd"/>
      <w:r w:rsidRPr="004B6CB4">
        <w:t xml:space="preserve"> et al., 2013). </w:t>
      </w:r>
      <w:r w:rsidR="00294E6E" w:rsidRPr="00294E6E">
        <w:t xml:space="preserve">Binning is the computational process of clustering the assembled contigs or the </w:t>
      </w:r>
      <w:r w:rsidR="005C2052" w:rsidRPr="00294E6E">
        <w:t>short reads</w:t>
      </w:r>
      <w:r w:rsidR="00294E6E" w:rsidRPr="00294E6E">
        <w:t xml:space="preserve"> into groups representing an individual genome/taxon or genomes/taxa of closely related microorganisms (</w:t>
      </w:r>
      <w:proofErr w:type="spellStart"/>
      <w:r w:rsidR="00294E6E" w:rsidRPr="00294E6E">
        <w:t>Albertsen</w:t>
      </w:r>
      <w:proofErr w:type="spellEnd"/>
      <w:r w:rsidR="00294E6E" w:rsidRPr="00294E6E">
        <w:t xml:space="preserve"> et al., 2013; </w:t>
      </w:r>
      <w:proofErr w:type="spellStart"/>
      <w:r w:rsidR="005C2052" w:rsidRPr="00C82F6C">
        <w:t>W</w:t>
      </w:r>
      <w:r w:rsidR="005C2052">
        <w:t>righton</w:t>
      </w:r>
      <w:proofErr w:type="spellEnd"/>
      <w:r w:rsidR="00294E6E" w:rsidRPr="00294E6E">
        <w:t xml:space="preserve"> et al., 2012). Binning can be based on genomic signatures such as 1) sequence composition, 2) homology, 3) coverage (abundance), or 4) a combination of these. Composition-based binning algorithms typically group DNA sequences based on their conserved nucleotide compositions, such as the tetranucleotide frequencies and GC content (McHardy et al., 2007). These methods can be improved by providing sample-specific training data sets (e.g., a long DNA fragment with marker genes). The homology-based binning methods are based on a similarity search against existing genomes. However, this method is limited by the quality and representativeness of reference databases, the poor taxonomic resolution of </w:t>
      </w:r>
      <w:r>
        <w:t>short reads</w:t>
      </w:r>
      <w:r w:rsidR="00294E6E" w:rsidRPr="00294E6E">
        <w:t>, and the accuracy and/or sensitivity of alignment tools. As a result, they are unre</w:t>
      </w:r>
      <w:r w:rsidR="00294E6E" w:rsidRPr="00294E6E">
        <w:rPr>
          <w:rFonts w:hint="eastAsia"/>
        </w:rPr>
        <w:t xml:space="preserve">liable for assigning </w:t>
      </w:r>
      <w:r>
        <w:t>short reads</w:t>
      </w:r>
      <w:r w:rsidR="00294E6E" w:rsidRPr="00294E6E">
        <w:rPr>
          <w:rFonts w:hint="eastAsia"/>
        </w:rPr>
        <w:t xml:space="preserve">. They often require longer assembled contigs (e.g., </w:t>
      </w:r>
      <w:r>
        <w:rPr>
          <w:rFonts w:hint="eastAsia"/>
        </w:rPr>
        <w:t>&gt;</w:t>
      </w:r>
      <w:r w:rsidR="00294E6E" w:rsidRPr="00294E6E">
        <w:rPr>
          <w:rFonts w:hint="eastAsia"/>
        </w:rPr>
        <w:t xml:space="preserve"> 1 kb for the expert-trained </w:t>
      </w:r>
      <w:proofErr w:type="spellStart"/>
      <w:r w:rsidR="00294E6E" w:rsidRPr="00294E6E">
        <w:rPr>
          <w:rFonts w:hint="eastAsia"/>
        </w:rPr>
        <w:t>PhyloPythiaS</w:t>
      </w:r>
      <w:proofErr w:type="spellEnd"/>
      <w:r w:rsidR="00294E6E" w:rsidRPr="00294E6E">
        <w:rPr>
          <w:rFonts w:hint="eastAsia"/>
        </w:rPr>
        <w:t xml:space="preserve"> package) and manual efforts to ensure high assignment accuracies. Homology-based tools include </w:t>
      </w:r>
      <w:r w:rsidR="00294E6E" w:rsidRPr="00294E6E">
        <w:rPr>
          <w:rFonts w:hint="eastAsia"/>
        </w:rPr>
        <w:lastRenderedPageBreak/>
        <w:t xml:space="preserve">MetaPhlAn2, </w:t>
      </w:r>
      <w:proofErr w:type="spellStart"/>
      <w:r w:rsidR="00294E6E" w:rsidRPr="00294E6E">
        <w:rPr>
          <w:rFonts w:hint="eastAsia"/>
        </w:rPr>
        <w:t>MetaPhyler</w:t>
      </w:r>
      <w:proofErr w:type="spellEnd"/>
      <w:r w:rsidR="00294E6E" w:rsidRPr="00294E6E">
        <w:rPr>
          <w:rFonts w:hint="eastAsia"/>
        </w:rPr>
        <w:t>, and CARMA</w:t>
      </w:r>
      <w:r w:rsidR="00294E6E" w:rsidRPr="00294E6E">
        <w:t xml:space="preserve">3.  These are commonly applied for the taxonomic classification of shotgun metagenomic reads based on similarity comparisons with reference marker genes such as 16S rRNA, </w:t>
      </w:r>
      <w:proofErr w:type="spellStart"/>
      <w:r w:rsidR="00294E6E" w:rsidRPr="00294E6E">
        <w:t>rpoB</w:t>
      </w:r>
      <w:proofErr w:type="spellEnd"/>
      <w:r w:rsidR="00294E6E" w:rsidRPr="00294E6E">
        <w:t xml:space="preserve">, or clade-specific markers. Besides, some packages consider the composition and homology of sequences for taxonomic classification and clustering, such as </w:t>
      </w:r>
      <w:r w:rsidR="00A83DAC" w:rsidRPr="00E63B8E">
        <w:rPr>
          <w:lang w:eastAsia="en-GB"/>
        </w:rPr>
        <w:t xml:space="preserve">MEGAHIT </w:t>
      </w:r>
      <w:r w:rsidR="00A926E2" w:rsidRPr="00E63B8E">
        <w:rPr>
          <w:lang w:eastAsia="en-GB"/>
        </w:rPr>
        <w:t>(Li et al., 2016)</w:t>
      </w:r>
      <w:r w:rsidR="00A926E2">
        <w:rPr>
          <w:lang w:eastAsia="en-GB"/>
        </w:rPr>
        <w:t xml:space="preserve">, </w:t>
      </w:r>
      <w:proofErr w:type="spellStart"/>
      <w:r w:rsidR="00294E6E" w:rsidRPr="00294E6E">
        <w:t>Metabat</w:t>
      </w:r>
      <w:proofErr w:type="spellEnd"/>
      <w:r w:rsidR="00294E6E" w:rsidRPr="00294E6E">
        <w:t xml:space="preserve"> (Kang et al., 2015) and </w:t>
      </w:r>
      <w:proofErr w:type="spellStart"/>
      <w:r w:rsidR="00294E6E" w:rsidRPr="00294E6E">
        <w:t>MetaCluster</w:t>
      </w:r>
      <w:proofErr w:type="spellEnd"/>
      <w:r w:rsidR="00294E6E" w:rsidRPr="00294E6E">
        <w:t xml:space="preserve"> (Wang et al., 2012b).</w:t>
      </w:r>
    </w:p>
    <w:p w14:paraId="3A829233" w14:textId="77777777" w:rsidR="00294E6E" w:rsidRDefault="00294E6E" w:rsidP="008B23DB"/>
    <w:p w14:paraId="4EFFFA53" w14:textId="63D25001" w:rsidR="00FF2252" w:rsidRPr="004B6CB4" w:rsidRDefault="00FF2252" w:rsidP="004B6CB4">
      <w:pPr>
        <w:pStyle w:val="Heading3"/>
      </w:pPr>
      <w:r w:rsidRPr="00FF2252">
        <w:t>Supervised and unsupervised binning.</w:t>
      </w:r>
    </w:p>
    <w:p w14:paraId="46449B95" w14:textId="20D97466" w:rsidR="00A8445B" w:rsidRDefault="004B6CB4" w:rsidP="00A8445B">
      <w:r w:rsidRPr="004B6CB4">
        <w:t>Two unsupervised approaches have been widely applied to reconstruct high-quality genomes of uncultured organisms from metagenomes: Tetra-ESOM (Dick et al., 2009) and “differential coverage binning” (</w:t>
      </w:r>
      <w:proofErr w:type="spellStart"/>
      <w:r w:rsidRPr="004B6CB4">
        <w:t>Albertsen</w:t>
      </w:r>
      <w:proofErr w:type="spellEnd"/>
      <w:r w:rsidRPr="004B6CB4">
        <w:t xml:space="preserve"> et al., 2013). Tetra-ESOM </w:t>
      </w:r>
      <w:proofErr w:type="spellStart"/>
      <w:r w:rsidRPr="004B6CB4">
        <w:t>analyzes</w:t>
      </w:r>
      <w:proofErr w:type="spellEnd"/>
      <w:r w:rsidRPr="004B6CB4">
        <w:t xml:space="preserve"> the composition of DNA signatures by clustering tetranucleotide frequencies using emergent self-organizing maps (ESOM). While “differential coverage </w:t>
      </w:r>
      <w:r w:rsidR="00CA3B7D" w:rsidRPr="004B6CB4">
        <w:t>binning” categorizes</w:t>
      </w:r>
      <w:r w:rsidRPr="004B6CB4">
        <w:t xml:space="preserve"> contigs based on their differential coverage profiles across multiple related metagenomes with the assumption that contigs from the same microorganisms will have similar abundance (coverage) profiles in a single metagenome. These draft genomes can be refined further using composition-based paired-end tracking, reassembly, and manual curation techniques. Several automated pipelines for platforms like CONCOCT (</w:t>
      </w:r>
      <w:proofErr w:type="spellStart"/>
      <w:r w:rsidRPr="004B6CB4">
        <w:t>Alneberg</w:t>
      </w:r>
      <w:proofErr w:type="spellEnd"/>
      <w:r w:rsidRPr="004B6CB4">
        <w:t xml:space="preserve"> et al., 2014), </w:t>
      </w:r>
      <w:proofErr w:type="spellStart"/>
      <w:r w:rsidRPr="004B6CB4">
        <w:t>MaxBin</w:t>
      </w:r>
      <w:proofErr w:type="spellEnd"/>
      <w:r w:rsidRPr="004B6CB4">
        <w:t xml:space="preserve"> (Wu et al., 2016), and </w:t>
      </w:r>
      <w:proofErr w:type="spellStart"/>
      <w:r w:rsidR="00CA3B7D" w:rsidRPr="00294E6E">
        <w:t>Metabat</w:t>
      </w:r>
      <w:proofErr w:type="spellEnd"/>
      <w:r w:rsidRPr="004B6CB4">
        <w:t xml:space="preserve"> (Kang et al., 2015) allow genome reconstruction based on the coverage profiles and composition (tetranucleotide frequency patterns). The completeness and contamination in reconstructed genomes have been estimated by the presence/absence of marker genes, such as essential single copy marker genes conserved in 95% of bacteria (Dupont et al., 2012), conserved phylogenetic marker genes (</w:t>
      </w:r>
      <w:proofErr w:type="spellStart"/>
      <w:r w:rsidR="005C2052" w:rsidRPr="00C82F6C">
        <w:t>W</w:t>
      </w:r>
      <w:r w:rsidR="005C2052">
        <w:t>righton</w:t>
      </w:r>
      <w:proofErr w:type="spellEnd"/>
      <w:r w:rsidRPr="004B6CB4">
        <w:t xml:space="preserve"> et al., 2012), or clusters of orthologous groups (COGs) (</w:t>
      </w:r>
      <w:proofErr w:type="spellStart"/>
      <w:r w:rsidRPr="004B6CB4">
        <w:t>Raes</w:t>
      </w:r>
      <w:proofErr w:type="spellEnd"/>
      <w:r w:rsidRPr="004B6CB4">
        <w:t xml:space="preserve"> et al., 2007). Currently, </w:t>
      </w:r>
      <w:proofErr w:type="spellStart"/>
      <w:r w:rsidRPr="004B6CB4">
        <w:t>CheckM</w:t>
      </w:r>
      <w:proofErr w:type="spellEnd"/>
      <w:r w:rsidRPr="004B6CB4">
        <w:t xml:space="preserve"> is the only automated tool to assess the quality of a genome recovered from isolates, single cells, and metagenomes based on conserved marker genes (Parks et al., 2015).</w:t>
      </w:r>
    </w:p>
    <w:p w14:paraId="1E033BC8" w14:textId="77777777" w:rsidR="00A8445B" w:rsidRDefault="00A8445B" w:rsidP="008B23DB"/>
    <w:p w14:paraId="4526070F" w14:textId="2EF8D54E" w:rsidR="000A5AA3" w:rsidRPr="004F55CA" w:rsidRDefault="00AE56AC" w:rsidP="00AE56AC">
      <w:pPr>
        <w:pStyle w:val="Heading3"/>
      </w:pPr>
      <w:bookmarkStart w:id="13" w:name="_Toc104472848"/>
      <w:r w:rsidRPr="00AE56AC">
        <w:t>Functional annotation</w:t>
      </w:r>
      <w:r w:rsidR="000A5AA3" w:rsidRPr="004F55CA">
        <w:t>.</w:t>
      </w:r>
      <w:bookmarkEnd w:id="13"/>
    </w:p>
    <w:p w14:paraId="6B922F8A" w14:textId="1462D29D" w:rsidR="00391287" w:rsidRDefault="00AE56AC" w:rsidP="00391287">
      <w:r w:rsidRPr="00AE56AC">
        <w:t xml:space="preserve">Annotation is the process of </w:t>
      </w:r>
      <w:r w:rsidR="00CA3B7D" w:rsidRPr="00AE56AC">
        <w:t>analysing</w:t>
      </w:r>
      <w:r w:rsidRPr="00AE56AC">
        <w:t xml:space="preserve"> the structure and functions of assembled metagenomic contigs. Compared to unassembled </w:t>
      </w:r>
      <w:r w:rsidR="00CA3B7D" w:rsidRPr="00AE56AC">
        <w:t>short reads</w:t>
      </w:r>
      <w:r w:rsidRPr="00AE56AC">
        <w:t>, assembled contigs are longer and more compact, allowing for a more robust and rapid analysis of specific species and their functional genes. Functional annotation of assembled contigs allows the prediction of the functional capacities of a microbial community. After genome assembly, binning, and gene calling are finished, several tools enable functional annotations. Gene function is commonly determined through similarity searches while using established tools like BLAST. However, it is computationally expensive and time-consuming to conduct a similarity search using BLASTX or PSI-BLAST, particularly for large query data sets and reference databases (such NCBI</w:t>
      </w:r>
      <w:r w:rsidR="00CA3B7D">
        <w:t>’</w:t>
      </w:r>
      <w:r w:rsidRPr="00AE56AC">
        <w:t xml:space="preserve">s </w:t>
      </w:r>
      <w:proofErr w:type="spellStart"/>
      <w:r w:rsidRPr="00AE56AC">
        <w:lastRenderedPageBreak/>
        <w:t>RefSeq</w:t>
      </w:r>
      <w:proofErr w:type="spellEnd"/>
      <w:r w:rsidRPr="00AE56AC">
        <w:t>). Tools such as USEARCH (Edgar, 2010) and DIAMOND (</w:t>
      </w:r>
      <w:proofErr w:type="spellStart"/>
      <w:r w:rsidRPr="00AE56AC">
        <w:t>Buchfink</w:t>
      </w:r>
      <w:proofErr w:type="spellEnd"/>
      <w:r w:rsidRPr="00AE56AC">
        <w:t xml:space="preserve"> et al., 2015) have been developed to overcome these computational challenges faster.</w:t>
      </w:r>
    </w:p>
    <w:p w14:paraId="693696E7" w14:textId="77777777" w:rsidR="00391287" w:rsidRDefault="00391287" w:rsidP="00F96875"/>
    <w:p w14:paraId="431A0A86" w14:textId="77777777" w:rsidR="000A5AA3" w:rsidRPr="004F55CA" w:rsidRDefault="000A5AA3" w:rsidP="00700B58">
      <w:pPr>
        <w:pStyle w:val="Heading3"/>
      </w:pPr>
      <w:r w:rsidRPr="00C0071F">
        <w:t>Genome-resolved Metatranscriptomics</w:t>
      </w:r>
    </w:p>
    <w:p w14:paraId="05BE0EB9" w14:textId="5178A3D5" w:rsidR="005A6467" w:rsidRPr="005A6467" w:rsidRDefault="00E63864" w:rsidP="005A6467">
      <w:pPr>
        <w:rPr>
          <w:lang w:eastAsia="en-GB"/>
        </w:rPr>
      </w:pPr>
      <w:r w:rsidRPr="00E63864">
        <w:rPr>
          <w:lang w:eastAsia="en-GB"/>
        </w:rPr>
        <w:t xml:space="preserve">Genome-resolved </w:t>
      </w:r>
      <w:r>
        <w:rPr>
          <w:lang w:eastAsia="en-GB"/>
        </w:rPr>
        <w:t>m</w:t>
      </w:r>
      <w:r w:rsidRPr="00E63864">
        <w:rPr>
          <w:lang w:eastAsia="en-GB"/>
        </w:rPr>
        <w:t>etatranscriptomics</w:t>
      </w:r>
      <w:r>
        <w:rPr>
          <w:lang w:eastAsia="en-GB"/>
        </w:rPr>
        <w:t xml:space="preserve"> approach combines d</w:t>
      </w:r>
      <w:r w:rsidR="00C62901" w:rsidRPr="00C62901">
        <w:rPr>
          <w:lang w:eastAsia="en-GB"/>
        </w:rPr>
        <w:t xml:space="preserve">ata from metagenomics and metatranscriptomics from the same </w:t>
      </w:r>
      <w:r w:rsidR="00CA3B7D">
        <w:rPr>
          <w:lang w:eastAsia="en-GB"/>
        </w:rPr>
        <w:t>environment</w:t>
      </w:r>
      <w:r w:rsidR="00C62901" w:rsidRPr="00C62901">
        <w:rPr>
          <w:lang w:eastAsia="en-GB"/>
        </w:rPr>
        <w:t xml:space="preserve"> to characterize </w:t>
      </w:r>
      <w:r>
        <w:rPr>
          <w:lang w:eastAsia="en-GB"/>
        </w:rPr>
        <w:t>“</w:t>
      </w:r>
      <w:r w:rsidR="00C62901" w:rsidRPr="00C62901">
        <w:rPr>
          <w:lang w:eastAsia="en-GB"/>
        </w:rPr>
        <w:t>active</w:t>
      </w:r>
      <w:r>
        <w:rPr>
          <w:lang w:eastAsia="en-GB"/>
        </w:rPr>
        <w:t>” and “non-active”</w:t>
      </w:r>
      <w:r w:rsidR="00C62901" w:rsidRPr="00C62901">
        <w:rPr>
          <w:lang w:eastAsia="en-GB"/>
        </w:rPr>
        <w:t xml:space="preserve"> microorganisms and </w:t>
      </w:r>
      <w:r>
        <w:rPr>
          <w:lang w:eastAsia="en-GB"/>
        </w:rPr>
        <w:t xml:space="preserve">to </w:t>
      </w:r>
      <w:r w:rsidR="00C62901" w:rsidRPr="00C62901">
        <w:rPr>
          <w:lang w:eastAsia="en-GB"/>
        </w:rPr>
        <w:t xml:space="preserve">compare gene expression patterns </w:t>
      </w:r>
      <w:r w:rsidR="00CA3B7D">
        <w:rPr>
          <w:lang w:eastAsia="en-GB"/>
        </w:rPr>
        <w:t xml:space="preserve">under different conditions </w:t>
      </w:r>
      <w:r>
        <w:rPr>
          <w:lang w:eastAsia="en-GB"/>
        </w:rPr>
        <w:t xml:space="preserve">such as </w:t>
      </w:r>
      <w:r w:rsidR="00CA3B7D">
        <w:rPr>
          <w:lang w:eastAsia="en-GB"/>
        </w:rPr>
        <w:t>treatment v/s control</w:t>
      </w:r>
      <w:r>
        <w:rPr>
          <w:lang w:eastAsia="en-GB"/>
        </w:rPr>
        <w:t xml:space="preserve"> </w:t>
      </w:r>
      <w:r w:rsidRPr="00C62901">
        <w:rPr>
          <w:lang w:eastAsia="en-GB"/>
        </w:rPr>
        <w:t>(Frias-Lopez et al., 2008; Haroon et al., 2013; Yu and Zhang, 2012)</w:t>
      </w:r>
      <w:r w:rsidR="00CA3B7D">
        <w:rPr>
          <w:lang w:eastAsia="en-GB"/>
        </w:rPr>
        <w:t>.</w:t>
      </w:r>
      <w:r w:rsidR="00E17773">
        <w:rPr>
          <w:lang w:eastAsia="en-GB"/>
        </w:rPr>
        <w:t xml:space="preserve"> MAGs recovered from </w:t>
      </w:r>
      <w:r w:rsidR="00E17773" w:rsidRPr="00C62901">
        <w:rPr>
          <w:lang w:eastAsia="en-GB"/>
        </w:rPr>
        <w:t>metagenomics</w:t>
      </w:r>
      <w:r w:rsidR="00E17773" w:rsidRPr="00E17773">
        <w:rPr>
          <w:lang w:eastAsia="en-GB"/>
        </w:rPr>
        <w:t xml:space="preserve"> </w:t>
      </w:r>
      <w:r w:rsidR="00E17773">
        <w:rPr>
          <w:lang w:eastAsia="en-GB"/>
        </w:rPr>
        <w:t>are used to</w:t>
      </w:r>
      <w:r w:rsidR="00E17773" w:rsidRPr="00E17773">
        <w:rPr>
          <w:lang w:eastAsia="en-GB"/>
        </w:rPr>
        <w:t xml:space="preserve"> facilitate genome-resolved </w:t>
      </w:r>
      <w:r w:rsidR="00E17773">
        <w:rPr>
          <w:lang w:eastAsia="en-GB"/>
        </w:rPr>
        <w:t>m</w:t>
      </w:r>
      <w:r w:rsidR="00E17773" w:rsidRPr="00E63864">
        <w:rPr>
          <w:lang w:eastAsia="en-GB"/>
        </w:rPr>
        <w:t>etatranscriptomics</w:t>
      </w:r>
      <w:r w:rsidR="00E17773" w:rsidRPr="00E17773">
        <w:rPr>
          <w:lang w:eastAsia="en-GB"/>
        </w:rPr>
        <w:t xml:space="preserve"> analyses for profiling the gene expression across the recovered population genomes</w:t>
      </w:r>
      <w:r w:rsidR="00E77579">
        <w:rPr>
          <w:lang w:eastAsia="en-GB"/>
        </w:rPr>
        <w:t xml:space="preserve"> </w:t>
      </w:r>
      <w:r w:rsidR="00E77579" w:rsidRPr="0094295B">
        <w:rPr>
          <w:lang w:eastAsia="en-GB"/>
        </w:rPr>
        <w:t>(Ali et al., 2020b)</w:t>
      </w:r>
      <w:r w:rsidR="00E17773" w:rsidRPr="00E17773">
        <w:rPr>
          <w:lang w:eastAsia="en-GB"/>
        </w:rPr>
        <w:t>.</w:t>
      </w:r>
    </w:p>
    <w:p w14:paraId="5F3D0E9A" w14:textId="13B4BFEE" w:rsidR="005302C2" w:rsidRDefault="005302C2" w:rsidP="00613105">
      <w:pPr>
        <w:rPr>
          <w:lang w:eastAsia="en-GB"/>
        </w:rPr>
      </w:pPr>
    </w:p>
    <w:p w14:paraId="59B06FDD" w14:textId="7F95DA97" w:rsidR="005E6341" w:rsidRDefault="005E6341" w:rsidP="005302C2">
      <w:pPr>
        <w:pStyle w:val="Heading2"/>
        <w:rPr>
          <w:lang w:eastAsia="en-GB"/>
        </w:rPr>
      </w:pPr>
      <w:r w:rsidRPr="005E6341">
        <w:rPr>
          <w:lang w:eastAsia="en-GB"/>
        </w:rPr>
        <w:t>Data Sharing and Storage</w:t>
      </w:r>
    </w:p>
    <w:p w14:paraId="3182CF3E" w14:textId="36397A22" w:rsidR="005302C2" w:rsidRDefault="00C62901" w:rsidP="00613105">
      <w:pPr>
        <w:rPr>
          <w:lang w:eastAsia="en-GB"/>
        </w:rPr>
      </w:pPr>
      <w:r w:rsidRPr="00C62901">
        <w:rPr>
          <w:lang w:eastAsia="en-GB"/>
        </w:rPr>
        <w:t xml:space="preserve">Sharing sample metadata, sequence data, and computational results is a widespread and effective method for exchanging knowledge. Data exchange enables comparative studies and avoids the needless repetition of processing the same data sets or sequencing similar microbial ecosystems. Several public access databases have been established to promote </w:t>
      </w:r>
      <w:r w:rsidR="00D7379D">
        <w:rPr>
          <w:lang w:eastAsia="en-GB"/>
        </w:rPr>
        <w:t>sequencing</w:t>
      </w:r>
      <w:r w:rsidRPr="00C62901">
        <w:rPr>
          <w:lang w:eastAsia="en-GB"/>
        </w:rPr>
        <w:t xml:space="preserve"> data sharing and storage, such as the National Center for Biotechnology Information (NCBI) and Genomes </w:t>
      </w:r>
      <w:proofErr w:type="spellStart"/>
      <w:r w:rsidRPr="00C62901">
        <w:rPr>
          <w:lang w:eastAsia="en-GB"/>
        </w:rPr>
        <w:t>OnLine</w:t>
      </w:r>
      <w:proofErr w:type="spellEnd"/>
      <w:r w:rsidRPr="00C62901">
        <w:rPr>
          <w:lang w:eastAsia="en-GB"/>
        </w:rPr>
        <w:t xml:space="preserve"> Database (GOLD).</w:t>
      </w:r>
      <w:r w:rsidR="00D7379D">
        <w:rPr>
          <w:lang w:eastAsia="en-GB"/>
        </w:rPr>
        <w:t xml:space="preserve"> </w:t>
      </w:r>
    </w:p>
    <w:p w14:paraId="71004FD4" w14:textId="764B7ECF" w:rsidR="005302C2" w:rsidRDefault="00F82D4B" w:rsidP="005302C2">
      <w:pPr>
        <w:pStyle w:val="Heading2"/>
        <w:rPr>
          <w:lang w:eastAsia="en-GB"/>
        </w:rPr>
      </w:pPr>
      <w:r w:rsidRPr="00F82D4B">
        <w:rPr>
          <w:lang w:eastAsia="en-GB"/>
        </w:rPr>
        <w:t>BIOINFORMATICS ANALYSIS WORKFLOW EXAMPLES</w:t>
      </w:r>
    </w:p>
    <w:p w14:paraId="0C2693B8" w14:textId="317228DB" w:rsidR="00F82D4B" w:rsidRDefault="00A069D3" w:rsidP="00F82D4B">
      <w:pPr>
        <w:rPr>
          <w:lang w:eastAsia="en-GB"/>
        </w:rPr>
      </w:pPr>
      <w:r>
        <w:rPr>
          <w:lang w:eastAsia="en-GB"/>
        </w:rPr>
        <w:t>The following sections describe the simple bioinformatics workflow examples for process amplicon, metagenomics and metatranscriptomics datasets.</w:t>
      </w:r>
    </w:p>
    <w:p w14:paraId="1F6B6952" w14:textId="7259077D" w:rsidR="00F82D4B" w:rsidRDefault="00F82D4B" w:rsidP="00F82D4B">
      <w:pPr>
        <w:pStyle w:val="Heading3"/>
      </w:pPr>
      <w:r w:rsidRPr="00F82D4B">
        <w:t>Amplicon Sequences Processing Workflow</w:t>
      </w:r>
    </w:p>
    <w:p w14:paraId="505133DE" w14:textId="19981E36" w:rsidR="005302C2" w:rsidRDefault="00F82D4B" w:rsidP="00613105">
      <w:pPr>
        <w:rPr>
          <w:lang w:eastAsia="en-GB"/>
        </w:rPr>
      </w:pPr>
      <w:r w:rsidRPr="00F82D4B">
        <w:rPr>
          <w:lang w:eastAsia="en-GB"/>
        </w:rPr>
        <w:t xml:space="preserve">The amplicon sequences analysis workflow is shown in </w:t>
      </w:r>
      <w:r w:rsidRPr="00E80035">
        <w:rPr>
          <w:b/>
          <w:bCs/>
          <w:lang w:eastAsia="en-GB"/>
        </w:rPr>
        <w:t>Fig. 3A</w:t>
      </w:r>
      <w:r w:rsidRPr="00F82D4B">
        <w:rPr>
          <w:lang w:eastAsia="en-GB"/>
        </w:rPr>
        <w:t xml:space="preserve">. The first step of the process is to re-label the sequences in the raw FASTQ files with the corresponding sample name/ID. This enables the identification of the sequences from a specific sample in the later processing stages. The </w:t>
      </w:r>
      <w:r w:rsidR="00A069D3">
        <w:rPr>
          <w:lang w:eastAsia="en-GB"/>
        </w:rPr>
        <w:t>re-labelling</w:t>
      </w:r>
      <w:r w:rsidRPr="00F82D4B">
        <w:rPr>
          <w:lang w:eastAsia="en-GB"/>
        </w:rPr>
        <w:t xml:space="preserve"> can be performed using USEARCH (Edgar, 2013) with the command </w:t>
      </w:r>
      <w:proofErr w:type="spellStart"/>
      <w:r w:rsidRPr="00F82D4B">
        <w:rPr>
          <w:lang w:eastAsia="en-GB"/>
        </w:rPr>
        <w:t>fastx_relabel</w:t>
      </w:r>
      <w:proofErr w:type="spellEnd"/>
      <w:r w:rsidRPr="00F82D4B">
        <w:rPr>
          <w:lang w:eastAsia="en-GB"/>
        </w:rPr>
        <w:t xml:space="preserve">. Subsequently, </w:t>
      </w:r>
      <w:r w:rsidR="00A069D3">
        <w:rPr>
          <w:lang w:eastAsia="en-GB"/>
        </w:rPr>
        <w:t>re-labelled</w:t>
      </w:r>
      <w:r w:rsidRPr="00F82D4B">
        <w:rPr>
          <w:lang w:eastAsia="en-GB"/>
        </w:rPr>
        <w:t xml:space="preserve"> forward and reserve sequences of different samples are concatenated separately into a single file. Then, the concatenated forward and reserve sequences are quality-filtered using </w:t>
      </w:r>
      <w:proofErr w:type="spellStart"/>
      <w:r w:rsidRPr="00F82D4B">
        <w:rPr>
          <w:lang w:eastAsia="en-GB"/>
        </w:rPr>
        <w:t>trimomatic</w:t>
      </w:r>
      <w:proofErr w:type="spellEnd"/>
      <w:r w:rsidRPr="00F82D4B">
        <w:rPr>
          <w:lang w:eastAsia="en-GB"/>
        </w:rPr>
        <w:t xml:space="preserve"> (Bolger et al., 2014) with the settings SLIDINGWINDOW:5:3 and MINLEN:275</w:t>
      </w:r>
      <w:r w:rsidR="00A069D3">
        <w:rPr>
          <w:lang w:eastAsia="en-GB"/>
        </w:rPr>
        <w:t xml:space="preserve">, these settings should be adjusted based on the </w:t>
      </w:r>
      <w:r w:rsidR="00A069D3">
        <w:rPr>
          <w:lang w:eastAsia="en-GB"/>
        </w:rPr>
        <w:lastRenderedPageBreak/>
        <w:t xml:space="preserve">raw quality of the dataset determined through </w:t>
      </w:r>
      <w:r w:rsidR="00A069D3" w:rsidRPr="00294E6E">
        <w:t>FASTQC</w:t>
      </w:r>
      <w:r w:rsidR="00A069D3">
        <w:t xml:space="preserve"> package</w:t>
      </w:r>
      <w:r w:rsidRPr="00F82D4B">
        <w:rPr>
          <w:lang w:eastAsia="en-GB"/>
        </w:rPr>
        <w:t xml:space="preserve">. The quality filtered sequences are hits to the </w:t>
      </w:r>
      <w:proofErr w:type="spellStart"/>
      <w:r w:rsidRPr="00F82D4B">
        <w:rPr>
          <w:lang w:eastAsia="en-GB"/>
        </w:rPr>
        <w:t>PhiX</w:t>
      </w:r>
      <w:proofErr w:type="spellEnd"/>
      <w:r w:rsidRPr="00F82D4B">
        <w:rPr>
          <w:lang w:eastAsia="en-GB"/>
        </w:rPr>
        <w:t xml:space="preserve"> genome USEARCH command </w:t>
      </w:r>
      <w:proofErr w:type="spellStart"/>
      <w:r w:rsidRPr="00F82D4B">
        <w:rPr>
          <w:lang w:eastAsia="en-GB"/>
        </w:rPr>
        <w:t>filter_phix</w:t>
      </w:r>
      <w:proofErr w:type="spellEnd"/>
      <w:r w:rsidRPr="00F82D4B">
        <w:rPr>
          <w:lang w:eastAsia="en-GB"/>
        </w:rPr>
        <w:t xml:space="preserve">. </w:t>
      </w:r>
      <w:proofErr w:type="spellStart"/>
      <w:r w:rsidRPr="00F82D4B">
        <w:rPr>
          <w:lang w:eastAsia="en-GB"/>
        </w:rPr>
        <w:t>PhiX</w:t>
      </w:r>
      <w:proofErr w:type="spellEnd"/>
      <w:r w:rsidRPr="00F82D4B">
        <w:rPr>
          <w:lang w:eastAsia="en-GB"/>
        </w:rPr>
        <w:t xml:space="preserve"> genome</w:t>
      </w:r>
      <w:r w:rsidRPr="00F82D4B">
        <w:rPr>
          <w:rFonts w:hint="eastAsia"/>
          <w:lang w:eastAsia="en-GB"/>
        </w:rPr>
        <w:t xml:space="preserve">-based library is an ideal sequencing control (typically with </w:t>
      </w:r>
      <w:r w:rsidR="00A069D3">
        <w:rPr>
          <w:rFonts w:hint="eastAsia"/>
          <w:lang w:eastAsia="en-GB"/>
        </w:rPr>
        <w:t>&gt;</w:t>
      </w:r>
      <w:r w:rsidRPr="00F82D4B">
        <w:rPr>
          <w:rFonts w:hint="eastAsia"/>
          <w:lang w:eastAsia="en-GB"/>
        </w:rPr>
        <w:t xml:space="preserve"> 1% spike-in) for run quality monitoring (cluster generation, sequencing, and alignment). Later, the trimmed and filtered forward and reverse reads were merged using FLASH (Fast Length Adjustme</w:t>
      </w:r>
      <w:r w:rsidRPr="00F82D4B">
        <w:rPr>
          <w:lang w:eastAsia="en-GB"/>
        </w:rPr>
        <w:t>nt of Short Reads) (</w:t>
      </w:r>
      <w:proofErr w:type="spellStart"/>
      <w:r w:rsidRPr="00F82D4B">
        <w:rPr>
          <w:lang w:eastAsia="en-GB"/>
        </w:rPr>
        <w:t>Magoc</w:t>
      </w:r>
      <w:proofErr w:type="spellEnd"/>
      <w:r w:rsidRPr="00F82D4B">
        <w:rPr>
          <w:lang w:eastAsia="en-GB"/>
        </w:rPr>
        <w:t xml:space="preserve"> and </w:t>
      </w:r>
      <w:proofErr w:type="spellStart"/>
      <w:r w:rsidRPr="00F82D4B">
        <w:rPr>
          <w:lang w:eastAsia="en-GB"/>
        </w:rPr>
        <w:t>Salzberg</w:t>
      </w:r>
      <w:proofErr w:type="spellEnd"/>
      <w:r w:rsidRPr="00F82D4B">
        <w:rPr>
          <w:lang w:eastAsia="en-GB"/>
        </w:rPr>
        <w:t>, 2011) with the settings –m 25 –M 200</w:t>
      </w:r>
      <w:r w:rsidR="00A069D3">
        <w:rPr>
          <w:lang w:eastAsia="en-GB"/>
        </w:rPr>
        <w:t>, these parameters should be adjusted based on the input data quality</w:t>
      </w:r>
      <w:r w:rsidRPr="00F82D4B">
        <w:rPr>
          <w:lang w:eastAsia="en-GB"/>
        </w:rPr>
        <w:t xml:space="preserve">. FLASH merges paired-end reads to create consensus sequences. Following that, the merged reads are compared letter by letter to the set of unique sequences, a process known as dereplication, and carried out with the USEARCH command </w:t>
      </w:r>
      <w:proofErr w:type="spellStart"/>
      <w:r w:rsidRPr="00F82D4B">
        <w:rPr>
          <w:lang w:eastAsia="en-GB"/>
        </w:rPr>
        <w:t>fastx</w:t>
      </w:r>
      <w:proofErr w:type="spellEnd"/>
      <w:r w:rsidRPr="00F82D4B">
        <w:rPr>
          <w:lang w:eastAsia="en-GB"/>
        </w:rPr>
        <w:t xml:space="preserve"> </w:t>
      </w:r>
      <w:proofErr w:type="spellStart"/>
      <w:r w:rsidRPr="00F82D4B">
        <w:rPr>
          <w:lang w:eastAsia="en-GB"/>
        </w:rPr>
        <w:t>uniques</w:t>
      </w:r>
      <w:proofErr w:type="spellEnd"/>
      <w:r w:rsidRPr="00F82D4B">
        <w:rPr>
          <w:lang w:eastAsia="en-GB"/>
        </w:rPr>
        <w:t xml:space="preserve">. Then, the </w:t>
      </w:r>
      <w:proofErr w:type="spellStart"/>
      <w:r w:rsidRPr="00F82D4B">
        <w:rPr>
          <w:lang w:eastAsia="en-GB"/>
        </w:rPr>
        <w:t>cluster_otus</w:t>
      </w:r>
      <w:proofErr w:type="spellEnd"/>
      <w:r w:rsidRPr="00F82D4B">
        <w:rPr>
          <w:lang w:eastAsia="en-GB"/>
        </w:rPr>
        <w:t xml:space="preserve"> command performs 97% Operational Taxonomic Unit (OTU) clustering of unique sequences using the UPARSE-OTU </w:t>
      </w:r>
      <w:proofErr w:type="gramStart"/>
      <w:r w:rsidRPr="00F82D4B">
        <w:rPr>
          <w:lang w:eastAsia="en-GB"/>
        </w:rPr>
        <w:t>algorithm  (</w:t>
      </w:r>
      <w:proofErr w:type="gramEnd"/>
      <w:r w:rsidRPr="00F82D4B">
        <w:rPr>
          <w:lang w:eastAsia="en-GB"/>
        </w:rPr>
        <w:t xml:space="preserve">Edgar, 2013). Taxonomy is assigned to OTUs using </w:t>
      </w:r>
      <w:proofErr w:type="spellStart"/>
      <w:r w:rsidRPr="00F82D4B">
        <w:rPr>
          <w:lang w:eastAsia="en-GB"/>
        </w:rPr>
        <w:t>sintax</w:t>
      </w:r>
      <w:proofErr w:type="spellEnd"/>
      <w:r w:rsidRPr="00F82D4B">
        <w:rPr>
          <w:lang w:eastAsia="en-GB"/>
        </w:rPr>
        <w:t xml:space="preserve"> command available in USEARCH package and </w:t>
      </w:r>
      <w:proofErr w:type="spellStart"/>
      <w:r w:rsidRPr="00F82D4B">
        <w:rPr>
          <w:lang w:eastAsia="en-GB"/>
        </w:rPr>
        <w:t>MiDAS</w:t>
      </w:r>
      <w:proofErr w:type="spellEnd"/>
      <w:r w:rsidRPr="00F82D4B">
        <w:rPr>
          <w:lang w:eastAsia="en-GB"/>
        </w:rPr>
        <w:t xml:space="preserve"> database (</w:t>
      </w:r>
      <w:proofErr w:type="spellStart"/>
      <w:r w:rsidRPr="00F82D4B">
        <w:rPr>
          <w:lang w:eastAsia="en-GB"/>
        </w:rPr>
        <w:t>Dueholm</w:t>
      </w:r>
      <w:proofErr w:type="spellEnd"/>
      <w:r w:rsidRPr="00F82D4B">
        <w:rPr>
          <w:lang w:eastAsia="en-GB"/>
        </w:rPr>
        <w:t xml:space="preserve"> et al., 2022). OTU abundances table is generated by mapping merged reads against the OTUs using </w:t>
      </w:r>
      <w:proofErr w:type="spellStart"/>
      <w:r w:rsidRPr="00F82D4B">
        <w:rPr>
          <w:lang w:eastAsia="en-GB"/>
        </w:rPr>
        <w:t>otutab</w:t>
      </w:r>
      <w:proofErr w:type="spellEnd"/>
      <w:r w:rsidRPr="00F82D4B">
        <w:rPr>
          <w:lang w:eastAsia="en-GB"/>
        </w:rPr>
        <w:t xml:space="preserve"> command available in USEARCH package. The OTU count and corresponding taxonomy table are imported into the </w:t>
      </w:r>
      <w:proofErr w:type="spellStart"/>
      <w:r w:rsidRPr="00F82D4B">
        <w:rPr>
          <w:lang w:eastAsia="en-GB"/>
        </w:rPr>
        <w:t>Rstudio</w:t>
      </w:r>
      <w:proofErr w:type="spellEnd"/>
      <w:r w:rsidRPr="00F82D4B">
        <w:rPr>
          <w:lang w:eastAsia="en-GB"/>
        </w:rPr>
        <w:t xml:space="preserve"> IDE environment using the ampvis2 package by the </w:t>
      </w:r>
      <w:proofErr w:type="spellStart"/>
      <w:r w:rsidRPr="00F82D4B">
        <w:rPr>
          <w:lang w:eastAsia="en-GB"/>
        </w:rPr>
        <w:t>amp_load</w:t>
      </w:r>
      <w:proofErr w:type="spellEnd"/>
      <w:r w:rsidRPr="00F82D4B">
        <w:rPr>
          <w:lang w:eastAsia="en-GB"/>
        </w:rPr>
        <w:t xml:space="preserve"> command (Andersen et al., 2018). The ordination plot </w:t>
      </w:r>
      <w:r w:rsidRPr="00E80035">
        <w:rPr>
          <w:b/>
          <w:bCs/>
          <w:lang w:eastAsia="en-GB"/>
        </w:rPr>
        <w:t>(Fig 3B)</w:t>
      </w:r>
      <w:r w:rsidRPr="00F82D4B">
        <w:rPr>
          <w:lang w:eastAsia="en-GB"/>
        </w:rPr>
        <w:t xml:space="preserve"> and heatmap </w:t>
      </w:r>
      <w:r w:rsidRPr="00E80035">
        <w:rPr>
          <w:b/>
          <w:bCs/>
          <w:lang w:eastAsia="en-GB"/>
        </w:rPr>
        <w:t>(Fig. 3C)</w:t>
      </w:r>
      <w:r w:rsidRPr="00F82D4B">
        <w:rPr>
          <w:lang w:eastAsia="en-GB"/>
        </w:rPr>
        <w:t xml:space="preserve"> were generated using ampvis2 package. All the scripts</w:t>
      </w:r>
      <w:r w:rsidR="00A069D3">
        <w:rPr>
          <w:lang w:eastAsia="en-GB"/>
        </w:rPr>
        <w:t>, metadata</w:t>
      </w:r>
      <w:r w:rsidRPr="00F82D4B">
        <w:rPr>
          <w:lang w:eastAsia="en-GB"/>
        </w:rPr>
        <w:t xml:space="preserve"> and exercise files are available at this link (</w:t>
      </w:r>
      <w:hyperlink r:id="rId15" w:history="1">
        <w:r w:rsidRPr="00FA223E">
          <w:rPr>
            <w:rStyle w:val="Hyperlink"/>
            <w:lang w:eastAsia="en-GB"/>
          </w:rPr>
          <w:t>https://drive.google.com/drive/folders/1swJIv9Z1pyD52Jo630d-ivBTOhxt7dHu?usp=share_link</w:t>
        </w:r>
      </w:hyperlink>
      <w:r w:rsidRPr="00F82D4B">
        <w:rPr>
          <w:lang w:eastAsia="en-GB"/>
        </w:rPr>
        <w:t>).</w:t>
      </w:r>
    </w:p>
    <w:p w14:paraId="333EAD55" w14:textId="77777777" w:rsidR="00F82D4B" w:rsidRDefault="00F82D4B" w:rsidP="00613105">
      <w:pPr>
        <w:rPr>
          <w:lang w:eastAsia="en-GB"/>
        </w:rPr>
      </w:pPr>
    </w:p>
    <w:p w14:paraId="582CF58A" w14:textId="697BFE68" w:rsidR="00F82D4B" w:rsidRDefault="00E63B8E" w:rsidP="00E63B8E">
      <w:pPr>
        <w:pStyle w:val="Heading3"/>
      </w:pPr>
      <w:r w:rsidRPr="00E63B8E">
        <w:t>Genome-resolved Metagenomics</w:t>
      </w:r>
    </w:p>
    <w:p w14:paraId="2EAB8B23" w14:textId="7244DBE3" w:rsidR="00E63B8E" w:rsidRDefault="00E63B8E" w:rsidP="00613105">
      <w:pPr>
        <w:rPr>
          <w:lang w:eastAsia="en-GB"/>
        </w:rPr>
      </w:pPr>
      <w:r w:rsidRPr="00E63B8E">
        <w:rPr>
          <w:lang w:eastAsia="en-GB"/>
        </w:rPr>
        <w:t>In general, metagenomics is used to extract the genomes of a microbial population</w:t>
      </w:r>
      <w:r w:rsidR="00271A51">
        <w:rPr>
          <w:lang w:eastAsia="en-GB"/>
        </w:rPr>
        <w:t xml:space="preserve"> in the sample</w:t>
      </w:r>
      <w:r w:rsidRPr="00E63B8E">
        <w:rPr>
          <w:lang w:eastAsia="en-GB"/>
        </w:rPr>
        <w:t xml:space="preserve">. </w:t>
      </w:r>
      <w:r w:rsidR="00271A51">
        <w:rPr>
          <w:lang w:eastAsia="en-GB"/>
        </w:rPr>
        <w:t>The recovered MAGs from metagenomics analysis</w:t>
      </w:r>
      <w:r w:rsidRPr="00E63B8E">
        <w:rPr>
          <w:lang w:eastAsia="en-GB"/>
        </w:rPr>
        <w:t xml:space="preserve"> </w:t>
      </w:r>
      <w:r w:rsidR="00271A51">
        <w:rPr>
          <w:lang w:eastAsia="en-GB"/>
        </w:rPr>
        <w:t>facilitate</w:t>
      </w:r>
      <w:r w:rsidRPr="00E63B8E">
        <w:rPr>
          <w:lang w:eastAsia="en-GB"/>
        </w:rPr>
        <w:t xml:space="preserve"> genome-resolved </w:t>
      </w:r>
      <w:r w:rsidR="00271A51">
        <w:rPr>
          <w:lang w:eastAsia="en-GB"/>
        </w:rPr>
        <w:t>meta</w:t>
      </w:r>
      <w:r w:rsidRPr="00E63B8E">
        <w:rPr>
          <w:lang w:eastAsia="en-GB"/>
        </w:rPr>
        <w:t>transcript</w:t>
      </w:r>
      <w:r w:rsidR="00271A51">
        <w:rPr>
          <w:lang w:eastAsia="en-GB"/>
        </w:rPr>
        <w:t>omics</w:t>
      </w:r>
      <w:r w:rsidRPr="00E63B8E">
        <w:rPr>
          <w:lang w:eastAsia="en-GB"/>
        </w:rPr>
        <w:t xml:space="preserve"> analyses and gene expression profiling across the recovered population genomes. Genome-resolved </w:t>
      </w:r>
      <w:r w:rsidR="00271A51">
        <w:rPr>
          <w:lang w:eastAsia="en-GB"/>
        </w:rPr>
        <w:t>m</w:t>
      </w:r>
      <w:r w:rsidRPr="00E63B8E">
        <w:rPr>
          <w:lang w:eastAsia="en-GB"/>
        </w:rPr>
        <w:t xml:space="preserve">etagenomics workflow is presented in </w:t>
      </w:r>
      <w:r w:rsidRPr="00E80035">
        <w:rPr>
          <w:b/>
          <w:bCs/>
          <w:lang w:eastAsia="en-GB"/>
        </w:rPr>
        <w:t>Fig. 4</w:t>
      </w:r>
      <w:r w:rsidRPr="00E63B8E">
        <w:rPr>
          <w:lang w:eastAsia="en-GB"/>
        </w:rPr>
        <w:t xml:space="preserve">. In this exercise, two independent biomass samples for metagenomics were collected from the MBR in a previous study (Ali et al., 2020b). Raw reads are processed for quality filtering using </w:t>
      </w:r>
      <w:proofErr w:type="spellStart"/>
      <w:r w:rsidRPr="00E63B8E">
        <w:rPr>
          <w:lang w:eastAsia="en-GB"/>
        </w:rPr>
        <w:t>Cutadapt</w:t>
      </w:r>
      <w:proofErr w:type="spellEnd"/>
      <w:r w:rsidRPr="00E63B8E">
        <w:rPr>
          <w:lang w:eastAsia="en-GB"/>
        </w:rPr>
        <w:t xml:space="preserve"> (Martin, 2011). Trimmed forward and reserve sequences of different samples are concatenated separately into a single file. Concatenated forward and reserve sequences were assembled using MEGAHIT (Li et al., 2016). The assembled contigs were reformatted to simplify </w:t>
      </w:r>
      <w:proofErr w:type="spellStart"/>
      <w:r w:rsidRPr="00E63B8E">
        <w:rPr>
          <w:lang w:eastAsia="en-GB"/>
        </w:rPr>
        <w:t>deflines</w:t>
      </w:r>
      <w:proofErr w:type="spellEnd"/>
      <w:r w:rsidRPr="00E63B8E">
        <w:rPr>
          <w:lang w:eastAsia="en-GB"/>
        </w:rPr>
        <w:t xml:space="preserve"> and to remove short contigs (&lt;1000 bp) using </w:t>
      </w:r>
      <w:proofErr w:type="spellStart"/>
      <w:r w:rsidRPr="00E63B8E">
        <w:rPr>
          <w:lang w:eastAsia="en-GB"/>
        </w:rPr>
        <w:t>anvi’o</w:t>
      </w:r>
      <w:proofErr w:type="spellEnd"/>
      <w:r w:rsidRPr="00E63B8E">
        <w:rPr>
          <w:lang w:eastAsia="en-GB"/>
        </w:rPr>
        <w:t xml:space="preserve"> command </w:t>
      </w:r>
      <w:proofErr w:type="spellStart"/>
      <w:r w:rsidRPr="00E63B8E">
        <w:rPr>
          <w:lang w:eastAsia="en-GB"/>
        </w:rPr>
        <w:t>anvi</w:t>
      </w:r>
      <w:proofErr w:type="spellEnd"/>
      <w:r w:rsidRPr="00E63B8E">
        <w:rPr>
          <w:lang w:eastAsia="en-GB"/>
        </w:rPr>
        <w:t>-script-reformat-</w:t>
      </w:r>
      <w:proofErr w:type="spellStart"/>
      <w:r w:rsidRPr="00E63B8E">
        <w:rPr>
          <w:lang w:eastAsia="en-GB"/>
        </w:rPr>
        <w:t>fasta</w:t>
      </w:r>
      <w:proofErr w:type="spellEnd"/>
      <w:r w:rsidRPr="00E63B8E">
        <w:rPr>
          <w:lang w:eastAsia="en-GB"/>
        </w:rPr>
        <w:t xml:space="preserve"> (</w:t>
      </w:r>
      <w:proofErr w:type="spellStart"/>
      <w:r w:rsidRPr="00E63B8E">
        <w:rPr>
          <w:lang w:eastAsia="en-GB"/>
        </w:rPr>
        <w:t>Eren</w:t>
      </w:r>
      <w:proofErr w:type="spellEnd"/>
      <w:r w:rsidRPr="00E63B8E">
        <w:rPr>
          <w:lang w:eastAsia="en-GB"/>
        </w:rPr>
        <w:t xml:space="preserve"> et al., 2021). The filtered reads were mapped back to the reformatted assembly file using Burrows-Wheeler Aligner (Li and Durbin, 2010) to generate coverage files for metagenomics binning. These files were converted to the sequence alignment/map (SAM) format using </w:t>
      </w:r>
      <w:proofErr w:type="spellStart"/>
      <w:r w:rsidRPr="00E63B8E">
        <w:rPr>
          <w:lang w:eastAsia="en-GB"/>
        </w:rPr>
        <w:t>samtools</w:t>
      </w:r>
      <w:proofErr w:type="spellEnd"/>
      <w:r w:rsidRPr="00E63B8E">
        <w:rPr>
          <w:lang w:eastAsia="en-GB"/>
        </w:rPr>
        <w:t xml:space="preserve"> (Li and Durbin, 2009). The SAM files are converted into a sorted and indexed BAM-file using </w:t>
      </w:r>
      <w:proofErr w:type="spellStart"/>
      <w:r w:rsidRPr="00E63B8E">
        <w:rPr>
          <w:lang w:eastAsia="en-GB"/>
        </w:rPr>
        <w:t>samtools</w:t>
      </w:r>
      <w:proofErr w:type="spellEnd"/>
      <w:r w:rsidRPr="00E63B8E">
        <w:rPr>
          <w:lang w:eastAsia="en-GB"/>
        </w:rPr>
        <w:t xml:space="preserve">. Later, </w:t>
      </w:r>
      <w:proofErr w:type="spellStart"/>
      <w:r w:rsidRPr="00E63B8E">
        <w:rPr>
          <w:lang w:eastAsia="en-GB"/>
        </w:rPr>
        <w:t>anvi’o</w:t>
      </w:r>
      <w:proofErr w:type="spellEnd"/>
      <w:r w:rsidRPr="00E63B8E">
        <w:rPr>
          <w:lang w:eastAsia="en-GB"/>
        </w:rPr>
        <w:t xml:space="preserve"> uses sorted and indexed BAM-file in </w:t>
      </w:r>
      <w:proofErr w:type="spellStart"/>
      <w:r w:rsidRPr="00E63B8E">
        <w:rPr>
          <w:lang w:eastAsia="en-GB"/>
        </w:rPr>
        <w:t>anvi</w:t>
      </w:r>
      <w:proofErr w:type="spellEnd"/>
      <w:r w:rsidRPr="00E63B8E">
        <w:rPr>
          <w:lang w:eastAsia="en-GB"/>
        </w:rPr>
        <w:t xml:space="preserve">-profile command to create a single profile that reports properties for each contig in a single sample based on mapping results. These profiles are merged into one </w:t>
      </w:r>
      <w:proofErr w:type="spellStart"/>
      <w:r w:rsidRPr="00E63B8E">
        <w:rPr>
          <w:lang w:eastAsia="en-GB"/>
        </w:rPr>
        <w:t>anvi’o</w:t>
      </w:r>
      <w:proofErr w:type="spellEnd"/>
      <w:r w:rsidRPr="00E63B8E">
        <w:rPr>
          <w:lang w:eastAsia="en-GB"/>
        </w:rPr>
        <w:t xml:space="preserve"> profile using </w:t>
      </w:r>
      <w:proofErr w:type="spellStart"/>
      <w:r w:rsidRPr="00E63B8E">
        <w:rPr>
          <w:lang w:eastAsia="en-GB"/>
        </w:rPr>
        <w:t>anvi’o</w:t>
      </w:r>
      <w:proofErr w:type="spellEnd"/>
      <w:r w:rsidRPr="00E63B8E">
        <w:rPr>
          <w:lang w:eastAsia="en-GB"/>
        </w:rPr>
        <w:t xml:space="preserve"> command </w:t>
      </w:r>
      <w:proofErr w:type="spellStart"/>
      <w:r w:rsidRPr="00E63B8E">
        <w:rPr>
          <w:lang w:eastAsia="en-GB"/>
        </w:rPr>
        <w:t>anvi</w:t>
      </w:r>
      <w:proofErr w:type="spellEnd"/>
      <w:r w:rsidRPr="00E63B8E">
        <w:rPr>
          <w:lang w:eastAsia="en-GB"/>
        </w:rPr>
        <w:t xml:space="preserve">-merge. MAGs were obtained from assembled scaffolds by binning based on sequence composition, differential coverage, and read-pair linkage using metabat2 </w:t>
      </w:r>
      <w:r w:rsidRPr="00E63B8E">
        <w:rPr>
          <w:lang w:eastAsia="en-GB"/>
        </w:rPr>
        <w:lastRenderedPageBreak/>
        <w:t xml:space="preserve">program (Kang et al., 2019). Generated MAGs collections are imported into the merged profile database using </w:t>
      </w:r>
      <w:proofErr w:type="spellStart"/>
      <w:r w:rsidRPr="00E63B8E">
        <w:rPr>
          <w:lang w:eastAsia="en-GB"/>
        </w:rPr>
        <w:t>anvi’o</w:t>
      </w:r>
      <w:proofErr w:type="spellEnd"/>
      <w:r w:rsidRPr="00E63B8E">
        <w:rPr>
          <w:lang w:eastAsia="en-GB"/>
        </w:rPr>
        <w:t xml:space="preserve"> command </w:t>
      </w:r>
      <w:proofErr w:type="spellStart"/>
      <w:r w:rsidRPr="00E63B8E">
        <w:rPr>
          <w:lang w:eastAsia="en-GB"/>
        </w:rPr>
        <w:t>anvi</w:t>
      </w:r>
      <w:proofErr w:type="spellEnd"/>
      <w:r w:rsidRPr="00E63B8E">
        <w:rPr>
          <w:lang w:eastAsia="en-GB"/>
        </w:rPr>
        <w:t xml:space="preserve">-import-collection. The command </w:t>
      </w:r>
      <w:proofErr w:type="spellStart"/>
      <w:r w:rsidRPr="00E63B8E">
        <w:rPr>
          <w:lang w:eastAsia="en-GB"/>
        </w:rPr>
        <w:t>anvi</w:t>
      </w:r>
      <w:proofErr w:type="spellEnd"/>
      <w:r w:rsidRPr="00E63B8E">
        <w:rPr>
          <w:lang w:eastAsia="en-GB"/>
        </w:rPr>
        <w:t xml:space="preserve">-interactive provides an interactive interface that allows to visualize the results of unsupervised binning, perform supervised binning, or refine existing bins. The MAGs are manually refined if needed by the command </w:t>
      </w:r>
      <w:proofErr w:type="spellStart"/>
      <w:r w:rsidRPr="00E63B8E">
        <w:rPr>
          <w:lang w:eastAsia="en-GB"/>
        </w:rPr>
        <w:t>anvi</w:t>
      </w:r>
      <w:proofErr w:type="spellEnd"/>
      <w:r w:rsidRPr="00E63B8E">
        <w:rPr>
          <w:lang w:eastAsia="en-GB"/>
        </w:rPr>
        <w:t xml:space="preserve">-refine provided in </w:t>
      </w:r>
      <w:proofErr w:type="spellStart"/>
      <w:r w:rsidRPr="00E63B8E">
        <w:rPr>
          <w:lang w:eastAsia="en-GB"/>
        </w:rPr>
        <w:t>anvi'o</w:t>
      </w:r>
      <w:proofErr w:type="spellEnd"/>
      <w:r w:rsidRPr="00E63B8E">
        <w:rPr>
          <w:lang w:eastAsia="en-GB"/>
        </w:rPr>
        <w:t xml:space="preserve"> package. Once the binning collection is ready, the </w:t>
      </w:r>
      <w:proofErr w:type="spellStart"/>
      <w:r w:rsidRPr="00E63B8E">
        <w:rPr>
          <w:lang w:eastAsia="en-GB"/>
        </w:rPr>
        <w:t>anvi</w:t>
      </w:r>
      <w:proofErr w:type="spellEnd"/>
      <w:r w:rsidRPr="00E63B8E">
        <w:rPr>
          <w:lang w:eastAsia="en-GB"/>
        </w:rPr>
        <w:t xml:space="preserve">-summarize command provides a summary. The obtained summary, as shown in </w:t>
      </w:r>
      <w:r w:rsidRPr="00A83DAC">
        <w:rPr>
          <w:b/>
          <w:bCs/>
          <w:lang w:eastAsia="en-GB"/>
        </w:rPr>
        <w:t>Table 1</w:t>
      </w:r>
      <w:r w:rsidRPr="00E63B8E">
        <w:rPr>
          <w:lang w:eastAsia="en-GB"/>
        </w:rPr>
        <w:t xml:space="preserve">, includes details about the MAG completion as well as statistics like mean coverage, variability, etc. Subsequently, MAGs are functionally annotated using </w:t>
      </w:r>
      <w:proofErr w:type="spellStart"/>
      <w:r w:rsidRPr="00E63B8E">
        <w:rPr>
          <w:lang w:eastAsia="en-GB"/>
        </w:rPr>
        <w:t>Prokka</w:t>
      </w:r>
      <w:proofErr w:type="spellEnd"/>
      <w:r w:rsidRPr="00E63B8E">
        <w:rPr>
          <w:lang w:eastAsia="en-GB"/>
        </w:rPr>
        <w:t xml:space="preserve"> (Seemann, 2014). Finally, taxonomic classifications are assigned to MAGs based on the Genome Database Taxonomy (GTDB) using the GTDB-Tk program (</w:t>
      </w:r>
      <w:proofErr w:type="spellStart"/>
      <w:r w:rsidRPr="00E63B8E">
        <w:rPr>
          <w:lang w:eastAsia="en-GB"/>
        </w:rPr>
        <w:t>Chaumeil</w:t>
      </w:r>
      <w:proofErr w:type="spellEnd"/>
      <w:r w:rsidRPr="00E63B8E">
        <w:rPr>
          <w:lang w:eastAsia="en-GB"/>
        </w:rPr>
        <w:t xml:space="preserve"> et al., 2022). Relative abundance values of metagenomics read that mapped to each MAG generated from “bins_percent_recruitment.txt”. All the scripts and exercise files are available at this link (</w:t>
      </w:r>
      <w:hyperlink r:id="rId16" w:history="1">
        <w:r w:rsidRPr="00FA223E">
          <w:rPr>
            <w:rStyle w:val="Hyperlink"/>
            <w:lang w:eastAsia="en-GB"/>
          </w:rPr>
          <w:t>https://drive.google.com/drive/folders/1DQVaqD2VpSx6YbZUjOMHI97XcNP4Go_I?usp=share_link</w:t>
        </w:r>
      </w:hyperlink>
      <w:r w:rsidRPr="00E63B8E">
        <w:rPr>
          <w:lang w:eastAsia="en-GB"/>
        </w:rPr>
        <w:t>).</w:t>
      </w:r>
    </w:p>
    <w:p w14:paraId="10A678DE" w14:textId="5D778628" w:rsidR="00BF3E64" w:rsidRDefault="00BF3E64" w:rsidP="00613105">
      <w:pPr>
        <w:rPr>
          <w:lang w:eastAsia="en-GB"/>
        </w:rPr>
      </w:pPr>
    </w:p>
    <w:p w14:paraId="4D629E7F" w14:textId="17417913" w:rsidR="00BF3E64" w:rsidRDefault="00BF3E64" w:rsidP="00613105">
      <w:pPr>
        <w:rPr>
          <w:lang w:eastAsia="en-GB"/>
        </w:rPr>
      </w:pPr>
      <w:r w:rsidRPr="00BF3E64">
        <w:rPr>
          <w:b/>
          <w:bCs/>
          <w:lang w:eastAsia="en-GB"/>
        </w:rPr>
        <w:t>Table 1.</w:t>
      </w:r>
      <w:r w:rsidRPr="00BF3E64">
        <w:rPr>
          <w:lang w:eastAsia="en-GB"/>
        </w:rPr>
        <w:t xml:space="preserve"> Files obtained from the </w:t>
      </w:r>
      <w:proofErr w:type="spellStart"/>
      <w:r w:rsidRPr="00BF3E64">
        <w:rPr>
          <w:lang w:eastAsia="en-GB"/>
        </w:rPr>
        <w:t>anvi</w:t>
      </w:r>
      <w:proofErr w:type="spellEnd"/>
      <w:r w:rsidRPr="00BF3E64">
        <w:rPr>
          <w:lang w:eastAsia="en-GB"/>
        </w:rPr>
        <w:t>-summarize command:</w:t>
      </w:r>
    </w:p>
    <w:tbl>
      <w:tblPr>
        <w:tblStyle w:val="GridTable4-Accent1"/>
        <w:tblW w:w="5000" w:type="pct"/>
        <w:tblLook w:val="06A0" w:firstRow="1" w:lastRow="0" w:firstColumn="1" w:lastColumn="0" w:noHBand="1" w:noVBand="1"/>
      </w:tblPr>
      <w:tblGrid>
        <w:gridCol w:w="3421"/>
        <w:gridCol w:w="4449"/>
      </w:tblGrid>
      <w:tr w:rsidR="00BF3E64" w:rsidRPr="00BF3E64" w14:paraId="73E5247C" w14:textId="77777777" w:rsidTr="00BF3E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3" w:type="pct"/>
          </w:tcPr>
          <w:p w14:paraId="559C0B58" w14:textId="77777777" w:rsidR="00BF3E64" w:rsidRPr="00BF3E64" w:rsidRDefault="00BF3E64" w:rsidP="008E0A57">
            <w:pPr>
              <w:jc w:val="center"/>
              <w:rPr>
                <w:rFonts w:cstheme="majorBidi"/>
                <w:b w:val="0"/>
                <w:bCs w:val="0"/>
                <w:sz w:val="16"/>
                <w:szCs w:val="16"/>
                <w:lang w:val="en-US"/>
              </w:rPr>
            </w:pPr>
            <w:r w:rsidRPr="00BF3E64">
              <w:rPr>
                <w:rFonts w:cstheme="majorBidi"/>
                <w:sz w:val="16"/>
                <w:szCs w:val="16"/>
                <w:lang w:val="en-US"/>
              </w:rPr>
              <w:t>File Name</w:t>
            </w:r>
          </w:p>
        </w:tc>
        <w:tc>
          <w:tcPr>
            <w:tcW w:w="2827" w:type="pct"/>
          </w:tcPr>
          <w:p w14:paraId="5E6C1817" w14:textId="77777777" w:rsidR="00BF3E64" w:rsidRPr="00BF3E64" w:rsidRDefault="00BF3E64" w:rsidP="008E0A57">
            <w:pPr>
              <w:jc w:val="center"/>
              <w:cnfStyle w:val="100000000000" w:firstRow="1" w:lastRow="0" w:firstColumn="0" w:lastColumn="0" w:oddVBand="0" w:evenVBand="0" w:oddHBand="0" w:evenHBand="0" w:firstRowFirstColumn="0" w:firstRowLastColumn="0" w:lastRowFirstColumn="0" w:lastRowLastColumn="0"/>
              <w:rPr>
                <w:rFonts w:cstheme="majorBidi"/>
                <w:b w:val="0"/>
                <w:bCs w:val="0"/>
                <w:sz w:val="16"/>
                <w:szCs w:val="16"/>
                <w:lang w:val="en-US"/>
              </w:rPr>
            </w:pPr>
            <w:r w:rsidRPr="00BF3E64">
              <w:rPr>
                <w:rFonts w:cstheme="majorBidi"/>
                <w:sz w:val="16"/>
                <w:szCs w:val="16"/>
                <w:lang w:val="en-US"/>
              </w:rPr>
              <w:t>Description</w:t>
            </w:r>
          </w:p>
        </w:tc>
      </w:tr>
      <w:tr w:rsidR="00BF3E64" w:rsidRPr="00BF3E64" w14:paraId="5FA147D7" w14:textId="77777777" w:rsidTr="00BF3E64">
        <w:tc>
          <w:tcPr>
            <w:cnfStyle w:val="001000000000" w:firstRow="0" w:lastRow="0" w:firstColumn="1" w:lastColumn="0" w:oddVBand="0" w:evenVBand="0" w:oddHBand="0" w:evenHBand="0" w:firstRowFirstColumn="0" w:firstRowLastColumn="0" w:lastRowFirstColumn="0" w:lastRowLastColumn="0"/>
            <w:tcW w:w="2173" w:type="pct"/>
          </w:tcPr>
          <w:p w14:paraId="38B5AC19" w14:textId="77777777" w:rsidR="00BF3E64" w:rsidRPr="00BF3E64" w:rsidRDefault="00BF3E64" w:rsidP="008E0A57">
            <w:pPr>
              <w:jc w:val="center"/>
              <w:rPr>
                <w:rFonts w:cstheme="majorBidi"/>
                <w:sz w:val="16"/>
                <w:szCs w:val="16"/>
                <w:lang w:val="en-US"/>
              </w:rPr>
            </w:pPr>
            <w:r w:rsidRPr="00BF3E64">
              <w:rPr>
                <w:rFonts w:cstheme="majorBidi"/>
                <w:i/>
                <w:iCs/>
                <w:sz w:val="16"/>
                <w:szCs w:val="16"/>
              </w:rPr>
              <w:t>bins_summary.txt</w:t>
            </w:r>
          </w:p>
        </w:tc>
        <w:tc>
          <w:tcPr>
            <w:tcW w:w="2827" w:type="pct"/>
          </w:tcPr>
          <w:p w14:paraId="2C980915" w14:textId="77777777" w:rsidR="00BF3E64" w:rsidRPr="00BF3E64" w:rsidRDefault="00BF3E64" w:rsidP="008E0A57">
            <w:pPr>
              <w:jc w:val="center"/>
              <w:cnfStyle w:val="000000000000" w:firstRow="0" w:lastRow="0" w:firstColumn="0" w:lastColumn="0" w:oddVBand="0" w:evenVBand="0" w:oddHBand="0" w:evenHBand="0" w:firstRowFirstColumn="0" w:firstRowLastColumn="0" w:lastRowFirstColumn="0" w:lastRowLastColumn="0"/>
              <w:rPr>
                <w:rFonts w:cstheme="majorBidi"/>
                <w:sz w:val="16"/>
                <w:szCs w:val="16"/>
                <w:lang w:val="en-US"/>
              </w:rPr>
            </w:pPr>
            <w:r w:rsidRPr="00BF3E64">
              <w:rPr>
                <w:rFonts w:cstheme="majorBidi"/>
                <w:sz w:val="16"/>
                <w:szCs w:val="16"/>
              </w:rPr>
              <w:t>Basic statistics of the recovered MAGs</w:t>
            </w:r>
          </w:p>
        </w:tc>
      </w:tr>
      <w:tr w:rsidR="00BF3E64" w:rsidRPr="00BF3E64" w14:paraId="55236B11" w14:textId="77777777" w:rsidTr="00BF3E64">
        <w:tc>
          <w:tcPr>
            <w:cnfStyle w:val="001000000000" w:firstRow="0" w:lastRow="0" w:firstColumn="1" w:lastColumn="0" w:oddVBand="0" w:evenVBand="0" w:oddHBand="0" w:evenHBand="0" w:firstRowFirstColumn="0" w:firstRowLastColumn="0" w:lastRowFirstColumn="0" w:lastRowLastColumn="0"/>
            <w:tcW w:w="2173" w:type="pct"/>
          </w:tcPr>
          <w:p w14:paraId="494DDB72" w14:textId="77777777" w:rsidR="00BF3E64" w:rsidRPr="00BF3E64" w:rsidRDefault="00BF3E64" w:rsidP="008E0A57">
            <w:pPr>
              <w:jc w:val="center"/>
              <w:rPr>
                <w:rFonts w:cstheme="majorBidi"/>
                <w:sz w:val="16"/>
                <w:szCs w:val="16"/>
                <w:lang w:val="en-US"/>
              </w:rPr>
            </w:pPr>
            <w:proofErr w:type="spellStart"/>
            <w:r w:rsidRPr="00BF3E64">
              <w:rPr>
                <w:rFonts w:cstheme="majorBidi"/>
                <w:i/>
                <w:iCs/>
                <w:sz w:val="16"/>
                <w:szCs w:val="16"/>
              </w:rPr>
              <w:t>bins_across_samples</w:t>
            </w:r>
            <w:proofErr w:type="spellEnd"/>
            <w:r w:rsidRPr="00BF3E64">
              <w:rPr>
                <w:rFonts w:cstheme="majorBidi"/>
                <w:i/>
                <w:iCs/>
                <w:sz w:val="16"/>
                <w:szCs w:val="16"/>
              </w:rPr>
              <w:t>/bins_percent_recruitment.txt</w:t>
            </w:r>
          </w:p>
        </w:tc>
        <w:tc>
          <w:tcPr>
            <w:tcW w:w="2827" w:type="pct"/>
          </w:tcPr>
          <w:p w14:paraId="4AE8842C" w14:textId="77777777" w:rsidR="00BF3E64" w:rsidRPr="00BF3E64" w:rsidRDefault="00BF3E64" w:rsidP="008E0A57">
            <w:pPr>
              <w:jc w:val="center"/>
              <w:cnfStyle w:val="000000000000" w:firstRow="0" w:lastRow="0" w:firstColumn="0" w:lastColumn="0" w:oddVBand="0" w:evenVBand="0" w:oddHBand="0" w:evenHBand="0" w:firstRowFirstColumn="0" w:firstRowLastColumn="0" w:lastRowFirstColumn="0" w:lastRowLastColumn="0"/>
              <w:rPr>
                <w:rFonts w:cstheme="majorBidi"/>
                <w:sz w:val="16"/>
                <w:szCs w:val="16"/>
                <w:lang w:val="en-US"/>
              </w:rPr>
            </w:pPr>
            <w:r w:rsidRPr="00BF3E64">
              <w:rPr>
                <w:rFonts w:cstheme="majorBidi"/>
                <w:sz w:val="16"/>
                <w:szCs w:val="16"/>
                <w:lang w:val="en-US"/>
              </w:rPr>
              <w:t>C</w:t>
            </w:r>
            <w:r w:rsidRPr="00BF3E64">
              <w:rPr>
                <w:rFonts w:cstheme="majorBidi"/>
                <w:sz w:val="16"/>
                <w:szCs w:val="16"/>
              </w:rPr>
              <w:t>overage</w:t>
            </w:r>
            <w:r w:rsidRPr="00BF3E64">
              <w:rPr>
                <w:rFonts w:cstheme="majorBidi"/>
                <w:sz w:val="16"/>
                <w:szCs w:val="16"/>
                <w:lang w:val="en-US"/>
              </w:rPr>
              <w:t xml:space="preserve"> </w:t>
            </w:r>
            <w:r w:rsidRPr="00BF3E64">
              <w:rPr>
                <w:rFonts w:cstheme="majorBidi"/>
                <w:sz w:val="16"/>
                <w:szCs w:val="16"/>
              </w:rPr>
              <w:t>and detection</w:t>
            </w:r>
            <w:r w:rsidRPr="00BF3E64">
              <w:rPr>
                <w:rFonts w:cstheme="majorBidi"/>
                <w:sz w:val="16"/>
                <w:szCs w:val="16"/>
                <w:lang w:val="en-US"/>
              </w:rPr>
              <w:t xml:space="preserve"> of the </w:t>
            </w:r>
            <w:r w:rsidRPr="00BF3E64">
              <w:rPr>
                <w:rFonts w:cstheme="majorBidi"/>
                <w:sz w:val="16"/>
                <w:szCs w:val="16"/>
              </w:rPr>
              <w:t>MAGs</w:t>
            </w:r>
          </w:p>
        </w:tc>
      </w:tr>
      <w:tr w:rsidR="00BF3E64" w:rsidRPr="00BF3E64" w14:paraId="5F31FEEA" w14:textId="77777777" w:rsidTr="00BF3E64">
        <w:tc>
          <w:tcPr>
            <w:cnfStyle w:val="001000000000" w:firstRow="0" w:lastRow="0" w:firstColumn="1" w:lastColumn="0" w:oddVBand="0" w:evenVBand="0" w:oddHBand="0" w:evenHBand="0" w:firstRowFirstColumn="0" w:firstRowLastColumn="0" w:lastRowFirstColumn="0" w:lastRowLastColumn="0"/>
            <w:tcW w:w="2173" w:type="pct"/>
          </w:tcPr>
          <w:p w14:paraId="4ACF5845" w14:textId="77777777" w:rsidR="00BF3E64" w:rsidRPr="00BF3E64" w:rsidRDefault="00BF3E64" w:rsidP="008E0A57">
            <w:pPr>
              <w:jc w:val="center"/>
              <w:rPr>
                <w:rFonts w:cstheme="majorBidi"/>
                <w:sz w:val="16"/>
                <w:szCs w:val="16"/>
                <w:lang w:val="en-US"/>
              </w:rPr>
            </w:pPr>
            <w:proofErr w:type="spellStart"/>
            <w:r w:rsidRPr="00BF3E64">
              <w:rPr>
                <w:rFonts w:cstheme="majorBidi"/>
                <w:i/>
                <w:iCs/>
                <w:sz w:val="16"/>
                <w:szCs w:val="16"/>
              </w:rPr>
              <w:t>bins_across_samples</w:t>
            </w:r>
            <w:proofErr w:type="spellEnd"/>
            <w:r w:rsidRPr="00BF3E64">
              <w:rPr>
                <w:rFonts w:cstheme="majorBidi"/>
                <w:i/>
                <w:iCs/>
                <w:sz w:val="16"/>
                <w:szCs w:val="16"/>
              </w:rPr>
              <w:t>/mean_coverage.txt</w:t>
            </w:r>
          </w:p>
        </w:tc>
        <w:tc>
          <w:tcPr>
            <w:tcW w:w="2827" w:type="pct"/>
          </w:tcPr>
          <w:p w14:paraId="0F7A3AE4" w14:textId="77777777" w:rsidR="00BF3E64" w:rsidRPr="00BF3E64" w:rsidRDefault="00BF3E64" w:rsidP="008E0A57">
            <w:pPr>
              <w:jc w:val="center"/>
              <w:cnfStyle w:val="000000000000" w:firstRow="0" w:lastRow="0" w:firstColumn="0" w:lastColumn="0" w:oddVBand="0" w:evenVBand="0" w:oddHBand="0" w:evenHBand="0" w:firstRowFirstColumn="0" w:firstRowLastColumn="0" w:lastRowFirstColumn="0" w:lastRowLastColumn="0"/>
              <w:rPr>
                <w:rFonts w:cstheme="majorBidi"/>
                <w:sz w:val="16"/>
                <w:szCs w:val="16"/>
              </w:rPr>
            </w:pPr>
            <w:r w:rsidRPr="00BF3E64">
              <w:rPr>
                <w:rFonts w:cstheme="majorBidi"/>
                <w:sz w:val="16"/>
                <w:szCs w:val="16"/>
              </w:rPr>
              <w:t xml:space="preserve">The average number of </w:t>
            </w:r>
            <w:proofErr w:type="gramStart"/>
            <w:r w:rsidRPr="00BF3E64">
              <w:rPr>
                <w:rFonts w:cstheme="majorBidi"/>
                <w:sz w:val="16"/>
                <w:szCs w:val="16"/>
              </w:rPr>
              <w:t>sequencing</w:t>
            </w:r>
            <w:proofErr w:type="gramEnd"/>
            <w:r w:rsidRPr="00BF3E64">
              <w:rPr>
                <w:rFonts w:cstheme="majorBidi"/>
                <w:sz w:val="16"/>
                <w:szCs w:val="16"/>
              </w:rPr>
              <w:t xml:space="preserve"> reads that map to each MAG.</w:t>
            </w:r>
          </w:p>
        </w:tc>
      </w:tr>
      <w:tr w:rsidR="00BF3E64" w:rsidRPr="00BF3E64" w14:paraId="714EF4A9" w14:textId="77777777" w:rsidTr="00BF3E64">
        <w:tc>
          <w:tcPr>
            <w:cnfStyle w:val="001000000000" w:firstRow="0" w:lastRow="0" w:firstColumn="1" w:lastColumn="0" w:oddVBand="0" w:evenVBand="0" w:oddHBand="0" w:evenHBand="0" w:firstRowFirstColumn="0" w:firstRowLastColumn="0" w:lastRowFirstColumn="0" w:lastRowLastColumn="0"/>
            <w:tcW w:w="2173" w:type="pct"/>
          </w:tcPr>
          <w:p w14:paraId="1C0D38CB" w14:textId="77777777" w:rsidR="00BF3E64" w:rsidRPr="00BF3E64" w:rsidRDefault="00BF3E64" w:rsidP="008E0A57">
            <w:pPr>
              <w:jc w:val="center"/>
              <w:rPr>
                <w:rFonts w:cstheme="majorBidi"/>
                <w:sz w:val="16"/>
                <w:szCs w:val="16"/>
                <w:lang w:val="en-US"/>
              </w:rPr>
            </w:pPr>
            <w:proofErr w:type="spellStart"/>
            <w:r w:rsidRPr="00BF3E64">
              <w:rPr>
                <w:rFonts w:cstheme="majorBidi"/>
                <w:sz w:val="16"/>
                <w:szCs w:val="16"/>
              </w:rPr>
              <w:t>bin_by_bin</w:t>
            </w:r>
            <w:proofErr w:type="spellEnd"/>
          </w:p>
        </w:tc>
        <w:tc>
          <w:tcPr>
            <w:tcW w:w="2827" w:type="pct"/>
          </w:tcPr>
          <w:p w14:paraId="424878CC" w14:textId="77777777" w:rsidR="00BF3E64" w:rsidRPr="00BF3E64" w:rsidRDefault="00BF3E64" w:rsidP="008E0A57">
            <w:pPr>
              <w:jc w:val="center"/>
              <w:cnfStyle w:val="000000000000" w:firstRow="0" w:lastRow="0" w:firstColumn="0" w:lastColumn="0" w:oddVBand="0" w:evenVBand="0" w:oddHBand="0" w:evenHBand="0" w:firstRowFirstColumn="0" w:firstRowLastColumn="0" w:lastRowFirstColumn="0" w:lastRowLastColumn="0"/>
              <w:rPr>
                <w:rFonts w:cstheme="majorBidi"/>
                <w:sz w:val="16"/>
                <w:szCs w:val="16"/>
              </w:rPr>
            </w:pPr>
            <w:r w:rsidRPr="00BF3E64">
              <w:rPr>
                <w:rFonts w:cstheme="majorBidi"/>
                <w:sz w:val="16"/>
                <w:szCs w:val="16"/>
                <w:lang w:val="en-US"/>
              </w:rPr>
              <w:t xml:space="preserve">A </w:t>
            </w:r>
            <w:r w:rsidRPr="00BF3E64">
              <w:rPr>
                <w:rFonts w:cstheme="majorBidi"/>
                <w:sz w:val="16"/>
                <w:szCs w:val="16"/>
              </w:rPr>
              <w:t xml:space="preserve">folder </w:t>
            </w:r>
            <w:r w:rsidRPr="00BF3E64">
              <w:rPr>
                <w:rFonts w:cstheme="majorBidi"/>
                <w:sz w:val="16"/>
                <w:szCs w:val="16"/>
                <w:lang w:val="en-US"/>
              </w:rPr>
              <w:t>with</w:t>
            </w:r>
            <w:r w:rsidRPr="00BF3E64">
              <w:rPr>
                <w:rFonts w:cstheme="majorBidi"/>
                <w:sz w:val="16"/>
                <w:szCs w:val="16"/>
              </w:rPr>
              <w:t xml:space="preserve"> all the MAGs extracted from the metagenomics processing.</w:t>
            </w:r>
          </w:p>
        </w:tc>
      </w:tr>
    </w:tbl>
    <w:p w14:paraId="7D0CED54" w14:textId="4C3A6BBB" w:rsidR="00BF3E64" w:rsidRDefault="00BF3E64" w:rsidP="00BF3E64"/>
    <w:p w14:paraId="7843B6AD" w14:textId="49C530C4" w:rsidR="00BF3E64" w:rsidRDefault="00BF3E64" w:rsidP="00BF3E64">
      <w:r>
        <w:rPr>
          <w:noProof/>
        </w:rPr>
        <w:lastRenderedPageBreak/>
        <w:drawing>
          <wp:inline distT="0" distB="0" distL="0" distR="0" wp14:anchorId="2CEC9B1C" wp14:editId="548E19DE">
            <wp:extent cx="5003800" cy="4479925"/>
            <wp:effectExtent l="0" t="0" r="0" b="3175"/>
            <wp:docPr id="6" name="Picture 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10;&#10;Description automatically generated"/>
                    <pic:cNvPicPr/>
                  </pic:nvPicPr>
                  <pic:blipFill>
                    <a:blip r:embed="rId17"/>
                    <a:stretch>
                      <a:fillRect/>
                    </a:stretch>
                  </pic:blipFill>
                  <pic:spPr>
                    <a:xfrm>
                      <a:off x="0" y="0"/>
                      <a:ext cx="5003800" cy="4479925"/>
                    </a:xfrm>
                    <a:prstGeom prst="rect">
                      <a:avLst/>
                    </a:prstGeom>
                  </pic:spPr>
                </pic:pic>
              </a:graphicData>
            </a:graphic>
          </wp:inline>
        </w:drawing>
      </w:r>
    </w:p>
    <w:p w14:paraId="575CFB91" w14:textId="01141550" w:rsidR="00BF3E64" w:rsidRDefault="00BF3E64" w:rsidP="00BF3E64">
      <w:r w:rsidRPr="00CD7EEF">
        <w:rPr>
          <w:b/>
          <w:bCs/>
        </w:rPr>
        <w:t>Figure 3: A)</w:t>
      </w:r>
      <w:r w:rsidRPr="00BF3E64">
        <w:t xml:space="preserve"> 16S rRNA gene Amplicon Sequencing Workflow. </w:t>
      </w:r>
      <w:r w:rsidRPr="00CD7EEF">
        <w:rPr>
          <w:b/>
          <w:bCs/>
        </w:rPr>
        <w:t>B)</w:t>
      </w:r>
      <w:r w:rsidRPr="00BF3E64">
        <w:t xml:space="preserve"> Ordination plot of influent wastewater, flocs, small granules, and large granules based on Principal Components Analysis (PCA). Hellinger transformation is used to perform PCA as it will produce a more ecologically meaningful result. </w:t>
      </w:r>
      <w:r w:rsidRPr="00CD7EEF">
        <w:rPr>
          <w:b/>
          <w:bCs/>
        </w:rPr>
        <w:t>C)</w:t>
      </w:r>
      <w:r w:rsidRPr="00BF3E64">
        <w:t xml:space="preserve"> Heatmap distribution of the dominant OTUs classified down to the genus level (f, o, c, and p represent family, order, class, and phylum, respectively) for the influent wastewater, flocs, small granules, and large granules.</w:t>
      </w:r>
      <w:r w:rsidR="002E336F">
        <w:t xml:space="preserve"> Figures in Panel B and C are </w:t>
      </w:r>
      <w:r w:rsidR="002E336F" w:rsidRPr="002E336F">
        <w:t xml:space="preserve">adapted with permission from </w:t>
      </w:r>
      <w:r w:rsidR="002E336F">
        <w:t xml:space="preserve">(Ali et al. </w:t>
      </w:r>
      <w:r w:rsidR="002E336F" w:rsidRPr="002E336F">
        <w:t>Environ</w:t>
      </w:r>
      <w:r w:rsidR="002E336F">
        <w:t xml:space="preserve">mental </w:t>
      </w:r>
      <w:r w:rsidR="002E336F" w:rsidRPr="002E336F">
        <w:t>Sci</w:t>
      </w:r>
      <w:r w:rsidR="002E336F">
        <w:t xml:space="preserve">ence &amp; </w:t>
      </w:r>
      <w:r w:rsidR="002E336F" w:rsidRPr="002E336F">
        <w:t>Technol</w:t>
      </w:r>
      <w:r w:rsidR="002E336F">
        <w:t xml:space="preserve">ogy, </w:t>
      </w:r>
      <w:r w:rsidR="002E336F" w:rsidRPr="002E336F">
        <w:t>2019,</w:t>
      </w:r>
      <w:r w:rsidR="002E336F">
        <w:t xml:space="preserve"> </w:t>
      </w:r>
      <w:r w:rsidR="002E336F" w:rsidRPr="002E336F">
        <w:t>53,</w:t>
      </w:r>
      <w:r w:rsidR="002E336F">
        <w:t xml:space="preserve"> </w:t>
      </w:r>
      <w:r w:rsidR="002E336F" w:rsidRPr="002E336F">
        <w:t>8291−8301</w:t>
      </w:r>
      <w:r w:rsidR="002E336F">
        <w:t>)</w:t>
      </w:r>
      <w:r w:rsidR="002E336F" w:rsidRPr="002E336F">
        <w:t>. Copyright (</w:t>
      </w:r>
      <w:r w:rsidR="002E336F">
        <w:t>2019</w:t>
      </w:r>
      <w:r w:rsidR="002E336F" w:rsidRPr="002E336F">
        <w:t>) American Chemical Society.</w:t>
      </w:r>
    </w:p>
    <w:p w14:paraId="53926C8A" w14:textId="335ABE81" w:rsidR="00BF3E64" w:rsidRDefault="00BF3E64" w:rsidP="00BF3E64"/>
    <w:p w14:paraId="3B4B2292" w14:textId="32681C12" w:rsidR="00BF3E64" w:rsidRDefault="00BF3E64" w:rsidP="00BF3E64">
      <w:r>
        <w:rPr>
          <w:noProof/>
        </w:rPr>
        <w:lastRenderedPageBreak/>
        <w:drawing>
          <wp:inline distT="0" distB="0" distL="0" distR="0" wp14:anchorId="5F09A92B" wp14:editId="0699D4CD">
            <wp:extent cx="5003800" cy="2794635"/>
            <wp:effectExtent l="0" t="0" r="0" b="0"/>
            <wp:docPr id="8" name="Picture 8" descr="A picture containing text, monitor, screen,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monitor, screen, screenshot&#10;&#10;Description automatically generated"/>
                    <pic:cNvPicPr/>
                  </pic:nvPicPr>
                  <pic:blipFill>
                    <a:blip r:embed="rId18"/>
                    <a:stretch>
                      <a:fillRect/>
                    </a:stretch>
                  </pic:blipFill>
                  <pic:spPr>
                    <a:xfrm>
                      <a:off x="0" y="0"/>
                      <a:ext cx="5003800" cy="2794635"/>
                    </a:xfrm>
                    <a:prstGeom prst="rect">
                      <a:avLst/>
                    </a:prstGeom>
                  </pic:spPr>
                </pic:pic>
              </a:graphicData>
            </a:graphic>
          </wp:inline>
        </w:drawing>
      </w:r>
    </w:p>
    <w:p w14:paraId="0185B8AA" w14:textId="18682B97" w:rsidR="00BF3E64" w:rsidRDefault="00BF3E64" w:rsidP="00BF3E64">
      <w:r w:rsidRPr="00CD7EEF">
        <w:rPr>
          <w:b/>
          <w:bCs/>
        </w:rPr>
        <w:t>Figure 4:</w:t>
      </w:r>
      <w:r w:rsidRPr="00BF3E64">
        <w:t xml:space="preserve"> Genome-resolved Metagenomics Workflow.</w:t>
      </w:r>
    </w:p>
    <w:p w14:paraId="57632A5B" w14:textId="77777777" w:rsidR="00BF3E64" w:rsidRDefault="00BF3E64" w:rsidP="00BF3E64"/>
    <w:p w14:paraId="03B8A3F3" w14:textId="3407748B" w:rsidR="00BF3E64" w:rsidRDefault="00BF3E64" w:rsidP="00BF3E64">
      <w:pPr>
        <w:pStyle w:val="Heading3"/>
      </w:pPr>
      <w:r w:rsidRPr="00BF3E64">
        <w:t>Genome-resolved metatranscriptomics</w:t>
      </w:r>
    </w:p>
    <w:p w14:paraId="39F6CF88" w14:textId="128CEFCC" w:rsidR="00BF3E64" w:rsidRDefault="00BF3E64" w:rsidP="00BF3E64">
      <w:r w:rsidRPr="00BF3E64">
        <w:t xml:space="preserve">In this exercise, metatranscriptomics samples are collected from the same MBR where metagenomics samples were collected (Ali et al., 2020b). Genome-resolved metatranscriptomics workflow is presented in </w:t>
      </w:r>
      <w:r w:rsidRPr="00A23F53">
        <w:rPr>
          <w:b/>
          <w:bCs/>
        </w:rPr>
        <w:t>Fig. 5A</w:t>
      </w:r>
      <w:r w:rsidRPr="00BF3E64">
        <w:t xml:space="preserve">. The reads are mapped to the predicted protein-coding genes generated from </w:t>
      </w:r>
      <w:proofErr w:type="spellStart"/>
      <w:r w:rsidRPr="00BF3E64">
        <w:t>Prokka</w:t>
      </w:r>
      <w:proofErr w:type="spellEnd"/>
      <w:r w:rsidRPr="00BF3E64">
        <w:t xml:space="preserve"> for each MAG using USEARCH command </w:t>
      </w:r>
      <w:proofErr w:type="spellStart"/>
      <w:r w:rsidRPr="00BF3E64">
        <w:t>usearch_global</w:t>
      </w:r>
      <w:proofErr w:type="spellEnd"/>
      <w:r w:rsidRPr="00BF3E64">
        <w:t xml:space="preserve">. Reads with a sequence identity below 0.98 were discarded. The count tables are used to generate gene expression of microorganisms represented by the MAGs recovered from the MBR. The gene expression is based on transcription per million (TPM) metatranscriptomics reads that are mapped to each MAG </w:t>
      </w:r>
      <w:r w:rsidRPr="00A23F53">
        <w:rPr>
          <w:b/>
          <w:bCs/>
        </w:rPr>
        <w:t>(Fig. 5B</w:t>
      </w:r>
      <w:r w:rsidR="00A23F53">
        <w:rPr>
          <w:b/>
          <w:bCs/>
        </w:rPr>
        <w:t>&amp;C</w:t>
      </w:r>
      <w:r w:rsidRPr="00A23F53">
        <w:rPr>
          <w:b/>
          <w:bCs/>
        </w:rPr>
        <w:t>)</w:t>
      </w:r>
      <w:r w:rsidRPr="00BF3E64">
        <w:t xml:space="preserve">. TPM values are calculated by dividing the read counts by the MAG size (kilobases), which gives reads per kilobase (RPK) value. The RPK values in a sample are then added, and the resultant value is divided by 1,000,000 to obtain a </w:t>
      </w:r>
      <w:r w:rsidR="00A23F53">
        <w:t>“</w:t>
      </w:r>
      <w:r w:rsidR="00A23F53" w:rsidRPr="00BF3E64">
        <w:t>per million</w:t>
      </w:r>
      <w:r w:rsidR="00A23F53">
        <w:t>”</w:t>
      </w:r>
      <w:r w:rsidRPr="00BF3E64">
        <w:t xml:space="preserve"> scaling factor. Finally, the individual RPK values were divided by the </w:t>
      </w:r>
      <w:r w:rsidR="00A23F53">
        <w:t>“</w:t>
      </w:r>
      <w:r w:rsidRPr="00BF3E64">
        <w:t>per million</w:t>
      </w:r>
      <w:r w:rsidR="00A23F53">
        <w:t>”</w:t>
      </w:r>
      <w:r w:rsidRPr="00BF3E64">
        <w:t xml:space="preserve"> scaling factor, yielding the TPM value. All the scripts and exercise files are available at this link (</w:t>
      </w:r>
      <w:hyperlink r:id="rId19" w:history="1">
        <w:r w:rsidR="00CD31BC" w:rsidRPr="00FA223E">
          <w:rPr>
            <w:rStyle w:val="Hyperlink"/>
          </w:rPr>
          <w:t>https://drive.google.com/drive/folders/1I_wbxtSBsYaL_OIy1wPlWqnkGIhin4Zg?usp=share_link</w:t>
        </w:r>
      </w:hyperlink>
      <w:r w:rsidRPr="00BF3E64">
        <w:t>).</w:t>
      </w:r>
      <w:r w:rsidR="00CD31BC">
        <w:t xml:space="preserve"> </w:t>
      </w:r>
      <w:r w:rsidRPr="00BF3E64">
        <w:t>For further comparative analysis, the count tables can be imported to RStudio, processed using the default DESeq2 workflow (Love et al., 2014), and visualized using ggplot2. Principle component analysis (PCA) and hierarchical clustering analysis (HCA) of overall sample similarity can be performed using DESeq2 normalized count in the R platform.</w:t>
      </w:r>
    </w:p>
    <w:p w14:paraId="49BD8DDA" w14:textId="77777777" w:rsidR="00BF3E64" w:rsidRPr="00D12F1F" w:rsidRDefault="00BF3E64" w:rsidP="00BF3E64"/>
    <w:p w14:paraId="47109768" w14:textId="676FB1FC" w:rsidR="00BF3E64" w:rsidRDefault="00474349" w:rsidP="00613105">
      <w:pPr>
        <w:rPr>
          <w:lang w:eastAsia="en-GB"/>
        </w:rPr>
      </w:pPr>
      <w:r>
        <w:rPr>
          <w:noProof/>
          <w:lang w:eastAsia="en-GB"/>
        </w:rPr>
        <w:lastRenderedPageBreak/>
        <w:drawing>
          <wp:inline distT="0" distB="0" distL="0" distR="0" wp14:anchorId="430BFA92" wp14:editId="695E7D46">
            <wp:extent cx="5003800" cy="4848225"/>
            <wp:effectExtent l="0" t="0" r="0" b="3175"/>
            <wp:docPr id="9" name="Picture 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10;&#10;Description automatically generated"/>
                    <pic:cNvPicPr/>
                  </pic:nvPicPr>
                  <pic:blipFill>
                    <a:blip r:embed="rId20"/>
                    <a:stretch>
                      <a:fillRect/>
                    </a:stretch>
                  </pic:blipFill>
                  <pic:spPr>
                    <a:xfrm>
                      <a:off x="0" y="0"/>
                      <a:ext cx="5003800" cy="4848225"/>
                    </a:xfrm>
                    <a:prstGeom prst="rect">
                      <a:avLst/>
                    </a:prstGeom>
                  </pic:spPr>
                </pic:pic>
              </a:graphicData>
            </a:graphic>
          </wp:inline>
        </w:drawing>
      </w:r>
    </w:p>
    <w:p w14:paraId="0AB6D1D4" w14:textId="4378896F" w:rsidR="00474349" w:rsidRDefault="00474349" w:rsidP="00613105">
      <w:pPr>
        <w:rPr>
          <w:lang w:eastAsia="en-GB"/>
        </w:rPr>
      </w:pPr>
      <w:r w:rsidRPr="00CD7EEF">
        <w:rPr>
          <w:b/>
          <w:bCs/>
          <w:lang w:eastAsia="en-GB"/>
        </w:rPr>
        <w:t>Figure 5: A)</w:t>
      </w:r>
      <w:r w:rsidRPr="00474349">
        <w:rPr>
          <w:lang w:eastAsia="en-GB"/>
        </w:rPr>
        <w:t xml:space="preserve"> Genome-resolved Metatranscriptomics Workflow. </w:t>
      </w:r>
      <w:r w:rsidRPr="00CD7EEF">
        <w:rPr>
          <w:b/>
          <w:bCs/>
          <w:lang w:eastAsia="en-GB"/>
        </w:rPr>
        <w:t>B)</w:t>
      </w:r>
      <w:r w:rsidRPr="00474349">
        <w:rPr>
          <w:lang w:eastAsia="en-GB"/>
        </w:rPr>
        <w:t xml:space="preserve"> Relative abundance and </w:t>
      </w:r>
      <w:r w:rsidRPr="00CD7EEF">
        <w:rPr>
          <w:b/>
          <w:bCs/>
          <w:lang w:eastAsia="en-GB"/>
        </w:rPr>
        <w:t>C)</w:t>
      </w:r>
      <w:r w:rsidRPr="00474349">
        <w:rPr>
          <w:lang w:eastAsia="en-GB"/>
        </w:rPr>
        <w:t xml:space="preserve"> gene expression based on transcription per million (TPM) values of metagenomics and metatranscriptomics reads that mapped to each MAG recovered from the MBR</w:t>
      </w:r>
      <w:r w:rsidR="002E336F">
        <w:rPr>
          <w:lang w:eastAsia="en-GB"/>
        </w:rPr>
        <w:t xml:space="preserve">. </w:t>
      </w:r>
      <w:r w:rsidR="002E336F">
        <w:t xml:space="preserve">Figures in Panel B and C are </w:t>
      </w:r>
      <w:r w:rsidR="002E336F" w:rsidRPr="002E336F">
        <w:t xml:space="preserve">adapted with permission from </w:t>
      </w:r>
      <w:r w:rsidR="002E336F">
        <w:t>(</w:t>
      </w:r>
      <w:r w:rsidR="002E336F" w:rsidRPr="002E336F">
        <w:t>Ali</w:t>
      </w:r>
      <w:r w:rsidR="002E336F">
        <w:t xml:space="preserve"> </w:t>
      </w:r>
      <w:r w:rsidR="002E336F" w:rsidRPr="002E336F">
        <w:t>et</w:t>
      </w:r>
      <w:r w:rsidR="002E336F">
        <w:t xml:space="preserve"> </w:t>
      </w:r>
      <w:r w:rsidR="002E336F" w:rsidRPr="002E336F">
        <w:t>al.</w:t>
      </w:r>
      <w:r w:rsidR="002E336F">
        <w:t xml:space="preserve"> </w:t>
      </w:r>
      <w:r w:rsidR="002E336F" w:rsidRPr="002E336F">
        <w:t>Water</w:t>
      </w:r>
      <w:r w:rsidR="002E336F">
        <w:t xml:space="preserve"> </w:t>
      </w:r>
      <w:r w:rsidR="002E336F" w:rsidRPr="002E336F">
        <w:t>Research</w:t>
      </w:r>
      <w:r w:rsidR="002E336F">
        <w:t xml:space="preserve">, 2020, </w:t>
      </w:r>
      <w:r w:rsidR="002E336F" w:rsidRPr="002E336F">
        <w:t>170</w:t>
      </w:r>
      <w:r w:rsidR="002E336F">
        <w:t xml:space="preserve">, </w:t>
      </w:r>
      <w:r w:rsidR="002E336F" w:rsidRPr="002E336F">
        <w:t>115345</w:t>
      </w:r>
      <w:r w:rsidR="002E336F">
        <w:t>)</w:t>
      </w:r>
      <w:r w:rsidR="002E336F" w:rsidRPr="002E336F">
        <w:t>. Copyright (</w:t>
      </w:r>
      <w:r w:rsidR="002E336F">
        <w:t>2019</w:t>
      </w:r>
      <w:r w:rsidR="002E336F" w:rsidRPr="002E336F">
        <w:t xml:space="preserve">) </w:t>
      </w:r>
      <w:r w:rsidR="002E336F">
        <w:t>Elsevier Ltd</w:t>
      </w:r>
      <w:r w:rsidR="002E336F" w:rsidRPr="002E336F">
        <w:t>.</w:t>
      </w:r>
    </w:p>
    <w:p w14:paraId="6443271A" w14:textId="77777777" w:rsidR="00BF3E64" w:rsidRDefault="00BF3E64" w:rsidP="00613105">
      <w:pPr>
        <w:rPr>
          <w:lang w:eastAsia="en-GB"/>
        </w:rPr>
      </w:pPr>
    </w:p>
    <w:p w14:paraId="2A3DE5F5" w14:textId="77777777" w:rsidR="00EB5003" w:rsidRPr="00DA67D6" w:rsidRDefault="00EB5003" w:rsidP="00C736A3">
      <w:pPr>
        <w:pStyle w:val="Heading2"/>
        <w:rPr>
          <w:rFonts w:ascii="Myanmar Text" w:hAnsi="Myanmar Text" w:cs="Myanmar Text"/>
          <w:b w:val="0"/>
          <w:bCs w:val="0"/>
          <w:sz w:val="28"/>
          <w:szCs w:val="28"/>
        </w:rPr>
      </w:pPr>
      <w:r w:rsidRPr="00DA67D6">
        <w:rPr>
          <w:rFonts w:ascii="Myanmar Text" w:hAnsi="Myanmar Text" w:cs="Myanmar Text"/>
          <w:sz w:val="28"/>
          <w:szCs w:val="28"/>
        </w:rPr>
        <w:lastRenderedPageBreak/>
        <w:t xml:space="preserve">APPLICATIONS OF GENOMICS IN MEMBRANE FILTRATION RESEARCH </w:t>
      </w:r>
    </w:p>
    <w:p w14:paraId="23ABC3CB" w14:textId="565F5DFA" w:rsidR="00EB5003" w:rsidRPr="00EB79EF" w:rsidRDefault="00EB5003" w:rsidP="00D24237">
      <w:pPr>
        <w:rPr>
          <w:rFonts w:cstheme="majorBidi"/>
          <w:szCs w:val="22"/>
          <w:lang w:val="en-US"/>
        </w:rPr>
      </w:pPr>
      <w:r w:rsidRPr="00DA67D6">
        <w:rPr>
          <w:rFonts w:cstheme="majorBidi"/>
          <w:szCs w:val="22"/>
        </w:rPr>
        <w:t>The use of 16S rRNA gene amplicon sequencing has been valuable for understanding the diversity</w:t>
      </w:r>
      <w:r w:rsidRPr="00DA67D6">
        <w:rPr>
          <w:rFonts w:cstheme="majorBidi"/>
          <w:szCs w:val="22"/>
          <w:lang w:val="en-US"/>
        </w:rPr>
        <w:t xml:space="preserve"> and abundance</w:t>
      </w:r>
      <w:r w:rsidRPr="00DA67D6">
        <w:rPr>
          <w:rFonts w:cstheme="majorBidi"/>
          <w:szCs w:val="22"/>
        </w:rPr>
        <w:t xml:space="preserve"> of microorganisms in </w:t>
      </w:r>
      <w:r w:rsidR="00EB249E">
        <w:rPr>
          <w:rFonts w:cstheme="majorBidi"/>
          <w:szCs w:val="22"/>
        </w:rPr>
        <w:t>membrane-based water systems</w:t>
      </w:r>
      <w:r w:rsidRPr="00DA67D6">
        <w:rPr>
          <w:rFonts w:cstheme="majorBidi"/>
          <w:szCs w:val="22"/>
          <w:lang w:val="en-US"/>
        </w:rPr>
        <w:t xml:space="preserve"> </w:t>
      </w:r>
      <w:r w:rsidRPr="00DA67D6">
        <w:rPr>
          <w:rFonts w:cstheme="majorBidi"/>
          <w:b/>
          <w:bCs/>
          <w:szCs w:val="22"/>
          <w:lang w:val="en-US"/>
        </w:rPr>
        <w:t>(</w:t>
      </w:r>
      <w:r w:rsidRPr="00DA67D6">
        <w:rPr>
          <w:b/>
          <w:bCs/>
          <w:szCs w:val="22"/>
        </w:rPr>
        <w:t xml:space="preserve">Figure </w:t>
      </w:r>
      <w:r w:rsidR="00EC1B9F">
        <w:rPr>
          <w:b/>
          <w:bCs/>
          <w:szCs w:val="22"/>
          <w:lang w:val="en-US"/>
        </w:rPr>
        <w:t>3C</w:t>
      </w:r>
      <w:r w:rsidRPr="00DA67D6">
        <w:rPr>
          <w:b/>
          <w:bCs/>
          <w:szCs w:val="22"/>
          <w:lang w:val="en-US"/>
        </w:rPr>
        <w:t>)</w:t>
      </w:r>
      <w:r w:rsidRPr="00DA67D6">
        <w:rPr>
          <w:rFonts w:cstheme="majorBidi"/>
          <w:szCs w:val="22"/>
          <w:lang w:val="en-US"/>
        </w:rPr>
        <w:t xml:space="preserve"> </w:t>
      </w:r>
      <w:r w:rsidR="00FB2802">
        <w:rPr>
          <w:rFonts w:cstheme="majorBidi"/>
          <w:szCs w:val="22"/>
          <w:lang w:val="en-US"/>
        </w:rPr>
        <w:fldChar w:fldCharType="begin"/>
      </w:r>
      <w:r w:rsidR="00FB2802">
        <w:rPr>
          <w:rFonts w:cstheme="majorBidi"/>
          <w:szCs w:val="22"/>
          <w:lang w:val="en-US"/>
        </w:rPr>
        <w:instrText xml:space="preserve"> ADDIN EN.CITE &lt;EndNote&gt;&lt;Cite&gt;&lt;Author&gt;Vries&lt;/Author&gt;&lt;Year&gt;2022&lt;/Year&gt;&lt;RecNum&gt;2493&lt;/RecNum&gt;&lt;DisplayText&gt;(Vries, 2022)&lt;/DisplayText&gt;&lt;record&gt;&lt;rec-number&gt;2493&lt;/rec-number&gt;&lt;foreign-keys&gt;&lt;key app="EN" db-id="rffefxsa7txww6eevw75tw50fwprsse9wa0p" timestamp="1689764467" guid="27982bc1-4be9-481e-bcb6-e0b8e343146d"&gt;2493&lt;/key&gt;&lt;/foreign-keys&gt;&lt;ref-type name="Thesis"&gt;32&lt;/ref-type&gt;&lt;contributors&gt;&lt;authors&gt;&lt;author&gt;Hendrik Jan de Vries&lt;/author&gt;&lt;/authors&gt;&lt;tertiary-authors&gt;&lt;author&gt;Prof. Dr A. J. M. Stams&lt;/author&gt;&lt;/tertiary-authors&gt;&lt;/contributors&gt;&lt;titles&gt;&lt;title&gt;Characterizing bacteria involved in fouling of spiral wound membranes&lt;/title&gt;&lt;/titles&gt;&lt;volume&gt;PhD&lt;/volume&gt;&lt;dates&gt;&lt;year&gt;2022&lt;/year&gt;&lt;pub-dates&gt;&lt;date&gt;11 March 2022&lt;/date&gt;&lt;/pub-dates&gt;&lt;/dates&gt;&lt;publisher&gt;Wageningen University&lt;/publisher&gt;&lt;urls&gt;&lt;/urls&gt;&lt;/record&gt;&lt;/Cite&gt;&lt;/EndNote&gt;</w:instrText>
      </w:r>
      <w:r w:rsidR="00FB2802">
        <w:rPr>
          <w:rFonts w:cstheme="majorBidi"/>
          <w:szCs w:val="22"/>
          <w:lang w:val="en-US"/>
        </w:rPr>
        <w:fldChar w:fldCharType="separate"/>
      </w:r>
      <w:r w:rsidR="00FB2802">
        <w:rPr>
          <w:rFonts w:cstheme="majorBidi"/>
          <w:noProof/>
          <w:szCs w:val="22"/>
          <w:lang w:val="en-US"/>
        </w:rPr>
        <w:t>(</w:t>
      </w:r>
      <w:hyperlink w:anchor="_ENREF_5" w:tooltip="Vries, 2022 #2493" w:history="1">
        <w:r w:rsidR="00FB2802">
          <w:rPr>
            <w:rFonts w:cstheme="majorBidi"/>
            <w:noProof/>
            <w:szCs w:val="22"/>
            <w:lang w:val="en-US"/>
          </w:rPr>
          <w:t>Vries, 2022</w:t>
        </w:r>
      </w:hyperlink>
      <w:r w:rsidR="00FB2802">
        <w:rPr>
          <w:rFonts w:cstheme="majorBidi"/>
          <w:noProof/>
          <w:szCs w:val="22"/>
          <w:lang w:val="en-US"/>
        </w:rPr>
        <w:t>)</w:t>
      </w:r>
      <w:r w:rsidR="00FB2802">
        <w:rPr>
          <w:rFonts w:cstheme="majorBidi"/>
          <w:szCs w:val="22"/>
          <w:lang w:val="en-US"/>
        </w:rPr>
        <w:fldChar w:fldCharType="end"/>
      </w:r>
      <w:r w:rsidR="00FB2802">
        <w:rPr>
          <w:rFonts w:cstheme="majorBidi"/>
          <w:szCs w:val="22"/>
          <w:lang w:val="en-US"/>
        </w:rPr>
        <w:t>.</w:t>
      </w:r>
      <w:r w:rsidRPr="00DA67D6">
        <w:rPr>
          <w:rFonts w:cstheme="majorBidi"/>
          <w:szCs w:val="22"/>
        </w:rPr>
        <w:t xml:space="preserve"> </w:t>
      </w:r>
      <w:r w:rsidRPr="00DA67D6">
        <w:rPr>
          <w:rFonts w:cstheme="majorBidi"/>
          <w:szCs w:val="22"/>
          <w:lang w:val="en-US"/>
        </w:rPr>
        <w:t>For instance, it was used to create a microbiological database of bacteria detected in</w:t>
      </w:r>
      <w:r w:rsidR="00EB249E">
        <w:rPr>
          <w:rFonts w:cstheme="majorBidi"/>
          <w:szCs w:val="22"/>
          <w:lang w:val="en-US"/>
        </w:rPr>
        <w:t xml:space="preserve"> </w:t>
      </w:r>
      <w:r w:rsidRPr="00DA67D6">
        <w:rPr>
          <w:rFonts w:cstheme="majorBidi"/>
          <w:szCs w:val="22"/>
          <w:lang w:val="en-US"/>
        </w:rPr>
        <w:t xml:space="preserve">biofilms on rubber-coated valves in drinking water systems </w:t>
      </w:r>
      <w:r w:rsidRPr="00DA67D6">
        <w:rPr>
          <w:rFonts w:cstheme="majorBidi"/>
          <w:color w:val="333333"/>
          <w:szCs w:val="22"/>
          <w:shd w:val="clear" w:color="auto" w:fill="FAFAFA"/>
          <w:lang w:val="en-US"/>
        </w:rPr>
        <w:t xml:space="preserve">and </w:t>
      </w:r>
      <w:r w:rsidRPr="00DA67D6">
        <w:rPr>
          <w:rFonts w:cstheme="majorBidi"/>
          <w:szCs w:val="22"/>
          <w:lang w:val="en-US"/>
        </w:rPr>
        <w:t>to identify the</w:t>
      </w:r>
      <w:r w:rsidRPr="00DA67D6">
        <w:rPr>
          <w:rFonts w:cstheme="majorBidi"/>
          <w:szCs w:val="22"/>
        </w:rPr>
        <w:t xml:space="preserve"> specific bacterial </w:t>
      </w:r>
      <w:r w:rsidRPr="00DA67D6">
        <w:rPr>
          <w:rFonts w:cstheme="majorBidi"/>
          <w:szCs w:val="22"/>
          <w:lang w:val="en-US"/>
        </w:rPr>
        <w:t xml:space="preserve">phylum </w:t>
      </w:r>
      <w:r w:rsidRPr="00DA67D6">
        <w:rPr>
          <w:rFonts w:cstheme="majorBidi"/>
          <w:szCs w:val="22"/>
        </w:rPr>
        <w:t xml:space="preserve">present in contaminated reverse osmosis </w:t>
      </w:r>
      <w:r w:rsidRPr="00DA67D6">
        <w:rPr>
          <w:rFonts w:cstheme="majorBidi"/>
          <w:szCs w:val="22"/>
          <w:lang w:val="en-US"/>
        </w:rPr>
        <w:t xml:space="preserve">(RO) </w:t>
      </w:r>
      <w:r w:rsidRPr="00DA67D6">
        <w:rPr>
          <w:rFonts w:cstheme="majorBidi"/>
          <w:szCs w:val="22"/>
        </w:rPr>
        <w:t>membranes</w:t>
      </w:r>
      <w:r w:rsidR="00FB2802">
        <w:rPr>
          <w:rFonts w:cstheme="majorBidi"/>
          <w:szCs w:val="22"/>
        </w:rPr>
        <w:t xml:space="preserve"> </w:t>
      </w:r>
      <w:r w:rsidR="00FB2802">
        <w:rPr>
          <w:rFonts w:cstheme="majorBidi"/>
          <w:szCs w:val="22"/>
          <w:lang w:val="en-US"/>
        </w:rPr>
        <w:fldChar w:fldCharType="begin">
          <w:fldData xml:space="preserve">PEVuZE5vdGU+PENpdGU+PEF1dGhvcj5CZXJlc2NoZW5rbzwvQXV0aG9yPjxZZWFyPjIwMTA8L1ll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</w:fldData>
        </w:fldChar>
      </w:r>
      <w:r w:rsidR="00FB2802">
        <w:rPr>
          <w:rFonts w:cstheme="majorBidi"/>
          <w:szCs w:val="22"/>
          <w:lang w:val="en-US"/>
        </w:rPr>
        <w:instrText xml:space="preserve"> ADDIN EN.CITE </w:instrText>
      </w:r>
      <w:r w:rsidR="00FB2802">
        <w:rPr>
          <w:rFonts w:cstheme="majorBidi"/>
          <w:szCs w:val="22"/>
          <w:lang w:val="en-US"/>
        </w:rPr>
        <w:fldChar w:fldCharType="begin">
          <w:fldData xml:space="preserve">PEVuZE5vdGU+PENpdGU+PEF1dGhvcj5CZXJlc2NoZW5rbzwvQXV0aG9yPjxZZWFyPjIwMTA8L1ll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</w:fldData>
        </w:fldChar>
      </w:r>
      <w:r w:rsidR="00FB2802">
        <w:rPr>
          <w:rFonts w:cstheme="majorBidi"/>
          <w:szCs w:val="22"/>
          <w:lang w:val="en-US"/>
        </w:rPr>
        <w:instrText xml:space="preserve"> ADDIN EN.CITE.DATA </w:instrText>
      </w:r>
      <w:r w:rsidR="00FB2802">
        <w:rPr>
          <w:rFonts w:cstheme="majorBidi"/>
          <w:szCs w:val="22"/>
          <w:lang w:val="en-US"/>
        </w:rPr>
      </w:r>
      <w:r w:rsidR="00FB2802">
        <w:rPr>
          <w:rFonts w:cstheme="majorBidi"/>
          <w:szCs w:val="22"/>
          <w:lang w:val="en-US"/>
        </w:rPr>
        <w:fldChar w:fldCharType="end"/>
      </w:r>
      <w:r w:rsidR="00FB2802">
        <w:rPr>
          <w:rFonts w:cstheme="majorBidi"/>
          <w:szCs w:val="22"/>
          <w:lang w:val="en-US"/>
        </w:rPr>
        <w:fldChar w:fldCharType="separate"/>
      </w:r>
      <w:r w:rsidR="00FB2802">
        <w:rPr>
          <w:rFonts w:cstheme="majorBidi"/>
          <w:noProof/>
          <w:szCs w:val="22"/>
          <w:lang w:val="en-US"/>
        </w:rPr>
        <w:t>(</w:t>
      </w:r>
      <w:hyperlink w:anchor="_ENREF_1" w:tooltip="Bereschenko, 2010 #2496" w:history="1">
        <w:r w:rsidR="00FB2802">
          <w:rPr>
            <w:rFonts w:cstheme="majorBidi"/>
            <w:noProof/>
            <w:szCs w:val="22"/>
            <w:lang w:val="en-US"/>
          </w:rPr>
          <w:t>Bereschenko, 2010</w:t>
        </w:r>
      </w:hyperlink>
      <w:r w:rsidR="00FB2802">
        <w:rPr>
          <w:rFonts w:cstheme="majorBidi"/>
          <w:noProof/>
          <w:szCs w:val="22"/>
          <w:lang w:val="en-US"/>
        </w:rPr>
        <w:t xml:space="preserve">; </w:t>
      </w:r>
      <w:hyperlink w:anchor="_ENREF_2" w:tooltip="Beyer, 2019 #2494" w:history="1">
        <w:r w:rsidR="00FB2802">
          <w:rPr>
            <w:rFonts w:cstheme="majorBidi"/>
            <w:noProof/>
            <w:szCs w:val="22"/>
            <w:lang w:val="en-US"/>
          </w:rPr>
          <w:t>Beyer, 2019</w:t>
        </w:r>
      </w:hyperlink>
      <w:r w:rsidR="00FB2802">
        <w:rPr>
          <w:rFonts w:cstheme="majorBidi"/>
          <w:noProof/>
          <w:szCs w:val="22"/>
          <w:lang w:val="en-US"/>
        </w:rPr>
        <w:t xml:space="preserve">; </w:t>
      </w:r>
      <w:hyperlink w:anchor="_ENREF_5" w:tooltip="Vries, 2022 #2493" w:history="1">
        <w:r w:rsidR="00FB2802">
          <w:rPr>
            <w:rFonts w:cstheme="majorBidi"/>
            <w:noProof/>
            <w:szCs w:val="22"/>
            <w:lang w:val="en-US"/>
          </w:rPr>
          <w:t>Vries, 2022</w:t>
        </w:r>
      </w:hyperlink>
      <w:r w:rsidR="00FB2802">
        <w:rPr>
          <w:rFonts w:cstheme="majorBidi"/>
          <w:noProof/>
          <w:szCs w:val="22"/>
          <w:lang w:val="en-US"/>
        </w:rPr>
        <w:t>)</w:t>
      </w:r>
      <w:r w:rsidR="00FB2802">
        <w:rPr>
          <w:rFonts w:cstheme="majorBidi"/>
          <w:szCs w:val="22"/>
          <w:lang w:val="en-US"/>
        </w:rPr>
        <w:fldChar w:fldCharType="end"/>
      </w:r>
      <w:r w:rsidR="00FB2802">
        <w:rPr>
          <w:rFonts w:cstheme="majorBidi"/>
          <w:szCs w:val="22"/>
          <w:lang w:val="en-US"/>
        </w:rPr>
        <w:t>.</w:t>
      </w:r>
      <w:r w:rsidRPr="00DA67D6">
        <w:rPr>
          <w:rFonts w:cstheme="majorBidi"/>
          <w:szCs w:val="22"/>
          <w:lang w:val="en-US"/>
        </w:rPr>
        <w:t xml:space="preserve"> </w:t>
      </w:r>
      <w:r w:rsidR="00D24237" w:rsidRPr="00D24237">
        <w:rPr>
          <w:rFonts w:cstheme="majorBidi"/>
          <w:szCs w:val="22"/>
          <w:lang w:val="en-US"/>
        </w:rPr>
        <w:t>Furthermore, by obtaining a thorough understanding of the bacterial communities within membranes, scientists have gained valuable insights regarding the types of microorganisms that are prone to causing fouling. These insights have been instrumental in refining membrane-cleaning strategies, specifically by targeting particular microorganisms or proactively preventing the formation of bacterial biofilms</w:t>
      </w:r>
      <w:r w:rsidR="00FB2802">
        <w:rPr>
          <w:rFonts w:cstheme="majorBidi"/>
          <w:szCs w:val="22"/>
          <w:lang w:val="en-US"/>
        </w:rPr>
        <w:t xml:space="preserve"> </w:t>
      </w:r>
      <w:r w:rsidR="00FB2802">
        <w:rPr>
          <w:rFonts w:cstheme="majorBidi"/>
          <w:szCs w:val="22"/>
          <w:lang w:val="en-US"/>
        </w:rPr>
        <w:fldChar w:fldCharType="begin"/>
      </w:r>
      <w:r w:rsidR="00FB2802">
        <w:rPr>
          <w:rFonts w:cstheme="majorBidi"/>
          <w:szCs w:val="22"/>
          <w:lang w:val="en-US"/>
        </w:rPr>
        <w:instrText xml:space="preserve"> ADDIN EN.CITE &lt;EndNote&gt;&lt;Cite&gt;&lt;Author&gt;Møllebjerg&lt;/Author&gt;&lt;Year&gt;2023&lt;/Year&gt;&lt;RecNum&gt;2495&lt;/RecNum&gt;&lt;DisplayText&gt;(Møllebjerg et al., 2023)&lt;/DisplayText&gt;&lt;record&gt;&lt;rec-number&gt;2495&lt;/rec-number&gt;&lt;foreign-keys&gt;&lt;key app="EN" db-id="rffefxsa7txww6eevw75tw50fwprsse9wa0p" timestamp="1689764508" guid="d2c762ef-661a-4fb2-a625-bff1272a7f7b"&gt;2495&lt;/key&gt;&lt;/foreign-keys&gt;&lt;ref-type name="Journal Article"&gt;17&lt;/ref-type&gt;&lt;contributors&gt;&lt;authors&gt;&lt;author&gt;Møllebjerg, Andreas&lt;/author&gt;&lt;author&gt;Zarebska, Agata&lt;/author&gt;&lt;author&gt;Nielsen, Henrik Bangsø&lt;/author&gt;&lt;author&gt;Hansen, Lea Benedicte Skov&lt;/author&gt;&lt;author&gt;Sørensen, Sebastian R.&lt;/author&gt;&lt;author&gt;Seredynska-Sobecka, Bozena&lt;/author&gt;&lt;author&gt;Villacorte, Loreen O.&lt;/author&gt;&lt;author&gt;Gori, Klaus&lt;/author&gt;&lt;author&gt;Palmén, Lorena Gonzalez&lt;/author&gt;&lt;author&gt;Meyer, Rikke Louise&lt;/author&gt;&lt;/authors&gt;&lt;/contributors&gt;&lt;titles&gt;&lt;title&gt;Novel high-throughput screening platform identifies enzymes to tackle biofouling on reverse osmosis membranes&lt;/title&gt;&lt;secondary-title&gt;Desalination&lt;/secondary-title&gt;&lt;/titles&gt;&lt;periodical&gt;&lt;full-title&gt;Desalination&lt;/full-title&gt;&lt;/periodical&gt;&lt;volume&gt;554&lt;/volume&gt;&lt;section&gt;116485&lt;/section&gt;&lt;dates&gt;&lt;year&gt;2023&lt;/year&gt;&lt;/dates&gt;&lt;isbn&gt;00119164&lt;/isbn&gt;&lt;urls&gt;&lt;/urls&gt;&lt;electronic-resource-num&gt;10.1016/j.desal.2023.116485&lt;/electronic-resource-num&gt;&lt;/record&gt;&lt;/Cite&gt;&lt;/EndNote&gt;</w:instrText>
      </w:r>
      <w:r w:rsidR="00FB2802">
        <w:rPr>
          <w:rFonts w:cstheme="majorBidi"/>
          <w:szCs w:val="22"/>
          <w:lang w:val="en-US"/>
        </w:rPr>
        <w:fldChar w:fldCharType="separate"/>
      </w:r>
      <w:r w:rsidR="00FB2802">
        <w:rPr>
          <w:rFonts w:cstheme="majorBidi"/>
          <w:noProof/>
          <w:szCs w:val="22"/>
          <w:lang w:val="en-US"/>
        </w:rPr>
        <w:t>(</w:t>
      </w:r>
      <w:hyperlink w:anchor="_ENREF_3" w:tooltip="Møllebjerg, 2023 #2495" w:history="1">
        <w:r w:rsidR="00FB2802">
          <w:rPr>
            <w:rFonts w:cstheme="majorBidi"/>
            <w:noProof/>
            <w:szCs w:val="22"/>
            <w:lang w:val="en-US"/>
          </w:rPr>
          <w:t>Møllebjerg et al., 2023</w:t>
        </w:r>
      </w:hyperlink>
      <w:r w:rsidR="00FB2802">
        <w:rPr>
          <w:rFonts w:cstheme="majorBidi"/>
          <w:noProof/>
          <w:szCs w:val="22"/>
          <w:lang w:val="en-US"/>
        </w:rPr>
        <w:t>)</w:t>
      </w:r>
      <w:r w:rsidR="00FB2802">
        <w:rPr>
          <w:rFonts w:cstheme="majorBidi"/>
          <w:szCs w:val="22"/>
          <w:lang w:val="en-US"/>
        </w:rPr>
        <w:fldChar w:fldCharType="end"/>
      </w:r>
      <w:r w:rsidRPr="00DA67D6">
        <w:rPr>
          <w:rFonts w:cstheme="majorBidi"/>
          <w:szCs w:val="22"/>
        </w:rPr>
        <w:t>.</w:t>
      </w:r>
      <w:r w:rsidRPr="00DA67D6">
        <w:rPr>
          <w:rFonts w:cstheme="majorBidi"/>
          <w:szCs w:val="22"/>
          <w:lang w:val="en-US"/>
        </w:rPr>
        <w:t xml:space="preserve"> Additionally, </w:t>
      </w:r>
      <w:r w:rsidRPr="00DA67D6">
        <w:rPr>
          <w:rFonts w:cstheme="majorBidi"/>
          <w:szCs w:val="22"/>
        </w:rPr>
        <w:t xml:space="preserve">16S rRNA and other omics data can be used </w:t>
      </w:r>
      <w:r w:rsidR="000B7328">
        <w:rPr>
          <w:rFonts w:cstheme="majorBidi"/>
          <w:szCs w:val="22"/>
        </w:rPr>
        <w:t xml:space="preserve">for ordination analysis </w:t>
      </w:r>
      <w:r w:rsidRPr="00DA67D6">
        <w:rPr>
          <w:rFonts w:cstheme="majorBidi"/>
          <w:szCs w:val="22"/>
        </w:rPr>
        <w:t xml:space="preserve">to reveal </w:t>
      </w:r>
      <w:r w:rsidRPr="00DA67D6">
        <w:rPr>
          <w:rFonts w:cstheme="majorBidi"/>
          <w:szCs w:val="22"/>
          <w:lang w:val="en-US"/>
        </w:rPr>
        <w:t xml:space="preserve">similarities and clustering patterns among samples in membrane processes </w:t>
      </w:r>
      <w:r w:rsidRPr="00DA67D6">
        <w:rPr>
          <w:rFonts w:cstheme="majorBidi"/>
          <w:b/>
          <w:bCs/>
          <w:szCs w:val="22"/>
          <w:lang w:val="en-US"/>
        </w:rPr>
        <w:t>(</w:t>
      </w:r>
      <w:r w:rsidRPr="00DA67D6">
        <w:rPr>
          <w:b/>
          <w:bCs/>
          <w:szCs w:val="22"/>
        </w:rPr>
        <w:t xml:space="preserve">Figure </w:t>
      </w:r>
      <w:r w:rsidR="000B7328">
        <w:rPr>
          <w:b/>
          <w:bCs/>
          <w:szCs w:val="22"/>
          <w:lang w:val="en-US"/>
        </w:rPr>
        <w:t>3B)</w:t>
      </w:r>
      <w:r w:rsidRPr="00DA67D6">
        <w:rPr>
          <w:rFonts w:cstheme="majorBidi"/>
          <w:b/>
          <w:bCs/>
          <w:szCs w:val="22"/>
          <w:lang w:val="en-US"/>
        </w:rPr>
        <w:t>.</w:t>
      </w:r>
      <w:r w:rsidRPr="00DA67D6">
        <w:rPr>
          <w:rFonts w:cstheme="majorBidi"/>
          <w:szCs w:val="22"/>
          <w:lang w:val="en-US"/>
        </w:rPr>
        <w:t xml:space="preserve">  </w:t>
      </w:r>
      <w:r w:rsidR="00D24237" w:rsidRPr="00D24237">
        <w:rPr>
          <w:rFonts w:cstheme="majorBidi"/>
          <w:szCs w:val="22"/>
          <w:lang w:val="en-US"/>
        </w:rPr>
        <w:t xml:space="preserve">The findings from such studies can provide valuable information about the microbial ecology within membranes, helping researchers </w:t>
      </w:r>
      <w:r w:rsidR="00D24237">
        <w:rPr>
          <w:rFonts w:cstheme="majorBidi"/>
          <w:szCs w:val="22"/>
          <w:lang w:val="en-US"/>
        </w:rPr>
        <w:t xml:space="preserve">to </w:t>
      </w:r>
      <w:r w:rsidR="00D24237" w:rsidRPr="00D24237">
        <w:rPr>
          <w:rFonts w:cstheme="majorBidi"/>
          <w:szCs w:val="22"/>
          <w:lang w:val="en-US"/>
        </w:rPr>
        <w:t xml:space="preserve">gain insights into the microbial communities present in membranes and understand how they relate to one another. </w:t>
      </w:r>
    </w:p>
    <w:p w14:paraId="311AF8A0" w14:textId="58683E0B" w:rsidR="00EB5003" w:rsidRDefault="000B7328" w:rsidP="00352268">
      <w:pPr>
        <w:rPr>
          <w:rFonts w:cstheme="majorBidi"/>
          <w:szCs w:val="22"/>
          <w:lang w:val="en-US"/>
        </w:rPr>
      </w:pPr>
      <w:r>
        <w:rPr>
          <w:rFonts w:cstheme="majorBidi"/>
          <w:szCs w:val="22"/>
        </w:rPr>
        <w:t>G</w:t>
      </w:r>
      <w:r w:rsidRPr="000B7328">
        <w:rPr>
          <w:rFonts w:cstheme="majorBidi"/>
          <w:szCs w:val="22"/>
        </w:rPr>
        <w:t>enome-centric metagenomics processing</w:t>
      </w:r>
      <w:r w:rsidRPr="000B7328">
        <w:rPr>
          <w:rFonts w:cstheme="majorBidi"/>
          <w:szCs w:val="22"/>
          <w:lang w:val="en-US"/>
        </w:rPr>
        <w:t xml:space="preserve"> </w:t>
      </w:r>
      <w:r>
        <w:rPr>
          <w:rFonts w:cstheme="majorBidi"/>
          <w:szCs w:val="22"/>
          <w:lang w:val="en-US"/>
        </w:rPr>
        <w:t>provides</w:t>
      </w:r>
      <w:r w:rsidRPr="00DA67D6">
        <w:rPr>
          <w:rFonts w:cstheme="majorBidi"/>
          <w:szCs w:val="22"/>
          <w:lang w:val="en-US"/>
        </w:rPr>
        <w:t xml:space="preserve"> a more comprehensive and refined approach than 16S rRNA analysis</w:t>
      </w:r>
      <w:r>
        <w:rPr>
          <w:rFonts w:cstheme="majorBidi"/>
          <w:szCs w:val="22"/>
          <w:lang w:val="en-US"/>
        </w:rPr>
        <w:t xml:space="preserve">. </w:t>
      </w:r>
      <w:r w:rsidRPr="00DA67D6">
        <w:rPr>
          <w:rFonts w:cstheme="majorBidi"/>
          <w:szCs w:val="22"/>
          <w:lang w:val="en-US"/>
        </w:rPr>
        <w:t xml:space="preserve">For example, MAGs enabled the identification of microorganisms at the species level </w:t>
      </w:r>
      <w:sdt>
        <w:sdtPr>
          <w:rPr>
            <w:rFonts w:cstheme="majorBidi"/>
            <w:color w:val="000000"/>
            <w:szCs w:val="22"/>
            <w:shd w:val="clear" w:color="auto" w:fill="FFFFFF"/>
          </w:rPr>
          <w:tag w:val="MENDELEY_CITATION_v3_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"/>
          <w:id w:val="1082025740"/>
          <w:placeholder>
            <w:docPart w:val="84C814AC407C1640ADB0CC0E943091A5"/>
          </w:placeholder>
        </w:sdtPr>
        <w:sdtEndPr/>
        <w:sdtContent>
          <w:r w:rsidRPr="00DA67D6">
            <w:rPr>
              <w:rFonts w:cstheme="majorBidi"/>
              <w:color w:val="000000"/>
              <w:szCs w:val="22"/>
              <w:shd w:val="clear" w:color="auto" w:fill="FFFFFF"/>
            </w:rPr>
            <w:t>(Rehman et al., 2019)</w:t>
          </w:r>
        </w:sdtContent>
      </w:sdt>
      <w:r w:rsidRPr="00DA67D6">
        <w:rPr>
          <w:rFonts w:cstheme="majorBidi"/>
          <w:szCs w:val="22"/>
          <w:lang w:val="en-US"/>
        </w:rPr>
        <w:t>.</w:t>
      </w:r>
      <w:r>
        <w:rPr>
          <w:rFonts w:cstheme="majorBidi"/>
          <w:szCs w:val="22"/>
          <w:lang w:val="en-US"/>
        </w:rPr>
        <w:t xml:space="preserve"> I</w:t>
      </w:r>
      <w:r w:rsidRPr="000B7328">
        <w:rPr>
          <w:rFonts w:cstheme="majorBidi"/>
          <w:szCs w:val="22"/>
        </w:rPr>
        <w:t>n Figure 6, two main aspects of</w:t>
      </w:r>
      <w:r>
        <w:rPr>
          <w:rFonts w:cstheme="majorBidi"/>
          <w:szCs w:val="22"/>
        </w:rPr>
        <w:t xml:space="preserve"> g</w:t>
      </w:r>
      <w:r w:rsidRPr="000B7328">
        <w:rPr>
          <w:rFonts w:cstheme="majorBidi"/>
          <w:szCs w:val="22"/>
        </w:rPr>
        <w:t>enome-centric metagenomics</w:t>
      </w:r>
      <w:r>
        <w:rPr>
          <w:rFonts w:cstheme="majorBidi"/>
          <w:szCs w:val="22"/>
        </w:rPr>
        <w:t xml:space="preserve"> analysis are presented</w:t>
      </w:r>
      <w:r w:rsidRPr="000B7328">
        <w:rPr>
          <w:rFonts w:cstheme="majorBidi"/>
          <w:szCs w:val="22"/>
        </w:rPr>
        <w:t>. Firstly, it enables the construction of phylogenetic trees</w:t>
      </w:r>
      <w:r>
        <w:rPr>
          <w:rFonts w:cstheme="majorBidi"/>
          <w:szCs w:val="22"/>
        </w:rPr>
        <w:t xml:space="preserve"> (</w:t>
      </w:r>
      <w:r w:rsidRPr="00DA67D6">
        <w:rPr>
          <w:rFonts w:cstheme="majorBidi"/>
          <w:b/>
          <w:bCs/>
          <w:szCs w:val="22"/>
          <w:lang w:val="en-US"/>
        </w:rPr>
        <w:t>Figure</w:t>
      </w:r>
      <w:r>
        <w:rPr>
          <w:rFonts w:cstheme="majorBidi"/>
          <w:szCs w:val="22"/>
        </w:rPr>
        <w:t xml:space="preserve"> </w:t>
      </w:r>
      <w:r w:rsidRPr="00EB79EF">
        <w:rPr>
          <w:rFonts w:cstheme="majorBidi"/>
          <w:b/>
          <w:bCs/>
          <w:szCs w:val="22"/>
        </w:rPr>
        <w:t>6A</w:t>
      </w:r>
      <w:r>
        <w:rPr>
          <w:rFonts w:cstheme="majorBidi"/>
          <w:szCs w:val="22"/>
        </w:rPr>
        <w:t>)</w:t>
      </w:r>
      <w:r w:rsidRPr="000B7328">
        <w:rPr>
          <w:rFonts w:cstheme="majorBidi"/>
          <w:szCs w:val="22"/>
        </w:rPr>
        <w:t>. This allows us to understand the evolutionary relationships between different organisms and their role in the ecosystem. Secondly, genome-centric metagenomics processing allows the reconstruction of metabolic pathways using metagenome-assembled genomes (MAGs) based on gene presence or absence</w:t>
      </w:r>
      <w:r w:rsidR="00352268">
        <w:rPr>
          <w:rFonts w:cstheme="majorBidi"/>
          <w:szCs w:val="22"/>
        </w:rPr>
        <w:t xml:space="preserve"> (</w:t>
      </w:r>
      <w:r w:rsidR="00352268" w:rsidRPr="00DA67D6">
        <w:rPr>
          <w:rFonts w:cstheme="majorBidi"/>
          <w:b/>
          <w:bCs/>
          <w:szCs w:val="22"/>
          <w:lang w:val="en-US"/>
        </w:rPr>
        <w:t>Figure</w:t>
      </w:r>
      <w:r w:rsidR="00352268">
        <w:rPr>
          <w:rFonts w:cstheme="majorBidi"/>
          <w:szCs w:val="22"/>
        </w:rPr>
        <w:t xml:space="preserve"> </w:t>
      </w:r>
      <w:r w:rsidR="00352268" w:rsidRPr="00B53170">
        <w:rPr>
          <w:rFonts w:cstheme="majorBidi"/>
          <w:b/>
          <w:bCs/>
          <w:szCs w:val="22"/>
        </w:rPr>
        <w:t>6</w:t>
      </w:r>
      <w:r w:rsidR="00352268">
        <w:rPr>
          <w:rFonts w:cstheme="majorBidi"/>
          <w:b/>
          <w:bCs/>
          <w:szCs w:val="22"/>
        </w:rPr>
        <w:t>B</w:t>
      </w:r>
      <w:r w:rsidR="00352268">
        <w:rPr>
          <w:rFonts w:cstheme="majorBidi"/>
          <w:szCs w:val="22"/>
        </w:rPr>
        <w:t>)</w:t>
      </w:r>
      <w:r w:rsidRPr="000B7328">
        <w:rPr>
          <w:rFonts w:cstheme="majorBidi"/>
          <w:szCs w:val="22"/>
        </w:rPr>
        <w:t xml:space="preserve">. By </w:t>
      </w:r>
      <w:proofErr w:type="spellStart"/>
      <w:r w:rsidRPr="000B7328">
        <w:rPr>
          <w:rFonts w:cstheme="majorBidi"/>
          <w:szCs w:val="22"/>
        </w:rPr>
        <w:t>analyzing</w:t>
      </w:r>
      <w:proofErr w:type="spellEnd"/>
      <w:r w:rsidRPr="000B7328">
        <w:rPr>
          <w:rFonts w:cstheme="majorBidi"/>
          <w:szCs w:val="22"/>
        </w:rPr>
        <w:t xml:space="preserve"> the genetic content of MAGs, we can identify the presence or absence of specific genes involved in metabolic pathways. This information helps us understand the functional potential of microbial communities and their contributions to various biogeochemical processes</w:t>
      </w:r>
      <w:r w:rsidR="00352268">
        <w:rPr>
          <w:rFonts w:cstheme="majorBidi"/>
          <w:szCs w:val="22"/>
        </w:rPr>
        <w:t xml:space="preserve"> in membrane-based systems</w:t>
      </w:r>
      <w:r w:rsidRPr="000B7328">
        <w:rPr>
          <w:rFonts w:cstheme="majorBidi"/>
          <w:szCs w:val="22"/>
        </w:rPr>
        <w:t xml:space="preserve">. Overall, genome-centric metagenomics processing is a powerful tool that provides insights into the taxonomic and functional composition of microbial communities. It helps us understand the complex interactions between different organisms and their roles in ecosystem functioning. </w:t>
      </w:r>
      <w:r w:rsidR="00EB5003" w:rsidRPr="00DA67D6">
        <w:rPr>
          <w:rFonts w:cstheme="majorBidi"/>
          <w:szCs w:val="22"/>
          <w:lang w:val="en-US"/>
        </w:rPr>
        <w:t xml:space="preserve">It also enables the discovery of genes that are enriched in biofilm development as well as the investigation of specific genes within microbial communities. These insights have played a crucial role in developing effective strategies to prevent biofouling.  For example, antifouling strategies for seawater reverse osmosis (RO) membranes involve targeting the enriched </w:t>
      </w:r>
      <w:r w:rsidR="00EB5003" w:rsidRPr="00DA67D6">
        <w:rPr>
          <w:rFonts w:cstheme="majorBidi"/>
          <w:i/>
          <w:iCs/>
          <w:szCs w:val="22"/>
          <w:lang w:val="en-US"/>
        </w:rPr>
        <w:t>Planctomycetes</w:t>
      </w:r>
      <w:r w:rsidR="00EB5003" w:rsidRPr="00DA67D6">
        <w:rPr>
          <w:rFonts w:cstheme="majorBidi"/>
          <w:szCs w:val="22"/>
          <w:lang w:val="en-US"/>
        </w:rPr>
        <w:t xml:space="preserve"> bacteria or employing inhibitory compounds such as </w:t>
      </w:r>
      <w:proofErr w:type="spellStart"/>
      <w:r w:rsidR="00EB5003" w:rsidRPr="00DA67D6">
        <w:rPr>
          <w:rFonts w:cstheme="majorBidi"/>
          <w:szCs w:val="22"/>
          <w:lang w:val="en-US"/>
        </w:rPr>
        <w:t>azide</w:t>
      </w:r>
      <w:proofErr w:type="spellEnd"/>
      <w:r w:rsidR="00EB5003" w:rsidRPr="00DA67D6">
        <w:rPr>
          <w:rFonts w:cstheme="majorBidi"/>
          <w:szCs w:val="22"/>
          <w:lang w:val="en-US"/>
        </w:rPr>
        <w:t>, chlorate, cyanide, and thiocyanide to specifically target nitrate-reducing enzymes, which have been identified as enriched in the biofilm metagenome</w:t>
      </w:r>
      <w:r w:rsidR="00FB2802">
        <w:rPr>
          <w:rFonts w:cstheme="majorBidi"/>
          <w:szCs w:val="22"/>
          <w:lang w:val="en-US"/>
        </w:rPr>
        <w:t xml:space="preserve"> </w:t>
      </w:r>
      <w:r w:rsidR="00FB2802">
        <w:rPr>
          <w:rFonts w:cstheme="majorBidi"/>
          <w:szCs w:val="22"/>
          <w:lang w:val="en-US"/>
        </w:rPr>
        <w:fldChar w:fldCharType="begin">
          <w:fldData xml:space="preserve">PEVuZE5vdGU+PENpdGU+PEF1dGhvcj5SZWhtYW48L0F1dGhvcj48WWVhcj4yMDE5PC9ZZWFyPjxS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=
</w:fldData>
        </w:fldChar>
      </w:r>
      <w:r w:rsidR="00FB2802">
        <w:rPr>
          <w:rFonts w:cstheme="majorBidi"/>
          <w:szCs w:val="22"/>
          <w:lang w:val="en-US"/>
        </w:rPr>
        <w:instrText xml:space="preserve"> ADDIN EN.CITE </w:instrText>
      </w:r>
      <w:r w:rsidR="00FB2802">
        <w:rPr>
          <w:rFonts w:cstheme="majorBidi"/>
          <w:szCs w:val="22"/>
          <w:lang w:val="en-US"/>
        </w:rPr>
        <w:fldChar w:fldCharType="begin">
          <w:fldData xml:space="preserve">PEVuZE5vdGU+PENpdGU+PEF1dGhvcj5SZWhtYW48L0F1dGhvcj48WWVhcj4yMDE5PC9ZZWFyPjxS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=
</w:fldData>
        </w:fldChar>
      </w:r>
      <w:r w:rsidR="00FB2802">
        <w:rPr>
          <w:rFonts w:cstheme="majorBidi"/>
          <w:szCs w:val="22"/>
          <w:lang w:val="en-US"/>
        </w:rPr>
        <w:instrText xml:space="preserve"> ADDIN EN.CITE.DATA </w:instrText>
      </w:r>
      <w:r w:rsidR="00FB2802">
        <w:rPr>
          <w:rFonts w:cstheme="majorBidi"/>
          <w:szCs w:val="22"/>
          <w:lang w:val="en-US"/>
        </w:rPr>
      </w:r>
      <w:r w:rsidR="00FB2802">
        <w:rPr>
          <w:rFonts w:cstheme="majorBidi"/>
          <w:szCs w:val="22"/>
          <w:lang w:val="en-US"/>
        </w:rPr>
        <w:fldChar w:fldCharType="end"/>
      </w:r>
      <w:r w:rsidR="00FB2802">
        <w:rPr>
          <w:rFonts w:cstheme="majorBidi"/>
          <w:szCs w:val="22"/>
          <w:lang w:val="en-US"/>
        </w:rPr>
        <w:fldChar w:fldCharType="separate"/>
      </w:r>
      <w:r w:rsidR="00FB2802">
        <w:rPr>
          <w:rFonts w:cstheme="majorBidi"/>
          <w:noProof/>
          <w:szCs w:val="22"/>
          <w:lang w:val="en-US"/>
        </w:rPr>
        <w:t>(</w:t>
      </w:r>
      <w:hyperlink w:anchor="_ENREF_4" w:tooltip="Rehman, 2019 #257" w:history="1">
        <w:r w:rsidR="00FB2802">
          <w:rPr>
            <w:rFonts w:cstheme="majorBidi"/>
            <w:noProof/>
            <w:szCs w:val="22"/>
            <w:lang w:val="en-US"/>
          </w:rPr>
          <w:t>Rehman et al., 2019</w:t>
        </w:r>
      </w:hyperlink>
      <w:r w:rsidR="00FB2802">
        <w:rPr>
          <w:rFonts w:cstheme="majorBidi"/>
          <w:noProof/>
          <w:szCs w:val="22"/>
          <w:lang w:val="en-US"/>
        </w:rPr>
        <w:t>)</w:t>
      </w:r>
      <w:r w:rsidR="00FB2802">
        <w:rPr>
          <w:rFonts w:cstheme="majorBidi"/>
          <w:szCs w:val="22"/>
          <w:lang w:val="en-US"/>
        </w:rPr>
        <w:fldChar w:fldCharType="end"/>
      </w:r>
      <w:r w:rsidR="00FB2802">
        <w:rPr>
          <w:rFonts w:cstheme="majorBidi"/>
          <w:szCs w:val="22"/>
          <w:lang w:val="en-US"/>
        </w:rPr>
        <w:t>.</w:t>
      </w:r>
    </w:p>
    <w:p w14:paraId="72C0EA17" w14:textId="77777777" w:rsidR="00EB5003" w:rsidRPr="00DA67D6" w:rsidRDefault="00EB5003" w:rsidP="00EB5003">
      <w:pPr>
        <w:rPr>
          <w:rFonts w:cstheme="majorBidi"/>
          <w:szCs w:val="22"/>
          <w:lang w:val="en-US"/>
        </w:rPr>
      </w:pPr>
    </w:p>
    <w:p w14:paraId="6DE157A2" w14:textId="14EF255B" w:rsidR="00EB5003" w:rsidRPr="00DA67D6" w:rsidRDefault="00EB5003" w:rsidP="00EB5003">
      <w:pPr>
        <w:rPr>
          <w:rFonts w:cstheme="majorBidi"/>
          <w:szCs w:val="22"/>
          <w:lang w:val="en-US"/>
        </w:rPr>
      </w:pPr>
    </w:p>
    <w:p w14:paraId="78EBD59D" w14:textId="31A1120E" w:rsidR="00EB5003" w:rsidRPr="00DA67D6" w:rsidRDefault="004B0017" w:rsidP="00EB5003">
      <w:pPr>
        <w:rPr>
          <w:rFonts w:cstheme="majorBidi"/>
          <w:sz w:val="21"/>
          <w:szCs w:val="21"/>
        </w:rPr>
      </w:pPr>
      <w:r>
        <w:rPr>
          <w:rFonts w:cstheme="majorBidi"/>
          <w:noProof/>
          <w:sz w:val="21"/>
          <w:szCs w:val="21"/>
        </w:rPr>
        <w:drawing>
          <wp:inline distT="0" distB="0" distL="0" distR="0" wp14:anchorId="0B3E689F" wp14:editId="7A1EEA23">
            <wp:extent cx="4759960" cy="2748395"/>
            <wp:effectExtent l="0" t="0" r="0" b="0"/>
            <wp:docPr id="2314423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442314" name="Picture 1"/>
                    <pic:cNvPicPr/>
                  </pic:nvPicPr>
                  <pic:blipFill rotWithShape="1">
                    <a:blip r:embed="rId21"/>
                    <a:srcRect b="45468"/>
                    <a:stretch/>
                  </pic:blipFill>
                  <pic:spPr bwMode="auto">
                    <a:xfrm>
                      <a:off x="0" y="0"/>
                      <a:ext cx="4759999" cy="2748418"/>
                    </a:xfrm>
                    <a:prstGeom prst="rect">
                      <a:avLst/>
                    </a:prstGeom>
                    <a:ln>
                      <a:noFill/>
                    </a:ln>
                    <a:extLst>
                      <a:ext uri="{53640926-AAD7-44D8-BBD7-CCE9431645EC}">
                        <a14:shadowObscured xmlns:a14="http://schemas.microsoft.com/office/drawing/2010/main"/>
                      </a:ext>
                    </a:extLst>
                  </pic:spPr>
                </pic:pic>
              </a:graphicData>
            </a:graphic>
          </wp:inline>
        </w:drawing>
      </w:r>
    </w:p>
    <w:p w14:paraId="0B4B6C1B" w14:textId="478976DE" w:rsidR="00EB5003" w:rsidRPr="002E336F" w:rsidRDefault="00EB5003" w:rsidP="008E0100">
      <w:pPr>
        <w:rPr>
          <w:szCs w:val="22"/>
          <w:lang w:eastAsia="en-GB"/>
        </w:rPr>
      </w:pPr>
      <w:r w:rsidRPr="00A00B99">
        <w:rPr>
          <w:b/>
          <w:bCs/>
          <w:szCs w:val="22"/>
        </w:rPr>
        <w:t>Figure 6:</w:t>
      </w:r>
      <w:r w:rsidRPr="00A00B99">
        <w:rPr>
          <w:szCs w:val="22"/>
        </w:rPr>
        <w:t xml:space="preserve"> </w:t>
      </w:r>
      <w:r w:rsidR="000B7328" w:rsidRPr="00A00B99">
        <w:rPr>
          <w:szCs w:val="22"/>
        </w:rPr>
        <w:t>Genome-centric metagenomics processing enables the construction of</w:t>
      </w:r>
      <w:r w:rsidRPr="00A00B99">
        <w:rPr>
          <w:szCs w:val="22"/>
        </w:rPr>
        <w:t xml:space="preserve"> A) </w:t>
      </w:r>
      <w:r w:rsidRPr="00A00B99">
        <w:rPr>
          <w:szCs w:val="22"/>
          <w:lang w:val="en-US"/>
        </w:rPr>
        <w:t>P</w:t>
      </w:r>
      <w:proofErr w:type="spellStart"/>
      <w:r w:rsidRPr="00A00B99">
        <w:rPr>
          <w:szCs w:val="22"/>
        </w:rPr>
        <w:t>hylogenetic</w:t>
      </w:r>
      <w:proofErr w:type="spellEnd"/>
      <w:r w:rsidRPr="00A00B99">
        <w:rPr>
          <w:szCs w:val="22"/>
        </w:rPr>
        <w:t xml:space="preserve"> trees</w:t>
      </w:r>
      <w:r w:rsidR="000B7328" w:rsidRPr="00A00B99">
        <w:rPr>
          <w:szCs w:val="22"/>
          <w:lang w:val="en-US"/>
        </w:rPr>
        <w:t xml:space="preserve"> and </w:t>
      </w:r>
      <w:r w:rsidR="000B7328" w:rsidRPr="00A00B99">
        <w:rPr>
          <w:szCs w:val="22"/>
        </w:rPr>
        <w:t>B</w:t>
      </w:r>
      <w:r w:rsidRPr="00A00B99">
        <w:rPr>
          <w:szCs w:val="22"/>
        </w:rPr>
        <w:t xml:space="preserve">) </w:t>
      </w:r>
      <w:r w:rsidRPr="00A00B99">
        <w:rPr>
          <w:szCs w:val="22"/>
          <w:lang w:val="en-US"/>
        </w:rPr>
        <w:t>R</w:t>
      </w:r>
      <w:proofErr w:type="spellStart"/>
      <w:r w:rsidRPr="00A00B99">
        <w:rPr>
          <w:szCs w:val="22"/>
        </w:rPr>
        <w:t>econstruction</w:t>
      </w:r>
      <w:proofErr w:type="spellEnd"/>
      <w:r w:rsidRPr="00A00B99">
        <w:rPr>
          <w:szCs w:val="22"/>
        </w:rPr>
        <w:t xml:space="preserve"> of metabolic pathways using metagenome-assembled genomes (MAGs) based on gene presence or absence</w:t>
      </w:r>
      <w:r w:rsidRPr="00A00B99">
        <w:rPr>
          <w:szCs w:val="22"/>
          <w:lang w:val="en-US"/>
        </w:rPr>
        <w:t>.</w:t>
      </w:r>
      <w:r w:rsidR="002E336F">
        <w:rPr>
          <w:szCs w:val="22"/>
          <w:lang w:val="en-US"/>
        </w:rPr>
        <w:t xml:space="preserve"> </w:t>
      </w:r>
      <w:r w:rsidR="002E336F" w:rsidRPr="002E336F">
        <w:rPr>
          <w:szCs w:val="22"/>
          <w:lang w:val="en-US"/>
        </w:rPr>
        <w:t xml:space="preserve">Figures in Panel </w:t>
      </w:r>
      <w:r w:rsidR="002E336F">
        <w:rPr>
          <w:szCs w:val="22"/>
          <w:lang w:val="en-US"/>
        </w:rPr>
        <w:t>A</w:t>
      </w:r>
      <w:r w:rsidR="002E336F" w:rsidRPr="002E336F">
        <w:rPr>
          <w:szCs w:val="22"/>
          <w:lang w:val="en-US"/>
        </w:rPr>
        <w:t xml:space="preserve"> </w:t>
      </w:r>
      <w:r w:rsidR="002E336F">
        <w:rPr>
          <w:szCs w:val="22"/>
          <w:lang w:val="en-US"/>
        </w:rPr>
        <w:t>is</w:t>
      </w:r>
      <w:r w:rsidR="002E336F" w:rsidRPr="002E336F">
        <w:rPr>
          <w:szCs w:val="22"/>
          <w:lang w:val="en-US"/>
        </w:rPr>
        <w:t xml:space="preserve"> adapted with permission from (Ali et al. Water Research, 2020, 170, 115345). Copyright (2019) Elsevier Ltd.</w:t>
      </w:r>
      <w:r w:rsidR="002E336F">
        <w:rPr>
          <w:szCs w:val="22"/>
          <w:lang w:val="en-US"/>
        </w:rPr>
        <w:t xml:space="preserve"> </w:t>
      </w:r>
      <w:r w:rsidR="002E336F" w:rsidRPr="002E336F">
        <w:rPr>
          <w:szCs w:val="22"/>
          <w:lang w:val="en-US"/>
        </w:rPr>
        <w:t xml:space="preserve">Figures in Panel </w:t>
      </w:r>
      <w:r w:rsidR="002E336F">
        <w:rPr>
          <w:szCs w:val="22"/>
          <w:lang w:val="en-US"/>
        </w:rPr>
        <w:t>B</w:t>
      </w:r>
      <w:r w:rsidR="002E336F" w:rsidRPr="002E336F">
        <w:rPr>
          <w:szCs w:val="22"/>
          <w:lang w:val="en-US"/>
        </w:rPr>
        <w:t xml:space="preserve"> </w:t>
      </w:r>
      <w:r w:rsidR="002E336F">
        <w:rPr>
          <w:szCs w:val="22"/>
          <w:lang w:val="en-US"/>
        </w:rPr>
        <w:t>is</w:t>
      </w:r>
      <w:r w:rsidR="002E336F" w:rsidRPr="002E336F">
        <w:rPr>
          <w:szCs w:val="22"/>
          <w:lang w:val="en-US"/>
        </w:rPr>
        <w:t xml:space="preserve"> adapted with permission from (Ali et al. Frontiers in Microbiology</w:t>
      </w:r>
      <w:r w:rsidR="002E336F">
        <w:rPr>
          <w:szCs w:val="22"/>
          <w:lang w:val="en-US"/>
        </w:rPr>
        <w:t>, 20</w:t>
      </w:r>
      <w:r w:rsidR="00EA3CA9">
        <w:rPr>
          <w:szCs w:val="22"/>
          <w:lang w:val="en-US"/>
        </w:rPr>
        <w:t>20,</w:t>
      </w:r>
      <w:r w:rsidR="002E336F" w:rsidRPr="002E336F">
        <w:rPr>
          <w:szCs w:val="22"/>
          <w:lang w:val="en-US"/>
        </w:rPr>
        <w:t xml:space="preserve"> 11</w:t>
      </w:r>
      <w:r w:rsidR="00EA3CA9">
        <w:rPr>
          <w:szCs w:val="22"/>
          <w:lang w:val="en-US"/>
        </w:rPr>
        <w:t xml:space="preserve">, </w:t>
      </w:r>
      <w:r w:rsidR="002E336F" w:rsidRPr="002E336F">
        <w:rPr>
          <w:szCs w:val="22"/>
          <w:lang w:val="en-US"/>
        </w:rPr>
        <w:t xml:space="preserve">1637.). </w:t>
      </w:r>
    </w:p>
    <w:p w14:paraId="1349BD39" w14:textId="7795860D" w:rsidR="005302C2" w:rsidRDefault="005302C2" w:rsidP="005302C2">
      <w:pPr>
        <w:pStyle w:val="Heading2"/>
        <w:rPr>
          <w:lang w:eastAsia="en-GB"/>
        </w:rPr>
      </w:pPr>
      <w:r>
        <w:rPr>
          <w:lang w:eastAsia="en-GB"/>
        </w:rPr>
        <w:t>Outlook</w:t>
      </w:r>
    </w:p>
    <w:p w14:paraId="478ABD18" w14:textId="72017AF0" w:rsidR="00B20743" w:rsidRDefault="00B20743" w:rsidP="00B20743">
      <w:pPr>
        <w:rPr>
          <w:lang w:eastAsia="en-GB"/>
        </w:rPr>
      </w:pPr>
      <w:r>
        <w:rPr>
          <w:lang w:eastAsia="en-GB"/>
        </w:rPr>
        <w:t>Recently, metagenomics has been successfully employed to discover novel microorganisms.</w:t>
      </w:r>
      <w:r w:rsidR="0094295B">
        <w:rPr>
          <w:lang w:eastAsia="en-GB"/>
        </w:rPr>
        <w:t xml:space="preserve"> </w:t>
      </w:r>
      <w:r>
        <w:rPr>
          <w:lang w:eastAsia="en-GB"/>
        </w:rPr>
        <w:t>However, the following points should be considered in future omics-based studies</w:t>
      </w:r>
      <w:r w:rsidR="00AD2DAA">
        <w:rPr>
          <w:lang w:eastAsia="en-GB"/>
        </w:rPr>
        <w:t>, including membrane-based filtration systems</w:t>
      </w:r>
      <w:r>
        <w:rPr>
          <w:lang w:eastAsia="en-GB"/>
        </w:rPr>
        <w:t>.</w:t>
      </w:r>
    </w:p>
    <w:p w14:paraId="30852167" w14:textId="77777777" w:rsidR="00B20743" w:rsidRDefault="00B20743" w:rsidP="00B20743">
      <w:pPr>
        <w:rPr>
          <w:lang w:eastAsia="en-GB"/>
        </w:rPr>
      </w:pPr>
    </w:p>
    <w:p w14:paraId="7E5F4488" w14:textId="77777777" w:rsidR="00B20743" w:rsidRDefault="00B20743" w:rsidP="00B20743">
      <w:pPr>
        <w:rPr>
          <w:lang w:eastAsia="en-GB"/>
        </w:rPr>
      </w:pPr>
      <w:r>
        <w:rPr>
          <w:lang w:eastAsia="en-GB"/>
        </w:rPr>
        <w:t>1.</w:t>
      </w:r>
      <w:r>
        <w:rPr>
          <w:lang w:eastAsia="en-GB"/>
        </w:rPr>
        <w:tab/>
        <w:t>The omics-based study reports a relative abundance of microbial species as an actual abundance in the system. However, the relative abundance derived from such analysis should not be considered or interpreted as the system's actual abundance.</w:t>
      </w:r>
    </w:p>
    <w:p w14:paraId="27D506A0" w14:textId="3A2EEBC3" w:rsidR="00B20743" w:rsidRDefault="00B20743" w:rsidP="00B20743">
      <w:pPr>
        <w:rPr>
          <w:lang w:eastAsia="en-GB"/>
        </w:rPr>
      </w:pPr>
      <w:r>
        <w:rPr>
          <w:lang w:eastAsia="en-GB"/>
        </w:rPr>
        <w:t>2.</w:t>
      </w:r>
      <w:r>
        <w:rPr>
          <w:lang w:eastAsia="en-GB"/>
        </w:rPr>
        <w:tab/>
        <w:t xml:space="preserve">Assembled genomes </w:t>
      </w:r>
      <w:r w:rsidR="00A83DAC">
        <w:rPr>
          <w:lang w:eastAsia="en-GB"/>
        </w:rPr>
        <w:t xml:space="preserve">(MAGs) </w:t>
      </w:r>
      <w:r>
        <w:rPr>
          <w:lang w:eastAsia="en-GB"/>
        </w:rPr>
        <w:t xml:space="preserve">have clear advantages for further functional analyses. However, obtaining correct assemblies is still challenging. The presence of genomic repeats, short overlap lengths, and phylogenetically close organisms can result in false-positive assembly outputs, such as joining non-overlapping fragments from different parts of the genome or producing chimeric contigs from different organisms. Besides the difficulty in </w:t>
      </w:r>
      <w:r>
        <w:rPr>
          <w:lang w:eastAsia="en-GB"/>
        </w:rPr>
        <w:lastRenderedPageBreak/>
        <w:t>assembling low-abundance species and closely related strains (micro</w:t>
      </w:r>
      <w:r w:rsidR="00A83DAC">
        <w:rPr>
          <w:lang w:eastAsia="en-GB"/>
        </w:rPr>
        <w:t xml:space="preserve"> </w:t>
      </w:r>
      <w:r>
        <w:rPr>
          <w:lang w:eastAsia="en-GB"/>
        </w:rPr>
        <w:t>diversity), and the exclusion of significant amounts of unassembled data, an assembly-based annotation strategy can introduce biases for quantitative analysis.</w:t>
      </w:r>
    </w:p>
    <w:p w14:paraId="326BED49" w14:textId="77777777" w:rsidR="00B20743" w:rsidRDefault="00B20743" w:rsidP="00B20743">
      <w:pPr>
        <w:rPr>
          <w:lang w:eastAsia="en-GB"/>
        </w:rPr>
      </w:pPr>
      <w:r>
        <w:rPr>
          <w:lang w:eastAsia="en-GB"/>
        </w:rPr>
        <w:t>3.</w:t>
      </w:r>
      <w:r>
        <w:rPr>
          <w:lang w:eastAsia="en-GB"/>
        </w:rPr>
        <w:tab/>
        <w:t>NGS-based sequencing is still expensive because the cost rises with sequencing depth. Most omics-based studies use quantitative analysis due to the high cost of technical/biological replicates. This makes it challenging to determine whether observed differences (particularly small ones) within or between experimental groups are statistically significant and robust (after considering replicate variance). Therefore, future research should consider the reproducibility of omics data before delving into differentially expressed features.</w:t>
      </w:r>
    </w:p>
    <w:p w14:paraId="3EF87A98" w14:textId="28BAC485" w:rsidR="00B20743" w:rsidRDefault="00B20743" w:rsidP="00B20743">
      <w:pPr>
        <w:rPr>
          <w:lang w:eastAsia="en-GB"/>
        </w:rPr>
      </w:pPr>
      <w:r>
        <w:rPr>
          <w:lang w:eastAsia="en-GB"/>
        </w:rPr>
        <w:t>4.</w:t>
      </w:r>
      <w:r>
        <w:rPr>
          <w:lang w:eastAsia="en-GB"/>
        </w:rPr>
        <w:tab/>
        <w:t xml:space="preserve">The completeness of database resources inevitably affects the taxonomic and functional annotation of sequence data. However, the databases improve as researchers continue to investigate microbial </w:t>
      </w:r>
      <w:r w:rsidR="00A83DAC">
        <w:rPr>
          <w:lang w:eastAsia="en-GB"/>
        </w:rPr>
        <w:t>dark matter</w:t>
      </w:r>
      <w:r>
        <w:rPr>
          <w:lang w:eastAsia="en-GB"/>
        </w:rPr>
        <w:t>.</w:t>
      </w:r>
    </w:p>
    <w:p w14:paraId="29837E76" w14:textId="77777777" w:rsidR="00B20743" w:rsidRDefault="00B20743" w:rsidP="00A326FB">
      <w:pPr>
        <w:rPr>
          <w:lang w:eastAsia="en-GB"/>
        </w:rPr>
      </w:pPr>
    </w:p>
    <w:p w14:paraId="276658F6" w14:textId="2004B8AF" w:rsidR="00B20743" w:rsidRDefault="0094295B" w:rsidP="0094295B">
      <w:pPr>
        <w:pStyle w:val="Heading2"/>
        <w:rPr>
          <w:lang w:eastAsia="en-GB"/>
        </w:rPr>
      </w:pPr>
      <w:r w:rsidRPr="0094295B">
        <w:rPr>
          <w:lang w:eastAsia="en-GB"/>
        </w:rPr>
        <w:t>Data Availability</w:t>
      </w:r>
    </w:p>
    <w:p w14:paraId="7EA22F79" w14:textId="77FC2D31" w:rsidR="00B20743" w:rsidRDefault="0094295B" w:rsidP="00A326FB">
      <w:pPr>
        <w:rPr>
          <w:lang w:eastAsia="en-GB"/>
        </w:rPr>
      </w:pPr>
      <w:r w:rsidRPr="0094295B">
        <w:rPr>
          <w:lang w:eastAsia="en-GB"/>
        </w:rPr>
        <w:t xml:space="preserve">All raw sequencing data associated with amplicon sequencing analysis taken from the previous study (Ali et al., 2019) are available at NCBI Sequence Read Archive under accession number SRP115069. All sequencing data associated with genome-resolve metagenomics analysis taken from </w:t>
      </w:r>
      <w:r w:rsidR="00756F91">
        <w:rPr>
          <w:lang w:eastAsia="en-GB"/>
        </w:rPr>
        <w:t xml:space="preserve">a </w:t>
      </w:r>
      <w:r w:rsidRPr="0094295B">
        <w:rPr>
          <w:lang w:eastAsia="en-GB"/>
        </w:rPr>
        <w:t xml:space="preserve">previous study (Ali et al., 2020b) </w:t>
      </w:r>
      <w:r w:rsidR="00756F91">
        <w:rPr>
          <w:lang w:eastAsia="en-GB"/>
        </w:rPr>
        <w:t xml:space="preserve">is </w:t>
      </w:r>
      <w:r w:rsidRPr="0094295B">
        <w:rPr>
          <w:lang w:eastAsia="en-GB"/>
        </w:rPr>
        <w:t xml:space="preserve">available at NCBI under </w:t>
      </w:r>
      <w:proofErr w:type="spellStart"/>
      <w:r w:rsidRPr="0094295B">
        <w:rPr>
          <w:lang w:eastAsia="en-GB"/>
        </w:rPr>
        <w:t>BioProject</w:t>
      </w:r>
      <w:proofErr w:type="spellEnd"/>
      <w:r w:rsidRPr="0094295B">
        <w:rPr>
          <w:lang w:eastAsia="en-GB"/>
        </w:rPr>
        <w:t xml:space="preserve"> PRJNA482223.</w:t>
      </w:r>
    </w:p>
    <w:p w14:paraId="2622B673" w14:textId="77777777" w:rsidR="008A4F68" w:rsidRPr="005302C2" w:rsidRDefault="008A4F68" w:rsidP="00A326FB">
      <w:pPr>
        <w:rPr>
          <w:lang w:eastAsia="en-GB"/>
        </w:rPr>
      </w:pPr>
    </w:p>
    <w:p w14:paraId="44FB256B" w14:textId="77777777" w:rsidR="001C0E2E" w:rsidRPr="005310EE" w:rsidRDefault="000D0FBA" w:rsidP="0094295B">
      <w:pPr>
        <w:pStyle w:val="Heading2"/>
        <w:numPr>
          <w:ilvl w:val="0"/>
          <w:numId w:val="0"/>
        </w:numPr>
        <w:ind w:left="576" w:hanging="576"/>
        <w:rPr>
          <w:lang w:eastAsia="en-GB"/>
        </w:rPr>
      </w:pPr>
      <w:bookmarkStart w:id="14" w:name="_Toc519863051"/>
      <w:bookmarkStart w:id="15" w:name="_Toc54180726"/>
      <w:bookmarkEnd w:id="5"/>
      <w:r w:rsidRPr="005310EE">
        <w:rPr>
          <w:lang w:eastAsia="en-GB"/>
        </w:rPr>
        <w:t>References</w:t>
      </w:r>
      <w:bookmarkEnd w:id="14"/>
      <w:bookmarkEnd w:id="15"/>
    </w:p>
    <w:bookmarkEnd w:id="0"/>
    <w:p w14:paraId="01C2971B" w14:textId="77777777" w:rsidR="00CD33EF" w:rsidRPr="006C3BEE" w:rsidRDefault="00CD33EF" w:rsidP="00BB4824">
      <w:pPr>
        <w:pStyle w:val="EndNoteBibliography"/>
        <w:ind w:left="720" w:hanging="720"/>
        <w:rPr>
          <w:lang w:val="de-DE"/>
        </w:rPr>
      </w:pPr>
      <w:r w:rsidRPr="00C82F6C">
        <w:t xml:space="preserve">Albertsen, M., Hugenholtz, P., Skarshewski, A., Nielsen, K.L., Tyson, G.W. and Nielsen, P.H.  2013.  Genome sequences of rare, uncultured bacteria obtained by differential coverage binning of multiple metagenomes. </w:t>
      </w:r>
      <w:r w:rsidRPr="006C3BEE">
        <w:rPr>
          <w:lang w:val="de-DE"/>
        </w:rPr>
        <w:t>Nat Biotechnol 31(6), 533-538.</w:t>
      </w:r>
    </w:p>
    <w:p w14:paraId="212B9472" w14:textId="77777777" w:rsidR="00CD33EF" w:rsidRPr="00C82F6C" w:rsidRDefault="00CD33EF" w:rsidP="00BB4824">
      <w:pPr>
        <w:pStyle w:val="EndNoteBibliography"/>
        <w:ind w:left="720" w:hanging="720"/>
      </w:pPr>
      <w:r w:rsidRPr="006C3BEE">
        <w:rPr>
          <w:lang w:val="de-DE"/>
        </w:rPr>
        <w:t xml:space="preserve">Albertsen, M., Karst, S.M., Ziegler, A.S., Kirkegaard, R.H. and Nielsen, P.H.  </w:t>
      </w:r>
      <w:r w:rsidRPr="00C82F6C">
        <w:t>2015.  Back to Basics--The Influence of DNA Extraction and Primer Choice on Phylogenetic Analysis of Activated Sludge Communities. PLoS One 10(7), e0132783.</w:t>
      </w:r>
    </w:p>
    <w:p w14:paraId="1FEA9548" w14:textId="77777777" w:rsidR="00CD33EF" w:rsidRPr="00C82F6C" w:rsidRDefault="00CD33EF" w:rsidP="00BB4824">
      <w:pPr>
        <w:pStyle w:val="EndNoteBibliography"/>
        <w:ind w:left="720" w:hanging="720"/>
      </w:pPr>
      <w:r w:rsidRPr="00C82F6C">
        <w:t>Ali, M., Shaw, D.R. and Saikaly, P.E.  2020b.  Application of an enrichment culture of the marine anammox bacterium "Ca. Scalindua sp. AMX11" for nitrogen removal under moderate salinity and in the presence of organic carbon. Water Res 170, 115345.</w:t>
      </w:r>
    </w:p>
    <w:p w14:paraId="056D9C03" w14:textId="77777777" w:rsidR="00CD33EF" w:rsidRPr="00C82F6C" w:rsidRDefault="00CD33EF" w:rsidP="00BB4824">
      <w:pPr>
        <w:pStyle w:val="EndNoteBibliography"/>
        <w:ind w:left="720" w:hanging="720"/>
      </w:pPr>
      <w:r w:rsidRPr="00C82F6C">
        <w:t>Ali, M., Shaw, D.R., Albertsen, M. and Saikaly, P.E.  2020a.  Comparative Genome-Centric Analysis of Freshwater and Marine ANAMMOX Cultures Suggests Functional Redundancy in Nitrogen Removal Processes. Front Microbiol 11, 1637.</w:t>
      </w:r>
    </w:p>
    <w:p w14:paraId="5906E30C" w14:textId="77777777" w:rsidR="00CD33EF" w:rsidRPr="00C82F6C" w:rsidRDefault="00CD33EF" w:rsidP="00BB4824">
      <w:pPr>
        <w:pStyle w:val="EndNoteBibliography"/>
        <w:ind w:left="720" w:hanging="720"/>
      </w:pPr>
      <w:r w:rsidRPr="00C82F6C">
        <w:t>Ali, M., Wang, Z., Salam, K.W., Hari, A.R., Pronk, M., van Loosdrecht, M.C.M. and Saikaly, P.E.  2019.  Importance of Species Sorting and Immigration on the Bacterial Assembly of Different-Sized Aggregates in a Full-Scale Aerobic Granular Sludge Plant. Environ Sci Technol 53(14), 8291-8301.</w:t>
      </w:r>
    </w:p>
    <w:p w14:paraId="784139E5" w14:textId="77777777" w:rsidR="00CD33EF" w:rsidRPr="00C82F6C" w:rsidRDefault="00CD33EF" w:rsidP="00BB4824">
      <w:pPr>
        <w:pStyle w:val="EndNoteBibliography"/>
        <w:ind w:left="720" w:hanging="720"/>
      </w:pPr>
      <w:r w:rsidRPr="00C82F6C">
        <w:t>Alneberg, J., Bjarnason, B.S., de Bruijn, I., Schirmer, M., Quick, J., Ijaz, U.Z., Lahti, L., Loman, N.J., Andersson, A.F. and Quince, C.  2014.  Binning metagenomic contigs by coverage and composition. Nat Methods 11(11), 1144-1146.</w:t>
      </w:r>
    </w:p>
    <w:p w14:paraId="7956EDAA" w14:textId="77777777" w:rsidR="00CD33EF" w:rsidRPr="006C3BEE" w:rsidRDefault="00CD33EF" w:rsidP="00BB4824">
      <w:pPr>
        <w:pStyle w:val="EndNoteBibliography"/>
        <w:ind w:left="720" w:hanging="720"/>
        <w:rPr>
          <w:lang w:val="de-DE"/>
        </w:rPr>
      </w:pPr>
      <w:r w:rsidRPr="00C82F6C">
        <w:lastRenderedPageBreak/>
        <w:t xml:space="preserve">Alqahtani, M.F., Bajracharya, S., Katuri, K.P., Ali, M., Ragab, A., Michoud, G., Daffonchio, D. and Saikaly, P.E.  2019.  Enrichment of Marinobacter sp. and Halophilic Homoacetogens at the Biocathode of Microbial Electrosynthesis System Inoculated With Red Sea Brine Pool. </w:t>
      </w:r>
      <w:r w:rsidRPr="006C3BEE">
        <w:rPr>
          <w:lang w:val="de-DE"/>
        </w:rPr>
        <w:t>Front Microbiol 10, 2563.</w:t>
      </w:r>
    </w:p>
    <w:p w14:paraId="16E88D1E" w14:textId="77777777" w:rsidR="00CD33EF" w:rsidRDefault="00CD33EF" w:rsidP="00BB4824">
      <w:pPr>
        <w:pStyle w:val="EndNoteBibliography"/>
        <w:ind w:left="720" w:hanging="720"/>
      </w:pPr>
      <w:r w:rsidRPr="006C3BEE">
        <w:rPr>
          <w:lang w:val="de-DE"/>
        </w:rPr>
        <w:t xml:space="preserve">Andersen, K.S., Kirkegaard, R.H., Karst, S.M. and Albertsen, M.  </w:t>
      </w:r>
      <w:r w:rsidRPr="00C82F6C">
        <w:t>2018.  ampvis2: an R package to analyse and visualise 16S rRNA amplicon data. bioRxiv.</w:t>
      </w:r>
    </w:p>
    <w:p w14:paraId="32BA5EF0" w14:textId="77777777" w:rsidR="00364E2E" w:rsidRDefault="00364E2E" w:rsidP="00364E2E">
      <w:pPr>
        <w:pStyle w:val="EndNoteBibliography"/>
        <w:ind w:left="720" w:hanging="720"/>
      </w:pPr>
      <w:r>
        <w:t>Bereschenko, L.A. (2010) Biofilm development on new and cleaned membrane surfaces, Wageningen University.</w:t>
      </w:r>
    </w:p>
    <w:p w14:paraId="0834F367" w14:textId="32D8E352" w:rsidR="00364E2E" w:rsidRPr="00C82F6C" w:rsidRDefault="00364E2E" w:rsidP="00364E2E">
      <w:pPr>
        <w:pStyle w:val="EndNoteBibliography"/>
        <w:ind w:left="720" w:hanging="720"/>
      </w:pPr>
      <w:r>
        <w:t>Beyer, F. (2019) Microbiological and process technological aspects of nanofiltration and reverse osmosis membrane biofouling, Wageningen University.</w:t>
      </w:r>
    </w:p>
    <w:p w14:paraId="727A8333" w14:textId="77777777" w:rsidR="00CD33EF" w:rsidRPr="00C82F6C" w:rsidRDefault="00CD33EF" w:rsidP="00BB4824">
      <w:pPr>
        <w:pStyle w:val="EndNoteBibliography"/>
        <w:ind w:left="720" w:hanging="720"/>
      </w:pPr>
      <w:r w:rsidRPr="00C82F6C">
        <w:t>Bodilis, J., Nsigue-Meilo, S., Besaury, L. and Quillet, L.  2012.  Variable copy number, intra-genomic heterogeneities and lateral transfers of the 16S rRNA gene in Pseudomonas. PLoS One 7(4), e35647.</w:t>
      </w:r>
    </w:p>
    <w:p w14:paraId="61082A6B" w14:textId="77777777" w:rsidR="00CD33EF" w:rsidRPr="00C82F6C" w:rsidRDefault="00CD33EF" w:rsidP="00BB4824">
      <w:pPr>
        <w:pStyle w:val="EndNoteBibliography"/>
        <w:ind w:left="720" w:hanging="720"/>
      </w:pPr>
      <w:r w:rsidRPr="00C82F6C">
        <w:t>Bolger, A.M., Lohse, M. and Usadel, B.  2014.  Trimmomatic: a flexible trimmer for Illumina sequence data. Bioinformatics 30(15), 2114-2120.</w:t>
      </w:r>
    </w:p>
    <w:p w14:paraId="1150447C" w14:textId="77777777" w:rsidR="00CD33EF" w:rsidRPr="00C82F6C" w:rsidRDefault="00CD33EF" w:rsidP="00BB4824">
      <w:pPr>
        <w:pStyle w:val="EndNoteBibliography"/>
        <w:ind w:left="720" w:hanging="720"/>
      </w:pPr>
      <w:r w:rsidRPr="00C82F6C">
        <w:t>Bougouffa, S., Yang, J.K., Lee, O.O., Wang, Y., Batang, Z., Al-Suwailem, A. and Qian, P.Y.  2013.  Distinctive microbial community structure in highly stratified deep-sea brine water columns. Appl Environ Microbiol 79(11), 3425-3437.</w:t>
      </w:r>
    </w:p>
    <w:p w14:paraId="4F5FF4F4" w14:textId="77777777" w:rsidR="00CD33EF" w:rsidRPr="00C82F6C" w:rsidRDefault="00CD33EF" w:rsidP="00BB4824">
      <w:pPr>
        <w:pStyle w:val="EndNoteBibliography"/>
        <w:ind w:left="720" w:hanging="720"/>
      </w:pPr>
      <w:r w:rsidRPr="00C82F6C">
        <w:t>Caporaso, J.G., Kuczynski, J., Stombaugh, J., Bittinger, K., Bushman, F.D., Costello, E.K., Fierer, N., Peña, A.G., Goodrich, J.K., Gordon, J.I., Huttley, G.A., Kelley, S.T., Knights, D., Koenig, J.E., Ley, R.E., Lozupone, C.A., McDonald, D., Muegge, B.D., Pirrung, M., Reeder, J., Sevinsky, J.R., Turnbaugh, P.J., Walters, W.A., Widmann, J., Yatsunenko, T., Zaneveld, J. and Knight, R.  2010.  QIIME allows analysis of high-throughput community sequencing data. Nature Methods 7, 335–336.</w:t>
      </w:r>
    </w:p>
    <w:p w14:paraId="2F451F6A" w14:textId="77777777" w:rsidR="00CD33EF" w:rsidRPr="00C82F6C" w:rsidRDefault="00CD33EF" w:rsidP="00BB4824">
      <w:pPr>
        <w:pStyle w:val="EndNoteBibliography"/>
        <w:ind w:left="720" w:hanging="720"/>
      </w:pPr>
      <w:r w:rsidRPr="00C82F6C">
        <w:t>Chaumeil, P.A., Mussig, A.J., Hugenholtz, P. and Parks, D.H.  2022.  GTDB-Tk v2: memory friendly classification with the Genome Taxonomy Database. Bioinformatics.</w:t>
      </w:r>
    </w:p>
    <w:p w14:paraId="09D2F922" w14:textId="77777777" w:rsidR="00CD33EF" w:rsidRPr="00C82F6C" w:rsidRDefault="00CD33EF" w:rsidP="00BB4824">
      <w:pPr>
        <w:pStyle w:val="EndNoteBibliography"/>
        <w:ind w:left="720" w:hanging="720"/>
      </w:pPr>
      <w:r w:rsidRPr="00C82F6C">
        <w:t>Desai, N., Antonopoulos, D., Gilbert, J.A., Glass, E.M. and Meyer, F.  2012.  From genomics to metagenomics. Curr Opin Biotechnol 23(1), 72-76.</w:t>
      </w:r>
    </w:p>
    <w:p w14:paraId="7DAC35BC" w14:textId="77777777" w:rsidR="00CD33EF" w:rsidRPr="00C82F6C" w:rsidRDefault="00CD33EF" w:rsidP="00BB4824">
      <w:pPr>
        <w:pStyle w:val="EndNoteBibliography"/>
        <w:ind w:left="720" w:hanging="720"/>
      </w:pPr>
      <w:r w:rsidRPr="00C82F6C">
        <w:t>Dick, G.J., Andersson, A.F., Baker, B.J., Simmons, S.L., Thomas, B.C., Yelton, A.P. and Banfield, J.F.  2009.  Community-wide analysis of microbial genome sequence signatures. Genome Biol 10(8), R85.</w:t>
      </w:r>
    </w:p>
    <w:p w14:paraId="529669D4" w14:textId="77777777" w:rsidR="00CD33EF" w:rsidRPr="00C82F6C" w:rsidRDefault="00CD33EF" w:rsidP="00BB4824">
      <w:pPr>
        <w:pStyle w:val="EndNoteBibliography"/>
        <w:ind w:left="720" w:hanging="720"/>
      </w:pPr>
      <w:r w:rsidRPr="00C82F6C">
        <w:t>Dueholm, M.K.D., Nierychlo, M., Andersen, K.S., Rudkjobing, V., Knutsson, S., Mi, D.A.S.G.C., Albertsen, M. and Nielsen, P.H.  2022.  MiDAS 4: A global catalogue of full-length 16S rRNA gene sequences and taxonomy for studies of bacterial communities in wastewater treatment plants. Nat Commun 13(1), 1908.</w:t>
      </w:r>
    </w:p>
    <w:p w14:paraId="6F66BFA8" w14:textId="77777777" w:rsidR="00CD33EF" w:rsidRPr="00C82F6C" w:rsidRDefault="00CD33EF" w:rsidP="00BB4824">
      <w:pPr>
        <w:pStyle w:val="EndNoteBibliography"/>
        <w:ind w:left="720" w:hanging="720"/>
      </w:pPr>
      <w:r w:rsidRPr="00C82F6C">
        <w:t>Dupont, C.L., Rusch, D.B., Yooseph, S., Lombardo, M.J., Richter, R.A., Valas, R., Novotny, M., Yee-Greenbaum, J., Selengut, J.D., Haft, D.H., Halpern, A.L., Lasken, R.S., Nealson, K., Friedman, R. and Venter, J.C.  2012.  Genomic insights to SAR86, an abundant and uncultivated marine bacterial lineage. ISME J 6(6), 1186-1199.</w:t>
      </w:r>
    </w:p>
    <w:p w14:paraId="53D38179" w14:textId="77777777" w:rsidR="00CD33EF" w:rsidRPr="00C82F6C" w:rsidRDefault="00CD33EF" w:rsidP="00BB4824">
      <w:pPr>
        <w:pStyle w:val="EndNoteBibliography"/>
        <w:ind w:left="720" w:hanging="720"/>
      </w:pPr>
      <w:r w:rsidRPr="00C82F6C">
        <w:t>Edgar, R.C.  2013.  UPARSE: highly accurate OTU sequences from microbial amplicon reads. Nat Methods 10(10), 996-998.</w:t>
      </w:r>
    </w:p>
    <w:p w14:paraId="741AD918" w14:textId="77777777" w:rsidR="00CD33EF" w:rsidRPr="00C82F6C" w:rsidRDefault="00CD33EF" w:rsidP="00BB4824">
      <w:pPr>
        <w:pStyle w:val="EndNoteBibliography"/>
        <w:ind w:left="720" w:hanging="720"/>
      </w:pPr>
      <w:r w:rsidRPr="00C82F6C">
        <w:t>Eren, A.M., Kiefl, E., Shaiber, A., Veseli, I., Miller, S.E., Schechter, M.S., Fink, I., Pan, J.N., Yousef, M., Fogarty, E.C., Trigodet, F., Watson, A.R., Esen, O.C., Moore, R.M., Clayssen, Q., Lee, M.D., Kivenson, V., Graham, E.D., Merrill, B.D., Karkman, A., Blankenberg, D., Eppley, J.M., Sjodin, A., Scott, J.J., Vazquez-Campos, X., McKay, L.J., McDaniel, E.A., Stevens, S.L.R., Anderson, R.E., Fuessel, J., Fernandez-Guerra, A., Maignien, L., Delmont, T.O. and Willis, A.D.  2021.  Community-led, integrated, reproducible multi-omics with anvi'o. Nat Microbiol 6(1), 3-6.</w:t>
      </w:r>
    </w:p>
    <w:p w14:paraId="45075B44" w14:textId="77777777" w:rsidR="00CD33EF" w:rsidRPr="00C82F6C" w:rsidRDefault="00CD33EF" w:rsidP="00BB4824">
      <w:pPr>
        <w:pStyle w:val="EndNoteBibliography"/>
        <w:ind w:left="720" w:hanging="720"/>
      </w:pPr>
      <w:r w:rsidRPr="00C82F6C">
        <w:t>Frias-Lopez, J., Shi, Y., Tyson, G.W., Coleman, M.L., Schuster, S.C., Chisholm, S.W. and Delong, E.F.  2008.  Microbial community gene expression in ocean surface waters. Proc Natl Acad Sci U S A 105(10), 3805-3810.</w:t>
      </w:r>
    </w:p>
    <w:p w14:paraId="464508C2" w14:textId="77777777" w:rsidR="00CD33EF" w:rsidRPr="00C82F6C" w:rsidRDefault="00CD33EF" w:rsidP="00BB4824">
      <w:pPr>
        <w:pStyle w:val="EndNoteBibliography"/>
        <w:ind w:left="720" w:hanging="720"/>
      </w:pPr>
      <w:r w:rsidRPr="00C82F6C">
        <w:t>Garcia Martin, H., Ivanova, N., Kunin, V., Warnecke, F., Barry, K.W., McHardy, A.C., Yeates, C., He, S., Salamov, A.A., Szeto, E., Dalin, E., Putnam, N.H., Shapiro, H.J., Pangilinan, J.L., Rigoutsos, I., Kyrpides, N.C., Blackall, L.L., McMahon, K.D. and Hugenholtz, P.  2006.  Metagenomic analysis of two enhanced biological phosphorus removal (EBPR) sludge communities. Nat Biotechnol 24(10), 1263-1269.</w:t>
      </w:r>
    </w:p>
    <w:p w14:paraId="616DD823" w14:textId="77777777" w:rsidR="00CD33EF" w:rsidRPr="00C82F6C" w:rsidRDefault="00CD33EF" w:rsidP="00BB4824">
      <w:pPr>
        <w:pStyle w:val="EndNoteBibliography"/>
        <w:ind w:left="720" w:hanging="720"/>
      </w:pPr>
      <w:r w:rsidRPr="00C82F6C">
        <w:t>Garcias-Bonet, N., Fusi, M., Ali, M., Shaw, D.R., Saikaly, P.E., Daffonchio, D. and Duarte, C.M.  2018.  High denitrification and anaerobic ammonium oxidation contributes to net nitrogen loss in a seagrass ecosystem in the central Red Sea. Biogeosciences 15(23), 7333-7346.</w:t>
      </w:r>
    </w:p>
    <w:p w14:paraId="4E099280" w14:textId="77777777" w:rsidR="00CD33EF" w:rsidRPr="00C82F6C" w:rsidRDefault="00CD33EF" w:rsidP="00BB4824">
      <w:pPr>
        <w:pStyle w:val="EndNoteBibliography"/>
        <w:ind w:left="720" w:hanging="720"/>
      </w:pPr>
      <w:r w:rsidRPr="00C82F6C">
        <w:t>Goodrich, J.K., Di Rienzi, S.C., Poole, A.C., Koren, O., Walters, W.A., Caporaso, J.G., Knight, R. and Ley, R.E.  2014.  Conducting a microbiome study. Cell 158(2), 250-262.</w:t>
      </w:r>
    </w:p>
    <w:p w14:paraId="604625E5" w14:textId="77777777" w:rsidR="00CD33EF" w:rsidRPr="00C82F6C" w:rsidRDefault="00CD33EF" w:rsidP="00BB4824">
      <w:pPr>
        <w:pStyle w:val="EndNoteBibliography"/>
        <w:ind w:left="720" w:hanging="720"/>
      </w:pPr>
      <w:r w:rsidRPr="00C82F6C">
        <w:lastRenderedPageBreak/>
        <w:t>Haroon, M.F., Hu, S., Shi, Y., Imelfort, M., Keller, J., Hugenholtz, P., Yuan, Z. and Tyson, G.W.  2013.  Anaerobic oxidation of methane coupled to nitrate reduction in a novel archaeal lineage. Nature 500(7464), 567-570.</w:t>
      </w:r>
    </w:p>
    <w:p w14:paraId="7E28A385" w14:textId="77777777" w:rsidR="00CD33EF" w:rsidRPr="00C82F6C" w:rsidRDefault="00CD33EF" w:rsidP="00BB4824">
      <w:pPr>
        <w:pStyle w:val="EndNoteBibliography"/>
        <w:ind w:left="720" w:hanging="720"/>
      </w:pPr>
      <w:r w:rsidRPr="00C82F6C">
        <w:t>Head, S.R., Komori, H.K., LaMere, S.A., Whisenant, T., Van Nieuwerburgh, F., Salomon, D.R. and Ordoukhanian, P.  2014.  Library construction for next-generation sequencing: overviews and challenges. Biotechniques 56(2), 61-64, 66, 68, passim.</w:t>
      </w:r>
    </w:p>
    <w:p w14:paraId="781623A4" w14:textId="77777777" w:rsidR="00CD33EF" w:rsidRPr="00C82F6C" w:rsidRDefault="00CD33EF" w:rsidP="00BB4824">
      <w:pPr>
        <w:pStyle w:val="EndNoteBibliography"/>
        <w:ind w:left="720" w:hanging="720"/>
      </w:pPr>
      <w:r w:rsidRPr="00C82F6C">
        <w:t>Howe, A.C., Jansson, J.K., Malfatti, S.A., Tringe, S.G., Tiedje, J.M. and Brown, C.T.  2014.  Tackling soil diversity with the assembly of large, complex metagenomes. Proc Natl Acad Sci U S A 111(13), 4904-4909.</w:t>
      </w:r>
    </w:p>
    <w:p w14:paraId="04625460" w14:textId="77777777" w:rsidR="00CD33EF" w:rsidRPr="00C82F6C" w:rsidRDefault="00CD33EF" w:rsidP="00BB4824">
      <w:pPr>
        <w:pStyle w:val="EndNoteBibliography"/>
        <w:ind w:left="720" w:hanging="720"/>
      </w:pPr>
      <w:r w:rsidRPr="00C82F6C">
        <w:t>Hugenholtz, P.  2002.  Exploring prokaryotic diversity in the genomic era. Genome Biology 3(2), 1-8.</w:t>
      </w:r>
    </w:p>
    <w:p w14:paraId="4B4B9BD9" w14:textId="77777777" w:rsidR="00CD33EF" w:rsidRPr="00C82F6C" w:rsidRDefault="00CD33EF" w:rsidP="00BB4824">
      <w:pPr>
        <w:pStyle w:val="EndNoteBibliography"/>
        <w:ind w:left="720" w:hanging="720"/>
      </w:pPr>
      <w:r w:rsidRPr="00C82F6C">
        <w:t>Imelfort, M., Parks, D., Woodcroft, B.J., Dennis, P., Hugenholtz, P. and Tyson, G.W.  2014.  GroopM: an automated tool for the recovery of population genomes from related metagenomes. PeerJ 2, e603.</w:t>
      </w:r>
    </w:p>
    <w:p w14:paraId="2EA6BDC8" w14:textId="77777777" w:rsidR="00CD33EF" w:rsidRPr="00C82F6C" w:rsidRDefault="00CD33EF" w:rsidP="00BB4824">
      <w:pPr>
        <w:pStyle w:val="EndNoteBibliography"/>
        <w:ind w:left="720" w:hanging="720"/>
      </w:pPr>
      <w:r w:rsidRPr="00C82F6C">
        <w:t>Kang, D.D., Froula, J., Egan, R. and Wang, Z.  2015.  MetaBAT, an efficient tool for accurately reconstructing single genomes from complex microbial communities. PeerJ 3, e1165.</w:t>
      </w:r>
    </w:p>
    <w:p w14:paraId="4DCB755A" w14:textId="77777777" w:rsidR="00CD33EF" w:rsidRPr="00C82F6C" w:rsidRDefault="00CD33EF" w:rsidP="00BB4824">
      <w:pPr>
        <w:pStyle w:val="EndNoteBibliography"/>
        <w:ind w:left="720" w:hanging="720"/>
      </w:pPr>
      <w:r w:rsidRPr="00C82F6C">
        <w:t>Kang, D.D., Li, F., Kirton, E., Thomas, A., Egan, R., An, H. and Wang, Z.  2019.  MetaBAT 2: an adaptive binning algorithm for robust and efficient genome reconstruction from metagenome assemblies. PeerJ 7, e7359.</w:t>
      </w:r>
    </w:p>
    <w:p w14:paraId="1161D36B" w14:textId="77777777" w:rsidR="00CD33EF" w:rsidRPr="00C82F6C" w:rsidRDefault="00CD33EF" w:rsidP="00BB4824">
      <w:pPr>
        <w:pStyle w:val="EndNoteBibliography"/>
        <w:ind w:left="720" w:hanging="720"/>
      </w:pPr>
      <w:r w:rsidRPr="00C82F6C">
        <w:t>Knight, R., Jansson, J., Field, D., Fierer, N., Desai, N., Fuhrman, J.A., Hugenholtz, P., van der Lelie, D., Meyer, F., Stevens, R., Bailey, M.J., Gordon, J.I., Kowalchuk, G.A. and Gilbert, J.A.  2012.  Unlocking the potential of metagenomics through replicated experimental design. Nat Biotechnol 30(6), 513-520.</w:t>
      </w:r>
    </w:p>
    <w:p w14:paraId="70F85B8D" w14:textId="77777777" w:rsidR="00CD33EF" w:rsidRPr="00C82F6C" w:rsidRDefault="00CD33EF" w:rsidP="00BB4824">
      <w:pPr>
        <w:pStyle w:val="EndNoteBibliography"/>
        <w:ind w:left="720" w:hanging="720"/>
      </w:pPr>
      <w:r w:rsidRPr="00C82F6C">
        <w:t>Koren, S., Schatz, M.C., Walenz, B.P., Martin, J., Howard, J.T., Ganapathy, G., Wang, Z., Rasko, D.A., McCombie, W.R., Jarvis, E.D. and Adam, M.P.  2012.  Hybrid error correction and de novo assembly of single-molecule sequencing reads. Nat Biotechnol 30(7), 693-700.</w:t>
      </w:r>
    </w:p>
    <w:p w14:paraId="02DD2C75" w14:textId="77777777" w:rsidR="00CD33EF" w:rsidRPr="00C82F6C" w:rsidRDefault="00CD33EF" w:rsidP="00BB4824">
      <w:pPr>
        <w:pStyle w:val="EndNoteBibliography"/>
        <w:ind w:left="720" w:hanging="720"/>
      </w:pPr>
      <w:r w:rsidRPr="00C82F6C">
        <w:t>Kunin, V., Copeland, A., Lapidus, A., Mavromatis, K. and Hugenholtz, P.  2008.  A bioinformatician's guide to metagenomics. Microbiol Mol Biol Rev 72(4), 557-578, Table of Contents.</w:t>
      </w:r>
    </w:p>
    <w:p w14:paraId="79FF3E45" w14:textId="77777777" w:rsidR="00CD33EF" w:rsidRPr="00C82F6C" w:rsidRDefault="00CD33EF" w:rsidP="00BB4824">
      <w:pPr>
        <w:pStyle w:val="EndNoteBibliography"/>
        <w:ind w:left="720" w:hanging="720"/>
      </w:pPr>
      <w:r w:rsidRPr="00C82F6C">
        <w:t>Li, D., Luo, R., Liu, C.M., Leung, C.M., Ting, H.F., Sadakane, K., Yamashita, H. and Lam, T.W.  2016.  MEGAHIT v1.0: A fast and scalable metagenome assembler driven by advanced methodologies and community practices. Methods 102, 3-11.</w:t>
      </w:r>
    </w:p>
    <w:p w14:paraId="5004DEFE" w14:textId="77777777" w:rsidR="00CD33EF" w:rsidRPr="00C82F6C" w:rsidRDefault="00CD33EF" w:rsidP="00BB4824">
      <w:pPr>
        <w:pStyle w:val="EndNoteBibliography"/>
        <w:ind w:left="720" w:hanging="720"/>
      </w:pPr>
      <w:r w:rsidRPr="00C82F6C">
        <w:t>Li, H. and Durbin, R.  2009.  Fast and accurate short read alignment with Burrows-Wheeler transform. Bioinformatics 25(14), 1754-1760.</w:t>
      </w:r>
    </w:p>
    <w:p w14:paraId="65EBA5D7" w14:textId="77777777" w:rsidR="00CD33EF" w:rsidRPr="00C82F6C" w:rsidRDefault="00CD33EF" w:rsidP="00BB4824">
      <w:pPr>
        <w:pStyle w:val="EndNoteBibliography"/>
        <w:ind w:left="720" w:hanging="720"/>
      </w:pPr>
      <w:r w:rsidRPr="00C82F6C">
        <w:t>Li, H. and Durbin, R.  2010.  Fast and accurate long-read alignment with Burrows-Wheeler transform. Bioinformatics 26(5), 589-595.</w:t>
      </w:r>
    </w:p>
    <w:p w14:paraId="1C4614B4" w14:textId="77777777" w:rsidR="00CD33EF" w:rsidRPr="00C82F6C" w:rsidRDefault="00CD33EF" w:rsidP="00BB4824">
      <w:pPr>
        <w:pStyle w:val="EndNoteBibliography"/>
        <w:ind w:left="720" w:hanging="720"/>
      </w:pPr>
      <w:r w:rsidRPr="00C82F6C">
        <w:t>Love, M.I., Huber, W. and Anders, S.  2014.  Moderated estimation of fold change and dispersion for RNA-seq data with DESeq2. Genome Biol 15(12), 550.</w:t>
      </w:r>
    </w:p>
    <w:p w14:paraId="479510EF" w14:textId="77777777" w:rsidR="00CD33EF" w:rsidRPr="00C82F6C" w:rsidRDefault="00CD33EF" w:rsidP="00BB4824">
      <w:pPr>
        <w:pStyle w:val="EndNoteBibliography"/>
        <w:ind w:left="720" w:hanging="720"/>
      </w:pPr>
      <w:r w:rsidRPr="00C82F6C">
        <w:t>Lovley, D.R.  2003.  Cleaning up with genomics: applying molecular biology to bioremediation. Nat Rev Microbiol 1(1), 35-44.</w:t>
      </w:r>
    </w:p>
    <w:p w14:paraId="3CB78EF8" w14:textId="77777777" w:rsidR="00CD33EF" w:rsidRPr="00C82F6C" w:rsidRDefault="00CD33EF" w:rsidP="00BB4824">
      <w:pPr>
        <w:pStyle w:val="EndNoteBibliography"/>
        <w:ind w:left="720" w:hanging="720"/>
      </w:pPr>
      <w:r w:rsidRPr="00C82F6C">
        <w:t>Magoc, T. and Salzberg, S.L.  2011.  FLASH: fast length adjustment of short reads to improve genome assemblies. Bioinformatics 27(21), 2957-2963.</w:t>
      </w:r>
    </w:p>
    <w:p w14:paraId="68F49A61" w14:textId="77777777" w:rsidR="00CD33EF" w:rsidRPr="00C82F6C" w:rsidRDefault="00CD33EF" w:rsidP="00BB4824">
      <w:pPr>
        <w:pStyle w:val="EndNoteBibliography"/>
        <w:ind w:left="720" w:hanging="720"/>
      </w:pPr>
      <w:r w:rsidRPr="00C82F6C">
        <w:t>Martin, M.  2011.  Cutadapt removes adapter sequences from high-throughput sequencing reads. EMBNet Journal, 10-12.</w:t>
      </w:r>
    </w:p>
    <w:p w14:paraId="0AD376B9" w14:textId="77777777" w:rsidR="00CD33EF" w:rsidRPr="00C82F6C" w:rsidRDefault="00CD33EF" w:rsidP="00BB4824">
      <w:pPr>
        <w:pStyle w:val="EndNoteBibliography"/>
        <w:ind w:left="720" w:hanging="720"/>
      </w:pPr>
      <w:r w:rsidRPr="00C82F6C">
        <w:t>Mason, O.U., Hazen, T.C., Borglin, S., Chain, P.S., Dubinsky, E.A., Fortney, J.L., Han, J., Holman, H.Y., Hultman, J., Lamendella, R., Mackelprang, R., Malfatti, S., Tom, L.M., Tringe, S.G., Woyke, T., Zhou, J., Rubin, E.M. and Jansson, J.K.  2012.  Metagenome, metatranscriptome and single-cell sequencing reveal microbial response to Deepwater Horizon oil spill. ISME J 6(9), 1715-1727.</w:t>
      </w:r>
    </w:p>
    <w:p w14:paraId="6D7E57DE" w14:textId="77777777" w:rsidR="00CD33EF" w:rsidRPr="00C82F6C" w:rsidRDefault="00CD33EF" w:rsidP="00BB4824">
      <w:pPr>
        <w:pStyle w:val="EndNoteBibliography"/>
        <w:ind w:left="720" w:hanging="720"/>
      </w:pPr>
      <w:r w:rsidRPr="00C82F6C">
        <w:t>Matar, G.K., Ali, M., Bagchi, S., Nunes, S., Liu, W.T. and Saikaly, P.E.  2021.  Relative Importance of Stochastic Assembly Process of Membrane Biofilm Increased as Biofilm Aged. Front Microbiol 12, 708531.</w:t>
      </w:r>
    </w:p>
    <w:p w14:paraId="22FDD67D" w14:textId="77777777" w:rsidR="00CD33EF" w:rsidRDefault="00CD33EF" w:rsidP="00BB4824">
      <w:pPr>
        <w:pStyle w:val="EndNoteBibliography"/>
        <w:ind w:left="720" w:hanging="720"/>
      </w:pPr>
      <w:r w:rsidRPr="00C82F6C">
        <w:t>McHardy, A.C., Martin, H.G., Tsirigos, A., Hugenholtz, P. and Rigoutsos, I.  2007.  Accurate phylogenetic classification of variable-length DNA fragments. Nat Methods 4(1), 63-72.</w:t>
      </w:r>
    </w:p>
    <w:p w14:paraId="2BFC8A5E" w14:textId="0A5BB2D6" w:rsidR="00364E2E" w:rsidRPr="00C82F6C" w:rsidRDefault="00364E2E" w:rsidP="00BB4824">
      <w:pPr>
        <w:pStyle w:val="EndNoteBibliography"/>
        <w:ind w:left="720" w:hanging="720"/>
      </w:pPr>
      <w:r w:rsidRPr="00364E2E">
        <w:t>Møllebjerg, A., Zarebska, A., Nielsen, H.B., Hansen, L.B.S., Sørensen, S.R., Seredynska-Sobecka, B., Villacorte, L.O., Gori, K., Palmén, L.G. and Meyer, R.L.  2023.  Novel high-throughput screening platform identifies enzymes to tackle biofouling on reverse osmosis membranes. Desalination 554.</w:t>
      </w:r>
    </w:p>
    <w:p w14:paraId="7F1A302E" w14:textId="77777777" w:rsidR="00CD33EF" w:rsidRPr="00C82F6C" w:rsidRDefault="00CD33EF" w:rsidP="00BB4824">
      <w:pPr>
        <w:pStyle w:val="EndNoteBibliography"/>
        <w:ind w:left="720" w:hanging="720"/>
      </w:pPr>
      <w:r w:rsidRPr="00C82F6C">
        <w:lastRenderedPageBreak/>
        <w:t>Nielsen, P.H., Daims, H., Lemmer, H., Arslan-Alaton, I. and Olmez-Hanci, T. (2009) FISH Handbook for Biological Wastewater Treatment, IWA Publishing, London, UK.</w:t>
      </w:r>
    </w:p>
    <w:p w14:paraId="2AB74C73" w14:textId="77777777" w:rsidR="00CD33EF" w:rsidRPr="00C82F6C" w:rsidRDefault="00CD33EF" w:rsidP="00BB4824">
      <w:pPr>
        <w:pStyle w:val="EndNoteBibliography"/>
        <w:ind w:left="720" w:hanging="720"/>
      </w:pPr>
      <w:r w:rsidRPr="006C3BEE">
        <w:rPr>
          <w:lang w:val="da-DK"/>
        </w:rPr>
        <w:t xml:space="preserve">Parks, D.H., Imelfort, M., Skennerton, C.T., Hugenholtz, P. and Tyson, G.W.  </w:t>
      </w:r>
      <w:r w:rsidRPr="00C82F6C">
        <w:t>2015.  CheckM: assessing the quality of microbial genomes recovered from isolates, single cells, and metagenomes. Genome Res 25(7), 1043-1055.</w:t>
      </w:r>
    </w:p>
    <w:p w14:paraId="54FC9571" w14:textId="77777777" w:rsidR="00CD33EF" w:rsidRPr="00C82F6C" w:rsidRDefault="00CD33EF" w:rsidP="00BB4824">
      <w:pPr>
        <w:pStyle w:val="EndNoteBibliography"/>
        <w:ind w:left="720" w:hanging="720"/>
      </w:pPr>
      <w:r w:rsidRPr="00C82F6C">
        <w:t>Peng, Y., Leung, H.C., Yiu, S.M. and Chin, F.Y.  2012.  IDBA-UD: a de novo assembler for single-cell and metagenomic sequencing data with highly uneven depth. Bioinformatics 28(11), 1420-1428.</w:t>
      </w:r>
    </w:p>
    <w:p w14:paraId="78FDFCB2" w14:textId="77777777" w:rsidR="00CD33EF" w:rsidRPr="00C82F6C" w:rsidRDefault="00CD33EF" w:rsidP="00BB4824">
      <w:pPr>
        <w:pStyle w:val="EndNoteBibliography"/>
        <w:ind w:left="720" w:hanging="720"/>
      </w:pPr>
      <w:r w:rsidRPr="00C82F6C">
        <w:t>Pruesse, E., Peplies, J. and Glockner, F.O.  2012.  SINA: accurate high-throughput multiple sequence alignment of ribosomal RNA genes. Bioinformatics 28(14), 1823-1829.</w:t>
      </w:r>
    </w:p>
    <w:p w14:paraId="42D4210A" w14:textId="77777777" w:rsidR="00CD33EF" w:rsidRPr="006C3BEE" w:rsidRDefault="00CD33EF" w:rsidP="00BB4824">
      <w:pPr>
        <w:pStyle w:val="EndNoteBibliography"/>
        <w:ind w:left="720" w:hanging="720"/>
        <w:rPr>
          <w:lang w:val="de-DE"/>
        </w:rPr>
      </w:pPr>
      <w:r w:rsidRPr="00C82F6C">
        <w:t xml:space="preserve">Raes, J., Korbel, J.O., Lercher, M.J., von Mering, C. and Bork, P.  2007.  Prediction of effective genome size in metagenomic samples. </w:t>
      </w:r>
      <w:r w:rsidRPr="006C3BEE">
        <w:rPr>
          <w:lang w:val="de-DE"/>
        </w:rPr>
        <w:t>Genome Biol 8(1), R10.</w:t>
      </w:r>
    </w:p>
    <w:p w14:paraId="5F045785" w14:textId="77777777" w:rsidR="00CD33EF" w:rsidRPr="006C3BEE" w:rsidRDefault="00CD33EF" w:rsidP="00BB4824">
      <w:pPr>
        <w:pStyle w:val="EndNoteBibliography"/>
        <w:ind w:left="720" w:hanging="720"/>
        <w:rPr>
          <w:lang w:val="es-ES"/>
        </w:rPr>
      </w:pPr>
      <w:r w:rsidRPr="006C3BEE">
        <w:rPr>
          <w:lang w:val="de-DE"/>
        </w:rPr>
        <w:t xml:space="preserve">Rehman, Z.U., Ali, M., Iftikhar, H. and Leiknes, T.  </w:t>
      </w:r>
      <w:r w:rsidRPr="00C82F6C">
        <w:t xml:space="preserve">2019.  Genome-resolved metagenomic analysis reveals roles of microbial community members in full-scale seawater reverse osmosis plant. </w:t>
      </w:r>
      <w:r w:rsidRPr="006C3BEE">
        <w:rPr>
          <w:lang w:val="es-ES"/>
        </w:rPr>
        <w:t>Water Res 149, 263-271.</w:t>
      </w:r>
    </w:p>
    <w:p w14:paraId="449E6FD1" w14:textId="77777777" w:rsidR="00CD33EF" w:rsidRPr="00C82F6C" w:rsidRDefault="00CD33EF" w:rsidP="00BB4824">
      <w:pPr>
        <w:pStyle w:val="EndNoteBibliography"/>
        <w:ind w:left="720" w:hanging="720"/>
      </w:pPr>
      <w:r w:rsidRPr="006C3BEE">
        <w:rPr>
          <w:lang w:val="es-ES"/>
        </w:rPr>
        <w:t xml:space="preserve">Riesgo, A., Perez-Porro, A.R., Carmona, S., Leys, S.P. and Giribet, G.  </w:t>
      </w:r>
      <w:r w:rsidRPr="00C82F6C">
        <w:t>2012.  Optimization of preservation and storage time of sponge tissues to obtain quality mRNA for next-generation sequencing. Mol Ecol Resour 12(2), 312-322.</w:t>
      </w:r>
    </w:p>
    <w:p w14:paraId="0D34915A" w14:textId="77777777" w:rsidR="00CD33EF" w:rsidRPr="00C82F6C" w:rsidRDefault="00CD33EF" w:rsidP="00BB4824">
      <w:pPr>
        <w:pStyle w:val="EndNoteBibliography"/>
        <w:ind w:left="720" w:hanging="720"/>
      </w:pPr>
      <w:r w:rsidRPr="00C82F6C">
        <w:t>Roesch, L.F., Fulthorpe, R.R., Riva, A., Casella, G., Hadwin, A.K., Kent, A.D., Daroub, S.H., Camargo, F.A., Farmerie, W.G. and Triplett, E.W.  2007.  Pyrosequencing enumerates and contrasts soil microbial diversity. ISME J 1(4), 283-290.</w:t>
      </w:r>
    </w:p>
    <w:p w14:paraId="34B8D6CE" w14:textId="77777777" w:rsidR="00CD33EF" w:rsidRPr="00C82F6C" w:rsidRDefault="00CD33EF" w:rsidP="00BB4824">
      <w:pPr>
        <w:pStyle w:val="EndNoteBibliography"/>
        <w:ind w:left="720" w:hanging="720"/>
      </w:pPr>
      <w:r w:rsidRPr="00C82F6C">
        <w:t>Schloss, P.D., Westcott, S.L., Ryabin, T., Hall, J.R., Hartmann, M., Hollister, E.B., Lesniewski, R.A., Oakley, B.B., Parks, D.H., Robinson, C.J., Sahl, J.W., Stres, B., Thallinger, G.G., Van Horn, D.J. and Weber, C.F.  2009.  Introducing mothur: open-source, platform-independent, community-supported software for describing and comparing microbial communities. Appl Environ Microbiol 75(23), 7537-7541.</w:t>
      </w:r>
    </w:p>
    <w:p w14:paraId="32155DA6" w14:textId="77777777" w:rsidR="00CD33EF" w:rsidRPr="00C82F6C" w:rsidRDefault="00CD33EF" w:rsidP="00BB4824">
      <w:pPr>
        <w:pStyle w:val="EndNoteBibliography"/>
        <w:ind w:left="720" w:hanging="720"/>
      </w:pPr>
      <w:r w:rsidRPr="00C82F6C">
        <w:t>Scholz, M.B., Lo, C.C. and Chain, P.S.  2012.  Next generation sequencing and bioinformatic bottlenecks: the current state of metagenomic data analysis. Curr Opin Biotechnol 23(1), 9-15.</w:t>
      </w:r>
    </w:p>
    <w:p w14:paraId="78B687B6" w14:textId="77777777" w:rsidR="00CD33EF" w:rsidRPr="00C82F6C" w:rsidRDefault="00CD33EF" w:rsidP="00BB4824">
      <w:pPr>
        <w:pStyle w:val="EndNoteBibliography"/>
        <w:ind w:left="720" w:hanging="720"/>
      </w:pPr>
      <w:r w:rsidRPr="00C82F6C">
        <w:t>Seemann, T.  2014.  Prokka: rapid prokaryotic genome annotation. Bioinformatics 30(14), 2068-2069.</w:t>
      </w:r>
    </w:p>
    <w:p w14:paraId="0D814C3A" w14:textId="77777777" w:rsidR="00CD33EF" w:rsidRPr="00C82F6C" w:rsidRDefault="00CD33EF" w:rsidP="00BB4824">
      <w:pPr>
        <w:pStyle w:val="EndNoteBibliography"/>
        <w:ind w:left="720" w:hanging="720"/>
      </w:pPr>
      <w:r w:rsidRPr="00C82F6C">
        <w:t>Shaw, D.R., Ali, M., Katuri, K.P., Gralnick, J.A., Reimann, J., Mesman, R., van Niftrik, L., Jetten, M.S.M. and Saikaly, P.E.  2020.  Extracellular electron transfer-dependent anaerobic oxidation of ammonium by anammox bacteria. Nat Commun 11(1), 2058.</w:t>
      </w:r>
    </w:p>
    <w:p w14:paraId="34561155" w14:textId="77777777" w:rsidR="00CD33EF" w:rsidRPr="00C82F6C" w:rsidRDefault="00CD33EF" w:rsidP="00BB4824">
      <w:pPr>
        <w:pStyle w:val="EndNoteBibliography"/>
        <w:ind w:left="720" w:hanging="720"/>
      </w:pPr>
      <w:r w:rsidRPr="00C82F6C">
        <w:t>Siegwald, L., Touzet, H., Lemoine, Y., Hot, D., Audebert, C. and Caboche, S.  2017.  Assessment of Common and Emerging Bioinformatics Pipelines for Targeted Metagenomics. PLoS One 12(1), e0169563.</w:t>
      </w:r>
    </w:p>
    <w:p w14:paraId="64E3AF8F" w14:textId="77777777" w:rsidR="00CD33EF" w:rsidRPr="00C82F6C" w:rsidRDefault="00CD33EF" w:rsidP="00BB4824">
      <w:pPr>
        <w:pStyle w:val="EndNoteBibliography"/>
        <w:ind w:left="720" w:hanging="720"/>
      </w:pPr>
      <w:r w:rsidRPr="00C82F6C">
        <w:t>Speth, D.R., Lagkouvardos, I., Wang, Y., Qian, P.Y., Dutilh, B.E. and Jetten, M.S.M.  2017.  Draft Genome of Scalindua rubra, Obtained from the Interface Above the Discovery Deep Brine in the Red Sea, Sheds Light on Potential Salt Adaptation Strategies in Anammox Bacteria. Microb Ecol 74(1), 1-5.</w:t>
      </w:r>
    </w:p>
    <w:p w14:paraId="0DD2FE4F" w14:textId="77777777" w:rsidR="00CD33EF" w:rsidRPr="00C82F6C" w:rsidRDefault="00CD33EF" w:rsidP="00BB4824">
      <w:pPr>
        <w:pStyle w:val="EndNoteBibliography"/>
        <w:ind w:left="720" w:hanging="720"/>
      </w:pPr>
      <w:r w:rsidRPr="00C82F6C">
        <w:t>Thomas, T., Gilbert, J. and Meyer, F.  2012.  Metagenomics - a guide from sampling to data analysis. Microb Inform Exp 2(1), 3.</w:t>
      </w:r>
    </w:p>
    <w:p w14:paraId="7272CBC0" w14:textId="77777777" w:rsidR="00CD33EF" w:rsidRPr="00C82F6C" w:rsidRDefault="00CD33EF" w:rsidP="00BB4824">
      <w:pPr>
        <w:pStyle w:val="EndNoteBibliography"/>
        <w:ind w:left="720" w:hanging="720"/>
      </w:pPr>
      <w:r w:rsidRPr="00C82F6C">
        <w:t>Trego, A.C., O'Sullivan, S., Quince, C., Mills, S., Ijaz, U.Z. and Collins, G.  2020.  Size Shapes the Active Microbiome of Methanogenic Granules, Corroborating a Biofilm Life Cycle. mSystems 5(5).</w:t>
      </w:r>
    </w:p>
    <w:p w14:paraId="38FF87A7" w14:textId="77777777" w:rsidR="00CD33EF" w:rsidRDefault="00CD33EF" w:rsidP="00BB4824">
      <w:pPr>
        <w:pStyle w:val="EndNoteBibliography"/>
        <w:ind w:left="720" w:hanging="720"/>
      </w:pPr>
      <w:r w:rsidRPr="00C82F6C">
        <w:t>van Dijk, E.L., Auger, H., Jaszczyszyn, Y. and Thermes, C.  2014.  Ten years of next-generation sequencing technology. Trends Genet 30(9), 418-426.</w:t>
      </w:r>
    </w:p>
    <w:p w14:paraId="7135C412" w14:textId="3503499D" w:rsidR="00364E2E" w:rsidRPr="00C82F6C" w:rsidRDefault="00364E2E" w:rsidP="00BB4824">
      <w:pPr>
        <w:pStyle w:val="EndNoteBibliography"/>
        <w:ind w:left="720" w:hanging="720"/>
      </w:pPr>
      <w:r w:rsidRPr="00364E2E">
        <w:t>Vries, H.J.d. (2022) Characterizing bacteria involved in fouling of spiral wound membranes, Wageningen University.</w:t>
      </w:r>
    </w:p>
    <w:p w14:paraId="3E03D1BB" w14:textId="77777777" w:rsidR="00CD33EF" w:rsidRPr="00C82F6C" w:rsidRDefault="00CD33EF" w:rsidP="00BB4824">
      <w:pPr>
        <w:pStyle w:val="EndNoteBibliography"/>
        <w:ind w:left="720" w:hanging="720"/>
      </w:pPr>
      <w:r w:rsidRPr="00C82F6C">
        <w:t>Wang, X., Hu, M., Xia, Y., Wen, X. and Ding, K.  2012a.  Pyrosequencing analysis of bacterial diversity in 14 wastewater treatment systems in China. Appl Environ Microbiol 78(19), 7042-7047.</w:t>
      </w:r>
    </w:p>
    <w:p w14:paraId="3391D863" w14:textId="77777777" w:rsidR="00CD33EF" w:rsidRPr="00C82F6C" w:rsidRDefault="00CD33EF" w:rsidP="00BB4824">
      <w:pPr>
        <w:pStyle w:val="EndNoteBibliography"/>
        <w:ind w:left="720" w:hanging="720"/>
      </w:pPr>
      <w:r w:rsidRPr="00C82F6C">
        <w:t>Wang, Y., Cao, H., Zhang, G., Bougouffa, S., Lee, O.O., Al-Suwailem, A. and Qian, P.Y.  2013.  Autotrophic microbe metagenomes and metabolic pathways differentiate adjacent Red Sea brine pools. Sci Rep 3, 1748.</w:t>
      </w:r>
    </w:p>
    <w:p w14:paraId="7D27258D" w14:textId="77777777" w:rsidR="00CD33EF" w:rsidRPr="00C82F6C" w:rsidRDefault="00CD33EF" w:rsidP="00BB4824">
      <w:pPr>
        <w:pStyle w:val="EndNoteBibliography"/>
        <w:ind w:left="720" w:hanging="720"/>
      </w:pPr>
      <w:r w:rsidRPr="00C82F6C">
        <w:t>Wang, Y., Leung, H.C., Yiu, S.M. and Chin, F.Y.  2012b.  MetaCluster 4.0: a novel binning algorithm for NGS reads and huge number of species. J Comput Biol 19(2), 241-249.</w:t>
      </w:r>
    </w:p>
    <w:p w14:paraId="61D89F63" w14:textId="77777777" w:rsidR="00CD33EF" w:rsidRPr="00C82F6C" w:rsidRDefault="00CD33EF" w:rsidP="00BB4824">
      <w:pPr>
        <w:pStyle w:val="EndNoteBibliography"/>
        <w:ind w:left="720" w:hanging="720"/>
      </w:pPr>
      <w:r w:rsidRPr="00C82F6C">
        <w:t>W</w:t>
      </w:r>
      <w:r>
        <w:t>righton</w:t>
      </w:r>
      <w:r w:rsidRPr="00C82F6C">
        <w:t>, K.C., THOMAS, B.C., SHARON, I., MILLER, C.S., CASTELLE, C.J., VERBERKMOES, N.C., WILKINS, M.J., HETTICH, R.L., LIPTON, M.S., WILLIAMS, K.H., LONG, P.E. and BANFIELD, J.F.  2012.  Fermentation, Hydrogen, and Sulfur Metabolism in Multiple Uncultivated Bacterial Phyla. Science 337(6102), 1661-1665.</w:t>
      </w:r>
    </w:p>
    <w:p w14:paraId="4E677AE5" w14:textId="77777777" w:rsidR="00CD33EF" w:rsidRPr="00C82F6C" w:rsidRDefault="00CD33EF" w:rsidP="00BB4824">
      <w:pPr>
        <w:pStyle w:val="EndNoteBibliography"/>
        <w:ind w:left="720" w:hanging="720"/>
      </w:pPr>
      <w:r w:rsidRPr="00C82F6C">
        <w:lastRenderedPageBreak/>
        <w:t>Wu, L., Ning, D., Zhang, B., Li, Y., Zhang, P., Shan, X., Zhang, Q., Brown, M.R., Li, Z., Van Nostrand, J.D., Ling, F., Xiao, N., Zhang, Y., Vierheilig, J., Wells, G.F., Yang, Y., Deng, Y., Tu, Q., Wang, A., Global Water Microbiome, C., Zhang, T., He, Z., Keller, J., Nielsen, P.H., Alvarez, P.J.J., Criddle, C.S., Wagner, M., Tiedje, J.M., He, Q., Curtis, T.P., Stahl, D.A., Alvarez-Cohen, L., Rittmann, B.E., Wen, X. and Zhou, J.  2019.  Global diversity and biogeography of bacterial communities in wastewater treatment plants. Nat Microbiol 4(7), 1183-1195.</w:t>
      </w:r>
    </w:p>
    <w:p w14:paraId="72E28C8A" w14:textId="77777777" w:rsidR="00CD33EF" w:rsidRPr="00C82F6C" w:rsidRDefault="00CD33EF" w:rsidP="00BB4824">
      <w:pPr>
        <w:pStyle w:val="EndNoteBibliography"/>
        <w:ind w:left="720" w:hanging="720"/>
      </w:pPr>
      <w:r w:rsidRPr="00C82F6C">
        <w:t>Wu, Y.-W., Tang, Y.-H., Tringe, S.G., Simmons, B.A. and Singer, S.W.  2016.  MaxBin: an automated binning method to recover individual genomes from metagenomes using an expectation-maximization algorithm. Microbiome 2, 26.</w:t>
      </w:r>
    </w:p>
    <w:p w14:paraId="783672CE" w14:textId="77777777" w:rsidR="00CD33EF" w:rsidRPr="00C82F6C" w:rsidRDefault="00CD33EF" w:rsidP="00BB4824">
      <w:pPr>
        <w:pStyle w:val="EndNoteBibliography"/>
        <w:ind w:left="720" w:hanging="720"/>
      </w:pPr>
      <w:r w:rsidRPr="00C82F6C">
        <w:t>Yang, Y., Li, B., Ju, F. and Zhang, T.  2013.  Exploring variation of antibiotic resistance genes in activated sludge over a four-year period through a metagenomic approach. Environ Sci Technol 47(18), 10197-10205.</w:t>
      </w:r>
    </w:p>
    <w:p w14:paraId="5BDF3F99" w14:textId="77777777" w:rsidR="00CD33EF" w:rsidRPr="00C82F6C" w:rsidRDefault="00CD33EF" w:rsidP="00BB4824">
      <w:pPr>
        <w:pStyle w:val="EndNoteBibliography"/>
        <w:ind w:left="720" w:hanging="720"/>
      </w:pPr>
      <w:r w:rsidRPr="00C82F6C">
        <w:t>Yu, K. and Zhang, T.  2012.  Metagenomic and metatranscriptomic analysis of microbial community structure and gene expression of activated sludge. PLoS One 7(5), e38183.</w:t>
      </w:r>
    </w:p>
    <w:p w14:paraId="1E97A6AD" w14:textId="77777777" w:rsidR="00CD33EF" w:rsidRDefault="00CD33EF" w:rsidP="00BB4824">
      <w:pPr>
        <w:pStyle w:val="EndNoteBibliography"/>
        <w:ind w:left="720" w:hanging="720"/>
      </w:pPr>
      <w:r w:rsidRPr="00C82F6C">
        <w:t>Zhang, T., Shao, M.F. and Ye, L.  2012.  454 pyrosequencing reveals bacterial diversity of activated sludge from 14 sewage treatment plants. ISME J 6(6), 1137-1147.</w:t>
      </w:r>
    </w:p>
    <w:p w14:paraId="28E4D683" w14:textId="77777777" w:rsidR="00FB2802" w:rsidRDefault="00FB2802" w:rsidP="00C111C6"/>
    <w:sectPr w:rsidR="00FB2802" w:rsidSect="00151F9A">
      <w:headerReference w:type="even" r:id="rId22"/>
      <w:headerReference w:type="default" r:id="rId23"/>
      <w:pgSz w:w="10716" w:h="13948" w:code="9"/>
      <w:pgMar w:top="1418" w:right="1418" w:bottom="1418" w:left="1418" w:header="680"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CA4FF6" w14:textId="77777777" w:rsidR="003802C6" w:rsidRDefault="003802C6">
      <w:r>
        <w:separator/>
      </w:r>
    </w:p>
  </w:endnote>
  <w:endnote w:type="continuationSeparator" w:id="0">
    <w:p w14:paraId="1F79C775" w14:textId="77777777" w:rsidR="003802C6" w:rsidRDefault="003802C6">
      <w:r>
        <w:continuationSeparator/>
      </w:r>
    </w:p>
  </w:endnote>
  <w:endnote w:type="continuationNotice" w:id="1">
    <w:p w14:paraId="0D521080" w14:textId="77777777" w:rsidR="003802C6" w:rsidRDefault="003802C6">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2" w:usb2="00000000" w:usb3="00000000" w:csb0="0000009F" w:csb1="00000000"/>
  </w:font>
  <w:font w:name="Myriad Pro Cond">
    <w:altName w:val="Segoe UI"/>
    <w:panose1 w:val="020B0703030403020204"/>
    <w:charset w:val="00"/>
    <w:family w:val="swiss"/>
    <w:notTrueType/>
    <w:pitch w:val="variable"/>
    <w:sig w:usb0="20000287" w:usb1="00000001"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GJNIF B+ Times New Roman PSMT">
    <w:altName w:val="Cambria"/>
    <w:panose1 w:val="020B0604020202020204"/>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clid">
    <w:altName w:val="Bell MT"/>
    <w:panose1 w:val="020B0604020202020204"/>
    <w:charset w:val="00"/>
    <w:family w:val="roman"/>
    <w:pitch w:val="variable"/>
    <w:sig w:usb0="8000002F" w:usb1="0000000A"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10006FF" w:usb1="4000FCFF" w:usb2="00000009" w:usb3="00000000" w:csb0="0000019F" w:csb1="00000000"/>
  </w:font>
  <w:font w:name="CG Times">
    <w:panose1 w:val="020B0604020202020204"/>
    <w:charset w:val="00"/>
    <w:family w:val="roman"/>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Myanmar Text">
    <w:panose1 w:val="020B0502040204020203"/>
    <w:charset w:val="00"/>
    <w:family w:val="swiss"/>
    <w:pitch w:val="variable"/>
    <w:sig w:usb0="80000003" w:usb1="00000000" w:usb2="000004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F619A1" w14:textId="77777777" w:rsidR="003802C6" w:rsidRDefault="003802C6">
      <w:r>
        <w:separator/>
      </w:r>
    </w:p>
  </w:footnote>
  <w:footnote w:type="continuationSeparator" w:id="0">
    <w:p w14:paraId="7071F7E2" w14:textId="77777777" w:rsidR="003802C6" w:rsidRDefault="003802C6">
      <w:r>
        <w:continuationSeparator/>
      </w:r>
    </w:p>
  </w:footnote>
  <w:footnote w:type="continuationNotice" w:id="1">
    <w:p w14:paraId="25AF99AC" w14:textId="77777777" w:rsidR="003802C6" w:rsidRDefault="003802C6">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F5661" w14:textId="19E6F31D" w:rsidR="00BC322C" w:rsidRPr="009704FC" w:rsidRDefault="00BC322C" w:rsidP="00523EC1">
    <w:pPr>
      <w:pStyle w:val="Header"/>
      <w:tabs>
        <w:tab w:val="right" w:pos="7797"/>
      </w:tabs>
      <w:jc w:val="left"/>
      <w:rPr>
        <w:rFonts w:ascii="Myriad Pro Cond" w:hAnsi="Myriad Pro Cond"/>
        <w:i/>
        <w:iCs/>
        <w:sz w:val="18"/>
      </w:rPr>
    </w:pPr>
    <w:r w:rsidRPr="009704FC">
      <w:rPr>
        <w:rStyle w:val="PageNumber"/>
        <w:rFonts w:ascii="Myriad Pro Cond" w:hAnsi="Myriad Pro Cond"/>
        <w:sz w:val="18"/>
      </w:rPr>
      <w:fldChar w:fldCharType="begin"/>
    </w:r>
    <w:r w:rsidRPr="009704FC">
      <w:rPr>
        <w:rStyle w:val="PageNumber"/>
        <w:rFonts w:ascii="Myriad Pro Cond" w:hAnsi="Myriad Pro Cond"/>
        <w:sz w:val="18"/>
      </w:rPr>
      <w:instrText xml:space="preserve"> PAGE </w:instrText>
    </w:r>
    <w:r w:rsidRPr="009704FC">
      <w:rPr>
        <w:rStyle w:val="PageNumber"/>
        <w:rFonts w:ascii="Myriad Pro Cond" w:hAnsi="Myriad Pro Cond"/>
        <w:sz w:val="18"/>
      </w:rPr>
      <w:fldChar w:fldCharType="separate"/>
    </w:r>
    <w:r>
      <w:rPr>
        <w:rStyle w:val="PageNumber"/>
        <w:rFonts w:ascii="Myriad Pro Cond" w:hAnsi="Myriad Pro Cond"/>
        <w:noProof/>
        <w:sz w:val="18"/>
      </w:rPr>
      <w:t>40</w:t>
    </w:r>
    <w:r w:rsidRPr="009704FC">
      <w:rPr>
        <w:rStyle w:val="PageNumber"/>
        <w:rFonts w:ascii="Myriad Pro Cond" w:hAnsi="Myriad Pro Cond"/>
        <w:sz w:val="18"/>
      </w:rPr>
      <w:fldChar w:fldCharType="end"/>
    </w:r>
    <w:r w:rsidRPr="009704FC">
      <w:rPr>
        <w:rStyle w:val="PageNumber"/>
        <w:rFonts w:ascii="Myriad Pro Cond" w:hAnsi="Myriad Pro Cond"/>
        <w:sz w:val="18"/>
      </w:rPr>
      <w:tab/>
    </w:r>
    <w:r w:rsidR="00595E2F" w:rsidRPr="00595E2F">
      <w:rPr>
        <w:rStyle w:val="PageNumber"/>
        <w:rFonts w:ascii="Myriad Pro Cond" w:hAnsi="Myriad Pro Cond"/>
        <w:sz w:val="18"/>
      </w:rPr>
      <w:t>GENOMICS TOOLS TO STUDY MEMBRANE-BASED SYSTEMS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B66FA" w14:textId="6FCD54A5" w:rsidR="00BC322C" w:rsidRPr="009704FC" w:rsidRDefault="00C339C7" w:rsidP="007049FF">
    <w:pPr>
      <w:pStyle w:val="Header"/>
      <w:tabs>
        <w:tab w:val="right" w:pos="6815"/>
      </w:tabs>
      <w:rPr>
        <w:rFonts w:ascii="Myriad Pro Cond" w:hAnsi="Myriad Pro Cond"/>
        <w:iCs/>
        <w:sz w:val="18"/>
      </w:rPr>
    </w:pPr>
    <w:r w:rsidRPr="00C339C7">
      <w:rPr>
        <w:rStyle w:val="PageNumber"/>
        <w:rFonts w:ascii="Myriad Pro Cond" w:hAnsi="Myriad Pro Cond"/>
        <w:sz w:val="18"/>
      </w:rPr>
      <w:t>GENOMICS TOOLS TO STUDY MEMBRANE-BASED SYSTEMS</w:t>
    </w:r>
    <w:r w:rsidR="00BC322C" w:rsidRPr="009704FC">
      <w:rPr>
        <w:rFonts w:ascii="Myriad Pro Cond" w:hAnsi="Myriad Pro Cond"/>
        <w:iCs/>
        <w:sz w:val="18"/>
      </w:rPr>
      <w:tab/>
    </w:r>
    <w:r w:rsidR="00BC322C" w:rsidRPr="009704FC">
      <w:rPr>
        <w:rFonts w:ascii="Myriad Pro Cond" w:hAnsi="Myriad Pro Cond"/>
        <w:iCs/>
        <w:sz w:val="18"/>
      </w:rPr>
      <w:tab/>
    </w:r>
    <w:r w:rsidR="00BC322C" w:rsidRPr="009704FC">
      <w:rPr>
        <w:rStyle w:val="PageNumber"/>
        <w:rFonts w:ascii="Myriad Pro Cond" w:hAnsi="Myriad Pro Cond"/>
        <w:sz w:val="18"/>
      </w:rPr>
      <w:fldChar w:fldCharType="begin"/>
    </w:r>
    <w:r w:rsidR="00BC322C" w:rsidRPr="009704FC">
      <w:rPr>
        <w:rStyle w:val="PageNumber"/>
        <w:rFonts w:ascii="Myriad Pro Cond" w:hAnsi="Myriad Pro Cond"/>
        <w:sz w:val="18"/>
      </w:rPr>
      <w:instrText xml:space="preserve"> PAGE </w:instrText>
    </w:r>
    <w:r w:rsidR="00BC322C" w:rsidRPr="009704FC">
      <w:rPr>
        <w:rStyle w:val="PageNumber"/>
        <w:rFonts w:ascii="Myriad Pro Cond" w:hAnsi="Myriad Pro Cond"/>
        <w:sz w:val="18"/>
      </w:rPr>
      <w:fldChar w:fldCharType="separate"/>
    </w:r>
    <w:r w:rsidR="00BC322C">
      <w:rPr>
        <w:rStyle w:val="PageNumber"/>
        <w:rFonts w:ascii="Myriad Pro Cond" w:hAnsi="Myriad Pro Cond"/>
        <w:noProof/>
        <w:sz w:val="18"/>
      </w:rPr>
      <w:t>39</w:t>
    </w:r>
    <w:r w:rsidR="00BC322C" w:rsidRPr="009704FC">
      <w:rPr>
        <w:rStyle w:val="PageNumber"/>
        <w:rFonts w:ascii="Myriad Pro Cond" w:hAnsi="Myriad Pro Cond"/>
        <w:sz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E1C8D7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4402E5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B5E4759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02B87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0470A50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190C342"/>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85AD0FC"/>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DA1B3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B62142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57C892E"/>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000002"/>
    <w:multiLevelType w:val="multilevel"/>
    <w:tmpl w:val="00000000"/>
    <w:lvl w:ilvl="0">
      <w:start w:val="1"/>
      <w:numFmt w:val="lowerLetter"/>
      <w:pStyle w:val="Level1"/>
      <w:lvlText w:val="%1."/>
      <w:lvlJc w:val="left"/>
      <w:pPr>
        <w:tabs>
          <w:tab w:val="num" w:pos="2080"/>
        </w:tabs>
        <w:ind w:left="2080" w:hanging="288"/>
      </w:pPr>
      <w:rPr>
        <w:rFonts w:cs="Times New Roman"/>
      </w:rPr>
    </w:lvl>
    <w:lvl w:ilvl="1">
      <w:start w:val="1"/>
      <w:numFmt w:val="lowerLetter"/>
      <w:lvlText w:val="%2"/>
      <w:lvlJc w:val="left"/>
      <w:rPr>
        <w:rFonts w:cs="Times New Roman"/>
      </w:rPr>
    </w:lvl>
    <w:lvl w:ilvl="2">
      <w:start w:val="1"/>
      <w:numFmt w:val="lowerLetter"/>
      <w:lvlText w:val="%3"/>
      <w:lvlJc w:val="left"/>
      <w:rPr>
        <w:rFonts w:cs="Times New Roman"/>
      </w:rPr>
    </w:lvl>
    <w:lvl w:ilvl="3">
      <w:start w:val="1"/>
      <w:numFmt w:val="lowerLetter"/>
      <w:lvlText w:val="%4"/>
      <w:lvlJc w:val="left"/>
      <w:rPr>
        <w:rFonts w:cs="Times New Roman"/>
      </w:rPr>
    </w:lvl>
    <w:lvl w:ilvl="4">
      <w:start w:val="1"/>
      <w:numFmt w:val="lowerLetter"/>
      <w:lvlText w:val="%5"/>
      <w:lvlJc w:val="left"/>
      <w:rPr>
        <w:rFonts w:cs="Times New Roman"/>
      </w:rPr>
    </w:lvl>
    <w:lvl w:ilvl="5">
      <w:start w:val="1"/>
      <w:numFmt w:val="lowerLetter"/>
      <w:lvlText w:val="%6"/>
      <w:lvlJc w:val="left"/>
      <w:rPr>
        <w:rFonts w:cs="Times New Roman"/>
      </w:rPr>
    </w:lvl>
    <w:lvl w:ilvl="6">
      <w:start w:val="1"/>
      <w:numFmt w:val="lowerLetter"/>
      <w:lvlText w:val="%7"/>
      <w:lvlJc w:val="left"/>
      <w:rPr>
        <w:rFonts w:cs="Times New Roman"/>
      </w:rPr>
    </w:lvl>
    <w:lvl w:ilvl="7">
      <w:start w:val="1"/>
      <w:numFmt w:val="lowerLetter"/>
      <w:lvlText w:val="%8"/>
      <w:lvlJc w:val="left"/>
      <w:rPr>
        <w:rFonts w:cs="Times New Roman"/>
      </w:rPr>
    </w:lvl>
    <w:lvl w:ilvl="8">
      <w:numFmt w:val="decimal"/>
      <w:lvlText w:val=""/>
      <w:lvlJc w:val="left"/>
      <w:rPr>
        <w:rFonts w:cs="Times New Roman"/>
      </w:rPr>
    </w:lvl>
  </w:abstractNum>
  <w:abstractNum w:abstractNumId="11" w15:restartNumberingAfterBreak="0">
    <w:nsid w:val="0B253959"/>
    <w:multiLevelType w:val="hybridMultilevel"/>
    <w:tmpl w:val="A6A6E25A"/>
    <w:lvl w:ilvl="0" w:tplc="ED3CD87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71F47A5"/>
    <w:multiLevelType w:val="hybridMultilevel"/>
    <w:tmpl w:val="06F66960"/>
    <w:lvl w:ilvl="0" w:tplc="9E84DCB8">
      <w:numFmt w:val="bullet"/>
      <w:lvlText w:val="-"/>
      <w:lvlJc w:val="left"/>
      <w:pPr>
        <w:ind w:left="720" w:hanging="360"/>
      </w:pPr>
      <w:rPr>
        <w:rFonts w:ascii="Times New Roman" w:eastAsia="SimSun"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3" w15:restartNumberingAfterBreak="0">
    <w:nsid w:val="295A0F99"/>
    <w:multiLevelType w:val="hybridMultilevel"/>
    <w:tmpl w:val="B11035A6"/>
    <w:lvl w:ilvl="0" w:tplc="EA682D5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9A715A0"/>
    <w:multiLevelType w:val="multilevel"/>
    <w:tmpl w:val="605066FE"/>
    <w:lvl w:ilvl="0">
      <w:start w:val="1"/>
      <w:numFmt w:val="decimal"/>
      <w:pStyle w:val="Titletable"/>
      <w:lvlText w:val="Table %1."/>
      <w:lvlJc w:val="left"/>
      <w:pPr>
        <w:tabs>
          <w:tab w:val="num" w:pos="964"/>
        </w:tabs>
        <w:ind w:left="0" w:firstLine="0"/>
      </w:pPr>
      <w:rPr>
        <w:rFonts w:hint="default"/>
      </w:rPr>
    </w:lvl>
    <w:lvl w:ilvl="1">
      <w:start w:val="1"/>
      <w:numFmt w:val="decimalZero"/>
      <w:isLgl/>
      <w:lvlText w:val="Section %1.%2"/>
      <w:lvlJc w:val="left"/>
      <w:pPr>
        <w:tabs>
          <w:tab w:val="num" w:pos="1080"/>
        </w:tabs>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15" w15:restartNumberingAfterBreak="0">
    <w:nsid w:val="2EF94459"/>
    <w:multiLevelType w:val="hybridMultilevel"/>
    <w:tmpl w:val="87AA0E88"/>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pStyle w:val="StyleHeading2Left0cmFirstline0cm"/>
      <w:lvlText w:val="o"/>
      <w:lvlJc w:val="left"/>
      <w:pPr>
        <w:tabs>
          <w:tab w:val="num" w:pos="1440"/>
        </w:tabs>
        <w:ind w:left="1440" w:hanging="360"/>
      </w:pPr>
      <w:rPr>
        <w:rFonts w:ascii="Courier New" w:hAnsi="Courier New" w:cs="Courier New" w:hint="default"/>
      </w:rPr>
    </w:lvl>
    <w:lvl w:ilvl="2" w:tplc="04090005" w:tentative="1">
      <w:start w:val="1"/>
      <w:numFmt w:val="bullet"/>
      <w:pStyle w:val="StyleHeading3AsianMSMincho"/>
      <w:lvlText w:val=""/>
      <w:lvlJc w:val="left"/>
      <w:pPr>
        <w:tabs>
          <w:tab w:val="num" w:pos="2160"/>
        </w:tabs>
        <w:ind w:left="2160" w:hanging="360"/>
      </w:pPr>
      <w:rPr>
        <w:rFonts w:ascii="Wingdings" w:hAnsi="Wingdings" w:hint="default"/>
      </w:rPr>
    </w:lvl>
    <w:lvl w:ilvl="3" w:tplc="04090001" w:tentative="1">
      <w:start w:val="1"/>
      <w:numFmt w:val="bullet"/>
      <w:pStyle w:val="StyleHeading4AsianBatang"/>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01E2A5A"/>
    <w:multiLevelType w:val="hybridMultilevel"/>
    <w:tmpl w:val="D2E05692"/>
    <w:lvl w:ilvl="0" w:tplc="C6B82CA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23F6138"/>
    <w:multiLevelType w:val="multilevel"/>
    <w:tmpl w:val="3FBEC8A6"/>
    <w:lvl w:ilvl="0">
      <w:start w:val="15"/>
      <w:numFmt w:val="decimal"/>
      <w:lvlText w:val="%1."/>
      <w:lvlJc w:val="left"/>
      <w:pPr>
        <w:ind w:left="360" w:hanging="360"/>
      </w:pPr>
      <w:rPr>
        <w:rFonts w:hint="default"/>
        <w:sz w:val="64"/>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8" w15:restartNumberingAfterBreak="0">
    <w:nsid w:val="5C0332E6"/>
    <w:multiLevelType w:val="hybridMultilevel"/>
    <w:tmpl w:val="E22E8E26"/>
    <w:lvl w:ilvl="0" w:tplc="C6B82CA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EC60E22"/>
    <w:multiLevelType w:val="multilevel"/>
    <w:tmpl w:val="567AE51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60294AB2"/>
    <w:multiLevelType w:val="hybridMultilevel"/>
    <w:tmpl w:val="B860CB0E"/>
    <w:lvl w:ilvl="0" w:tplc="6E2858E4">
      <w:start w:val="1"/>
      <w:numFmt w:val="bullet"/>
      <w:lvlText w:val="•"/>
      <w:lvlJc w:val="left"/>
      <w:pPr>
        <w:tabs>
          <w:tab w:val="num" w:pos="720"/>
        </w:tabs>
        <w:ind w:left="720" w:hanging="360"/>
      </w:pPr>
      <w:rPr>
        <w:rFonts w:ascii="Arial" w:hAnsi="Arial" w:hint="default"/>
      </w:rPr>
    </w:lvl>
    <w:lvl w:ilvl="1" w:tplc="7B20F1F4" w:tentative="1">
      <w:start w:val="1"/>
      <w:numFmt w:val="bullet"/>
      <w:lvlText w:val="•"/>
      <w:lvlJc w:val="left"/>
      <w:pPr>
        <w:tabs>
          <w:tab w:val="num" w:pos="1440"/>
        </w:tabs>
        <w:ind w:left="1440" w:hanging="360"/>
      </w:pPr>
      <w:rPr>
        <w:rFonts w:ascii="Arial" w:hAnsi="Arial" w:hint="default"/>
      </w:rPr>
    </w:lvl>
    <w:lvl w:ilvl="2" w:tplc="B0DEE244" w:tentative="1">
      <w:start w:val="1"/>
      <w:numFmt w:val="bullet"/>
      <w:lvlText w:val="•"/>
      <w:lvlJc w:val="left"/>
      <w:pPr>
        <w:tabs>
          <w:tab w:val="num" w:pos="2160"/>
        </w:tabs>
        <w:ind w:left="2160" w:hanging="360"/>
      </w:pPr>
      <w:rPr>
        <w:rFonts w:ascii="Arial" w:hAnsi="Arial" w:hint="default"/>
      </w:rPr>
    </w:lvl>
    <w:lvl w:ilvl="3" w:tplc="F880FAB4" w:tentative="1">
      <w:start w:val="1"/>
      <w:numFmt w:val="bullet"/>
      <w:lvlText w:val="•"/>
      <w:lvlJc w:val="left"/>
      <w:pPr>
        <w:tabs>
          <w:tab w:val="num" w:pos="2880"/>
        </w:tabs>
        <w:ind w:left="2880" w:hanging="360"/>
      </w:pPr>
      <w:rPr>
        <w:rFonts w:ascii="Arial" w:hAnsi="Arial" w:hint="default"/>
      </w:rPr>
    </w:lvl>
    <w:lvl w:ilvl="4" w:tplc="6EFEA4AA" w:tentative="1">
      <w:start w:val="1"/>
      <w:numFmt w:val="bullet"/>
      <w:lvlText w:val="•"/>
      <w:lvlJc w:val="left"/>
      <w:pPr>
        <w:tabs>
          <w:tab w:val="num" w:pos="3600"/>
        </w:tabs>
        <w:ind w:left="3600" w:hanging="360"/>
      </w:pPr>
      <w:rPr>
        <w:rFonts w:ascii="Arial" w:hAnsi="Arial" w:hint="default"/>
      </w:rPr>
    </w:lvl>
    <w:lvl w:ilvl="5" w:tplc="7AD811E0" w:tentative="1">
      <w:start w:val="1"/>
      <w:numFmt w:val="bullet"/>
      <w:lvlText w:val="•"/>
      <w:lvlJc w:val="left"/>
      <w:pPr>
        <w:tabs>
          <w:tab w:val="num" w:pos="4320"/>
        </w:tabs>
        <w:ind w:left="4320" w:hanging="360"/>
      </w:pPr>
      <w:rPr>
        <w:rFonts w:ascii="Arial" w:hAnsi="Arial" w:hint="default"/>
      </w:rPr>
    </w:lvl>
    <w:lvl w:ilvl="6" w:tplc="047C56FC" w:tentative="1">
      <w:start w:val="1"/>
      <w:numFmt w:val="bullet"/>
      <w:lvlText w:val="•"/>
      <w:lvlJc w:val="left"/>
      <w:pPr>
        <w:tabs>
          <w:tab w:val="num" w:pos="5040"/>
        </w:tabs>
        <w:ind w:left="5040" w:hanging="360"/>
      </w:pPr>
      <w:rPr>
        <w:rFonts w:ascii="Arial" w:hAnsi="Arial" w:hint="default"/>
      </w:rPr>
    </w:lvl>
    <w:lvl w:ilvl="7" w:tplc="555ADB5C" w:tentative="1">
      <w:start w:val="1"/>
      <w:numFmt w:val="bullet"/>
      <w:lvlText w:val="•"/>
      <w:lvlJc w:val="left"/>
      <w:pPr>
        <w:tabs>
          <w:tab w:val="num" w:pos="5760"/>
        </w:tabs>
        <w:ind w:left="5760" w:hanging="360"/>
      </w:pPr>
      <w:rPr>
        <w:rFonts w:ascii="Arial" w:hAnsi="Arial" w:hint="default"/>
      </w:rPr>
    </w:lvl>
    <w:lvl w:ilvl="8" w:tplc="00587DE0"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33D7686"/>
    <w:multiLevelType w:val="multilevel"/>
    <w:tmpl w:val="830E4E4A"/>
    <w:lvl w:ilvl="0">
      <w:start w:val="1"/>
      <w:numFmt w:val="decimal"/>
      <w:pStyle w:val="Titlefigures"/>
      <w:lvlText w:val="Fig. %1."/>
      <w:lvlJc w:val="left"/>
      <w:pPr>
        <w:tabs>
          <w:tab w:val="num" w:pos="284"/>
        </w:tabs>
      </w:pPr>
      <w:rPr>
        <w:rFonts w:cs="Times New Roman" w:hint="default"/>
      </w:rPr>
    </w:lvl>
    <w:lvl w:ilvl="1">
      <w:start w:val="1"/>
      <w:numFmt w:val="decimalZero"/>
      <w:isLgl/>
      <w:lvlText w:val="Section %1.%2"/>
      <w:lvlJc w:val="left"/>
      <w:pPr>
        <w:tabs>
          <w:tab w:val="num" w:pos="1080"/>
        </w:tabs>
      </w:pPr>
      <w:rPr>
        <w:rFonts w:cs="Times New Roman" w:hint="default"/>
      </w:rPr>
    </w:lvl>
    <w:lvl w:ilvl="2">
      <w:start w:val="1"/>
      <w:numFmt w:val="lowerLetter"/>
      <w:lvlText w:val="(%3)"/>
      <w:lvlJc w:val="left"/>
      <w:pPr>
        <w:tabs>
          <w:tab w:val="num" w:pos="720"/>
        </w:tabs>
        <w:ind w:left="720" w:hanging="432"/>
      </w:pPr>
      <w:rPr>
        <w:rFonts w:cs="Times New Roman" w:hint="default"/>
      </w:rPr>
    </w:lvl>
    <w:lvl w:ilvl="3">
      <w:start w:val="1"/>
      <w:numFmt w:val="lowerRoman"/>
      <w:lvlText w:val="(%4)"/>
      <w:lvlJc w:val="right"/>
      <w:pPr>
        <w:tabs>
          <w:tab w:val="num" w:pos="864"/>
        </w:tabs>
        <w:ind w:left="864" w:hanging="144"/>
      </w:pPr>
      <w:rPr>
        <w:rFonts w:cs="Times New Roman" w:hint="default"/>
      </w:rPr>
    </w:lvl>
    <w:lvl w:ilvl="4">
      <w:start w:val="1"/>
      <w:numFmt w:val="decimal"/>
      <w:lvlText w:val="%5)"/>
      <w:lvlJc w:val="left"/>
      <w:pPr>
        <w:tabs>
          <w:tab w:val="num" w:pos="1008"/>
        </w:tabs>
        <w:ind w:left="1008" w:hanging="432"/>
      </w:pPr>
      <w:rPr>
        <w:rFonts w:cs="Times New Roman" w:hint="default"/>
      </w:rPr>
    </w:lvl>
    <w:lvl w:ilvl="5">
      <w:start w:val="1"/>
      <w:numFmt w:val="lowerLetter"/>
      <w:lvlText w:val="%6)"/>
      <w:lvlJc w:val="left"/>
      <w:pPr>
        <w:tabs>
          <w:tab w:val="num" w:pos="1152"/>
        </w:tabs>
        <w:ind w:left="1152" w:hanging="432"/>
      </w:pPr>
      <w:rPr>
        <w:rFonts w:cs="Times New Roman" w:hint="default"/>
      </w:rPr>
    </w:lvl>
    <w:lvl w:ilvl="6">
      <w:start w:val="1"/>
      <w:numFmt w:val="lowerRoman"/>
      <w:lvlText w:val="%7)"/>
      <w:lvlJc w:val="right"/>
      <w:pPr>
        <w:tabs>
          <w:tab w:val="num" w:pos="1296"/>
        </w:tabs>
        <w:ind w:left="1296" w:hanging="288"/>
      </w:pPr>
      <w:rPr>
        <w:rFonts w:cs="Times New Roman" w:hint="default"/>
      </w:rPr>
    </w:lvl>
    <w:lvl w:ilvl="7">
      <w:start w:val="1"/>
      <w:numFmt w:val="lowerLetter"/>
      <w:lvlText w:val="%8."/>
      <w:lvlJc w:val="left"/>
      <w:pPr>
        <w:tabs>
          <w:tab w:val="num" w:pos="1440"/>
        </w:tabs>
        <w:ind w:left="1440" w:hanging="432"/>
      </w:pPr>
      <w:rPr>
        <w:rFonts w:cs="Times New Roman" w:hint="default"/>
      </w:rPr>
    </w:lvl>
    <w:lvl w:ilvl="8">
      <w:start w:val="1"/>
      <w:numFmt w:val="lowerRoman"/>
      <w:lvlText w:val="%9."/>
      <w:lvlJc w:val="right"/>
      <w:pPr>
        <w:tabs>
          <w:tab w:val="num" w:pos="1584"/>
        </w:tabs>
        <w:ind w:left="1584" w:hanging="144"/>
      </w:pPr>
      <w:rPr>
        <w:rFonts w:cs="Times New Roman" w:hint="default"/>
      </w:rPr>
    </w:lvl>
  </w:abstractNum>
  <w:abstractNum w:abstractNumId="22" w15:restartNumberingAfterBreak="0">
    <w:nsid w:val="6BD16F1D"/>
    <w:multiLevelType w:val="multilevel"/>
    <w:tmpl w:val="93DCD4E0"/>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6F9870E4"/>
    <w:multiLevelType w:val="hybridMultilevel"/>
    <w:tmpl w:val="1728D6F8"/>
    <w:lvl w:ilvl="0" w:tplc="B5981F90">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FCD64BB"/>
    <w:multiLevelType w:val="hybridMultilevel"/>
    <w:tmpl w:val="6E54F5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E682995"/>
    <w:multiLevelType w:val="hybridMultilevel"/>
    <w:tmpl w:val="1C42671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59310789">
    <w:abstractNumId w:val="15"/>
  </w:num>
  <w:num w:numId="2" w16cid:durableId="1557936058">
    <w:abstractNumId w:val="17"/>
  </w:num>
  <w:num w:numId="3" w16cid:durableId="2019501987">
    <w:abstractNumId w:val="14"/>
  </w:num>
  <w:num w:numId="4" w16cid:durableId="1827740267">
    <w:abstractNumId w:val="9"/>
  </w:num>
  <w:num w:numId="5" w16cid:durableId="2107842295">
    <w:abstractNumId w:val="7"/>
  </w:num>
  <w:num w:numId="6" w16cid:durableId="1720545858">
    <w:abstractNumId w:val="6"/>
  </w:num>
  <w:num w:numId="7" w16cid:durableId="1064983771">
    <w:abstractNumId w:val="5"/>
  </w:num>
  <w:num w:numId="8" w16cid:durableId="270824299">
    <w:abstractNumId w:val="4"/>
  </w:num>
  <w:num w:numId="9" w16cid:durableId="593711310">
    <w:abstractNumId w:val="8"/>
  </w:num>
  <w:num w:numId="10" w16cid:durableId="749275855">
    <w:abstractNumId w:val="3"/>
  </w:num>
  <w:num w:numId="11" w16cid:durableId="22481195">
    <w:abstractNumId w:val="2"/>
  </w:num>
  <w:num w:numId="12" w16cid:durableId="618150978">
    <w:abstractNumId w:val="1"/>
  </w:num>
  <w:num w:numId="13" w16cid:durableId="406923261">
    <w:abstractNumId w:val="0"/>
  </w:num>
  <w:num w:numId="14" w16cid:durableId="1485852105">
    <w:abstractNumId w:val="21"/>
  </w:num>
  <w:num w:numId="15" w16cid:durableId="1062488798">
    <w:abstractNumId w:val="10"/>
    <w:lvlOverride w:ilvl="0">
      <w:startOverride w:val="5"/>
      <w:lvl w:ilvl="0">
        <w:start w:val="5"/>
        <w:numFmt w:val="decimal"/>
        <w:pStyle w:val="Level1"/>
        <w:lvlText w:val="%1."/>
        <w:lvlJc w:val="left"/>
        <w:rPr>
          <w:rFonts w:cs="Times New Roman"/>
        </w:rPr>
      </w:lvl>
    </w:lvlOverride>
    <w:lvlOverride w:ilvl="1">
      <w:startOverride w:val="1"/>
      <w:lvl w:ilvl="1">
        <w:start w:val="1"/>
        <w:numFmt w:val="decimal"/>
        <w:lvlText w:val="%2"/>
        <w:lvlJc w:val="left"/>
        <w:rPr>
          <w:rFonts w:cs="Times New Roman"/>
        </w:rPr>
      </w:lvl>
    </w:lvlOverride>
    <w:lvlOverride w:ilvl="2">
      <w:startOverride w:val="1"/>
      <w:lvl w:ilvl="2">
        <w:start w:val="1"/>
        <w:numFmt w:val="decimal"/>
        <w:lvlText w:val="%3"/>
        <w:lvlJc w:val="left"/>
        <w:rPr>
          <w:rFonts w:cs="Times New Roman"/>
        </w:rPr>
      </w:lvl>
    </w:lvlOverride>
    <w:lvlOverride w:ilvl="3">
      <w:startOverride w:val="1"/>
      <w:lvl w:ilvl="3">
        <w:start w:val="1"/>
        <w:numFmt w:val="decimal"/>
        <w:lvlText w:val="%4"/>
        <w:lvlJc w:val="left"/>
        <w:rPr>
          <w:rFonts w:cs="Times New Roman"/>
        </w:rPr>
      </w:lvl>
    </w:lvlOverride>
    <w:lvlOverride w:ilvl="4">
      <w:startOverride w:val="1"/>
      <w:lvl w:ilvl="4">
        <w:start w:val="1"/>
        <w:numFmt w:val="decimal"/>
        <w:lvlText w:val="%5"/>
        <w:lvlJc w:val="left"/>
        <w:rPr>
          <w:rFonts w:cs="Times New Roman"/>
        </w:rPr>
      </w:lvl>
    </w:lvlOverride>
    <w:lvlOverride w:ilvl="5">
      <w:startOverride w:val="1"/>
      <w:lvl w:ilvl="5">
        <w:start w:val="1"/>
        <w:numFmt w:val="decimal"/>
        <w:lvlText w:val="%6"/>
        <w:lvlJc w:val="left"/>
        <w:rPr>
          <w:rFonts w:cs="Times New Roman"/>
        </w:rPr>
      </w:lvl>
    </w:lvlOverride>
    <w:lvlOverride w:ilvl="6">
      <w:startOverride w:val="1"/>
      <w:lvl w:ilvl="6">
        <w:start w:val="1"/>
        <w:numFmt w:val="decimal"/>
        <w:lvlText w:val="%7"/>
        <w:lvlJc w:val="left"/>
        <w:rPr>
          <w:rFonts w:cs="Times New Roman"/>
        </w:rPr>
      </w:lvl>
    </w:lvlOverride>
    <w:lvlOverride w:ilvl="7">
      <w:startOverride w:val="1"/>
      <w:lvl w:ilvl="7">
        <w:start w:val="1"/>
        <w:numFmt w:val="decimal"/>
        <w:lvlText w:val="%8"/>
        <w:lvlJc w:val="left"/>
        <w:rPr>
          <w:rFonts w:cs="Times New Roman"/>
        </w:rPr>
      </w:lvl>
    </w:lvlOverride>
  </w:num>
  <w:num w:numId="16" w16cid:durableId="1993293418">
    <w:abstractNumId w:val="16"/>
  </w:num>
  <w:num w:numId="17" w16cid:durableId="1618755118">
    <w:abstractNumId w:val="18"/>
  </w:num>
  <w:num w:numId="18" w16cid:durableId="1966614972">
    <w:abstractNumId w:val="23"/>
  </w:num>
  <w:num w:numId="19" w16cid:durableId="1824393041">
    <w:abstractNumId w:val="24"/>
  </w:num>
  <w:num w:numId="20" w16cid:durableId="1140073092">
    <w:abstractNumId w:val="20"/>
  </w:num>
  <w:num w:numId="21" w16cid:durableId="2025670144">
    <w:abstractNumId w:val="19"/>
  </w:num>
  <w:num w:numId="22" w16cid:durableId="1891916173">
    <w:abstractNumId w:val="22"/>
  </w:num>
  <w:num w:numId="23" w16cid:durableId="1702122163">
    <w:abstractNumId w:val="17"/>
  </w:num>
  <w:num w:numId="24" w16cid:durableId="673649724">
    <w:abstractNumId w:val="25"/>
  </w:num>
  <w:num w:numId="25" w16cid:durableId="659889343">
    <w:abstractNumId w:val="11"/>
  </w:num>
  <w:num w:numId="26" w16cid:durableId="1161460956">
    <w:abstractNumId w:val="13"/>
  </w:num>
  <w:num w:numId="27" w16cid:durableId="6523742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19964345">
    <w:abstractNumId w:val="17"/>
  </w:num>
  <w:num w:numId="29" w16cid:durableId="408113998">
    <w:abstractNumId w:val="17"/>
  </w:num>
  <w:num w:numId="30" w16cid:durableId="1648195778">
    <w:abstractNumId w:val="17"/>
  </w:num>
  <w:num w:numId="31" w16cid:durableId="1247617516">
    <w:abstractNumId w:val="17"/>
  </w:num>
  <w:num w:numId="32" w16cid:durableId="1865098695">
    <w:abstractNumId w:val="17"/>
  </w:num>
  <w:num w:numId="33" w16cid:durableId="1320571398">
    <w:abstractNumId w:val="17"/>
  </w:num>
  <w:num w:numId="34" w16cid:durableId="1013721213">
    <w:abstractNumId w:val="17"/>
  </w:num>
  <w:num w:numId="35" w16cid:durableId="1957179651">
    <w:abstractNumId w:val="17"/>
  </w:num>
  <w:num w:numId="36" w16cid:durableId="1639993026">
    <w:abstractNumId w:val="17"/>
  </w:num>
  <w:num w:numId="37" w16cid:durableId="967513243">
    <w:abstractNumId w:val="17"/>
  </w:num>
  <w:num w:numId="38" w16cid:durableId="1385375068">
    <w:abstractNumId w:val="17"/>
  </w:num>
  <w:num w:numId="39" w16cid:durableId="176887828">
    <w:abstractNumId w:val="17"/>
  </w:num>
  <w:num w:numId="40" w16cid:durableId="350226804">
    <w:abstractNumId w:val="12"/>
  </w:num>
  <w:num w:numId="41" w16cid:durableId="367068106">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401"/>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rawingGridHorizontalSpacing w:val="100"/>
  <w:drawingGridVerticalSpacing w:val="57"/>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0&lt;/Enabled&gt;&lt;ScanUnformatted&gt;1&lt;/ScanUnformatted&gt;&lt;ScanChanges&gt;1&lt;/ScanChanges&gt;&lt;Suspended&gt;0&lt;/Suspended&gt;&lt;/ENInstantFormat&gt;"/>
    <w:docVar w:name="EN.Layout" w:val="&lt;ENLayout&gt;&lt;Style&gt;Water Research&lt;/Style&gt;&lt;LeftDelim&gt;{&lt;/LeftDelim&gt;&lt;RightDelim&gt;}&lt;/RightDelim&gt;&lt;FontName&gt;Garamond&lt;/FontName&gt;&lt;FontSize&gt;8&lt;/FontSize&gt;&lt;ReflistTitle&gt;&lt;/ReflistTitle&gt;&lt;StartingRefnum&gt;1&lt;/StartingRefnum&gt;&lt;FirstLineIndent&gt;0&lt;/FirstLineIndent&gt;&lt;HangingIndent&gt;565&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rffefxsa7txww6eevw75tw50fwprsse9wa0p&quot;&gt;My EndNote Library&lt;record-ids&gt;&lt;item&gt;257&lt;/item&gt;&lt;item&gt;2493&lt;/item&gt;&lt;item&gt;2494&lt;/item&gt;&lt;item&gt;2495&lt;/item&gt;&lt;item&gt;2496&lt;/item&gt;&lt;/record-ids&gt;&lt;/item&gt;&lt;/Libraries&gt;"/>
  </w:docVars>
  <w:rsids>
    <w:rsidRoot w:val="00C74BFB"/>
    <w:rsid w:val="00000365"/>
    <w:rsid w:val="000007DD"/>
    <w:rsid w:val="00000854"/>
    <w:rsid w:val="00000B37"/>
    <w:rsid w:val="000021BF"/>
    <w:rsid w:val="00003323"/>
    <w:rsid w:val="0000372E"/>
    <w:rsid w:val="0000487B"/>
    <w:rsid w:val="00004C22"/>
    <w:rsid w:val="0000642B"/>
    <w:rsid w:val="00006A54"/>
    <w:rsid w:val="00010B61"/>
    <w:rsid w:val="00010D16"/>
    <w:rsid w:val="00011177"/>
    <w:rsid w:val="00011406"/>
    <w:rsid w:val="0001154A"/>
    <w:rsid w:val="00011B85"/>
    <w:rsid w:val="00011C82"/>
    <w:rsid w:val="000122D8"/>
    <w:rsid w:val="00012833"/>
    <w:rsid w:val="0001359D"/>
    <w:rsid w:val="00014757"/>
    <w:rsid w:val="00015C88"/>
    <w:rsid w:val="00016556"/>
    <w:rsid w:val="00017B77"/>
    <w:rsid w:val="00017C66"/>
    <w:rsid w:val="00017D64"/>
    <w:rsid w:val="0002024F"/>
    <w:rsid w:val="00020BB1"/>
    <w:rsid w:val="000213C6"/>
    <w:rsid w:val="00021A9D"/>
    <w:rsid w:val="00021E4A"/>
    <w:rsid w:val="00022F9B"/>
    <w:rsid w:val="00023413"/>
    <w:rsid w:val="000237CB"/>
    <w:rsid w:val="00023B00"/>
    <w:rsid w:val="00024FBB"/>
    <w:rsid w:val="0002606B"/>
    <w:rsid w:val="00026715"/>
    <w:rsid w:val="00026930"/>
    <w:rsid w:val="00030048"/>
    <w:rsid w:val="00031058"/>
    <w:rsid w:val="00031985"/>
    <w:rsid w:val="00032B3A"/>
    <w:rsid w:val="00035573"/>
    <w:rsid w:val="00035909"/>
    <w:rsid w:val="00035E15"/>
    <w:rsid w:val="00035EF3"/>
    <w:rsid w:val="00036019"/>
    <w:rsid w:val="00036877"/>
    <w:rsid w:val="00036975"/>
    <w:rsid w:val="00040BF4"/>
    <w:rsid w:val="00040EC3"/>
    <w:rsid w:val="000411A0"/>
    <w:rsid w:val="0004232C"/>
    <w:rsid w:val="0004264C"/>
    <w:rsid w:val="00043C3B"/>
    <w:rsid w:val="000448BC"/>
    <w:rsid w:val="00045206"/>
    <w:rsid w:val="0004569B"/>
    <w:rsid w:val="0004611F"/>
    <w:rsid w:val="00046CC7"/>
    <w:rsid w:val="00046E19"/>
    <w:rsid w:val="00047276"/>
    <w:rsid w:val="00047D2F"/>
    <w:rsid w:val="000515F3"/>
    <w:rsid w:val="00051751"/>
    <w:rsid w:val="0005196C"/>
    <w:rsid w:val="00052254"/>
    <w:rsid w:val="00053725"/>
    <w:rsid w:val="000538E6"/>
    <w:rsid w:val="000553CB"/>
    <w:rsid w:val="000559B4"/>
    <w:rsid w:val="0005604B"/>
    <w:rsid w:val="00056441"/>
    <w:rsid w:val="0005691E"/>
    <w:rsid w:val="000571AA"/>
    <w:rsid w:val="00061685"/>
    <w:rsid w:val="000616AA"/>
    <w:rsid w:val="000619FA"/>
    <w:rsid w:val="000620C7"/>
    <w:rsid w:val="00062DD1"/>
    <w:rsid w:val="000636A3"/>
    <w:rsid w:val="00063AA3"/>
    <w:rsid w:val="000640F4"/>
    <w:rsid w:val="00065204"/>
    <w:rsid w:val="00065313"/>
    <w:rsid w:val="0006646C"/>
    <w:rsid w:val="00066C1B"/>
    <w:rsid w:val="00067130"/>
    <w:rsid w:val="0006778C"/>
    <w:rsid w:val="000677A5"/>
    <w:rsid w:val="00067FF9"/>
    <w:rsid w:val="00070210"/>
    <w:rsid w:val="000707B9"/>
    <w:rsid w:val="00070AFB"/>
    <w:rsid w:val="00071E34"/>
    <w:rsid w:val="00071ED5"/>
    <w:rsid w:val="00072AB4"/>
    <w:rsid w:val="00072F3E"/>
    <w:rsid w:val="0007331B"/>
    <w:rsid w:val="00073360"/>
    <w:rsid w:val="0007371A"/>
    <w:rsid w:val="00073C83"/>
    <w:rsid w:val="00073D4E"/>
    <w:rsid w:val="00074CB7"/>
    <w:rsid w:val="0007515E"/>
    <w:rsid w:val="0007517D"/>
    <w:rsid w:val="000751F5"/>
    <w:rsid w:val="00075221"/>
    <w:rsid w:val="00075372"/>
    <w:rsid w:val="00075516"/>
    <w:rsid w:val="00075AC8"/>
    <w:rsid w:val="00075DED"/>
    <w:rsid w:val="00076F13"/>
    <w:rsid w:val="00077817"/>
    <w:rsid w:val="0007785C"/>
    <w:rsid w:val="00077C5F"/>
    <w:rsid w:val="00080ABB"/>
    <w:rsid w:val="00081815"/>
    <w:rsid w:val="00082456"/>
    <w:rsid w:val="000830ED"/>
    <w:rsid w:val="00083C8C"/>
    <w:rsid w:val="00084186"/>
    <w:rsid w:val="0008466C"/>
    <w:rsid w:val="00084DBC"/>
    <w:rsid w:val="00085289"/>
    <w:rsid w:val="000855EE"/>
    <w:rsid w:val="0008580C"/>
    <w:rsid w:val="00085E60"/>
    <w:rsid w:val="00086646"/>
    <w:rsid w:val="000866F0"/>
    <w:rsid w:val="00086784"/>
    <w:rsid w:val="000868C6"/>
    <w:rsid w:val="00087246"/>
    <w:rsid w:val="000873C7"/>
    <w:rsid w:val="00087DFD"/>
    <w:rsid w:val="000904AB"/>
    <w:rsid w:val="00090D72"/>
    <w:rsid w:val="0009235E"/>
    <w:rsid w:val="0009263C"/>
    <w:rsid w:val="00092C19"/>
    <w:rsid w:val="00092ECD"/>
    <w:rsid w:val="00093B17"/>
    <w:rsid w:val="00093C45"/>
    <w:rsid w:val="00094589"/>
    <w:rsid w:val="000945EB"/>
    <w:rsid w:val="00094A36"/>
    <w:rsid w:val="0009571F"/>
    <w:rsid w:val="0009585B"/>
    <w:rsid w:val="0009639C"/>
    <w:rsid w:val="00097975"/>
    <w:rsid w:val="000A0F17"/>
    <w:rsid w:val="000A1D23"/>
    <w:rsid w:val="000A21C7"/>
    <w:rsid w:val="000A2890"/>
    <w:rsid w:val="000A291B"/>
    <w:rsid w:val="000A3D5C"/>
    <w:rsid w:val="000A3FAF"/>
    <w:rsid w:val="000A40D0"/>
    <w:rsid w:val="000A44A7"/>
    <w:rsid w:val="000A4826"/>
    <w:rsid w:val="000A546B"/>
    <w:rsid w:val="000A5AA3"/>
    <w:rsid w:val="000A63EB"/>
    <w:rsid w:val="000A6B21"/>
    <w:rsid w:val="000A6DF0"/>
    <w:rsid w:val="000A7DDD"/>
    <w:rsid w:val="000A7F46"/>
    <w:rsid w:val="000B0827"/>
    <w:rsid w:val="000B0D2C"/>
    <w:rsid w:val="000B194D"/>
    <w:rsid w:val="000B1C6A"/>
    <w:rsid w:val="000B1F8D"/>
    <w:rsid w:val="000B29A3"/>
    <w:rsid w:val="000B2B22"/>
    <w:rsid w:val="000B356F"/>
    <w:rsid w:val="000B3EE5"/>
    <w:rsid w:val="000B3F65"/>
    <w:rsid w:val="000B42DD"/>
    <w:rsid w:val="000B4922"/>
    <w:rsid w:val="000B53E3"/>
    <w:rsid w:val="000B7328"/>
    <w:rsid w:val="000B7850"/>
    <w:rsid w:val="000C048D"/>
    <w:rsid w:val="000C0F4D"/>
    <w:rsid w:val="000C14AC"/>
    <w:rsid w:val="000C153B"/>
    <w:rsid w:val="000C16E8"/>
    <w:rsid w:val="000C2132"/>
    <w:rsid w:val="000C27AD"/>
    <w:rsid w:val="000C29B9"/>
    <w:rsid w:val="000C306C"/>
    <w:rsid w:val="000C3320"/>
    <w:rsid w:val="000C3A85"/>
    <w:rsid w:val="000C53B4"/>
    <w:rsid w:val="000C589F"/>
    <w:rsid w:val="000C5955"/>
    <w:rsid w:val="000C5B65"/>
    <w:rsid w:val="000C728A"/>
    <w:rsid w:val="000D0FBA"/>
    <w:rsid w:val="000D17C9"/>
    <w:rsid w:val="000D2042"/>
    <w:rsid w:val="000D508B"/>
    <w:rsid w:val="000D5310"/>
    <w:rsid w:val="000D5BC2"/>
    <w:rsid w:val="000D5F57"/>
    <w:rsid w:val="000D6912"/>
    <w:rsid w:val="000D73DD"/>
    <w:rsid w:val="000D775C"/>
    <w:rsid w:val="000E06C1"/>
    <w:rsid w:val="000E1330"/>
    <w:rsid w:val="000E1E65"/>
    <w:rsid w:val="000E1F09"/>
    <w:rsid w:val="000E2222"/>
    <w:rsid w:val="000E2533"/>
    <w:rsid w:val="000E33EA"/>
    <w:rsid w:val="000E3BA4"/>
    <w:rsid w:val="000E3EA8"/>
    <w:rsid w:val="000E440E"/>
    <w:rsid w:val="000E4434"/>
    <w:rsid w:val="000E472E"/>
    <w:rsid w:val="000E5103"/>
    <w:rsid w:val="000E55B1"/>
    <w:rsid w:val="000E61BF"/>
    <w:rsid w:val="000E6410"/>
    <w:rsid w:val="000E6C01"/>
    <w:rsid w:val="000E6D4E"/>
    <w:rsid w:val="000E6E3B"/>
    <w:rsid w:val="000E727B"/>
    <w:rsid w:val="000E7E7E"/>
    <w:rsid w:val="000F0548"/>
    <w:rsid w:val="000F062B"/>
    <w:rsid w:val="000F276D"/>
    <w:rsid w:val="000F30F2"/>
    <w:rsid w:val="000F32AE"/>
    <w:rsid w:val="000F3303"/>
    <w:rsid w:val="000F3403"/>
    <w:rsid w:val="000F3EFF"/>
    <w:rsid w:val="000F4064"/>
    <w:rsid w:val="000F4363"/>
    <w:rsid w:val="000F4BA2"/>
    <w:rsid w:val="000F50E3"/>
    <w:rsid w:val="000F561C"/>
    <w:rsid w:val="000F5620"/>
    <w:rsid w:val="000F5A84"/>
    <w:rsid w:val="000F5D24"/>
    <w:rsid w:val="000F6403"/>
    <w:rsid w:val="000F65A1"/>
    <w:rsid w:val="000F6FC9"/>
    <w:rsid w:val="00101B99"/>
    <w:rsid w:val="0010304A"/>
    <w:rsid w:val="001032C4"/>
    <w:rsid w:val="001036D3"/>
    <w:rsid w:val="00103B40"/>
    <w:rsid w:val="00104284"/>
    <w:rsid w:val="00104758"/>
    <w:rsid w:val="001052BD"/>
    <w:rsid w:val="00105B99"/>
    <w:rsid w:val="00105BA9"/>
    <w:rsid w:val="00106303"/>
    <w:rsid w:val="00106C76"/>
    <w:rsid w:val="001073A6"/>
    <w:rsid w:val="00110499"/>
    <w:rsid w:val="001110F3"/>
    <w:rsid w:val="00111360"/>
    <w:rsid w:val="001113C6"/>
    <w:rsid w:val="001128C3"/>
    <w:rsid w:val="00113F1C"/>
    <w:rsid w:val="0011455C"/>
    <w:rsid w:val="00114AA5"/>
    <w:rsid w:val="00114AC8"/>
    <w:rsid w:val="001152F2"/>
    <w:rsid w:val="00115AB3"/>
    <w:rsid w:val="00115D20"/>
    <w:rsid w:val="00116484"/>
    <w:rsid w:val="00117150"/>
    <w:rsid w:val="0011745E"/>
    <w:rsid w:val="001174BB"/>
    <w:rsid w:val="00117EB0"/>
    <w:rsid w:val="001209B2"/>
    <w:rsid w:val="00120A7A"/>
    <w:rsid w:val="00120B52"/>
    <w:rsid w:val="001210D1"/>
    <w:rsid w:val="00121160"/>
    <w:rsid w:val="00121298"/>
    <w:rsid w:val="001228DC"/>
    <w:rsid w:val="00122953"/>
    <w:rsid w:val="00122A72"/>
    <w:rsid w:val="001230F0"/>
    <w:rsid w:val="001231B1"/>
    <w:rsid w:val="001234D4"/>
    <w:rsid w:val="00123B7E"/>
    <w:rsid w:val="00123D75"/>
    <w:rsid w:val="00124623"/>
    <w:rsid w:val="00124A69"/>
    <w:rsid w:val="00124C64"/>
    <w:rsid w:val="00124E47"/>
    <w:rsid w:val="001258D0"/>
    <w:rsid w:val="00125CEB"/>
    <w:rsid w:val="00125DA5"/>
    <w:rsid w:val="00126309"/>
    <w:rsid w:val="001263FA"/>
    <w:rsid w:val="0012664D"/>
    <w:rsid w:val="0012698F"/>
    <w:rsid w:val="0012793C"/>
    <w:rsid w:val="00127D05"/>
    <w:rsid w:val="001302D8"/>
    <w:rsid w:val="00130BF0"/>
    <w:rsid w:val="00130DC3"/>
    <w:rsid w:val="001313AD"/>
    <w:rsid w:val="001322FD"/>
    <w:rsid w:val="00133576"/>
    <w:rsid w:val="001336F7"/>
    <w:rsid w:val="00133F6C"/>
    <w:rsid w:val="001340D6"/>
    <w:rsid w:val="00134C30"/>
    <w:rsid w:val="00134CC5"/>
    <w:rsid w:val="00134E74"/>
    <w:rsid w:val="00136335"/>
    <w:rsid w:val="00136792"/>
    <w:rsid w:val="0013773B"/>
    <w:rsid w:val="00140043"/>
    <w:rsid w:val="0014020B"/>
    <w:rsid w:val="00140255"/>
    <w:rsid w:val="001411FB"/>
    <w:rsid w:val="00141724"/>
    <w:rsid w:val="00141CCF"/>
    <w:rsid w:val="00141D1A"/>
    <w:rsid w:val="001426E1"/>
    <w:rsid w:val="00142924"/>
    <w:rsid w:val="0014386A"/>
    <w:rsid w:val="0014398F"/>
    <w:rsid w:val="00143FB3"/>
    <w:rsid w:val="0014448E"/>
    <w:rsid w:val="001445E2"/>
    <w:rsid w:val="00145063"/>
    <w:rsid w:val="0014626A"/>
    <w:rsid w:val="0014672C"/>
    <w:rsid w:val="001469FB"/>
    <w:rsid w:val="001469FD"/>
    <w:rsid w:val="00146B34"/>
    <w:rsid w:val="00146FE8"/>
    <w:rsid w:val="00147023"/>
    <w:rsid w:val="00147336"/>
    <w:rsid w:val="001506EE"/>
    <w:rsid w:val="00150A92"/>
    <w:rsid w:val="00150AFC"/>
    <w:rsid w:val="00150CE1"/>
    <w:rsid w:val="0015102B"/>
    <w:rsid w:val="0015185B"/>
    <w:rsid w:val="00151A48"/>
    <w:rsid w:val="00151F9A"/>
    <w:rsid w:val="00152932"/>
    <w:rsid w:val="001529C6"/>
    <w:rsid w:val="00153BCF"/>
    <w:rsid w:val="0015460D"/>
    <w:rsid w:val="00154B38"/>
    <w:rsid w:val="00154BC6"/>
    <w:rsid w:val="00154C50"/>
    <w:rsid w:val="00154FDD"/>
    <w:rsid w:val="00155030"/>
    <w:rsid w:val="0015532E"/>
    <w:rsid w:val="001559B8"/>
    <w:rsid w:val="001565FF"/>
    <w:rsid w:val="00156765"/>
    <w:rsid w:val="00156BF9"/>
    <w:rsid w:val="001570CE"/>
    <w:rsid w:val="00157FE7"/>
    <w:rsid w:val="00160E42"/>
    <w:rsid w:val="00161F15"/>
    <w:rsid w:val="00161F97"/>
    <w:rsid w:val="00162DE3"/>
    <w:rsid w:val="00162E4C"/>
    <w:rsid w:val="00163302"/>
    <w:rsid w:val="00163414"/>
    <w:rsid w:val="00165147"/>
    <w:rsid w:val="00165254"/>
    <w:rsid w:val="00165447"/>
    <w:rsid w:val="001660B6"/>
    <w:rsid w:val="001662D5"/>
    <w:rsid w:val="00166356"/>
    <w:rsid w:val="00166437"/>
    <w:rsid w:val="00166D0C"/>
    <w:rsid w:val="0016795E"/>
    <w:rsid w:val="00167A5F"/>
    <w:rsid w:val="00170A94"/>
    <w:rsid w:val="00170E19"/>
    <w:rsid w:val="001712D9"/>
    <w:rsid w:val="00171F16"/>
    <w:rsid w:val="00172377"/>
    <w:rsid w:val="00172776"/>
    <w:rsid w:val="00172C13"/>
    <w:rsid w:val="00173A3C"/>
    <w:rsid w:val="00173DDB"/>
    <w:rsid w:val="00174136"/>
    <w:rsid w:val="00175365"/>
    <w:rsid w:val="0017547B"/>
    <w:rsid w:val="00176FA7"/>
    <w:rsid w:val="001770CD"/>
    <w:rsid w:val="001826C6"/>
    <w:rsid w:val="001830C3"/>
    <w:rsid w:val="0018323D"/>
    <w:rsid w:val="0018352C"/>
    <w:rsid w:val="00183E32"/>
    <w:rsid w:val="00184310"/>
    <w:rsid w:val="00185ACA"/>
    <w:rsid w:val="001863AA"/>
    <w:rsid w:val="001865C5"/>
    <w:rsid w:val="00186C67"/>
    <w:rsid w:val="00187D8A"/>
    <w:rsid w:val="00187FD7"/>
    <w:rsid w:val="001916C4"/>
    <w:rsid w:val="00191C1D"/>
    <w:rsid w:val="00191E16"/>
    <w:rsid w:val="00192594"/>
    <w:rsid w:val="00192F27"/>
    <w:rsid w:val="00193799"/>
    <w:rsid w:val="0019405B"/>
    <w:rsid w:val="001940F3"/>
    <w:rsid w:val="001945DD"/>
    <w:rsid w:val="00195C1A"/>
    <w:rsid w:val="001962A2"/>
    <w:rsid w:val="0019641F"/>
    <w:rsid w:val="00197BB3"/>
    <w:rsid w:val="001A02E3"/>
    <w:rsid w:val="001A0873"/>
    <w:rsid w:val="001A096A"/>
    <w:rsid w:val="001A15CA"/>
    <w:rsid w:val="001A174B"/>
    <w:rsid w:val="001A1933"/>
    <w:rsid w:val="001A1949"/>
    <w:rsid w:val="001A1D07"/>
    <w:rsid w:val="001A1E1C"/>
    <w:rsid w:val="001A1FE1"/>
    <w:rsid w:val="001A2025"/>
    <w:rsid w:val="001A45EC"/>
    <w:rsid w:val="001A462B"/>
    <w:rsid w:val="001A4ED2"/>
    <w:rsid w:val="001A57EF"/>
    <w:rsid w:val="001A5CE8"/>
    <w:rsid w:val="001A6C7D"/>
    <w:rsid w:val="001A6E0B"/>
    <w:rsid w:val="001A708A"/>
    <w:rsid w:val="001A7A7A"/>
    <w:rsid w:val="001B0B3B"/>
    <w:rsid w:val="001B0D87"/>
    <w:rsid w:val="001B15AA"/>
    <w:rsid w:val="001B2342"/>
    <w:rsid w:val="001B257D"/>
    <w:rsid w:val="001B272A"/>
    <w:rsid w:val="001B28DE"/>
    <w:rsid w:val="001B32CF"/>
    <w:rsid w:val="001B378F"/>
    <w:rsid w:val="001B3B19"/>
    <w:rsid w:val="001B426C"/>
    <w:rsid w:val="001B4852"/>
    <w:rsid w:val="001B4CC6"/>
    <w:rsid w:val="001B4F06"/>
    <w:rsid w:val="001B5341"/>
    <w:rsid w:val="001B5A2D"/>
    <w:rsid w:val="001B5BA6"/>
    <w:rsid w:val="001B65CD"/>
    <w:rsid w:val="001B7BF2"/>
    <w:rsid w:val="001C05AE"/>
    <w:rsid w:val="001C0E2E"/>
    <w:rsid w:val="001C1322"/>
    <w:rsid w:val="001C1B20"/>
    <w:rsid w:val="001C3233"/>
    <w:rsid w:val="001C3347"/>
    <w:rsid w:val="001C34B1"/>
    <w:rsid w:val="001C38C7"/>
    <w:rsid w:val="001C3987"/>
    <w:rsid w:val="001C40E4"/>
    <w:rsid w:val="001C4122"/>
    <w:rsid w:val="001C4C93"/>
    <w:rsid w:val="001C509B"/>
    <w:rsid w:val="001C50B3"/>
    <w:rsid w:val="001C5A6B"/>
    <w:rsid w:val="001C5B9F"/>
    <w:rsid w:val="001C62D1"/>
    <w:rsid w:val="001C7554"/>
    <w:rsid w:val="001C7932"/>
    <w:rsid w:val="001C7CCB"/>
    <w:rsid w:val="001D03B5"/>
    <w:rsid w:val="001D08D7"/>
    <w:rsid w:val="001D1725"/>
    <w:rsid w:val="001D1BF0"/>
    <w:rsid w:val="001D2FA7"/>
    <w:rsid w:val="001D365D"/>
    <w:rsid w:val="001D37A0"/>
    <w:rsid w:val="001D3E30"/>
    <w:rsid w:val="001D410D"/>
    <w:rsid w:val="001D4C2F"/>
    <w:rsid w:val="001D4DB2"/>
    <w:rsid w:val="001D66E1"/>
    <w:rsid w:val="001D6CA0"/>
    <w:rsid w:val="001D707C"/>
    <w:rsid w:val="001D7490"/>
    <w:rsid w:val="001D7872"/>
    <w:rsid w:val="001E0164"/>
    <w:rsid w:val="001E01E5"/>
    <w:rsid w:val="001E09AF"/>
    <w:rsid w:val="001E140E"/>
    <w:rsid w:val="001E15F2"/>
    <w:rsid w:val="001E16E6"/>
    <w:rsid w:val="001E1898"/>
    <w:rsid w:val="001E20D8"/>
    <w:rsid w:val="001E5521"/>
    <w:rsid w:val="001E5561"/>
    <w:rsid w:val="001E5909"/>
    <w:rsid w:val="001E65C6"/>
    <w:rsid w:val="001E6A1F"/>
    <w:rsid w:val="001F00C7"/>
    <w:rsid w:val="001F02A4"/>
    <w:rsid w:val="001F0327"/>
    <w:rsid w:val="001F156E"/>
    <w:rsid w:val="001F15E5"/>
    <w:rsid w:val="001F17D0"/>
    <w:rsid w:val="001F33DD"/>
    <w:rsid w:val="001F3460"/>
    <w:rsid w:val="001F3C28"/>
    <w:rsid w:val="001F3C33"/>
    <w:rsid w:val="001F3E86"/>
    <w:rsid w:val="001F47A6"/>
    <w:rsid w:val="001F532D"/>
    <w:rsid w:val="001F6498"/>
    <w:rsid w:val="001F6FBA"/>
    <w:rsid w:val="001F70D2"/>
    <w:rsid w:val="001F7881"/>
    <w:rsid w:val="00202625"/>
    <w:rsid w:val="0020365E"/>
    <w:rsid w:val="002036AA"/>
    <w:rsid w:val="002045B8"/>
    <w:rsid w:val="00206D8A"/>
    <w:rsid w:val="0020724A"/>
    <w:rsid w:val="00210209"/>
    <w:rsid w:val="00210334"/>
    <w:rsid w:val="0021076D"/>
    <w:rsid w:val="002111A6"/>
    <w:rsid w:val="00211624"/>
    <w:rsid w:val="00211CF8"/>
    <w:rsid w:val="00211E23"/>
    <w:rsid w:val="002126E1"/>
    <w:rsid w:val="00212D49"/>
    <w:rsid w:val="00213E58"/>
    <w:rsid w:val="00215619"/>
    <w:rsid w:val="00216D8A"/>
    <w:rsid w:val="00217298"/>
    <w:rsid w:val="002177E0"/>
    <w:rsid w:val="0021794E"/>
    <w:rsid w:val="0022024B"/>
    <w:rsid w:val="002207DC"/>
    <w:rsid w:val="00220A4B"/>
    <w:rsid w:val="00220A60"/>
    <w:rsid w:val="002219A0"/>
    <w:rsid w:val="00221E03"/>
    <w:rsid w:val="00223999"/>
    <w:rsid w:val="0022404E"/>
    <w:rsid w:val="00224752"/>
    <w:rsid w:val="00224999"/>
    <w:rsid w:val="00224F7F"/>
    <w:rsid w:val="002255A0"/>
    <w:rsid w:val="00225F72"/>
    <w:rsid w:val="00227015"/>
    <w:rsid w:val="00227872"/>
    <w:rsid w:val="0023038E"/>
    <w:rsid w:val="00230881"/>
    <w:rsid w:val="00230EE2"/>
    <w:rsid w:val="00230F2A"/>
    <w:rsid w:val="00231CF7"/>
    <w:rsid w:val="00231F46"/>
    <w:rsid w:val="0023373E"/>
    <w:rsid w:val="00233969"/>
    <w:rsid w:val="00236EA8"/>
    <w:rsid w:val="00236F99"/>
    <w:rsid w:val="00237504"/>
    <w:rsid w:val="00237677"/>
    <w:rsid w:val="00240057"/>
    <w:rsid w:val="002404A2"/>
    <w:rsid w:val="0024136E"/>
    <w:rsid w:val="002417CE"/>
    <w:rsid w:val="00242C1B"/>
    <w:rsid w:val="0024315E"/>
    <w:rsid w:val="00243508"/>
    <w:rsid w:val="0024367B"/>
    <w:rsid w:val="00243BDC"/>
    <w:rsid w:val="00244E9B"/>
    <w:rsid w:val="00246289"/>
    <w:rsid w:val="0024788B"/>
    <w:rsid w:val="0024799D"/>
    <w:rsid w:val="00250E37"/>
    <w:rsid w:val="0025122D"/>
    <w:rsid w:val="00251230"/>
    <w:rsid w:val="00251E60"/>
    <w:rsid w:val="00252BEF"/>
    <w:rsid w:val="00253053"/>
    <w:rsid w:val="00253316"/>
    <w:rsid w:val="002535DA"/>
    <w:rsid w:val="00253C0E"/>
    <w:rsid w:val="00254CE3"/>
    <w:rsid w:val="00254D27"/>
    <w:rsid w:val="002556AE"/>
    <w:rsid w:val="0025605F"/>
    <w:rsid w:val="0025623B"/>
    <w:rsid w:val="002568EA"/>
    <w:rsid w:val="00256C04"/>
    <w:rsid w:val="00257625"/>
    <w:rsid w:val="00257D78"/>
    <w:rsid w:val="00260BB4"/>
    <w:rsid w:val="0026101C"/>
    <w:rsid w:val="0026112F"/>
    <w:rsid w:val="00261559"/>
    <w:rsid w:val="00261CFD"/>
    <w:rsid w:val="00262BC5"/>
    <w:rsid w:val="00262CD6"/>
    <w:rsid w:val="00262CEC"/>
    <w:rsid w:val="00263048"/>
    <w:rsid w:val="00263359"/>
    <w:rsid w:val="002636B3"/>
    <w:rsid w:val="00263803"/>
    <w:rsid w:val="0026500B"/>
    <w:rsid w:val="002650FE"/>
    <w:rsid w:val="0026562F"/>
    <w:rsid w:val="00265B16"/>
    <w:rsid w:val="00266374"/>
    <w:rsid w:val="002668F2"/>
    <w:rsid w:val="00267785"/>
    <w:rsid w:val="00267A4F"/>
    <w:rsid w:val="00267EFA"/>
    <w:rsid w:val="002700D4"/>
    <w:rsid w:val="00270919"/>
    <w:rsid w:val="00270B00"/>
    <w:rsid w:val="00270C91"/>
    <w:rsid w:val="00271A51"/>
    <w:rsid w:val="002720E3"/>
    <w:rsid w:val="00272A9C"/>
    <w:rsid w:val="0027301B"/>
    <w:rsid w:val="00273194"/>
    <w:rsid w:val="00273F00"/>
    <w:rsid w:val="00274918"/>
    <w:rsid w:val="00275108"/>
    <w:rsid w:val="002755E6"/>
    <w:rsid w:val="00275913"/>
    <w:rsid w:val="002769AB"/>
    <w:rsid w:val="00277F28"/>
    <w:rsid w:val="00277FA5"/>
    <w:rsid w:val="00280822"/>
    <w:rsid w:val="0028085C"/>
    <w:rsid w:val="00281A50"/>
    <w:rsid w:val="00281D0B"/>
    <w:rsid w:val="00282862"/>
    <w:rsid w:val="00282DBD"/>
    <w:rsid w:val="00282DE5"/>
    <w:rsid w:val="00284230"/>
    <w:rsid w:val="00284328"/>
    <w:rsid w:val="00284AB5"/>
    <w:rsid w:val="00284B61"/>
    <w:rsid w:val="00284E30"/>
    <w:rsid w:val="0028521B"/>
    <w:rsid w:val="0028659D"/>
    <w:rsid w:val="00286745"/>
    <w:rsid w:val="0028747A"/>
    <w:rsid w:val="00287CA7"/>
    <w:rsid w:val="002902E9"/>
    <w:rsid w:val="00290B16"/>
    <w:rsid w:val="00290BCA"/>
    <w:rsid w:val="00290D5E"/>
    <w:rsid w:val="00290F2A"/>
    <w:rsid w:val="00291FC5"/>
    <w:rsid w:val="0029231E"/>
    <w:rsid w:val="0029239F"/>
    <w:rsid w:val="00292656"/>
    <w:rsid w:val="00293A0A"/>
    <w:rsid w:val="00293EFD"/>
    <w:rsid w:val="00294DB8"/>
    <w:rsid w:val="00294E6E"/>
    <w:rsid w:val="00296206"/>
    <w:rsid w:val="00296223"/>
    <w:rsid w:val="0029685C"/>
    <w:rsid w:val="0029765C"/>
    <w:rsid w:val="00297BE3"/>
    <w:rsid w:val="00297DDD"/>
    <w:rsid w:val="00297E45"/>
    <w:rsid w:val="002A056E"/>
    <w:rsid w:val="002A065B"/>
    <w:rsid w:val="002A09A9"/>
    <w:rsid w:val="002A0A65"/>
    <w:rsid w:val="002A0B00"/>
    <w:rsid w:val="002A0E9A"/>
    <w:rsid w:val="002A186F"/>
    <w:rsid w:val="002A1B5B"/>
    <w:rsid w:val="002A1BE7"/>
    <w:rsid w:val="002A1E4F"/>
    <w:rsid w:val="002A27A0"/>
    <w:rsid w:val="002A2E20"/>
    <w:rsid w:val="002A2E49"/>
    <w:rsid w:val="002A398E"/>
    <w:rsid w:val="002A3A34"/>
    <w:rsid w:val="002A3E12"/>
    <w:rsid w:val="002A3FBB"/>
    <w:rsid w:val="002A42C6"/>
    <w:rsid w:val="002A442E"/>
    <w:rsid w:val="002A532C"/>
    <w:rsid w:val="002A540F"/>
    <w:rsid w:val="002A54EE"/>
    <w:rsid w:val="002A599A"/>
    <w:rsid w:val="002A634A"/>
    <w:rsid w:val="002A66CD"/>
    <w:rsid w:val="002A67D7"/>
    <w:rsid w:val="002A6926"/>
    <w:rsid w:val="002A752B"/>
    <w:rsid w:val="002A7EAA"/>
    <w:rsid w:val="002B0395"/>
    <w:rsid w:val="002B070D"/>
    <w:rsid w:val="002B150D"/>
    <w:rsid w:val="002B18E7"/>
    <w:rsid w:val="002B1911"/>
    <w:rsid w:val="002B220D"/>
    <w:rsid w:val="002B3274"/>
    <w:rsid w:val="002B41AC"/>
    <w:rsid w:val="002B4F9A"/>
    <w:rsid w:val="002B52B9"/>
    <w:rsid w:val="002B6869"/>
    <w:rsid w:val="002B6C93"/>
    <w:rsid w:val="002B762E"/>
    <w:rsid w:val="002B77E0"/>
    <w:rsid w:val="002B7ADD"/>
    <w:rsid w:val="002C01DB"/>
    <w:rsid w:val="002C0AAF"/>
    <w:rsid w:val="002C16C4"/>
    <w:rsid w:val="002C20BF"/>
    <w:rsid w:val="002C28D6"/>
    <w:rsid w:val="002C2D01"/>
    <w:rsid w:val="002C31B7"/>
    <w:rsid w:val="002C355A"/>
    <w:rsid w:val="002C370E"/>
    <w:rsid w:val="002C3D1A"/>
    <w:rsid w:val="002C4B5D"/>
    <w:rsid w:val="002C4C73"/>
    <w:rsid w:val="002C5985"/>
    <w:rsid w:val="002C6349"/>
    <w:rsid w:val="002C6833"/>
    <w:rsid w:val="002C6A1A"/>
    <w:rsid w:val="002D0CDC"/>
    <w:rsid w:val="002D12E6"/>
    <w:rsid w:val="002D14AB"/>
    <w:rsid w:val="002D151C"/>
    <w:rsid w:val="002D2042"/>
    <w:rsid w:val="002D2214"/>
    <w:rsid w:val="002D25E6"/>
    <w:rsid w:val="002D2835"/>
    <w:rsid w:val="002D3554"/>
    <w:rsid w:val="002D35DE"/>
    <w:rsid w:val="002D38E8"/>
    <w:rsid w:val="002D4A6E"/>
    <w:rsid w:val="002D5570"/>
    <w:rsid w:val="002D5667"/>
    <w:rsid w:val="002D5A94"/>
    <w:rsid w:val="002D61F7"/>
    <w:rsid w:val="002D65D6"/>
    <w:rsid w:val="002D67CE"/>
    <w:rsid w:val="002D6907"/>
    <w:rsid w:val="002D7544"/>
    <w:rsid w:val="002D7792"/>
    <w:rsid w:val="002D78BD"/>
    <w:rsid w:val="002D7CBA"/>
    <w:rsid w:val="002E0A87"/>
    <w:rsid w:val="002E0D16"/>
    <w:rsid w:val="002E16AF"/>
    <w:rsid w:val="002E1E68"/>
    <w:rsid w:val="002E1F3D"/>
    <w:rsid w:val="002E218D"/>
    <w:rsid w:val="002E336F"/>
    <w:rsid w:val="002E3B22"/>
    <w:rsid w:val="002E4C01"/>
    <w:rsid w:val="002E600F"/>
    <w:rsid w:val="002E70ED"/>
    <w:rsid w:val="002E7664"/>
    <w:rsid w:val="002E7B8A"/>
    <w:rsid w:val="002E7D50"/>
    <w:rsid w:val="002F063F"/>
    <w:rsid w:val="002F0FBD"/>
    <w:rsid w:val="002F1430"/>
    <w:rsid w:val="002F2005"/>
    <w:rsid w:val="002F279E"/>
    <w:rsid w:val="002F3B65"/>
    <w:rsid w:val="002F4139"/>
    <w:rsid w:val="002F4746"/>
    <w:rsid w:val="002F4E0C"/>
    <w:rsid w:val="002F5284"/>
    <w:rsid w:val="002F59C3"/>
    <w:rsid w:val="002F5F94"/>
    <w:rsid w:val="002F6369"/>
    <w:rsid w:val="002F6BCD"/>
    <w:rsid w:val="002F7D29"/>
    <w:rsid w:val="002F7F66"/>
    <w:rsid w:val="003001D9"/>
    <w:rsid w:val="0030146A"/>
    <w:rsid w:val="00301522"/>
    <w:rsid w:val="00301C11"/>
    <w:rsid w:val="00301DE2"/>
    <w:rsid w:val="003020CF"/>
    <w:rsid w:val="0030361D"/>
    <w:rsid w:val="00303BD1"/>
    <w:rsid w:val="003045EF"/>
    <w:rsid w:val="00304B28"/>
    <w:rsid w:val="00304E67"/>
    <w:rsid w:val="00304EDF"/>
    <w:rsid w:val="00305C3A"/>
    <w:rsid w:val="003064B4"/>
    <w:rsid w:val="00306D75"/>
    <w:rsid w:val="00307068"/>
    <w:rsid w:val="00307703"/>
    <w:rsid w:val="00307C1B"/>
    <w:rsid w:val="00307CCA"/>
    <w:rsid w:val="00310657"/>
    <w:rsid w:val="00311577"/>
    <w:rsid w:val="00311E2C"/>
    <w:rsid w:val="0031218E"/>
    <w:rsid w:val="00313016"/>
    <w:rsid w:val="00313EAF"/>
    <w:rsid w:val="0031498E"/>
    <w:rsid w:val="00315043"/>
    <w:rsid w:val="0031589C"/>
    <w:rsid w:val="00315A75"/>
    <w:rsid w:val="00315DB6"/>
    <w:rsid w:val="00315DCA"/>
    <w:rsid w:val="003171C8"/>
    <w:rsid w:val="003174CE"/>
    <w:rsid w:val="0031782A"/>
    <w:rsid w:val="003203D5"/>
    <w:rsid w:val="00320426"/>
    <w:rsid w:val="003210D0"/>
    <w:rsid w:val="0032125D"/>
    <w:rsid w:val="0032173E"/>
    <w:rsid w:val="003223F3"/>
    <w:rsid w:val="00322A85"/>
    <w:rsid w:val="003235F4"/>
    <w:rsid w:val="00323C5B"/>
    <w:rsid w:val="00323F73"/>
    <w:rsid w:val="00324329"/>
    <w:rsid w:val="00325C16"/>
    <w:rsid w:val="003263E0"/>
    <w:rsid w:val="003265DE"/>
    <w:rsid w:val="0032729A"/>
    <w:rsid w:val="003279A0"/>
    <w:rsid w:val="00327B3F"/>
    <w:rsid w:val="00327C1D"/>
    <w:rsid w:val="00330416"/>
    <w:rsid w:val="00330505"/>
    <w:rsid w:val="00330522"/>
    <w:rsid w:val="00330535"/>
    <w:rsid w:val="0033126F"/>
    <w:rsid w:val="0033165F"/>
    <w:rsid w:val="00332BA4"/>
    <w:rsid w:val="00332E39"/>
    <w:rsid w:val="00333856"/>
    <w:rsid w:val="00333E79"/>
    <w:rsid w:val="00335158"/>
    <w:rsid w:val="003358A7"/>
    <w:rsid w:val="003364BE"/>
    <w:rsid w:val="00337AA6"/>
    <w:rsid w:val="003403F6"/>
    <w:rsid w:val="00340C25"/>
    <w:rsid w:val="00340D27"/>
    <w:rsid w:val="00340E1F"/>
    <w:rsid w:val="003410B9"/>
    <w:rsid w:val="0034110D"/>
    <w:rsid w:val="0034123F"/>
    <w:rsid w:val="00341431"/>
    <w:rsid w:val="0034150F"/>
    <w:rsid w:val="003421E7"/>
    <w:rsid w:val="003421EF"/>
    <w:rsid w:val="00342207"/>
    <w:rsid w:val="00342921"/>
    <w:rsid w:val="00342B28"/>
    <w:rsid w:val="00342BEA"/>
    <w:rsid w:val="003430FD"/>
    <w:rsid w:val="0034383E"/>
    <w:rsid w:val="003442AF"/>
    <w:rsid w:val="003442B3"/>
    <w:rsid w:val="003447F6"/>
    <w:rsid w:val="00344E74"/>
    <w:rsid w:val="003453AC"/>
    <w:rsid w:val="003453B0"/>
    <w:rsid w:val="003463D1"/>
    <w:rsid w:val="00346CF4"/>
    <w:rsid w:val="003473A8"/>
    <w:rsid w:val="00347755"/>
    <w:rsid w:val="003477D0"/>
    <w:rsid w:val="00347F8C"/>
    <w:rsid w:val="00350096"/>
    <w:rsid w:val="00350787"/>
    <w:rsid w:val="003511EA"/>
    <w:rsid w:val="00351361"/>
    <w:rsid w:val="0035150E"/>
    <w:rsid w:val="00352268"/>
    <w:rsid w:val="0035281F"/>
    <w:rsid w:val="00353087"/>
    <w:rsid w:val="00353088"/>
    <w:rsid w:val="00353572"/>
    <w:rsid w:val="003537B5"/>
    <w:rsid w:val="003538FD"/>
    <w:rsid w:val="003539E0"/>
    <w:rsid w:val="00353F34"/>
    <w:rsid w:val="00354C8D"/>
    <w:rsid w:val="00355198"/>
    <w:rsid w:val="003551AA"/>
    <w:rsid w:val="0035566F"/>
    <w:rsid w:val="003558C6"/>
    <w:rsid w:val="00355998"/>
    <w:rsid w:val="00355CB5"/>
    <w:rsid w:val="00355D7F"/>
    <w:rsid w:val="00356516"/>
    <w:rsid w:val="00356A24"/>
    <w:rsid w:val="00356BB1"/>
    <w:rsid w:val="0035729A"/>
    <w:rsid w:val="00357768"/>
    <w:rsid w:val="003602B2"/>
    <w:rsid w:val="003618CF"/>
    <w:rsid w:val="00361A08"/>
    <w:rsid w:val="00362F45"/>
    <w:rsid w:val="00363389"/>
    <w:rsid w:val="00363B00"/>
    <w:rsid w:val="00363DD7"/>
    <w:rsid w:val="003643FF"/>
    <w:rsid w:val="00364E2E"/>
    <w:rsid w:val="00365BBF"/>
    <w:rsid w:val="00365DE2"/>
    <w:rsid w:val="003666DD"/>
    <w:rsid w:val="00366E52"/>
    <w:rsid w:val="00367BC7"/>
    <w:rsid w:val="003702A7"/>
    <w:rsid w:val="00370433"/>
    <w:rsid w:val="00371514"/>
    <w:rsid w:val="0037158A"/>
    <w:rsid w:val="0037172B"/>
    <w:rsid w:val="003721F5"/>
    <w:rsid w:val="00372428"/>
    <w:rsid w:val="00372858"/>
    <w:rsid w:val="003731CB"/>
    <w:rsid w:val="003745FB"/>
    <w:rsid w:val="00375153"/>
    <w:rsid w:val="0037521D"/>
    <w:rsid w:val="0037618C"/>
    <w:rsid w:val="0037636C"/>
    <w:rsid w:val="00376E06"/>
    <w:rsid w:val="00377A9F"/>
    <w:rsid w:val="003800BE"/>
    <w:rsid w:val="003802C6"/>
    <w:rsid w:val="00380649"/>
    <w:rsid w:val="0038083F"/>
    <w:rsid w:val="00380C12"/>
    <w:rsid w:val="00381572"/>
    <w:rsid w:val="00381DDC"/>
    <w:rsid w:val="00381EF3"/>
    <w:rsid w:val="003824A6"/>
    <w:rsid w:val="00382985"/>
    <w:rsid w:val="00382A2E"/>
    <w:rsid w:val="00382A41"/>
    <w:rsid w:val="0038342E"/>
    <w:rsid w:val="00383BFA"/>
    <w:rsid w:val="003843F7"/>
    <w:rsid w:val="00384ACE"/>
    <w:rsid w:val="00385133"/>
    <w:rsid w:val="00385364"/>
    <w:rsid w:val="00385AD2"/>
    <w:rsid w:val="00385BD7"/>
    <w:rsid w:val="00386E11"/>
    <w:rsid w:val="0039024F"/>
    <w:rsid w:val="00390439"/>
    <w:rsid w:val="003905F2"/>
    <w:rsid w:val="00391046"/>
    <w:rsid w:val="00391287"/>
    <w:rsid w:val="00391A03"/>
    <w:rsid w:val="00391D17"/>
    <w:rsid w:val="003925B8"/>
    <w:rsid w:val="0039270E"/>
    <w:rsid w:val="00392BE3"/>
    <w:rsid w:val="00393968"/>
    <w:rsid w:val="00393E06"/>
    <w:rsid w:val="00393E2D"/>
    <w:rsid w:val="0039492A"/>
    <w:rsid w:val="00394B2A"/>
    <w:rsid w:val="00394DBC"/>
    <w:rsid w:val="00395489"/>
    <w:rsid w:val="00396C80"/>
    <w:rsid w:val="00397950"/>
    <w:rsid w:val="00397CB5"/>
    <w:rsid w:val="00397E71"/>
    <w:rsid w:val="003A03D7"/>
    <w:rsid w:val="003A05E1"/>
    <w:rsid w:val="003A0806"/>
    <w:rsid w:val="003A21C1"/>
    <w:rsid w:val="003A2408"/>
    <w:rsid w:val="003A245F"/>
    <w:rsid w:val="003A29EB"/>
    <w:rsid w:val="003A309B"/>
    <w:rsid w:val="003A326F"/>
    <w:rsid w:val="003A3F05"/>
    <w:rsid w:val="003A4716"/>
    <w:rsid w:val="003A4871"/>
    <w:rsid w:val="003A5AAB"/>
    <w:rsid w:val="003A63D9"/>
    <w:rsid w:val="003A6BFF"/>
    <w:rsid w:val="003A770D"/>
    <w:rsid w:val="003A7BA7"/>
    <w:rsid w:val="003A7DE4"/>
    <w:rsid w:val="003B0745"/>
    <w:rsid w:val="003B149A"/>
    <w:rsid w:val="003B2130"/>
    <w:rsid w:val="003B2827"/>
    <w:rsid w:val="003B2870"/>
    <w:rsid w:val="003B2F12"/>
    <w:rsid w:val="003B32A2"/>
    <w:rsid w:val="003B356F"/>
    <w:rsid w:val="003B3703"/>
    <w:rsid w:val="003B3A67"/>
    <w:rsid w:val="003B53EB"/>
    <w:rsid w:val="003B57B9"/>
    <w:rsid w:val="003B5F55"/>
    <w:rsid w:val="003B648F"/>
    <w:rsid w:val="003C07E6"/>
    <w:rsid w:val="003C0995"/>
    <w:rsid w:val="003C1B09"/>
    <w:rsid w:val="003C43F7"/>
    <w:rsid w:val="003C6A84"/>
    <w:rsid w:val="003C767F"/>
    <w:rsid w:val="003C7DD9"/>
    <w:rsid w:val="003C7F9C"/>
    <w:rsid w:val="003D1465"/>
    <w:rsid w:val="003D1843"/>
    <w:rsid w:val="003D1E2F"/>
    <w:rsid w:val="003D3902"/>
    <w:rsid w:val="003D475C"/>
    <w:rsid w:val="003D49F9"/>
    <w:rsid w:val="003D4AEF"/>
    <w:rsid w:val="003D5AA6"/>
    <w:rsid w:val="003D5FAD"/>
    <w:rsid w:val="003D6419"/>
    <w:rsid w:val="003E00EC"/>
    <w:rsid w:val="003E0234"/>
    <w:rsid w:val="003E0929"/>
    <w:rsid w:val="003E0F86"/>
    <w:rsid w:val="003E188F"/>
    <w:rsid w:val="003E21B5"/>
    <w:rsid w:val="003E338A"/>
    <w:rsid w:val="003E33B1"/>
    <w:rsid w:val="003E33C4"/>
    <w:rsid w:val="003E3457"/>
    <w:rsid w:val="003E3661"/>
    <w:rsid w:val="003E396D"/>
    <w:rsid w:val="003E4FB2"/>
    <w:rsid w:val="003E5155"/>
    <w:rsid w:val="003E5CEB"/>
    <w:rsid w:val="003E5F30"/>
    <w:rsid w:val="003E60D5"/>
    <w:rsid w:val="003E757C"/>
    <w:rsid w:val="003E78EF"/>
    <w:rsid w:val="003E7F5A"/>
    <w:rsid w:val="003F0093"/>
    <w:rsid w:val="003F0854"/>
    <w:rsid w:val="003F1687"/>
    <w:rsid w:val="003F2121"/>
    <w:rsid w:val="003F3184"/>
    <w:rsid w:val="003F3997"/>
    <w:rsid w:val="003F3F0D"/>
    <w:rsid w:val="003F5085"/>
    <w:rsid w:val="003F5D92"/>
    <w:rsid w:val="003F5F8F"/>
    <w:rsid w:val="003F69B9"/>
    <w:rsid w:val="003F6F07"/>
    <w:rsid w:val="003F73D2"/>
    <w:rsid w:val="003F762C"/>
    <w:rsid w:val="003F763E"/>
    <w:rsid w:val="0040096F"/>
    <w:rsid w:val="00400F54"/>
    <w:rsid w:val="0040239F"/>
    <w:rsid w:val="004023A9"/>
    <w:rsid w:val="00402D0A"/>
    <w:rsid w:val="00402D10"/>
    <w:rsid w:val="00403AA5"/>
    <w:rsid w:val="00404694"/>
    <w:rsid w:val="00404B49"/>
    <w:rsid w:val="00404ECF"/>
    <w:rsid w:val="00404FCA"/>
    <w:rsid w:val="00405D21"/>
    <w:rsid w:val="00406380"/>
    <w:rsid w:val="004065C5"/>
    <w:rsid w:val="00406E0F"/>
    <w:rsid w:val="004073E2"/>
    <w:rsid w:val="004074D6"/>
    <w:rsid w:val="00410641"/>
    <w:rsid w:val="00410A18"/>
    <w:rsid w:val="004118B9"/>
    <w:rsid w:val="0041222C"/>
    <w:rsid w:val="00412407"/>
    <w:rsid w:val="0041298A"/>
    <w:rsid w:val="00413E6A"/>
    <w:rsid w:val="00414B56"/>
    <w:rsid w:val="00414FE1"/>
    <w:rsid w:val="0041610D"/>
    <w:rsid w:val="004162B7"/>
    <w:rsid w:val="004169D0"/>
    <w:rsid w:val="0041777D"/>
    <w:rsid w:val="00417F48"/>
    <w:rsid w:val="00420007"/>
    <w:rsid w:val="00420713"/>
    <w:rsid w:val="00420F23"/>
    <w:rsid w:val="0042133A"/>
    <w:rsid w:val="0042180F"/>
    <w:rsid w:val="004225EB"/>
    <w:rsid w:val="00423411"/>
    <w:rsid w:val="00424657"/>
    <w:rsid w:val="00424AEF"/>
    <w:rsid w:val="00424B58"/>
    <w:rsid w:val="00425062"/>
    <w:rsid w:val="004252FF"/>
    <w:rsid w:val="00425CF8"/>
    <w:rsid w:val="004274D0"/>
    <w:rsid w:val="0043058A"/>
    <w:rsid w:val="00431A24"/>
    <w:rsid w:val="00431A79"/>
    <w:rsid w:val="004333E2"/>
    <w:rsid w:val="00433902"/>
    <w:rsid w:val="00435658"/>
    <w:rsid w:val="00435747"/>
    <w:rsid w:val="004358A5"/>
    <w:rsid w:val="00435F12"/>
    <w:rsid w:val="0043659D"/>
    <w:rsid w:val="00437313"/>
    <w:rsid w:val="004377BB"/>
    <w:rsid w:val="0044058F"/>
    <w:rsid w:val="004405D8"/>
    <w:rsid w:val="00440B3A"/>
    <w:rsid w:val="004412CA"/>
    <w:rsid w:val="0044155D"/>
    <w:rsid w:val="0044189A"/>
    <w:rsid w:val="00441DBE"/>
    <w:rsid w:val="004424EB"/>
    <w:rsid w:val="004428C1"/>
    <w:rsid w:val="00443AB7"/>
    <w:rsid w:val="00443E41"/>
    <w:rsid w:val="00443F1E"/>
    <w:rsid w:val="00443F4D"/>
    <w:rsid w:val="00443FC8"/>
    <w:rsid w:val="004457F7"/>
    <w:rsid w:val="00445B6C"/>
    <w:rsid w:val="00446315"/>
    <w:rsid w:val="004465F5"/>
    <w:rsid w:val="0044674E"/>
    <w:rsid w:val="00446999"/>
    <w:rsid w:val="00446DFF"/>
    <w:rsid w:val="004502B0"/>
    <w:rsid w:val="004507E6"/>
    <w:rsid w:val="00450C90"/>
    <w:rsid w:val="00451BBF"/>
    <w:rsid w:val="004520C7"/>
    <w:rsid w:val="0045237C"/>
    <w:rsid w:val="0045243A"/>
    <w:rsid w:val="004525D0"/>
    <w:rsid w:val="00454CF9"/>
    <w:rsid w:val="0045516A"/>
    <w:rsid w:val="00455689"/>
    <w:rsid w:val="004560E8"/>
    <w:rsid w:val="00456314"/>
    <w:rsid w:val="0045772A"/>
    <w:rsid w:val="00457833"/>
    <w:rsid w:val="00457BCA"/>
    <w:rsid w:val="00457C21"/>
    <w:rsid w:val="004628F8"/>
    <w:rsid w:val="00462906"/>
    <w:rsid w:val="00462A23"/>
    <w:rsid w:val="00462B9A"/>
    <w:rsid w:val="00462DDC"/>
    <w:rsid w:val="004630D4"/>
    <w:rsid w:val="004648B6"/>
    <w:rsid w:val="00464D17"/>
    <w:rsid w:val="00465A50"/>
    <w:rsid w:val="00465CA7"/>
    <w:rsid w:val="00465ECE"/>
    <w:rsid w:val="00465F16"/>
    <w:rsid w:val="00466AA4"/>
    <w:rsid w:val="00466B77"/>
    <w:rsid w:val="00466D2E"/>
    <w:rsid w:val="004673D1"/>
    <w:rsid w:val="004676BD"/>
    <w:rsid w:val="0047156E"/>
    <w:rsid w:val="00472282"/>
    <w:rsid w:val="00473227"/>
    <w:rsid w:val="00474349"/>
    <w:rsid w:val="00475578"/>
    <w:rsid w:val="00475DF3"/>
    <w:rsid w:val="00476554"/>
    <w:rsid w:val="004765EB"/>
    <w:rsid w:val="00476A74"/>
    <w:rsid w:val="00476D53"/>
    <w:rsid w:val="00477941"/>
    <w:rsid w:val="00477D97"/>
    <w:rsid w:val="00477F6C"/>
    <w:rsid w:val="00481176"/>
    <w:rsid w:val="004814A4"/>
    <w:rsid w:val="00481D8F"/>
    <w:rsid w:val="00482BF1"/>
    <w:rsid w:val="004834CC"/>
    <w:rsid w:val="0048452A"/>
    <w:rsid w:val="004858E8"/>
    <w:rsid w:val="00486A24"/>
    <w:rsid w:val="00486ACE"/>
    <w:rsid w:val="00486E19"/>
    <w:rsid w:val="004871B8"/>
    <w:rsid w:val="00487BE8"/>
    <w:rsid w:val="00487C65"/>
    <w:rsid w:val="00487E07"/>
    <w:rsid w:val="00487F0C"/>
    <w:rsid w:val="00490A95"/>
    <w:rsid w:val="00490C3B"/>
    <w:rsid w:val="00490CEF"/>
    <w:rsid w:val="00491A9A"/>
    <w:rsid w:val="00491AA8"/>
    <w:rsid w:val="00492C49"/>
    <w:rsid w:val="00492D0C"/>
    <w:rsid w:val="004942C1"/>
    <w:rsid w:val="004945B3"/>
    <w:rsid w:val="004948E0"/>
    <w:rsid w:val="00495059"/>
    <w:rsid w:val="0049513C"/>
    <w:rsid w:val="004952BE"/>
    <w:rsid w:val="004957E6"/>
    <w:rsid w:val="00495CA8"/>
    <w:rsid w:val="004965B0"/>
    <w:rsid w:val="004973C5"/>
    <w:rsid w:val="0049780B"/>
    <w:rsid w:val="004A0306"/>
    <w:rsid w:val="004A03F5"/>
    <w:rsid w:val="004A0AF2"/>
    <w:rsid w:val="004A10DD"/>
    <w:rsid w:val="004A1138"/>
    <w:rsid w:val="004A14B1"/>
    <w:rsid w:val="004A2470"/>
    <w:rsid w:val="004A25EE"/>
    <w:rsid w:val="004A2FB2"/>
    <w:rsid w:val="004A328A"/>
    <w:rsid w:val="004A334F"/>
    <w:rsid w:val="004A35A1"/>
    <w:rsid w:val="004A367E"/>
    <w:rsid w:val="004A5544"/>
    <w:rsid w:val="004A5DAA"/>
    <w:rsid w:val="004A685D"/>
    <w:rsid w:val="004A6EC3"/>
    <w:rsid w:val="004A71C8"/>
    <w:rsid w:val="004A7323"/>
    <w:rsid w:val="004B0017"/>
    <w:rsid w:val="004B034D"/>
    <w:rsid w:val="004B05A7"/>
    <w:rsid w:val="004B05F7"/>
    <w:rsid w:val="004B0A24"/>
    <w:rsid w:val="004B0C2D"/>
    <w:rsid w:val="004B1600"/>
    <w:rsid w:val="004B1CF5"/>
    <w:rsid w:val="004B1FDB"/>
    <w:rsid w:val="004B20C7"/>
    <w:rsid w:val="004B21B3"/>
    <w:rsid w:val="004B2645"/>
    <w:rsid w:val="004B33F1"/>
    <w:rsid w:val="004B45B0"/>
    <w:rsid w:val="004B4AF8"/>
    <w:rsid w:val="004B4D76"/>
    <w:rsid w:val="004B5F75"/>
    <w:rsid w:val="004B6950"/>
    <w:rsid w:val="004B6A35"/>
    <w:rsid w:val="004B6A84"/>
    <w:rsid w:val="004B6CB4"/>
    <w:rsid w:val="004B6CBD"/>
    <w:rsid w:val="004B7C38"/>
    <w:rsid w:val="004C0074"/>
    <w:rsid w:val="004C1503"/>
    <w:rsid w:val="004C1A27"/>
    <w:rsid w:val="004C1AC2"/>
    <w:rsid w:val="004C4198"/>
    <w:rsid w:val="004C436C"/>
    <w:rsid w:val="004C4BA2"/>
    <w:rsid w:val="004C55E4"/>
    <w:rsid w:val="004C58AF"/>
    <w:rsid w:val="004C72E4"/>
    <w:rsid w:val="004C799C"/>
    <w:rsid w:val="004C7B18"/>
    <w:rsid w:val="004D12AD"/>
    <w:rsid w:val="004D201A"/>
    <w:rsid w:val="004D2202"/>
    <w:rsid w:val="004D227F"/>
    <w:rsid w:val="004D263A"/>
    <w:rsid w:val="004D2725"/>
    <w:rsid w:val="004D29CF"/>
    <w:rsid w:val="004D30FC"/>
    <w:rsid w:val="004D397E"/>
    <w:rsid w:val="004D4315"/>
    <w:rsid w:val="004D4DDF"/>
    <w:rsid w:val="004D552C"/>
    <w:rsid w:val="004D5824"/>
    <w:rsid w:val="004D593E"/>
    <w:rsid w:val="004D5AC7"/>
    <w:rsid w:val="004D658B"/>
    <w:rsid w:val="004D6BBA"/>
    <w:rsid w:val="004D7073"/>
    <w:rsid w:val="004D72A3"/>
    <w:rsid w:val="004D7344"/>
    <w:rsid w:val="004D7624"/>
    <w:rsid w:val="004E04E8"/>
    <w:rsid w:val="004E0A60"/>
    <w:rsid w:val="004E1664"/>
    <w:rsid w:val="004E19DA"/>
    <w:rsid w:val="004E2D63"/>
    <w:rsid w:val="004E3023"/>
    <w:rsid w:val="004E3C3D"/>
    <w:rsid w:val="004E3D3F"/>
    <w:rsid w:val="004E43A8"/>
    <w:rsid w:val="004E5087"/>
    <w:rsid w:val="004E55BF"/>
    <w:rsid w:val="004E56C4"/>
    <w:rsid w:val="004E6709"/>
    <w:rsid w:val="004E7203"/>
    <w:rsid w:val="004E7428"/>
    <w:rsid w:val="004E7A5E"/>
    <w:rsid w:val="004F0E5D"/>
    <w:rsid w:val="004F2BCB"/>
    <w:rsid w:val="004F2E9F"/>
    <w:rsid w:val="004F36C1"/>
    <w:rsid w:val="004F3D1B"/>
    <w:rsid w:val="004F409D"/>
    <w:rsid w:val="004F4507"/>
    <w:rsid w:val="004F4AF4"/>
    <w:rsid w:val="004F4D3B"/>
    <w:rsid w:val="004F50C3"/>
    <w:rsid w:val="004F529C"/>
    <w:rsid w:val="004F64F1"/>
    <w:rsid w:val="004F685E"/>
    <w:rsid w:val="004F6884"/>
    <w:rsid w:val="004F6FCE"/>
    <w:rsid w:val="004F732D"/>
    <w:rsid w:val="004F76C5"/>
    <w:rsid w:val="004F778A"/>
    <w:rsid w:val="004F7940"/>
    <w:rsid w:val="004F7A92"/>
    <w:rsid w:val="004F7D82"/>
    <w:rsid w:val="00500D34"/>
    <w:rsid w:val="00500DBD"/>
    <w:rsid w:val="00501927"/>
    <w:rsid w:val="00501FBA"/>
    <w:rsid w:val="00502019"/>
    <w:rsid w:val="005023C0"/>
    <w:rsid w:val="0050293F"/>
    <w:rsid w:val="00502E54"/>
    <w:rsid w:val="00503838"/>
    <w:rsid w:val="00503C99"/>
    <w:rsid w:val="0050441B"/>
    <w:rsid w:val="00504B1B"/>
    <w:rsid w:val="00504FC6"/>
    <w:rsid w:val="00506D79"/>
    <w:rsid w:val="0050726A"/>
    <w:rsid w:val="005075F6"/>
    <w:rsid w:val="005076D1"/>
    <w:rsid w:val="00507AFC"/>
    <w:rsid w:val="00510118"/>
    <w:rsid w:val="005106A1"/>
    <w:rsid w:val="00511116"/>
    <w:rsid w:val="00511125"/>
    <w:rsid w:val="00511B3C"/>
    <w:rsid w:val="00511CEA"/>
    <w:rsid w:val="00512206"/>
    <w:rsid w:val="0051257E"/>
    <w:rsid w:val="0051261B"/>
    <w:rsid w:val="0051311B"/>
    <w:rsid w:val="0051359D"/>
    <w:rsid w:val="00513C48"/>
    <w:rsid w:val="00513F90"/>
    <w:rsid w:val="005144F4"/>
    <w:rsid w:val="00515558"/>
    <w:rsid w:val="00515EE9"/>
    <w:rsid w:val="00516529"/>
    <w:rsid w:val="005165C6"/>
    <w:rsid w:val="00516635"/>
    <w:rsid w:val="00517D78"/>
    <w:rsid w:val="0052007D"/>
    <w:rsid w:val="00520DD8"/>
    <w:rsid w:val="00522D14"/>
    <w:rsid w:val="0052319C"/>
    <w:rsid w:val="005232E0"/>
    <w:rsid w:val="00523836"/>
    <w:rsid w:val="00523EC1"/>
    <w:rsid w:val="0052458A"/>
    <w:rsid w:val="00524698"/>
    <w:rsid w:val="00524CF4"/>
    <w:rsid w:val="005251E3"/>
    <w:rsid w:val="005256A3"/>
    <w:rsid w:val="005257B4"/>
    <w:rsid w:val="0052760C"/>
    <w:rsid w:val="00527630"/>
    <w:rsid w:val="00527DDB"/>
    <w:rsid w:val="00527FC2"/>
    <w:rsid w:val="00530203"/>
    <w:rsid w:val="005302C2"/>
    <w:rsid w:val="00530380"/>
    <w:rsid w:val="00530DB4"/>
    <w:rsid w:val="005310EE"/>
    <w:rsid w:val="00532718"/>
    <w:rsid w:val="00532752"/>
    <w:rsid w:val="00532B6C"/>
    <w:rsid w:val="00532B89"/>
    <w:rsid w:val="00533785"/>
    <w:rsid w:val="00534C36"/>
    <w:rsid w:val="00535A3A"/>
    <w:rsid w:val="00535AAA"/>
    <w:rsid w:val="00535D50"/>
    <w:rsid w:val="00536422"/>
    <w:rsid w:val="00536819"/>
    <w:rsid w:val="00536EE0"/>
    <w:rsid w:val="005370A4"/>
    <w:rsid w:val="0053764E"/>
    <w:rsid w:val="00537B8D"/>
    <w:rsid w:val="005404AB"/>
    <w:rsid w:val="0054065C"/>
    <w:rsid w:val="005419E1"/>
    <w:rsid w:val="0054207A"/>
    <w:rsid w:val="00542AE6"/>
    <w:rsid w:val="0054389C"/>
    <w:rsid w:val="00543E3F"/>
    <w:rsid w:val="005441F8"/>
    <w:rsid w:val="005443B1"/>
    <w:rsid w:val="005449CE"/>
    <w:rsid w:val="00544C39"/>
    <w:rsid w:val="00544CD1"/>
    <w:rsid w:val="00544E95"/>
    <w:rsid w:val="00545AB2"/>
    <w:rsid w:val="00545DF2"/>
    <w:rsid w:val="00546A0F"/>
    <w:rsid w:val="005471DB"/>
    <w:rsid w:val="00547376"/>
    <w:rsid w:val="005504DB"/>
    <w:rsid w:val="00551197"/>
    <w:rsid w:val="00551AD9"/>
    <w:rsid w:val="005520C9"/>
    <w:rsid w:val="00552AA5"/>
    <w:rsid w:val="00553032"/>
    <w:rsid w:val="00554265"/>
    <w:rsid w:val="0055458A"/>
    <w:rsid w:val="005546FD"/>
    <w:rsid w:val="0055470F"/>
    <w:rsid w:val="00554762"/>
    <w:rsid w:val="00554C50"/>
    <w:rsid w:val="00555DA1"/>
    <w:rsid w:val="00556268"/>
    <w:rsid w:val="00556D33"/>
    <w:rsid w:val="0055747E"/>
    <w:rsid w:val="00560599"/>
    <w:rsid w:val="00560812"/>
    <w:rsid w:val="00561B2E"/>
    <w:rsid w:val="005624F8"/>
    <w:rsid w:val="00562690"/>
    <w:rsid w:val="005628B1"/>
    <w:rsid w:val="00562A67"/>
    <w:rsid w:val="00563951"/>
    <w:rsid w:val="00563BD2"/>
    <w:rsid w:val="00564033"/>
    <w:rsid w:val="005646BE"/>
    <w:rsid w:val="0056500A"/>
    <w:rsid w:val="005655B6"/>
    <w:rsid w:val="005664FA"/>
    <w:rsid w:val="00566F1E"/>
    <w:rsid w:val="0056725C"/>
    <w:rsid w:val="00567953"/>
    <w:rsid w:val="00567C2C"/>
    <w:rsid w:val="00567DCC"/>
    <w:rsid w:val="0057045B"/>
    <w:rsid w:val="005708FE"/>
    <w:rsid w:val="0057120B"/>
    <w:rsid w:val="005721F4"/>
    <w:rsid w:val="0057259E"/>
    <w:rsid w:val="005726D4"/>
    <w:rsid w:val="00572FA1"/>
    <w:rsid w:val="0057322E"/>
    <w:rsid w:val="00573342"/>
    <w:rsid w:val="00573387"/>
    <w:rsid w:val="00573818"/>
    <w:rsid w:val="00573F47"/>
    <w:rsid w:val="00574267"/>
    <w:rsid w:val="00574F8C"/>
    <w:rsid w:val="00575875"/>
    <w:rsid w:val="0057603F"/>
    <w:rsid w:val="00576F82"/>
    <w:rsid w:val="00577955"/>
    <w:rsid w:val="00577C59"/>
    <w:rsid w:val="0058009E"/>
    <w:rsid w:val="005803FF"/>
    <w:rsid w:val="0058091D"/>
    <w:rsid w:val="00581132"/>
    <w:rsid w:val="00581B4C"/>
    <w:rsid w:val="00582DED"/>
    <w:rsid w:val="00582F34"/>
    <w:rsid w:val="005830AD"/>
    <w:rsid w:val="0058310D"/>
    <w:rsid w:val="005831B4"/>
    <w:rsid w:val="00583683"/>
    <w:rsid w:val="00583AA5"/>
    <w:rsid w:val="00584043"/>
    <w:rsid w:val="0058472D"/>
    <w:rsid w:val="0058497C"/>
    <w:rsid w:val="00585313"/>
    <w:rsid w:val="005855C9"/>
    <w:rsid w:val="0058600D"/>
    <w:rsid w:val="005861C6"/>
    <w:rsid w:val="00586360"/>
    <w:rsid w:val="00586569"/>
    <w:rsid w:val="00586F6B"/>
    <w:rsid w:val="005875FF"/>
    <w:rsid w:val="00587CDC"/>
    <w:rsid w:val="00590083"/>
    <w:rsid w:val="00590B6A"/>
    <w:rsid w:val="00590C05"/>
    <w:rsid w:val="00590DD3"/>
    <w:rsid w:val="00591AEA"/>
    <w:rsid w:val="0059294A"/>
    <w:rsid w:val="00592A09"/>
    <w:rsid w:val="00592E34"/>
    <w:rsid w:val="00593425"/>
    <w:rsid w:val="00593754"/>
    <w:rsid w:val="00593AA5"/>
    <w:rsid w:val="00593C2C"/>
    <w:rsid w:val="005940A2"/>
    <w:rsid w:val="00594548"/>
    <w:rsid w:val="005949BD"/>
    <w:rsid w:val="00594D8C"/>
    <w:rsid w:val="00595034"/>
    <w:rsid w:val="00595A72"/>
    <w:rsid w:val="00595B06"/>
    <w:rsid w:val="00595E2F"/>
    <w:rsid w:val="00596708"/>
    <w:rsid w:val="00596942"/>
    <w:rsid w:val="005977C6"/>
    <w:rsid w:val="005979BC"/>
    <w:rsid w:val="005A009E"/>
    <w:rsid w:val="005A063C"/>
    <w:rsid w:val="005A07D3"/>
    <w:rsid w:val="005A139A"/>
    <w:rsid w:val="005A16F6"/>
    <w:rsid w:val="005A2DFC"/>
    <w:rsid w:val="005A346D"/>
    <w:rsid w:val="005A35DD"/>
    <w:rsid w:val="005A3BA6"/>
    <w:rsid w:val="005A3F54"/>
    <w:rsid w:val="005A4381"/>
    <w:rsid w:val="005A4B95"/>
    <w:rsid w:val="005A55F8"/>
    <w:rsid w:val="005A5812"/>
    <w:rsid w:val="005A5E0C"/>
    <w:rsid w:val="005A6467"/>
    <w:rsid w:val="005A7866"/>
    <w:rsid w:val="005A7DD2"/>
    <w:rsid w:val="005B0AA5"/>
    <w:rsid w:val="005B1457"/>
    <w:rsid w:val="005B1566"/>
    <w:rsid w:val="005B1634"/>
    <w:rsid w:val="005B182B"/>
    <w:rsid w:val="005B23CE"/>
    <w:rsid w:val="005B2C58"/>
    <w:rsid w:val="005B30A0"/>
    <w:rsid w:val="005B30F0"/>
    <w:rsid w:val="005B312A"/>
    <w:rsid w:val="005B3162"/>
    <w:rsid w:val="005B32BE"/>
    <w:rsid w:val="005B3A26"/>
    <w:rsid w:val="005B3F20"/>
    <w:rsid w:val="005B4449"/>
    <w:rsid w:val="005B45F4"/>
    <w:rsid w:val="005B461E"/>
    <w:rsid w:val="005B4793"/>
    <w:rsid w:val="005B49B7"/>
    <w:rsid w:val="005B4AFA"/>
    <w:rsid w:val="005B4F48"/>
    <w:rsid w:val="005B5190"/>
    <w:rsid w:val="005C05D8"/>
    <w:rsid w:val="005C0C68"/>
    <w:rsid w:val="005C1885"/>
    <w:rsid w:val="005C2052"/>
    <w:rsid w:val="005C21ED"/>
    <w:rsid w:val="005C2B1F"/>
    <w:rsid w:val="005C2B6A"/>
    <w:rsid w:val="005C2E1C"/>
    <w:rsid w:val="005C2FD4"/>
    <w:rsid w:val="005C39B9"/>
    <w:rsid w:val="005C3A6B"/>
    <w:rsid w:val="005C49BB"/>
    <w:rsid w:val="005C4CF1"/>
    <w:rsid w:val="005C5775"/>
    <w:rsid w:val="005C6ACF"/>
    <w:rsid w:val="005C703B"/>
    <w:rsid w:val="005C789D"/>
    <w:rsid w:val="005C7AC5"/>
    <w:rsid w:val="005C7FA2"/>
    <w:rsid w:val="005D06ED"/>
    <w:rsid w:val="005D07B6"/>
    <w:rsid w:val="005D1478"/>
    <w:rsid w:val="005D1C5B"/>
    <w:rsid w:val="005D2445"/>
    <w:rsid w:val="005D2893"/>
    <w:rsid w:val="005D2900"/>
    <w:rsid w:val="005D3379"/>
    <w:rsid w:val="005D33FA"/>
    <w:rsid w:val="005D3F2C"/>
    <w:rsid w:val="005D3FAF"/>
    <w:rsid w:val="005D4F67"/>
    <w:rsid w:val="005D5623"/>
    <w:rsid w:val="005D584C"/>
    <w:rsid w:val="005D66B5"/>
    <w:rsid w:val="005D6808"/>
    <w:rsid w:val="005D747A"/>
    <w:rsid w:val="005E0260"/>
    <w:rsid w:val="005E0C8C"/>
    <w:rsid w:val="005E1823"/>
    <w:rsid w:val="005E1988"/>
    <w:rsid w:val="005E19DA"/>
    <w:rsid w:val="005E1A80"/>
    <w:rsid w:val="005E29F1"/>
    <w:rsid w:val="005E3501"/>
    <w:rsid w:val="005E4181"/>
    <w:rsid w:val="005E4F24"/>
    <w:rsid w:val="005E5C7C"/>
    <w:rsid w:val="005E5F73"/>
    <w:rsid w:val="005E6341"/>
    <w:rsid w:val="005E67BA"/>
    <w:rsid w:val="005E6C22"/>
    <w:rsid w:val="005E6DA5"/>
    <w:rsid w:val="005E73B4"/>
    <w:rsid w:val="005E793C"/>
    <w:rsid w:val="005E7E05"/>
    <w:rsid w:val="005F0617"/>
    <w:rsid w:val="005F0CE2"/>
    <w:rsid w:val="005F0E35"/>
    <w:rsid w:val="005F10B2"/>
    <w:rsid w:val="005F1408"/>
    <w:rsid w:val="005F1C92"/>
    <w:rsid w:val="005F1D8B"/>
    <w:rsid w:val="005F3360"/>
    <w:rsid w:val="005F3B94"/>
    <w:rsid w:val="005F4D8C"/>
    <w:rsid w:val="005F4DEE"/>
    <w:rsid w:val="005F5015"/>
    <w:rsid w:val="005F547C"/>
    <w:rsid w:val="005F54EB"/>
    <w:rsid w:val="005F55D4"/>
    <w:rsid w:val="005F5C6C"/>
    <w:rsid w:val="005F60F9"/>
    <w:rsid w:val="005F626A"/>
    <w:rsid w:val="005F6375"/>
    <w:rsid w:val="00600509"/>
    <w:rsid w:val="00600580"/>
    <w:rsid w:val="00600B8A"/>
    <w:rsid w:val="00600C20"/>
    <w:rsid w:val="006014F3"/>
    <w:rsid w:val="00601533"/>
    <w:rsid w:val="0060195A"/>
    <w:rsid w:val="0060207A"/>
    <w:rsid w:val="00602AA8"/>
    <w:rsid w:val="00603E63"/>
    <w:rsid w:val="0060455E"/>
    <w:rsid w:val="00604935"/>
    <w:rsid w:val="00604A6F"/>
    <w:rsid w:val="00605258"/>
    <w:rsid w:val="0060539C"/>
    <w:rsid w:val="00605518"/>
    <w:rsid w:val="00605EA1"/>
    <w:rsid w:val="00607068"/>
    <w:rsid w:val="00607408"/>
    <w:rsid w:val="00607AFB"/>
    <w:rsid w:val="006100E0"/>
    <w:rsid w:val="00610112"/>
    <w:rsid w:val="00611934"/>
    <w:rsid w:val="006120C6"/>
    <w:rsid w:val="006122FC"/>
    <w:rsid w:val="0061280F"/>
    <w:rsid w:val="00612B73"/>
    <w:rsid w:val="00613105"/>
    <w:rsid w:val="00613E2D"/>
    <w:rsid w:val="00613F04"/>
    <w:rsid w:val="00614138"/>
    <w:rsid w:val="0061480E"/>
    <w:rsid w:val="006149A8"/>
    <w:rsid w:val="00614E62"/>
    <w:rsid w:val="00614F49"/>
    <w:rsid w:val="00615194"/>
    <w:rsid w:val="00615241"/>
    <w:rsid w:val="006160FA"/>
    <w:rsid w:val="0061620A"/>
    <w:rsid w:val="00616214"/>
    <w:rsid w:val="00616BA7"/>
    <w:rsid w:val="00617528"/>
    <w:rsid w:val="00617592"/>
    <w:rsid w:val="00617A79"/>
    <w:rsid w:val="00620506"/>
    <w:rsid w:val="0062192F"/>
    <w:rsid w:val="00621D84"/>
    <w:rsid w:val="006223C7"/>
    <w:rsid w:val="0062290B"/>
    <w:rsid w:val="00624300"/>
    <w:rsid w:val="00624857"/>
    <w:rsid w:val="006249E8"/>
    <w:rsid w:val="00624BD3"/>
    <w:rsid w:val="00624CF5"/>
    <w:rsid w:val="0062563D"/>
    <w:rsid w:val="00625D90"/>
    <w:rsid w:val="00626115"/>
    <w:rsid w:val="00626291"/>
    <w:rsid w:val="00626A71"/>
    <w:rsid w:val="006273F7"/>
    <w:rsid w:val="006274A1"/>
    <w:rsid w:val="00627864"/>
    <w:rsid w:val="00630378"/>
    <w:rsid w:val="006318D5"/>
    <w:rsid w:val="00631EA5"/>
    <w:rsid w:val="00632D2B"/>
    <w:rsid w:val="006330C4"/>
    <w:rsid w:val="0063342F"/>
    <w:rsid w:val="00633743"/>
    <w:rsid w:val="00633A92"/>
    <w:rsid w:val="0063491B"/>
    <w:rsid w:val="00634AB9"/>
    <w:rsid w:val="006350E6"/>
    <w:rsid w:val="00636777"/>
    <w:rsid w:val="006378E2"/>
    <w:rsid w:val="00637AD9"/>
    <w:rsid w:val="00637FF1"/>
    <w:rsid w:val="00640017"/>
    <w:rsid w:val="00642533"/>
    <w:rsid w:val="006434A1"/>
    <w:rsid w:val="00643BC9"/>
    <w:rsid w:val="00643CAC"/>
    <w:rsid w:val="00643CFD"/>
    <w:rsid w:val="006442BF"/>
    <w:rsid w:val="0064500E"/>
    <w:rsid w:val="006451FD"/>
    <w:rsid w:val="006454DF"/>
    <w:rsid w:val="006455AF"/>
    <w:rsid w:val="00645667"/>
    <w:rsid w:val="00646E80"/>
    <w:rsid w:val="00646F64"/>
    <w:rsid w:val="006475AA"/>
    <w:rsid w:val="006477B0"/>
    <w:rsid w:val="006477FD"/>
    <w:rsid w:val="00647EE2"/>
    <w:rsid w:val="006502CE"/>
    <w:rsid w:val="00650F33"/>
    <w:rsid w:val="00650FB7"/>
    <w:rsid w:val="00652523"/>
    <w:rsid w:val="006533B9"/>
    <w:rsid w:val="00653608"/>
    <w:rsid w:val="00653BAB"/>
    <w:rsid w:val="00653EDF"/>
    <w:rsid w:val="006540FC"/>
    <w:rsid w:val="006544AA"/>
    <w:rsid w:val="006548BE"/>
    <w:rsid w:val="006551CB"/>
    <w:rsid w:val="00656774"/>
    <w:rsid w:val="006567A6"/>
    <w:rsid w:val="006570B3"/>
    <w:rsid w:val="00657C44"/>
    <w:rsid w:val="00657EB7"/>
    <w:rsid w:val="0066115C"/>
    <w:rsid w:val="0066155D"/>
    <w:rsid w:val="00661681"/>
    <w:rsid w:val="006618CA"/>
    <w:rsid w:val="00661B3D"/>
    <w:rsid w:val="00661CC4"/>
    <w:rsid w:val="00661FE3"/>
    <w:rsid w:val="00662C3D"/>
    <w:rsid w:val="00664912"/>
    <w:rsid w:val="00664F46"/>
    <w:rsid w:val="006650AD"/>
    <w:rsid w:val="006652DA"/>
    <w:rsid w:val="00665EFF"/>
    <w:rsid w:val="00666D79"/>
    <w:rsid w:val="00666ECD"/>
    <w:rsid w:val="0066764E"/>
    <w:rsid w:val="00667658"/>
    <w:rsid w:val="00667984"/>
    <w:rsid w:val="0067095A"/>
    <w:rsid w:val="00670C1F"/>
    <w:rsid w:val="0067157E"/>
    <w:rsid w:val="00671706"/>
    <w:rsid w:val="00671966"/>
    <w:rsid w:val="0067335F"/>
    <w:rsid w:val="00673599"/>
    <w:rsid w:val="00674275"/>
    <w:rsid w:val="00674C6C"/>
    <w:rsid w:val="00675CF5"/>
    <w:rsid w:val="0067683C"/>
    <w:rsid w:val="00676919"/>
    <w:rsid w:val="00676DA8"/>
    <w:rsid w:val="00677C6A"/>
    <w:rsid w:val="00680189"/>
    <w:rsid w:val="00680274"/>
    <w:rsid w:val="0068104B"/>
    <w:rsid w:val="0068145C"/>
    <w:rsid w:val="00681EAB"/>
    <w:rsid w:val="00682106"/>
    <w:rsid w:val="006823D5"/>
    <w:rsid w:val="00682DE6"/>
    <w:rsid w:val="00684D61"/>
    <w:rsid w:val="0068563B"/>
    <w:rsid w:val="00685D91"/>
    <w:rsid w:val="00686010"/>
    <w:rsid w:val="00686B2D"/>
    <w:rsid w:val="00686CFA"/>
    <w:rsid w:val="006871BF"/>
    <w:rsid w:val="00687213"/>
    <w:rsid w:val="006905F9"/>
    <w:rsid w:val="0069122B"/>
    <w:rsid w:val="006926AC"/>
    <w:rsid w:val="006927D3"/>
    <w:rsid w:val="00692BC9"/>
    <w:rsid w:val="00693675"/>
    <w:rsid w:val="006938E3"/>
    <w:rsid w:val="0069442B"/>
    <w:rsid w:val="00694983"/>
    <w:rsid w:val="00694A4F"/>
    <w:rsid w:val="00695F1C"/>
    <w:rsid w:val="00697EA9"/>
    <w:rsid w:val="00697F60"/>
    <w:rsid w:val="006A0E8A"/>
    <w:rsid w:val="006A102F"/>
    <w:rsid w:val="006A12F0"/>
    <w:rsid w:val="006A1AAB"/>
    <w:rsid w:val="006A1C68"/>
    <w:rsid w:val="006A1D3F"/>
    <w:rsid w:val="006A284D"/>
    <w:rsid w:val="006A2A4F"/>
    <w:rsid w:val="006A2EDA"/>
    <w:rsid w:val="006A3274"/>
    <w:rsid w:val="006A477F"/>
    <w:rsid w:val="006A4D34"/>
    <w:rsid w:val="006A5B92"/>
    <w:rsid w:val="006A5CEB"/>
    <w:rsid w:val="006A5FA3"/>
    <w:rsid w:val="006A60C0"/>
    <w:rsid w:val="006A6209"/>
    <w:rsid w:val="006A732B"/>
    <w:rsid w:val="006A7415"/>
    <w:rsid w:val="006A7CF6"/>
    <w:rsid w:val="006B0A1A"/>
    <w:rsid w:val="006B263F"/>
    <w:rsid w:val="006B2D0D"/>
    <w:rsid w:val="006B2D24"/>
    <w:rsid w:val="006B2E09"/>
    <w:rsid w:val="006B3295"/>
    <w:rsid w:val="006B3921"/>
    <w:rsid w:val="006B4374"/>
    <w:rsid w:val="006B471C"/>
    <w:rsid w:val="006B494A"/>
    <w:rsid w:val="006B4D39"/>
    <w:rsid w:val="006B5352"/>
    <w:rsid w:val="006B5BC4"/>
    <w:rsid w:val="006B6008"/>
    <w:rsid w:val="006B6177"/>
    <w:rsid w:val="006B6259"/>
    <w:rsid w:val="006B6445"/>
    <w:rsid w:val="006B679E"/>
    <w:rsid w:val="006B6B64"/>
    <w:rsid w:val="006B6F2E"/>
    <w:rsid w:val="006B7BA6"/>
    <w:rsid w:val="006C07CA"/>
    <w:rsid w:val="006C15F2"/>
    <w:rsid w:val="006C1744"/>
    <w:rsid w:val="006C1F1E"/>
    <w:rsid w:val="006C3BEE"/>
    <w:rsid w:val="006C4751"/>
    <w:rsid w:val="006C5332"/>
    <w:rsid w:val="006C550E"/>
    <w:rsid w:val="006C5C67"/>
    <w:rsid w:val="006C633F"/>
    <w:rsid w:val="006C6B8A"/>
    <w:rsid w:val="006D0470"/>
    <w:rsid w:val="006D0E74"/>
    <w:rsid w:val="006D14F3"/>
    <w:rsid w:val="006D1514"/>
    <w:rsid w:val="006D1644"/>
    <w:rsid w:val="006D2D95"/>
    <w:rsid w:val="006D2E5A"/>
    <w:rsid w:val="006D30DA"/>
    <w:rsid w:val="006D3E4B"/>
    <w:rsid w:val="006D406C"/>
    <w:rsid w:val="006D40C6"/>
    <w:rsid w:val="006D4132"/>
    <w:rsid w:val="006D45F3"/>
    <w:rsid w:val="006D4A6A"/>
    <w:rsid w:val="006D54C0"/>
    <w:rsid w:val="006D66CD"/>
    <w:rsid w:val="006D697C"/>
    <w:rsid w:val="006D6B4E"/>
    <w:rsid w:val="006D7097"/>
    <w:rsid w:val="006E08DE"/>
    <w:rsid w:val="006E1965"/>
    <w:rsid w:val="006E2931"/>
    <w:rsid w:val="006E3532"/>
    <w:rsid w:val="006E3B4D"/>
    <w:rsid w:val="006E4991"/>
    <w:rsid w:val="006E506A"/>
    <w:rsid w:val="006E50AF"/>
    <w:rsid w:val="006E53F3"/>
    <w:rsid w:val="006E5F6A"/>
    <w:rsid w:val="006E61DC"/>
    <w:rsid w:val="006E6584"/>
    <w:rsid w:val="006E65DE"/>
    <w:rsid w:val="006E6A4B"/>
    <w:rsid w:val="006E7A1A"/>
    <w:rsid w:val="006F0655"/>
    <w:rsid w:val="006F1042"/>
    <w:rsid w:val="006F169F"/>
    <w:rsid w:val="006F183B"/>
    <w:rsid w:val="006F1892"/>
    <w:rsid w:val="006F1E15"/>
    <w:rsid w:val="006F2A12"/>
    <w:rsid w:val="006F3038"/>
    <w:rsid w:val="006F3A40"/>
    <w:rsid w:val="006F3B99"/>
    <w:rsid w:val="006F41BE"/>
    <w:rsid w:val="006F430F"/>
    <w:rsid w:val="006F44A0"/>
    <w:rsid w:val="006F4BDC"/>
    <w:rsid w:val="006F50D9"/>
    <w:rsid w:val="006F680C"/>
    <w:rsid w:val="006F6E88"/>
    <w:rsid w:val="006F70C1"/>
    <w:rsid w:val="006F7454"/>
    <w:rsid w:val="006F792E"/>
    <w:rsid w:val="006F7B01"/>
    <w:rsid w:val="0070038B"/>
    <w:rsid w:val="00700746"/>
    <w:rsid w:val="0070075F"/>
    <w:rsid w:val="00700B58"/>
    <w:rsid w:val="00700F54"/>
    <w:rsid w:val="007013FC"/>
    <w:rsid w:val="007018A1"/>
    <w:rsid w:val="00701921"/>
    <w:rsid w:val="00701AB5"/>
    <w:rsid w:val="00701D7C"/>
    <w:rsid w:val="00701FA1"/>
    <w:rsid w:val="00702097"/>
    <w:rsid w:val="007020DA"/>
    <w:rsid w:val="007024D9"/>
    <w:rsid w:val="00702845"/>
    <w:rsid w:val="0070319E"/>
    <w:rsid w:val="007043BF"/>
    <w:rsid w:val="007049FF"/>
    <w:rsid w:val="0070515F"/>
    <w:rsid w:val="00705229"/>
    <w:rsid w:val="00705352"/>
    <w:rsid w:val="0070581C"/>
    <w:rsid w:val="00705BC6"/>
    <w:rsid w:val="00705E17"/>
    <w:rsid w:val="00705FC3"/>
    <w:rsid w:val="00706121"/>
    <w:rsid w:val="007061B8"/>
    <w:rsid w:val="007068EC"/>
    <w:rsid w:val="00706ED5"/>
    <w:rsid w:val="00707567"/>
    <w:rsid w:val="007078CA"/>
    <w:rsid w:val="0070791F"/>
    <w:rsid w:val="00707F80"/>
    <w:rsid w:val="00710268"/>
    <w:rsid w:val="00710881"/>
    <w:rsid w:val="00710911"/>
    <w:rsid w:val="00711D07"/>
    <w:rsid w:val="00711F16"/>
    <w:rsid w:val="007132A9"/>
    <w:rsid w:val="007132E0"/>
    <w:rsid w:val="00713897"/>
    <w:rsid w:val="00713CD2"/>
    <w:rsid w:val="00713E1C"/>
    <w:rsid w:val="00714640"/>
    <w:rsid w:val="0071466C"/>
    <w:rsid w:val="00714772"/>
    <w:rsid w:val="007149BB"/>
    <w:rsid w:val="00714F8C"/>
    <w:rsid w:val="007150EA"/>
    <w:rsid w:val="00715B38"/>
    <w:rsid w:val="00715CE2"/>
    <w:rsid w:val="00716BD7"/>
    <w:rsid w:val="007175FF"/>
    <w:rsid w:val="0071792B"/>
    <w:rsid w:val="007179E8"/>
    <w:rsid w:val="0072010E"/>
    <w:rsid w:val="00720295"/>
    <w:rsid w:val="00720363"/>
    <w:rsid w:val="007206D5"/>
    <w:rsid w:val="00721007"/>
    <w:rsid w:val="00722BE7"/>
    <w:rsid w:val="00724B15"/>
    <w:rsid w:val="00725551"/>
    <w:rsid w:val="00726973"/>
    <w:rsid w:val="007277CA"/>
    <w:rsid w:val="00727D92"/>
    <w:rsid w:val="007302A4"/>
    <w:rsid w:val="00731008"/>
    <w:rsid w:val="007310CA"/>
    <w:rsid w:val="00732061"/>
    <w:rsid w:val="007320BD"/>
    <w:rsid w:val="00732C9C"/>
    <w:rsid w:val="0073379D"/>
    <w:rsid w:val="00733900"/>
    <w:rsid w:val="00733AE4"/>
    <w:rsid w:val="00733BAB"/>
    <w:rsid w:val="00734251"/>
    <w:rsid w:val="0073460A"/>
    <w:rsid w:val="0073479D"/>
    <w:rsid w:val="0073492F"/>
    <w:rsid w:val="00734946"/>
    <w:rsid w:val="00735062"/>
    <w:rsid w:val="00735FF4"/>
    <w:rsid w:val="00736585"/>
    <w:rsid w:val="00736C5D"/>
    <w:rsid w:val="00737D5C"/>
    <w:rsid w:val="007400D9"/>
    <w:rsid w:val="00740CDB"/>
    <w:rsid w:val="007415C8"/>
    <w:rsid w:val="00741CEA"/>
    <w:rsid w:val="007424F0"/>
    <w:rsid w:val="00742655"/>
    <w:rsid w:val="00742F37"/>
    <w:rsid w:val="007445BC"/>
    <w:rsid w:val="00744778"/>
    <w:rsid w:val="00744E27"/>
    <w:rsid w:val="00745391"/>
    <w:rsid w:val="00745894"/>
    <w:rsid w:val="0074590B"/>
    <w:rsid w:val="00745A60"/>
    <w:rsid w:val="00746B29"/>
    <w:rsid w:val="00747212"/>
    <w:rsid w:val="00747A2B"/>
    <w:rsid w:val="00747B5C"/>
    <w:rsid w:val="0075104C"/>
    <w:rsid w:val="007515B6"/>
    <w:rsid w:val="00752351"/>
    <w:rsid w:val="00752990"/>
    <w:rsid w:val="00752A94"/>
    <w:rsid w:val="00752AF4"/>
    <w:rsid w:val="00752B6A"/>
    <w:rsid w:val="00753489"/>
    <w:rsid w:val="00754841"/>
    <w:rsid w:val="00754A73"/>
    <w:rsid w:val="00754F4F"/>
    <w:rsid w:val="007551B8"/>
    <w:rsid w:val="0075608E"/>
    <w:rsid w:val="00756BDB"/>
    <w:rsid w:val="00756F91"/>
    <w:rsid w:val="00757806"/>
    <w:rsid w:val="0076047D"/>
    <w:rsid w:val="007605FC"/>
    <w:rsid w:val="0076071A"/>
    <w:rsid w:val="00761123"/>
    <w:rsid w:val="0076135A"/>
    <w:rsid w:val="0076171C"/>
    <w:rsid w:val="007622A9"/>
    <w:rsid w:val="00762988"/>
    <w:rsid w:val="00762DC4"/>
    <w:rsid w:val="0076322E"/>
    <w:rsid w:val="00763561"/>
    <w:rsid w:val="0076370A"/>
    <w:rsid w:val="00764058"/>
    <w:rsid w:val="00764A58"/>
    <w:rsid w:val="00764FDD"/>
    <w:rsid w:val="00765E75"/>
    <w:rsid w:val="00766717"/>
    <w:rsid w:val="0076687E"/>
    <w:rsid w:val="0076775C"/>
    <w:rsid w:val="00767C01"/>
    <w:rsid w:val="007709D4"/>
    <w:rsid w:val="0077106B"/>
    <w:rsid w:val="00771221"/>
    <w:rsid w:val="00771509"/>
    <w:rsid w:val="00771647"/>
    <w:rsid w:val="007720BB"/>
    <w:rsid w:val="007721C5"/>
    <w:rsid w:val="0077238D"/>
    <w:rsid w:val="00772516"/>
    <w:rsid w:val="00773712"/>
    <w:rsid w:val="007742D1"/>
    <w:rsid w:val="00774466"/>
    <w:rsid w:val="00774914"/>
    <w:rsid w:val="00774BD2"/>
    <w:rsid w:val="0077527C"/>
    <w:rsid w:val="007752C8"/>
    <w:rsid w:val="00775B96"/>
    <w:rsid w:val="00775D4F"/>
    <w:rsid w:val="00776CD0"/>
    <w:rsid w:val="00776F78"/>
    <w:rsid w:val="0077760C"/>
    <w:rsid w:val="00777636"/>
    <w:rsid w:val="007776AC"/>
    <w:rsid w:val="00777B4C"/>
    <w:rsid w:val="00777BEE"/>
    <w:rsid w:val="00780597"/>
    <w:rsid w:val="00780B6A"/>
    <w:rsid w:val="0078145F"/>
    <w:rsid w:val="007818EB"/>
    <w:rsid w:val="00781AAF"/>
    <w:rsid w:val="00781D6F"/>
    <w:rsid w:val="0078206C"/>
    <w:rsid w:val="00782503"/>
    <w:rsid w:val="0078332D"/>
    <w:rsid w:val="00783401"/>
    <w:rsid w:val="00783802"/>
    <w:rsid w:val="00783B30"/>
    <w:rsid w:val="0078412D"/>
    <w:rsid w:val="00784333"/>
    <w:rsid w:val="00784D08"/>
    <w:rsid w:val="00784F42"/>
    <w:rsid w:val="00785148"/>
    <w:rsid w:val="007851F9"/>
    <w:rsid w:val="007856B6"/>
    <w:rsid w:val="00786D1C"/>
    <w:rsid w:val="0078714F"/>
    <w:rsid w:val="007878C2"/>
    <w:rsid w:val="00787B7E"/>
    <w:rsid w:val="00791709"/>
    <w:rsid w:val="00792231"/>
    <w:rsid w:val="00792F9B"/>
    <w:rsid w:val="007931F2"/>
    <w:rsid w:val="007932C7"/>
    <w:rsid w:val="00793626"/>
    <w:rsid w:val="00793784"/>
    <w:rsid w:val="00794929"/>
    <w:rsid w:val="00794B83"/>
    <w:rsid w:val="00794E20"/>
    <w:rsid w:val="00795056"/>
    <w:rsid w:val="007951FC"/>
    <w:rsid w:val="007953D0"/>
    <w:rsid w:val="00797319"/>
    <w:rsid w:val="00797373"/>
    <w:rsid w:val="007A00D7"/>
    <w:rsid w:val="007A0897"/>
    <w:rsid w:val="007A12B8"/>
    <w:rsid w:val="007A1AE2"/>
    <w:rsid w:val="007A21CB"/>
    <w:rsid w:val="007A30F1"/>
    <w:rsid w:val="007A325B"/>
    <w:rsid w:val="007A37EB"/>
    <w:rsid w:val="007A383A"/>
    <w:rsid w:val="007A3E7A"/>
    <w:rsid w:val="007A4E32"/>
    <w:rsid w:val="007A4E88"/>
    <w:rsid w:val="007A5DF9"/>
    <w:rsid w:val="007A6210"/>
    <w:rsid w:val="007A63C8"/>
    <w:rsid w:val="007A7518"/>
    <w:rsid w:val="007A75D4"/>
    <w:rsid w:val="007A798E"/>
    <w:rsid w:val="007A7C97"/>
    <w:rsid w:val="007A7E74"/>
    <w:rsid w:val="007B073D"/>
    <w:rsid w:val="007B0EBE"/>
    <w:rsid w:val="007B1790"/>
    <w:rsid w:val="007B234A"/>
    <w:rsid w:val="007B31CC"/>
    <w:rsid w:val="007B3249"/>
    <w:rsid w:val="007B341D"/>
    <w:rsid w:val="007B3686"/>
    <w:rsid w:val="007B4495"/>
    <w:rsid w:val="007B68AC"/>
    <w:rsid w:val="007C0DD0"/>
    <w:rsid w:val="007C0E42"/>
    <w:rsid w:val="007C0FA9"/>
    <w:rsid w:val="007C11DC"/>
    <w:rsid w:val="007C1FAC"/>
    <w:rsid w:val="007C2104"/>
    <w:rsid w:val="007C24F7"/>
    <w:rsid w:val="007C2B94"/>
    <w:rsid w:val="007C31C4"/>
    <w:rsid w:val="007C37BF"/>
    <w:rsid w:val="007C4735"/>
    <w:rsid w:val="007C4901"/>
    <w:rsid w:val="007C4E4E"/>
    <w:rsid w:val="007C56ED"/>
    <w:rsid w:val="007C5B52"/>
    <w:rsid w:val="007C6BD3"/>
    <w:rsid w:val="007C7714"/>
    <w:rsid w:val="007C7DAC"/>
    <w:rsid w:val="007D0792"/>
    <w:rsid w:val="007D150D"/>
    <w:rsid w:val="007D1A9E"/>
    <w:rsid w:val="007D2DB0"/>
    <w:rsid w:val="007D2EDA"/>
    <w:rsid w:val="007D316F"/>
    <w:rsid w:val="007D3673"/>
    <w:rsid w:val="007D39C7"/>
    <w:rsid w:val="007D3D68"/>
    <w:rsid w:val="007D3DAA"/>
    <w:rsid w:val="007D3F14"/>
    <w:rsid w:val="007D46AD"/>
    <w:rsid w:val="007D59E6"/>
    <w:rsid w:val="007D5EA7"/>
    <w:rsid w:val="007D5F5D"/>
    <w:rsid w:val="007D764E"/>
    <w:rsid w:val="007D7A99"/>
    <w:rsid w:val="007E0E1F"/>
    <w:rsid w:val="007E1179"/>
    <w:rsid w:val="007E18D8"/>
    <w:rsid w:val="007E3EA7"/>
    <w:rsid w:val="007E46F0"/>
    <w:rsid w:val="007E4BAD"/>
    <w:rsid w:val="007E502A"/>
    <w:rsid w:val="007E5D5A"/>
    <w:rsid w:val="007E5FA8"/>
    <w:rsid w:val="007E61FD"/>
    <w:rsid w:val="007E641F"/>
    <w:rsid w:val="007E6A3E"/>
    <w:rsid w:val="007E6D01"/>
    <w:rsid w:val="007E71CB"/>
    <w:rsid w:val="007E71E3"/>
    <w:rsid w:val="007F03A4"/>
    <w:rsid w:val="007F0A85"/>
    <w:rsid w:val="007F209C"/>
    <w:rsid w:val="007F32BF"/>
    <w:rsid w:val="007F3595"/>
    <w:rsid w:val="007F4234"/>
    <w:rsid w:val="007F4A36"/>
    <w:rsid w:val="007F4EC5"/>
    <w:rsid w:val="007F565B"/>
    <w:rsid w:val="007F6A15"/>
    <w:rsid w:val="007F7742"/>
    <w:rsid w:val="007F7999"/>
    <w:rsid w:val="007F7F1A"/>
    <w:rsid w:val="0080022A"/>
    <w:rsid w:val="0080031E"/>
    <w:rsid w:val="00800524"/>
    <w:rsid w:val="008011FA"/>
    <w:rsid w:val="008013EC"/>
    <w:rsid w:val="00801D99"/>
    <w:rsid w:val="008027EC"/>
    <w:rsid w:val="008028DA"/>
    <w:rsid w:val="00802EC6"/>
    <w:rsid w:val="00803B2B"/>
    <w:rsid w:val="008041F4"/>
    <w:rsid w:val="00806D5E"/>
    <w:rsid w:val="00807C53"/>
    <w:rsid w:val="008101C6"/>
    <w:rsid w:val="0081075A"/>
    <w:rsid w:val="00811050"/>
    <w:rsid w:val="0081114E"/>
    <w:rsid w:val="00811E04"/>
    <w:rsid w:val="00811ED5"/>
    <w:rsid w:val="00812918"/>
    <w:rsid w:val="00812AEF"/>
    <w:rsid w:val="008134D8"/>
    <w:rsid w:val="00813D45"/>
    <w:rsid w:val="00814090"/>
    <w:rsid w:val="00814BC6"/>
    <w:rsid w:val="00814CC7"/>
    <w:rsid w:val="0081592D"/>
    <w:rsid w:val="00815FA6"/>
    <w:rsid w:val="0081699F"/>
    <w:rsid w:val="00816C90"/>
    <w:rsid w:val="00816C98"/>
    <w:rsid w:val="00816D3B"/>
    <w:rsid w:val="00816F7E"/>
    <w:rsid w:val="008173AF"/>
    <w:rsid w:val="00817A61"/>
    <w:rsid w:val="008201C1"/>
    <w:rsid w:val="00820FCA"/>
    <w:rsid w:val="008226B9"/>
    <w:rsid w:val="00822797"/>
    <w:rsid w:val="00822A5F"/>
    <w:rsid w:val="00823097"/>
    <w:rsid w:val="00823256"/>
    <w:rsid w:val="00823939"/>
    <w:rsid w:val="0082562F"/>
    <w:rsid w:val="0082571D"/>
    <w:rsid w:val="00826065"/>
    <w:rsid w:val="00826523"/>
    <w:rsid w:val="00826579"/>
    <w:rsid w:val="00826C86"/>
    <w:rsid w:val="00826D6E"/>
    <w:rsid w:val="00827127"/>
    <w:rsid w:val="008272BA"/>
    <w:rsid w:val="0082773D"/>
    <w:rsid w:val="00830275"/>
    <w:rsid w:val="0083041B"/>
    <w:rsid w:val="00830758"/>
    <w:rsid w:val="00830865"/>
    <w:rsid w:val="00831138"/>
    <w:rsid w:val="008320D1"/>
    <w:rsid w:val="00832181"/>
    <w:rsid w:val="00832766"/>
    <w:rsid w:val="00832F02"/>
    <w:rsid w:val="00833503"/>
    <w:rsid w:val="0083387E"/>
    <w:rsid w:val="008342CE"/>
    <w:rsid w:val="0083489A"/>
    <w:rsid w:val="00834C63"/>
    <w:rsid w:val="00834F52"/>
    <w:rsid w:val="00835968"/>
    <w:rsid w:val="00835A99"/>
    <w:rsid w:val="008360E9"/>
    <w:rsid w:val="0083777B"/>
    <w:rsid w:val="00840BB3"/>
    <w:rsid w:val="00841CA7"/>
    <w:rsid w:val="008420CA"/>
    <w:rsid w:val="00843C97"/>
    <w:rsid w:val="00843D78"/>
    <w:rsid w:val="00843F69"/>
    <w:rsid w:val="00843F87"/>
    <w:rsid w:val="008458D2"/>
    <w:rsid w:val="00845951"/>
    <w:rsid w:val="00845E9D"/>
    <w:rsid w:val="00846898"/>
    <w:rsid w:val="00846A23"/>
    <w:rsid w:val="00846BD4"/>
    <w:rsid w:val="00846FD2"/>
    <w:rsid w:val="008479A3"/>
    <w:rsid w:val="008510CF"/>
    <w:rsid w:val="00852215"/>
    <w:rsid w:val="008529B9"/>
    <w:rsid w:val="00852BAB"/>
    <w:rsid w:val="00852CD5"/>
    <w:rsid w:val="0085343A"/>
    <w:rsid w:val="00853654"/>
    <w:rsid w:val="00853928"/>
    <w:rsid w:val="00853DA0"/>
    <w:rsid w:val="00853E8D"/>
    <w:rsid w:val="00853FCC"/>
    <w:rsid w:val="008546F4"/>
    <w:rsid w:val="00854C3C"/>
    <w:rsid w:val="00854C63"/>
    <w:rsid w:val="00855050"/>
    <w:rsid w:val="0085549F"/>
    <w:rsid w:val="008554FD"/>
    <w:rsid w:val="00857F52"/>
    <w:rsid w:val="00860471"/>
    <w:rsid w:val="00861DE2"/>
    <w:rsid w:val="00862357"/>
    <w:rsid w:val="00862A61"/>
    <w:rsid w:val="00863652"/>
    <w:rsid w:val="00863B32"/>
    <w:rsid w:val="00864059"/>
    <w:rsid w:val="00864664"/>
    <w:rsid w:val="0086491C"/>
    <w:rsid w:val="00864A3A"/>
    <w:rsid w:val="00864D17"/>
    <w:rsid w:val="00864FCE"/>
    <w:rsid w:val="00865785"/>
    <w:rsid w:val="0086697C"/>
    <w:rsid w:val="008672C4"/>
    <w:rsid w:val="00867305"/>
    <w:rsid w:val="008674C6"/>
    <w:rsid w:val="008675D9"/>
    <w:rsid w:val="008676F6"/>
    <w:rsid w:val="008678C8"/>
    <w:rsid w:val="00867940"/>
    <w:rsid w:val="00867A2E"/>
    <w:rsid w:val="008702D5"/>
    <w:rsid w:val="0087223C"/>
    <w:rsid w:val="00872243"/>
    <w:rsid w:val="00872444"/>
    <w:rsid w:val="00872808"/>
    <w:rsid w:val="00872E19"/>
    <w:rsid w:val="008739AB"/>
    <w:rsid w:val="008739DD"/>
    <w:rsid w:val="00873AF8"/>
    <w:rsid w:val="00874A07"/>
    <w:rsid w:val="00874FBF"/>
    <w:rsid w:val="0087604A"/>
    <w:rsid w:val="00876AAE"/>
    <w:rsid w:val="0087765B"/>
    <w:rsid w:val="00877F9C"/>
    <w:rsid w:val="00880366"/>
    <w:rsid w:val="0088092A"/>
    <w:rsid w:val="00881123"/>
    <w:rsid w:val="00881582"/>
    <w:rsid w:val="00881B33"/>
    <w:rsid w:val="00882799"/>
    <w:rsid w:val="00882B3E"/>
    <w:rsid w:val="008835A0"/>
    <w:rsid w:val="00883710"/>
    <w:rsid w:val="00883810"/>
    <w:rsid w:val="00884675"/>
    <w:rsid w:val="00884AAE"/>
    <w:rsid w:val="00884ACF"/>
    <w:rsid w:val="00885137"/>
    <w:rsid w:val="00885605"/>
    <w:rsid w:val="00885CD8"/>
    <w:rsid w:val="00885D92"/>
    <w:rsid w:val="00885E4E"/>
    <w:rsid w:val="00886102"/>
    <w:rsid w:val="00886557"/>
    <w:rsid w:val="00886844"/>
    <w:rsid w:val="00887742"/>
    <w:rsid w:val="00890B00"/>
    <w:rsid w:val="0089120D"/>
    <w:rsid w:val="00892023"/>
    <w:rsid w:val="0089247B"/>
    <w:rsid w:val="00892530"/>
    <w:rsid w:val="0089283E"/>
    <w:rsid w:val="008929CF"/>
    <w:rsid w:val="00892E8D"/>
    <w:rsid w:val="008930DD"/>
    <w:rsid w:val="00893FB8"/>
    <w:rsid w:val="00894F07"/>
    <w:rsid w:val="00895475"/>
    <w:rsid w:val="00895911"/>
    <w:rsid w:val="00895944"/>
    <w:rsid w:val="00895EBF"/>
    <w:rsid w:val="00895F3E"/>
    <w:rsid w:val="00896147"/>
    <w:rsid w:val="00896299"/>
    <w:rsid w:val="00896896"/>
    <w:rsid w:val="00896AC0"/>
    <w:rsid w:val="0089700C"/>
    <w:rsid w:val="008A05DF"/>
    <w:rsid w:val="008A08D5"/>
    <w:rsid w:val="008A0995"/>
    <w:rsid w:val="008A0A1C"/>
    <w:rsid w:val="008A0C3C"/>
    <w:rsid w:val="008A10F7"/>
    <w:rsid w:val="008A118A"/>
    <w:rsid w:val="008A19AA"/>
    <w:rsid w:val="008A20F1"/>
    <w:rsid w:val="008A2133"/>
    <w:rsid w:val="008A236F"/>
    <w:rsid w:val="008A2D1D"/>
    <w:rsid w:val="008A2D8C"/>
    <w:rsid w:val="008A314A"/>
    <w:rsid w:val="008A331B"/>
    <w:rsid w:val="008A350B"/>
    <w:rsid w:val="008A36B7"/>
    <w:rsid w:val="008A39B0"/>
    <w:rsid w:val="008A4C8F"/>
    <w:rsid w:val="008A4F68"/>
    <w:rsid w:val="008A549D"/>
    <w:rsid w:val="008A5FED"/>
    <w:rsid w:val="008A6195"/>
    <w:rsid w:val="008A66A1"/>
    <w:rsid w:val="008A705E"/>
    <w:rsid w:val="008A7415"/>
    <w:rsid w:val="008A79A5"/>
    <w:rsid w:val="008A7C01"/>
    <w:rsid w:val="008B004D"/>
    <w:rsid w:val="008B03D9"/>
    <w:rsid w:val="008B0994"/>
    <w:rsid w:val="008B23DB"/>
    <w:rsid w:val="008B241E"/>
    <w:rsid w:val="008B242D"/>
    <w:rsid w:val="008B29E2"/>
    <w:rsid w:val="008B2A0F"/>
    <w:rsid w:val="008B2E47"/>
    <w:rsid w:val="008B3144"/>
    <w:rsid w:val="008B4007"/>
    <w:rsid w:val="008B4257"/>
    <w:rsid w:val="008B439F"/>
    <w:rsid w:val="008B48E5"/>
    <w:rsid w:val="008B54CD"/>
    <w:rsid w:val="008B55BE"/>
    <w:rsid w:val="008B590C"/>
    <w:rsid w:val="008B7A6B"/>
    <w:rsid w:val="008B7A9A"/>
    <w:rsid w:val="008C0A81"/>
    <w:rsid w:val="008C0CFC"/>
    <w:rsid w:val="008C1180"/>
    <w:rsid w:val="008C198F"/>
    <w:rsid w:val="008C1CEF"/>
    <w:rsid w:val="008C1FA2"/>
    <w:rsid w:val="008C2421"/>
    <w:rsid w:val="008C29C1"/>
    <w:rsid w:val="008C2A81"/>
    <w:rsid w:val="008C2B61"/>
    <w:rsid w:val="008C3383"/>
    <w:rsid w:val="008C39F5"/>
    <w:rsid w:val="008C3AC7"/>
    <w:rsid w:val="008C4374"/>
    <w:rsid w:val="008C4D2F"/>
    <w:rsid w:val="008C6243"/>
    <w:rsid w:val="008C7B0A"/>
    <w:rsid w:val="008D0464"/>
    <w:rsid w:val="008D0744"/>
    <w:rsid w:val="008D078C"/>
    <w:rsid w:val="008D142A"/>
    <w:rsid w:val="008D16A5"/>
    <w:rsid w:val="008D17EB"/>
    <w:rsid w:val="008D1924"/>
    <w:rsid w:val="008D1B62"/>
    <w:rsid w:val="008D1C2F"/>
    <w:rsid w:val="008D1CB9"/>
    <w:rsid w:val="008D1FB6"/>
    <w:rsid w:val="008D2440"/>
    <w:rsid w:val="008D320D"/>
    <w:rsid w:val="008D33A3"/>
    <w:rsid w:val="008D3917"/>
    <w:rsid w:val="008D3DBF"/>
    <w:rsid w:val="008D3FE6"/>
    <w:rsid w:val="008D44ED"/>
    <w:rsid w:val="008D4B72"/>
    <w:rsid w:val="008D4C9B"/>
    <w:rsid w:val="008D5CF1"/>
    <w:rsid w:val="008D5E94"/>
    <w:rsid w:val="008D6116"/>
    <w:rsid w:val="008D661B"/>
    <w:rsid w:val="008D70C3"/>
    <w:rsid w:val="008D7857"/>
    <w:rsid w:val="008D7A1C"/>
    <w:rsid w:val="008D7D4C"/>
    <w:rsid w:val="008E0100"/>
    <w:rsid w:val="008E0AC4"/>
    <w:rsid w:val="008E1048"/>
    <w:rsid w:val="008E137F"/>
    <w:rsid w:val="008E295A"/>
    <w:rsid w:val="008E2A83"/>
    <w:rsid w:val="008E2DDE"/>
    <w:rsid w:val="008E3145"/>
    <w:rsid w:val="008E3498"/>
    <w:rsid w:val="008E44E5"/>
    <w:rsid w:val="008E4DB0"/>
    <w:rsid w:val="008E4DDA"/>
    <w:rsid w:val="008E4EA6"/>
    <w:rsid w:val="008E57F0"/>
    <w:rsid w:val="008E58D2"/>
    <w:rsid w:val="008E5CC1"/>
    <w:rsid w:val="008E5D60"/>
    <w:rsid w:val="008E6C71"/>
    <w:rsid w:val="008E6E5F"/>
    <w:rsid w:val="008E7548"/>
    <w:rsid w:val="008F0EA4"/>
    <w:rsid w:val="008F106B"/>
    <w:rsid w:val="008F1C37"/>
    <w:rsid w:val="008F248F"/>
    <w:rsid w:val="008F24A0"/>
    <w:rsid w:val="008F2933"/>
    <w:rsid w:val="008F2D6C"/>
    <w:rsid w:val="008F2E33"/>
    <w:rsid w:val="008F3789"/>
    <w:rsid w:val="008F3798"/>
    <w:rsid w:val="008F392A"/>
    <w:rsid w:val="008F4B87"/>
    <w:rsid w:val="008F58A0"/>
    <w:rsid w:val="008F64BB"/>
    <w:rsid w:val="008F79B3"/>
    <w:rsid w:val="00900230"/>
    <w:rsid w:val="00900AF4"/>
    <w:rsid w:val="00901023"/>
    <w:rsid w:val="009011B5"/>
    <w:rsid w:val="00901D47"/>
    <w:rsid w:val="00902A60"/>
    <w:rsid w:val="00902C74"/>
    <w:rsid w:val="009039B0"/>
    <w:rsid w:val="009040F9"/>
    <w:rsid w:val="00904376"/>
    <w:rsid w:val="0090507D"/>
    <w:rsid w:val="00905426"/>
    <w:rsid w:val="00905B6F"/>
    <w:rsid w:val="00906D64"/>
    <w:rsid w:val="00906DAB"/>
    <w:rsid w:val="00906FC1"/>
    <w:rsid w:val="00906FED"/>
    <w:rsid w:val="009072BC"/>
    <w:rsid w:val="009075DE"/>
    <w:rsid w:val="00907E2F"/>
    <w:rsid w:val="00907F36"/>
    <w:rsid w:val="00911A38"/>
    <w:rsid w:val="00912294"/>
    <w:rsid w:val="009124D4"/>
    <w:rsid w:val="00912CF7"/>
    <w:rsid w:val="00912D70"/>
    <w:rsid w:val="00912D7E"/>
    <w:rsid w:val="0091323F"/>
    <w:rsid w:val="00913673"/>
    <w:rsid w:val="009139FF"/>
    <w:rsid w:val="009140B9"/>
    <w:rsid w:val="009141B0"/>
    <w:rsid w:val="00914296"/>
    <w:rsid w:val="0091485F"/>
    <w:rsid w:val="00914C9B"/>
    <w:rsid w:val="00915CCF"/>
    <w:rsid w:val="0091606F"/>
    <w:rsid w:val="00916F07"/>
    <w:rsid w:val="009174BB"/>
    <w:rsid w:val="009201C5"/>
    <w:rsid w:val="009208CA"/>
    <w:rsid w:val="00920DE1"/>
    <w:rsid w:val="0092124E"/>
    <w:rsid w:val="00921939"/>
    <w:rsid w:val="00921D5F"/>
    <w:rsid w:val="00922718"/>
    <w:rsid w:val="009228D7"/>
    <w:rsid w:val="0092377D"/>
    <w:rsid w:val="00924EFD"/>
    <w:rsid w:val="00925217"/>
    <w:rsid w:val="00925946"/>
    <w:rsid w:val="00925B88"/>
    <w:rsid w:val="0092618A"/>
    <w:rsid w:val="0092628E"/>
    <w:rsid w:val="00927BD8"/>
    <w:rsid w:val="00927C58"/>
    <w:rsid w:val="00927D6F"/>
    <w:rsid w:val="00930175"/>
    <w:rsid w:val="009302DE"/>
    <w:rsid w:val="00930F71"/>
    <w:rsid w:val="00931057"/>
    <w:rsid w:val="009319B2"/>
    <w:rsid w:val="00931BA1"/>
    <w:rsid w:val="00931EDB"/>
    <w:rsid w:val="00932E1E"/>
    <w:rsid w:val="00933C02"/>
    <w:rsid w:val="00934316"/>
    <w:rsid w:val="00935037"/>
    <w:rsid w:val="009354C1"/>
    <w:rsid w:val="00935568"/>
    <w:rsid w:val="009361BD"/>
    <w:rsid w:val="00937450"/>
    <w:rsid w:val="00937494"/>
    <w:rsid w:val="009377BD"/>
    <w:rsid w:val="009378BD"/>
    <w:rsid w:val="00942267"/>
    <w:rsid w:val="0094295B"/>
    <w:rsid w:val="00942EA2"/>
    <w:rsid w:val="00943462"/>
    <w:rsid w:val="0094477E"/>
    <w:rsid w:val="00944AB7"/>
    <w:rsid w:val="00944FD6"/>
    <w:rsid w:val="009456E7"/>
    <w:rsid w:val="00945F87"/>
    <w:rsid w:val="0094652D"/>
    <w:rsid w:val="00946FD3"/>
    <w:rsid w:val="0094729D"/>
    <w:rsid w:val="00947AE0"/>
    <w:rsid w:val="00947C6A"/>
    <w:rsid w:val="00947C8C"/>
    <w:rsid w:val="00950F0C"/>
    <w:rsid w:val="00951519"/>
    <w:rsid w:val="00951F67"/>
    <w:rsid w:val="0095213F"/>
    <w:rsid w:val="0095273E"/>
    <w:rsid w:val="00952BBC"/>
    <w:rsid w:val="00952EDD"/>
    <w:rsid w:val="009534ED"/>
    <w:rsid w:val="00953D7A"/>
    <w:rsid w:val="00955035"/>
    <w:rsid w:val="00955589"/>
    <w:rsid w:val="00955597"/>
    <w:rsid w:val="00955E2B"/>
    <w:rsid w:val="009562C6"/>
    <w:rsid w:val="0095660A"/>
    <w:rsid w:val="00956683"/>
    <w:rsid w:val="009567CA"/>
    <w:rsid w:val="009568D9"/>
    <w:rsid w:val="0095729B"/>
    <w:rsid w:val="00960333"/>
    <w:rsid w:val="00960903"/>
    <w:rsid w:val="00960CEB"/>
    <w:rsid w:val="00960E8C"/>
    <w:rsid w:val="00960F3E"/>
    <w:rsid w:val="009611F4"/>
    <w:rsid w:val="009613BE"/>
    <w:rsid w:val="00961DE5"/>
    <w:rsid w:val="00962285"/>
    <w:rsid w:val="0096243B"/>
    <w:rsid w:val="009627AF"/>
    <w:rsid w:val="00962907"/>
    <w:rsid w:val="00962AE0"/>
    <w:rsid w:val="00962B16"/>
    <w:rsid w:val="00963137"/>
    <w:rsid w:val="009631B7"/>
    <w:rsid w:val="009632E3"/>
    <w:rsid w:val="009638CB"/>
    <w:rsid w:val="009642FF"/>
    <w:rsid w:val="00965EDD"/>
    <w:rsid w:val="00965FCB"/>
    <w:rsid w:val="00966DDD"/>
    <w:rsid w:val="00966E2E"/>
    <w:rsid w:val="00967746"/>
    <w:rsid w:val="00967E93"/>
    <w:rsid w:val="009704FC"/>
    <w:rsid w:val="00970925"/>
    <w:rsid w:val="0097118F"/>
    <w:rsid w:val="009718C6"/>
    <w:rsid w:val="00971ED6"/>
    <w:rsid w:val="009725A3"/>
    <w:rsid w:val="009725DD"/>
    <w:rsid w:val="00972ED6"/>
    <w:rsid w:val="00973405"/>
    <w:rsid w:val="00973D2C"/>
    <w:rsid w:val="00973F18"/>
    <w:rsid w:val="00974050"/>
    <w:rsid w:val="00974342"/>
    <w:rsid w:val="009745DE"/>
    <w:rsid w:val="0097467F"/>
    <w:rsid w:val="00974725"/>
    <w:rsid w:val="00974FA8"/>
    <w:rsid w:val="009753A0"/>
    <w:rsid w:val="009760E8"/>
    <w:rsid w:val="009765DB"/>
    <w:rsid w:val="009770A0"/>
    <w:rsid w:val="00977FDE"/>
    <w:rsid w:val="00980391"/>
    <w:rsid w:val="00981591"/>
    <w:rsid w:val="009817B1"/>
    <w:rsid w:val="00981A74"/>
    <w:rsid w:val="009821B1"/>
    <w:rsid w:val="00982AEB"/>
    <w:rsid w:val="00982F42"/>
    <w:rsid w:val="009841B6"/>
    <w:rsid w:val="00984935"/>
    <w:rsid w:val="00985798"/>
    <w:rsid w:val="00986AF6"/>
    <w:rsid w:val="00987122"/>
    <w:rsid w:val="0099008F"/>
    <w:rsid w:val="00991006"/>
    <w:rsid w:val="00991C29"/>
    <w:rsid w:val="00991E48"/>
    <w:rsid w:val="009926DE"/>
    <w:rsid w:val="00992703"/>
    <w:rsid w:val="00992DE8"/>
    <w:rsid w:val="00992EE8"/>
    <w:rsid w:val="00993BAF"/>
    <w:rsid w:val="00995736"/>
    <w:rsid w:val="00997829"/>
    <w:rsid w:val="00997AC6"/>
    <w:rsid w:val="00997F2E"/>
    <w:rsid w:val="009A0509"/>
    <w:rsid w:val="009A08AF"/>
    <w:rsid w:val="009A239D"/>
    <w:rsid w:val="009A2D6E"/>
    <w:rsid w:val="009A31D7"/>
    <w:rsid w:val="009A39E1"/>
    <w:rsid w:val="009A3F14"/>
    <w:rsid w:val="009A44BF"/>
    <w:rsid w:val="009A5084"/>
    <w:rsid w:val="009A52F5"/>
    <w:rsid w:val="009A5BA7"/>
    <w:rsid w:val="009A5BDC"/>
    <w:rsid w:val="009A6688"/>
    <w:rsid w:val="009A677D"/>
    <w:rsid w:val="009B0510"/>
    <w:rsid w:val="009B08A8"/>
    <w:rsid w:val="009B0F4F"/>
    <w:rsid w:val="009B1071"/>
    <w:rsid w:val="009B11F7"/>
    <w:rsid w:val="009B2A38"/>
    <w:rsid w:val="009B2B79"/>
    <w:rsid w:val="009B359E"/>
    <w:rsid w:val="009B400A"/>
    <w:rsid w:val="009B426E"/>
    <w:rsid w:val="009B45C6"/>
    <w:rsid w:val="009B4E5D"/>
    <w:rsid w:val="009B5475"/>
    <w:rsid w:val="009B54E5"/>
    <w:rsid w:val="009B5688"/>
    <w:rsid w:val="009B604D"/>
    <w:rsid w:val="009B62C6"/>
    <w:rsid w:val="009B732C"/>
    <w:rsid w:val="009B77EF"/>
    <w:rsid w:val="009B78BD"/>
    <w:rsid w:val="009C068F"/>
    <w:rsid w:val="009C11EC"/>
    <w:rsid w:val="009C15DE"/>
    <w:rsid w:val="009C1AEE"/>
    <w:rsid w:val="009C2480"/>
    <w:rsid w:val="009C28D2"/>
    <w:rsid w:val="009C3455"/>
    <w:rsid w:val="009C469A"/>
    <w:rsid w:val="009C4DFE"/>
    <w:rsid w:val="009C4EC8"/>
    <w:rsid w:val="009C589F"/>
    <w:rsid w:val="009C5A6A"/>
    <w:rsid w:val="009C68DB"/>
    <w:rsid w:val="009C7DC2"/>
    <w:rsid w:val="009D04A7"/>
    <w:rsid w:val="009D2F22"/>
    <w:rsid w:val="009D3445"/>
    <w:rsid w:val="009D34BB"/>
    <w:rsid w:val="009D502B"/>
    <w:rsid w:val="009D50D7"/>
    <w:rsid w:val="009D524D"/>
    <w:rsid w:val="009D5E6C"/>
    <w:rsid w:val="009D65F2"/>
    <w:rsid w:val="009D7805"/>
    <w:rsid w:val="009E03F8"/>
    <w:rsid w:val="009E0545"/>
    <w:rsid w:val="009E0BFA"/>
    <w:rsid w:val="009E0DC0"/>
    <w:rsid w:val="009E0DE8"/>
    <w:rsid w:val="009E1686"/>
    <w:rsid w:val="009E25AC"/>
    <w:rsid w:val="009E2640"/>
    <w:rsid w:val="009E2BB1"/>
    <w:rsid w:val="009E2ECF"/>
    <w:rsid w:val="009E300D"/>
    <w:rsid w:val="009E3ED5"/>
    <w:rsid w:val="009E5807"/>
    <w:rsid w:val="009E63C3"/>
    <w:rsid w:val="009E6478"/>
    <w:rsid w:val="009E6870"/>
    <w:rsid w:val="009E6BDB"/>
    <w:rsid w:val="009E74DE"/>
    <w:rsid w:val="009E7AA2"/>
    <w:rsid w:val="009F0C49"/>
    <w:rsid w:val="009F0ECF"/>
    <w:rsid w:val="009F1232"/>
    <w:rsid w:val="009F12A9"/>
    <w:rsid w:val="009F1678"/>
    <w:rsid w:val="009F19FC"/>
    <w:rsid w:val="009F1A91"/>
    <w:rsid w:val="009F1B79"/>
    <w:rsid w:val="009F1F48"/>
    <w:rsid w:val="009F21A5"/>
    <w:rsid w:val="009F29DB"/>
    <w:rsid w:val="009F3463"/>
    <w:rsid w:val="009F34BA"/>
    <w:rsid w:val="009F3B0B"/>
    <w:rsid w:val="009F3D2A"/>
    <w:rsid w:val="009F4287"/>
    <w:rsid w:val="009F4629"/>
    <w:rsid w:val="009F4924"/>
    <w:rsid w:val="009F4A9A"/>
    <w:rsid w:val="009F4B0C"/>
    <w:rsid w:val="009F544A"/>
    <w:rsid w:val="009F57A7"/>
    <w:rsid w:val="009F5CDE"/>
    <w:rsid w:val="009F65E0"/>
    <w:rsid w:val="009F6824"/>
    <w:rsid w:val="009F7940"/>
    <w:rsid w:val="00A00B99"/>
    <w:rsid w:val="00A00CF1"/>
    <w:rsid w:val="00A01175"/>
    <w:rsid w:val="00A012BE"/>
    <w:rsid w:val="00A01DA4"/>
    <w:rsid w:val="00A023CB"/>
    <w:rsid w:val="00A0241A"/>
    <w:rsid w:val="00A026D9"/>
    <w:rsid w:val="00A02BC8"/>
    <w:rsid w:val="00A03A1D"/>
    <w:rsid w:val="00A03A5E"/>
    <w:rsid w:val="00A03A9E"/>
    <w:rsid w:val="00A03E4C"/>
    <w:rsid w:val="00A041B4"/>
    <w:rsid w:val="00A0457E"/>
    <w:rsid w:val="00A047B0"/>
    <w:rsid w:val="00A048E0"/>
    <w:rsid w:val="00A04FD0"/>
    <w:rsid w:val="00A05550"/>
    <w:rsid w:val="00A055E2"/>
    <w:rsid w:val="00A063C8"/>
    <w:rsid w:val="00A069D3"/>
    <w:rsid w:val="00A07161"/>
    <w:rsid w:val="00A07305"/>
    <w:rsid w:val="00A07800"/>
    <w:rsid w:val="00A07890"/>
    <w:rsid w:val="00A07E87"/>
    <w:rsid w:val="00A1029C"/>
    <w:rsid w:val="00A1101C"/>
    <w:rsid w:val="00A1160F"/>
    <w:rsid w:val="00A1176F"/>
    <w:rsid w:val="00A12029"/>
    <w:rsid w:val="00A1272D"/>
    <w:rsid w:val="00A12975"/>
    <w:rsid w:val="00A12E2E"/>
    <w:rsid w:val="00A13091"/>
    <w:rsid w:val="00A130BA"/>
    <w:rsid w:val="00A1329C"/>
    <w:rsid w:val="00A13376"/>
    <w:rsid w:val="00A13560"/>
    <w:rsid w:val="00A139A9"/>
    <w:rsid w:val="00A14A2D"/>
    <w:rsid w:val="00A15890"/>
    <w:rsid w:val="00A15912"/>
    <w:rsid w:val="00A16D91"/>
    <w:rsid w:val="00A20040"/>
    <w:rsid w:val="00A20F34"/>
    <w:rsid w:val="00A2119D"/>
    <w:rsid w:val="00A218C0"/>
    <w:rsid w:val="00A21CA3"/>
    <w:rsid w:val="00A222C0"/>
    <w:rsid w:val="00A233F3"/>
    <w:rsid w:val="00A23F53"/>
    <w:rsid w:val="00A24B49"/>
    <w:rsid w:val="00A24FF7"/>
    <w:rsid w:val="00A25328"/>
    <w:rsid w:val="00A258FF"/>
    <w:rsid w:val="00A262E2"/>
    <w:rsid w:val="00A267CC"/>
    <w:rsid w:val="00A26ADA"/>
    <w:rsid w:val="00A2733C"/>
    <w:rsid w:val="00A305E3"/>
    <w:rsid w:val="00A312C9"/>
    <w:rsid w:val="00A31A2A"/>
    <w:rsid w:val="00A326FB"/>
    <w:rsid w:val="00A32F5F"/>
    <w:rsid w:val="00A3382D"/>
    <w:rsid w:val="00A338EF"/>
    <w:rsid w:val="00A34B09"/>
    <w:rsid w:val="00A350B2"/>
    <w:rsid w:val="00A3589F"/>
    <w:rsid w:val="00A35A8D"/>
    <w:rsid w:val="00A36105"/>
    <w:rsid w:val="00A366E4"/>
    <w:rsid w:val="00A36E76"/>
    <w:rsid w:val="00A377E7"/>
    <w:rsid w:val="00A37D3A"/>
    <w:rsid w:val="00A40296"/>
    <w:rsid w:val="00A40F01"/>
    <w:rsid w:val="00A40FBC"/>
    <w:rsid w:val="00A4187A"/>
    <w:rsid w:val="00A418E0"/>
    <w:rsid w:val="00A42437"/>
    <w:rsid w:val="00A431B8"/>
    <w:rsid w:val="00A432CC"/>
    <w:rsid w:val="00A43C64"/>
    <w:rsid w:val="00A44AAD"/>
    <w:rsid w:val="00A44BE8"/>
    <w:rsid w:val="00A44C61"/>
    <w:rsid w:val="00A44DD6"/>
    <w:rsid w:val="00A44E4D"/>
    <w:rsid w:val="00A460CC"/>
    <w:rsid w:val="00A4641B"/>
    <w:rsid w:val="00A46A34"/>
    <w:rsid w:val="00A46A5C"/>
    <w:rsid w:val="00A46FF3"/>
    <w:rsid w:val="00A47224"/>
    <w:rsid w:val="00A47262"/>
    <w:rsid w:val="00A47B4A"/>
    <w:rsid w:val="00A50A63"/>
    <w:rsid w:val="00A51F54"/>
    <w:rsid w:val="00A52149"/>
    <w:rsid w:val="00A52232"/>
    <w:rsid w:val="00A53B14"/>
    <w:rsid w:val="00A53BD0"/>
    <w:rsid w:val="00A53F79"/>
    <w:rsid w:val="00A54B04"/>
    <w:rsid w:val="00A54C8B"/>
    <w:rsid w:val="00A55714"/>
    <w:rsid w:val="00A5581A"/>
    <w:rsid w:val="00A559B1"/>
    <w:rsid w:val="00A56D44"/>
    <w:rsid w:val="00A57536"/>
    <w:rsid w:val="00A576CB"/>
    <w:rsid w:val="00A579C6"/>
    <w:rsid w:val="00A57A66"/>
    <w:rsid w:val="00A57FC9"/>
    <w:rsid w:val="00A6014C"/>
    <w:rsid w:val="00A608D7"/>
    <w:rsid w:val="00A60E82"/>
    <w:rsid w:val="00A61D51"/>
    <w:rsid w:val="00A62530"/>
    <w:rsid w:val="00A63721"/>
    <w:rsid w:val="00A646F8"/>
    <w:rsid w:val="00A64EFC"/>
    <w:rsid w:val="00A655BC"/>
    <w:rsid w:val="00A66BC4"/>
    <w:rsid w:val="00A674CF"/>
    <w:rsid w:val="00A67D1B"/>
    <w:rsid w:val="00A70828"/>
    <w:rsid w:val="00A712E8"/>
    <w:rsid w:val="00A71660"/>
    <w:rsid w:val="00A71B8E"/>
    <w:rsid w:val="00A71F41"/>
    <w:rsid w:val="00A728B1"/>
    <w:rsid w:val="00A72C76"/>
    <w:rsid w:val="00A730E2"/>
    <w:rsid w:val="00A75DCF"/>
    <w:rsid w:val="00A76740"/>
    <w:rsid w:val="00A768C1"/>
    <w:rsid w:val="00A779F6"/>
    <w:rsid w:val="00A77B36"/>
    <w:rsid w:val="00A81ADB"/>
    <w:rsid w:val="00A82B14"/>
    <w:rsid w:val="00A832BC"/>
    <w:rsid w:val="00A837A0"/>
    <w:rsid w:val="00A83861"/>
    <w:rsid w:val="00A83DAC"/>
    <w:rsid w:val="00A8445B"/>
    <w:rsid w:val="00A84AE2"/>
    <w:rsid w:val="00A8599C"/>
    <w:rsid w:val="00A86162"/>
    <w:rsid w:val="00A86611"/>
    <w:rsid w:val="00A8690C"/>
    <w:rsid w:val="00A869EA"/>
    <w:rsid w:val="00A87850"/>
    <w:rsid w:val="00A87869"/>
    <w:rsid w:val="00A87D58"/>
    <w:rsid w:val="00A91ED7"/>
    <w:rsid w:val="00A92062"/>
    <w:rsid w:val="00A92337"/>
    <w:rsid w:val="00A926E2"/>
    <w:rsid w:val="00A92988"/>
    <w:rsid w:val="00A92D81"/>
    <w:rsid w:val="00A9489E"/>
    <w:rsid w:val="00A95184"/>
    <w:rsid w:val="00A951BA"/>
    <w:rsid w:val="00A952C1"/>
    <w:rsid w:val="00A95720"/>
    <w:rsid w:val="00A95B66"/>
    <w:rsid w:val="00A96BF6"/>
    <w:rsid w:val="00A96EAC"/>
    <w:rsid w:val="00AA0E46"/>
    <w:rsid w:val="00AA12EC"/>
    <w:rsid w:val="00AA16B1"/>
    <w:rsid w:val="00AA2069"/>
    <w:rsid w:val="00AA22C8"/>
    <w:rsid w:val="00AA23DF"/>
    <w:rsid w:val="00AA29AC"/>
    <w:rsid w:val="00AA2DCF"/>
    <w:rsid w:val="00AA31DE"/>
    <w:rsid w:val="00AA353A"/>
    <w:rsid w:val="00AA35ED"/>
    <w:rsid w:val="00AA3929"/>
    <w:rsid w:val="00AA4A10"/>
    <w:rsid w:val="00AA4DA0"/>
    <w:rsid w:val="00AA4E22"/>
    <w:rsid w:val="00AA4E75"/>
    <w:rsid w:val="00AA51A7"/>
    <w:rsid w:val="00AA6049"/>
    <w:rsid w:val="00AA7385"/>
    <w:rsid w:val="00AA77C7"/>
    <w:rsid w:val="00AB3048"/>
    <w:rsid w:val="00AB3192"/>
    <w:rsid w:val="00AB327D"/>
    <w:rsid w:val="00AB3720"/>
    <w:rsid w:val="00AB38CF"/>
    <w:rsid w:val="00AB4112"/>
    <w:rsid w:val="00AB44D8"/>
    <w:rsid w:val="00AB469C"/>
    <w:rsid w:val="00AB4E15"/>
    <w:rsid w:val="00AB5DBF"/>
    <w:rsid w:val="00AB70A0"/>
    <w:rsid w:val="00AB77CB"/>
    <w:rsid w:val="00AB7A98"/>
    <w:rsid w:val="00AB7D57"/>
    <w:rsid w:val="00AC0CDC"/>
    <w:rsid w:val="00AC0F7B"/>
    <w:rsid w:val="00AC2074"/>
    <w:rsid w:val="00AC2435"/>
    <w:rsid w:val="00AC3145"/>
    <w:rsid w:val="00AC3471"/>
    <w:rsid w:val="00AC4CA8"/>
    <w:rsid w:val="00AC4DCF"/>
    <w:rsid w:val="00AC4F5C"/>
    <w:rsid w:val="00AC5AC9"/>
    <w:rsid w:val="00AC5F14"/>
    <w:rsid w:val="00AC63F3"/>
    <w:rsid w:val="00AC64DD"/>
    <w:rsid w:val="00AC6694"/>
    <w:rsid w:val="00AC70E4"/>
    <w:rsid w:val="00AD00F5"/>
    <w:rsid w:val="00AD0243"/>
    <w:rsid w:val="00AD0995"/>
    <w:rsid w:val="00AD0B01"/>
    <w:rsid w:val="00AD215D"/>
    <w:rsid w:val="00AD221B"/>
    <w:rsid w:val="00AD229E"/>
    <w:rsid w:val="00AD2DAA"/>
    <w:rsid w:val="00AD30D2"/>
    <w:rsid w:val="00AD31A8"/>
    <w:rsid w:val="00AD367B"/>
    <w:rsid w:val="00AD38D7"/>
    <w:rsid w:val="00AD3BDC"/>
    <w:rsid w:val="00AD4773"/>
    <w:rsid w:val="00AD48C8"/>
    <w:rsid w:val="00AD528D"/>
    <w:rsid w:val="00AD6A99"/>
    <w:rsid w:val="00AD6C8B"/>
    <w:rsid w:val="00AD6EFC"/>
    <w:rsid w:val="00AD7D22"/>
    <w:rsid w:val="00AE0BCD"/>
    <w:rsid w:val="00AE1004"/>
    <w:rsid w:val="00AE110B"/>
    <w:rsid w:val="00AE18C9"/>
    <w:rsid w:val="00AE1C2D"/>
    <w:rsid w:val="00AE1D6A"/>
    <w:rsid w:val="00AE2305"/>
    <w:rsid w:val="00AE366A"/>
    <w:rsid w:val="00AE379F"/>
    <w:rsid w:val="00AE3961"/>
    <w:rsid w:val="00AE43EC"/>
    <w:rsid w:val="00AE55E9"/>
    <w:rsid w:val="00AE56AC"/>
    <w:rsid w:val="00AE57FA"/>
    <w:rsid w:val="00AE5BEE"/>
    <w:rsid w:val="00AE5D81"/>
    <w:rsid w:val="00AE5F24"/>
    <w:rsid w:val="00AE6EDD"/>
    <w:rsid w:val="00AF0051"/>
    <w:rsid w:val="00AF0228"/>
    <w:rsid w:val="00AF0F57"/>
    <w:rsid w:val="00AF1B51"/>
    <w:rsid w:val="00AF2192"/>
    <w:rsid w:val="00AF247F"/>
    <w:rsid w:val="00AF419B"/>
    <w:rsid w:val="00AF4310"/>
    <w:rsid w:val="00AF4DCB"/>
    <w:rsid w:val="00AF5021"/>
    <w:rsid w:val="00AF53BB"/>
    <w:rsid w:val="00AF6524"/>
    <w:rsid w:val="00AF66B7"/>
    <w:rsid w:val="00AF68AA"/>
    <w:rsid w:val="00AF6E92"/>
    <w:rsid w:val="00AF701B"/>
    <w:rsid w:val="00AF74CC"/>
    <w:rsid w:val="00B002E6"/>
    <w:rsid w:val="00B0034E"/>
    <w:rsid w:val="00B004A2"/>
    <w:rsid w:val="00B01124"/>
    <w:rsid w:val="00B01174"/>
    <w:rsid w:val="00B014BD"/>
    <w:rsid w:val="00B01A8B"/>
    <w:rsid w:val="00B01AF9"/>
    <w:rsid w:val="00B02115"/>
    <w:rsid w:val="00B0295E"/>
    <w:rsid w:val="00B0583A"/>
    <w:rsid w:val="00B058DD"/>
    <w:rsid w:val="00B07577"/>
    <w:rsid w:val="00B0759D"/>
    <w:rsid w:val="00B100AA"/>
    <w:rsid w:val="00B100D2"/>
    <w:rsid w:val="00B1166B"/>
    <w:rsid w:val="00B1270B"/>
    <w:rsid w:val="00B12AF1"/>
    <w:rsid w:val="00B12C72"/>
    <w:rsid w:val="00B12DB2"/>
    <w:rsid w:val="00B12DF5"/>
    <w:rsid w:val="00B13A2F"/>
    <w:rsid w:val="00B13CC5"/>
    <w:rsid w:val="00B13EC8"/>
    <w:rsid w:val="00B154B3"/>
    <w:rsid w:val="00B15512"/>
    <w:rsid w:val="00B15835"/>
    <w:rsid w:val="00B15B44"/>
    <w:rsid w:val="00B16687"/>
    <w:rsid w:val="00B16C7E"/>
    <w:rsid w:val="00B1710D"/>
    <w:rsid w:val="00B17302"/>
    <w:rsid w:val="00B178A1"/>
    <w:rsid w:val="00B17FF2"/>
    <w:rsid w:val="00B20131"/>
    <w:rsid w:val="00B202B6"/>
    <w:rsid w:val="00B20743"/>
    <w:rsid w:val="00B20C80"/>
    <w:rsid w:val="00B215FB"/>
    <w:rsid w:val="00B21E41"/>
    <w:rsid w:val="00B22A60"/>
    <w:rsid w:val="00B233ED"/>
    <w:rsid w:val="00B238DF"/>
    <w:rsid w:val="00B23A8C"/>
    <w:rsid w:val="00B24053"/>
    <w:rsid w:val="00B259BD"/>
    <w:rsid w:val="00B26891"/>
    <w:rsid w:val="00B26AE6"/>
    <w:rsid w:val="00B277D2"/>
    <w:rsid w:val="00B27B3C"/>
    <w:rsid w:val="00B30020"/>
    <w:rsid w:val="00B3034A"/>
    <w:rsid w:val="00B30425"/>
    <w:rsid w:val="00B304FD"/>
    <w:rsid w:val="00B3139E"/>
    <w:rsid w:val="00B31916"/>
    <w:rsid w:val="00B31BCD"/>
    <w:rsid w:val="00B32500"/>
    <w:rsid w:val="00B32A51"/>
    <w:rsid w:val="00B33A50"/>
    <w:rsid w:val="00B33A59"/>
    <w:rsid w:val="00B33FEE"/>
    <w:rsid w:val="00B34312"/>
    <w:rsid w:val="00B34D17"/>
    <w:rsid w:val="00B35131"/>
    <w:rsid w:val="00B35D36"/>
    <w:rsid w:val="00B35E51"/>
    <w:rsid w:val="00B3607A"/>
    <w:rsid w:val="00B3660C"/>
    <w:rsid w:val="00B36E79"/>
    <w:rsid w:val="00B370BE"/>
    <w:rsid w:val="00B402C3"/>
    <w:rsid w:val="00B40318"/>
    <w:rsid w:val="00B40AA6"/>
    <w:rsid w:val="00B41A4D"/>
    <w:rsid w:val="00B41E9E"/>
    <w:rsid w:val="00B42631"/>
    <w:rsid w:val="00B42EAF"/>
    <w:rsid w:val="00B43883"/>
    <w:rsid w:val="00B4391F"/>
    <w:rsid w:val="00B43D7E"/>
    <w:rsid w:val="00B4434B"/>
    <w:rsid w:val="00B44F7A"/>
    <w:rsid w:val="00B459DF"/>
    <w:rsid w:val="00B46A33"/>
    <w:rsid w:val="00B46B0F"/>
    <w:rsid w:val="00B46F3E"/>
    <w:rsid w:val="00B473B2"/>
    <w:rsid w:val="00B47AAF"/>
    <w:rsid w:val="00B500BA"/>
    <w:rsid w:val="00B502D5"/>
    <w:rsid w:val="00B50E71"/>
    <w:rsid w:val="00B515CD"/>
    <w:rsid w:val="00B51B1D"/>
    <w:rsid w:val="00B5225F"/>
    <w:rsid w:val="00B524A8"/>
    <w:rsid w:val="00B537C7"/>
    <w:rsid w:val="00B538E8"/>
    <w:rsid w:val="00B54A4B"/>
    <w:rsid w:val="00B54ED0"/>
    <w:rsid w:val="00B556F5"/>
    <w:rsid w:val="00B56ED1"/>
    <w:rsid w:val="00B573E0"/>
    <w:rsid w:val="00B57C63"/>
    <w:rsid w:val="00B60284"/>
    <w:rsid w:val="00B602BE"/>
    <w:rsid w:val="00B60824"/>
    <w:rsid w:val="00B611B3"/>
    <w:rsid w:val="00B615A0"/>
    <w:rsid w:val="00B6175D"/>
    <w:rsid w:val="00B61A07"/>
    <w:rsid w:val="00B62CA8"/>
    <w:rsid w:val="00B6382F"/>
    <w:rsid w:val="00B63C0D"/>
    <w:rsid w:val="00B64982"/>
    <w:rsid w:val="00B64CD8"/>
    <w:rsid w:val="00B65248"/>
    <w:rsid w:val="00B653DE"/>
    <w:rsid w:val="00B65648"/>
    <w:rsid w:val="00B65958"/>
    <w:rsid w:val="00B667DC"/>
    <w:rsid w:val="00B669C4"/>
    <w:rsid w:val="00B6749F"/>
    <w:rsid w:val="00B70A26"/>
    <w:rsid w:val="00B71487"/>
    <w:rsid w:val="00B71F8E"/>
    <w:rsid w:val="00B71F99"/>
    <w:rsid w:val="00B72D3B"/>
    <w:rsid w:val="00B747B3"/>
    <w:rsid w:val="00B75107"/>
    <w:rsid w:val="00B75315"/>
    <w:rsid w:val="00B75B4F"/>
    <w:rsid w:val="00B75BD0"/>
    <w:rsid w:val="00B7624F"/>
    <w:rsid w:val="00B76858"/>
    <w:rsid w:val="00B76946"/>
    <w:rsid w:val="00B77157"/>
    <w:rsid w:val="00B7738F"/>
    <w:rsid w:val="00B77A73"/>
    <w:rsid w:val="00B77C7B"/>
    <w:rsid w:val="00B80397"/>
    <w:rsid w:val="00B806B7"/>
    <w:rsid w:val="00B807F4"/>
    <w:rsid w:val="00B80A74"/>
    <w:rsid w:val="00B80D57"/>
    <w:rsid w:val="00B81B2C"/>
    <w:rsid w:val="00B82606"/>
    <w:rsid w:val="00B8307D"/>
    <w:rsid w:val="00B83C7E"/>
    <w:rsid w:val="00B83E2E"/>
    <w:rsid w:val="00B840E8"/>
    <w:rsid w:val="00B84FD1"/>
    <w:rsid w:val="00B864B1"/>
    <w:rsid w:val="00B86A7E"/>
    <w:rsid w:val="00B86BF9"/>
    <w:rsid w:val="00B87EC0"/>
    <w:rsid w:val="00B901C6"/>
    <w:rsid w:val="00B9163F"/>
    <w:rsid w:val="00B92122"/>
    <w:rsid w:val="00B93641"/>
    <w:rsid w:val="00B938B1"/>
    <w:rsid w:val="00B949D9"/>
    <w:rsid w:val="00B9564F"/>
    <w:rsid w:val="00B960E3"/>
    <w:rsid w:val="00B967F9"/>
    <w:rsid w:val="00B968F0"/>
    <w:rsid w:val="00B96B7B"/>
    <w:rsid w:val="00BA0030"/>
    <w:rsid w:val="00BA0B95"/>
    <w:rsid w:val="00BA12E1"/>
    <w:rsid w:val="00BA21DD"/>
    <w:rsid w:val="00BA26D2"/>
    <w:rsid w:val="00BA2BA7"/>
    <w:rsid w:val="00BA31D3"/>
    <w:rsid w:val="00BA3208"/>
    <w:rsid w:val="00BA34BA"/>
    <w:rsid w:val="00BA37C6"/>
    <w:rsid w:val="00BA3A99"/>
    <w:rsid w:val="00BA4503"/>
    <w:rsid w:val="00BA4603"/>
    <w:rsid w:val="00BA4AA4"/>
    <w:rsid w:val="00BA4CA4"/>
    <w:rsid w:val="00BA4DD4"/>
    <w:rsid w:val="00BA5738"/>
    <w:rsid w:val="00BA5D64"/>
    <w:rsid w:val="00BA5E36"/>
    <w:rsid w:val="00BA756B"/>
    <w:rsid w:val="00BA7B34"/>
    <w:rsid w:val="00BA7BF5"/>
    <w:rsid w:val="00BB055E"/>
    <w:rsid w:val="00BB1280"/>
    <w:rsid w:val="00BB19D5"/>
    <w:rsid w:val="00BB265E"/>
    <w:rsid w:val="00BB3044"/>
    <w:rsid w:val="00BB3796"/>
    <w:rsid w:val="00BB3C2B"/>
    <w:rsid w:val="00BB3C66"/>
    <w:rsid w:val="00BB42EF"/>
    <w:rsid w:val="00BB4824"/>
    <w:rsid w:val="00BB4F06"/>
    <w:rsid w:val="00BB5837"/>
    <w:rsid w:val="00BB5CFA"/>
    <w:rsid w:val="00BB7035"/>
    <w:rsid w:val="00BC021E"/>
    <w:rsid w:val="00BC0938"/>
    <w:rsid w:val="00BC0F1E"/>
    <w:rsid w:val="00BC1928"/>
    <w:rsid w:val="00BC24DF"/>
    <w:rsid w:val="00BC2AF7"/>
    <w:rsid w:val="00BC2F94"/>
    <w:rsid w:val="00BC322C"/>
    <w:rsid w:val="00BC3348"/>
    <w:rsid w:val="00BC3811"/>
    <w:rsid w:val="00BC38C0"/>
    <w:rsid w:val="00BC4E95"/>
    <w:rsid w:val="00BC5327"/>
    <w:rsid w:val="00BC53CD"/>
    <w:rsid w:val="00BC65B5"/>
    <w:rsid w:val="00BC66CC"/>
    <w:rsid w:val="00BC6A9C"/>
    <w:rsid w:val="00BC6CF9"/>
    <w:rsid w:val="00BC7112"/>
    <w:rsid w:val="00BC74E6"/>
    <w:rsid w:val="00BC7CF1"/>
    <w:rsid w:val="00BC7DDF"/>
    <w:rsid w:val="00BC7ECC"/>
    <w:rsid w:val="00BD0421"/>
    <w:rsid w:val="00BD1BE2"/>
    <w:rsid w:val="00BD2B0A"/>
    <w:rsid w:val="00BD3465"/>
    <w:rsid w:val="00BD5A48"/>
    <w:rsid w:val="00BD5D48"/>
    <w:rsid w:val="00BD700D"/>
    <w:rsid w:val="00BE03EE"/>
    <w:rsid w:val="00BE0905"/>
    <w:rsid w:val="00BE0C8F"/>
    <w:rsid w:val="00BE0F0E"/>
    <w:rsid w:val="00BE0F79"/>
    <w:rsid w:val="00BE109B"/>
    <w:rsid w:val="00BE13C5"/>
    <w:rsid w:val="00BE150C"/>
    <w:rsid w:val="00BE39F5"/>
    <w:rsid w:val="00BE42B6"/>
    <w:rsid w:val="00BE57F8"/>
    <w:rsid w:val="00BE5829"/>
    <w:rsid w:val="00BE58BE"/>
    <w:rsid w:val="00BE6FF4"/>
    <w:rsid w:val="00BE7391"/>
    <w:rsid w:val="00BF0AC0"/>
    <w:rsid w:val="00BF0C15"/>
    <w:rsid w:val="00BF18CF"/>
    <w:rsid w:val="00BF1B4D"/>
    <w:rsid w:val="00BF1E34"/>
    <w:rsid w:val="00BF2670"/>
    <w:rsid w:val="00BF355D"/>
    <w:rsid w:val="00BF3864"/>
    <w:rsid w:val="00BF3E64"/>
    <w:rsid w:val="00BF45B9"/>
    <w:rsid w:val="00BF4625"/>
    <w:rsid w:val="00BF5D60"/>
    <w:rsid w:val="00BF5EEA"/>
    <w:rsid w:val="00BF6712"/>
    <w:rsid w:val="00BF74FC"/>
    <w:rsid w:val="00BF7CED"/>
    <w:rsid w:val="00C0026F"/>
    <w:rsid w:val="00C002EC"/>
    <w:rsid w:val="00C0060D"/>
    <w:rsid w:val="00C00A93"/>
    <w:rsid w:val="00C00C14"/>
    <w:rsid w:val="00C0106E"/>
    <w:rsid w:val="00C0162E"/>
    <w:rsid w:val="00C01811"/>
    <w:rsid w:val="00C027AA"/>
    <w:rsid w:val="00C02A8E"/>
    <w:rsid w:val="00C042FA"/>
    <w:rsid w:val="00C04D46"/>
    <w:rsid w:val="00C04F04"/>
    <w:rsid w:val="00C04FEE"/>
    <w:rsid w:val="00C06182"/>
    <w:rsid w:val="00C06411"/>
    <w:rsid w:val="00C06448"/>
    <w:rsid w:val="00C06501"/>
    <w:rsid w:val="00C07DFF"/>
    <w:rsid w:val="00C103FC"/>
    <w:rsid w:val="00C110C2"/>
    <w:rsid w:val="00C111C6"/>
    <w:rsid w:val="00C11655"/>
    <w:rsid w:val="00C11DDA"/>
    <w:rsid w:val="00C120E1"/>
    <w:rsid w:val="00C12432"/>
    <w:rsid w:val="00C125F9"/>
    <w:rsid w:val="00C1327A"/>
    <w:rsid w:val="00C1422F"/>
    <w:rsid w:val="00C14797"/>
    <w:rsid w:val="00C148CA"/>
    <w:rsid w:val="00C15032"/>
    <w:rsid w:val="00C15D1E"/>
    <w:rsid w:val="00C16198"/>
    <w:rsid w:val="00C1637B"/>
    <w:rsid w:val="00C16492"/>
    <w:rsid w:val="00C16C3D"/>
    <w:rsid w:val="00C218A2"/>
    <w:rsid w:val="00C21CA7"/>
    <w:rsid w:val="00C22B87"/>
    <w:rsid w:val="00C24344"/>
    <w:rsid w:val="00C249E6"/>
    <w:rsid w:val="00C2536A"/>
    <w:rsid w:val="00C255A7"/>
    <w:rsid w:val="00C256F5"/>
    <w:rsid w:val="00C26449"/>
    <w:rsid w:val="00C26491"/>
    <w:rsid w:val="00C26954"/>
    <w:rsid w:val="00C269CC"/>
    <w:rsid w:val="00C27705"/>
    <w:rsid w:val="00C27858"/>
    <w:rsid w:val="00C27FB0"/>
    <w:rsid w:val="00C31492"/>
    <w:rsid w:val="00C3165F"/>
    <w:rsid w:val="00C32A58"/>
    <w:rsid w:val="00C334CA"/>
    <w:rsid w:val="00C33918"/>
    <w:rsid w:val="00C339C7"/>
    <w:rsid w:val="00C33C70"/>
    <w:rsid w:val="00C33E31"/>
    <w:rsid w:val="00C33EAA"/>
    <w:rsid w:val="00C34095"/>
    <w:rsid w:val="00C35243"/>
    <w:rsid w:val="00C364E3"/>
    <w:rsid w:val="00C3779D"/>
    <w:rsid w:val="00C405E3"/>
    <w:rsid w:val="00C40712"/>
    <w:rsid w:val="00C42197"/>
    <w:rsid w:val="00C42A8E"/>
    <w:rsid w:val="00C435E9"/>
    <w:rsid w:val="00C43DA0"/>
    <w:rsid w:val="00C44134"/>
    <w:rsid w:val="00C4493A"/>
    <w:rsid w:val="00C4658B"/>
    <w:rsid w:val="00C46D88"/>
    <w:rsid w:val="00C475CF"/>
    <w:rsid w:val="00C476A1"/>
    <w:rsid w:val="00C47FB3"/>
    <w:rsid w:val="00C507E3"/>
    <w:rsid w:val="00C50B06"/>
    <w:rsid w:val="00C50B1A"/>
    <w:rsid w:val="00C50B43"/>
    <w:rsid w:val="00C50CDA"/>
    <w:rsid w:val="00C511C5"/>
    <w:rsid w:val="00C5138D"/>
    <w:rsid w:val="00C51709"/>
    <w:rsid w:val="00C518A8"/>
    <w:rsid w:val="00C523E6"/>
    <w:rsid w:val="00C526D0"/>
    <w:rsid w:val="00C529A5"/>
    <w:rsid w:val="00C53027"/>
    <w:rsid w:val="00C53049"/>
    <w:rsid w:val="00C5346F"/>
    <w:rsid w:val="00C5440B"/>
    <w:rsid w:val="00C5476E"/>
    <w:rsid w:val="00C547F7"/>
    <w:rsid w:val="00C54FBB"/>
    <w:rsid w:val="00C555FA"/>
    <w:rsid w:val="00C55653"/>
    <w:rsid w:val="00C55949"/>
    <w:rsid w:val="00C56A70"/>
    <w:rsid w:val="00C60329"/>
    <w:rsid w:val="00C603B9"/>
    <w:rsid w:val="00C61547"/>
    <w:rsid w:val="00C6167F"/>
    <w:rsid w:val="00C61718"/>
    <w:rsid w:val="00C61723"/>
    <w:rsid w:val="00C61884"/>
    <w:rsid w:val="00C62320"/>
    <w:rsid w:val="00C623F4"/>
    <w:rsid w:val="00C62901"/>
    <w:rsid w:val="00C62E8B"/>
    <w:rsid w:val="00C62ED9"/>
    <w:rsid w:val="00C6349F"/>
    <w:rsid w:val="00C636AF"/>
    <w:rsid w:val="00C6446B"/>
    <w:rsid w:val="00C651F3"/>
    <w:rsid w:val="00C65FCE"/>
    <w:rsid w:val="00C66B40"/>
    <w:rsid w:val="00C704D1"/>
    <w:rsid w:val="00C70704"/>
    <w:rsid w:val="00C70862"/>
    <w:rsid w:val="00C71329"/>
    <w:rsid w:val="00C71598"/>
    <w:rsid w:val="00C71E10"/>
    <w:rsid w:val="00C7250A"/>
    <w:rsid w:val="00C72A63"/>
    <w:rsid w:val="00C72EEE"/>
    <w:rsid w:val="00C733D9"/>
    <w:rsid w:val="00C736A3"/>
    <w:rsid w:val="00C73F55"/>
    <w:rsid w:val="00C74456"/>
    <w:rsid w:val="00C74BFB"/>
    <w:rsid w:val="00C755AB"/>
    <w:rsid w:val="00C75FD9"/>
    <w:rsid w:val="00C76552"/>
    <w:rsid w:val="00C765E4"/>
    <w:rsid w:val="00C76A8F"/>
    <w:rsid w:val="00C77104"/>
    <w:rsid w:val="00C775ED"/>
    <w:rsid w:val="00C778F1"/>
    <w:rsid w:val="00C77A5B"/>
    <w:rsid w:val="00C77AFF"/>
    <w:rsid w:val="00C810F7"/>
    <w:rsid w:val="00C81BA0"/>
    <w:rsid w:val="00C81FE4"/>
    <w:rsid w:val="00C82CCB"/>
    <w:rsid w:val="00C82D6E"/>
    <w:rsid w:val="00C83DF4"/>
    <w:rsid w:val="00C83E5A"/>
    <w:rsid w:val="00C84A1E"/>
    <w:rsid w:val="00C84B86"/>
    <w:rsid w:val="00C84D1E"/>
    <w:rsid w:val="00C85254"/>
    <w:rsid w:val="00C85644"/>
    <w:rsid w:val="00C86100"/>
    <w:rsid w:val="00C8640B"/>
    <w:rsid w:val="00C86A7B"/>
    <w:rsid w:val="00C86E82"/>
    <w:rsid w:val="00C9170C"/>
    <w:rsid w:val="00C91AB8"/>
    <w:rsid w:val="00C91D20"/>
    <w:rsid w:val="00C91F99"/>
    <w:rsid w:val="00C91FA2"/>
    <w:rsid w:val="00C921F7"/>
    <w:rsid w:val="00C92A36"/>
    <w:rsid w:val="00C93586"/>
    <w:rsid w:val="00C946D3"/>
    <w:rsid w:val="00C95093"/>
    <w:rsid w:val="00C9675B"/>
    <w:rsid w:val="00C96EA9"/>
    <w:rsid w:val="00CA0511"/>
    <w:rsid w:val="00CA06E6"/>
    <w:rsid w:val="00CA0E26"/>
    <w:rsid w:val="00CA103A"/>
    <w:rsid w:val="00CA145B"/>
    <w:rsid w:val="00CA22B1"/>
    <w:rsid w:val="00CA22F9"/>
    <w:rsid w:val="00CA23CC"/>
    <w:rsid w:val="00CA273E"/>
    <w:rsid w:val="00CA3B7D"/>
    <w:rsid w:val="00CA4AE5"/>
    <w:rsid w:val="00CA5749"/>
    <w:rsid w:val="00CA598D"/>
    <w:rsid w:val="00CA5B72"/>
    <w:rsid w:val="00CA5EFE"/>
    <w:rsid w:val="00CA6285"/>
    <w:rsid w:val="00CA6B87"/>
    <w:rsid w:val="00CA6F73"/>
    <w:rsid w:val="00CA77BF"/>
    <w:rsid w:val="00CA7F0C"/>
    <w:rsid w:val="00CB0351"/>
    <w:rsid w:val="00CB0814"/>
    <w:rsid w:val="00CB15E9"/>
    <w:rsid w:val="00CB3633"/>
    <w:rsid w:val="00CB45BC"/>
    <w:rsid w:val="00CB476B"/>
    <w:rsid w:val="00CB5899"/>
    <w:rsid w:val="00CB5F97"/>
    <w:rsid w:val="00CB74ED"/>
    <w:rsid w:val="00CB7875"/>
    <w:rsid w:val="00CC00CA"/>
    <w:rsid w:val="00CC034B"/>
    <w:rsid w:val="00CC0F14"/>
    <w:rsid w:val="00CC167F"/>
    <w:rsid w:val="00CC2715"/>
    <w:rsid w:val="00CC2C1A"/>
    <w:rsid w:val="00CC36BE"/>
    <w:rsid w:val="00CC3B11"/>
    <w:rsid w:val="00CC441C"/>
    <w:rsid w:val="00CC497F"/>
    <w:rsid w:val="00CC4F95"/>
    <w:rsid w:val="00CC536F"/>
    <w:rsid w:val="00CC54AC"/>
    <w:rsid w:val="00CC5643"/>
    <w:rsid w:val="00CC5773"/>
    <w:rsid w:val="00CC6A66"/>
    <w:rsid w:val="00CC6E13"/>
    <w:rsid w:val="00CC7255"/>
    <w:rsid w:val="00CC7DCA"/>
    <w:rsid w:val="00CD002C"/>
    <w:rsid w:val="00CD0738"/>
    <w:rsid w:val="00CD07F5"/>
    <w:rsid w:val="00CD0846"/>
    <w:rsid w:val="00CD0CFB"/>
    <w:rsid w:val="00CD1B9A"/>
    <w:rsid w:val="00CD222E"/>
    <w:rsid w:val="00CD2FC9"/>
    <w:rsid w:val="00CD31BC"/>
    <w:rsid w:val="00CD33EF"/>
    <w:rsid w:val="00CD35F6"/>
    <w:rsid w:val="00CD440D"/>
    <w:rsid w:val="00CD4C49"/>
    <w:rsid w:val="00CD4DFB"/>
    <w:rsid w:val="00CD557E"/>
    <w:rsid w:val="00CD5F57"/>
    <w:rsid w:val="00CD5FB6"/>
    <w:rsid w:val="00CD5FD4"/>
    <w:rsid w:val="00CD66C2"/>
    <w:rsid w:val="00CD7945"/>
    <w:rsid w:val="00CD7E52"/>
    <w:rsid w:val="00CD7EEF"/>
    <w:rsid w:val="00CD7EFF"/>
    <w:rsid w:val="00CE00DD"/>
    <w:rsid w:val="00CE03EB"/>
    <w:rsid w:val="00CE0AE1"/>
    <w:rsid w:val="00CE13D1"/>
    <w:rsid w:val="00CE1ADF"/>
    <w:rsid w:val="00CE255A"/>
    <w:rsid w:val="00CE2EC2"/>
    <w:rsid w:val="00CE2F3B"/>
    <w:rsid w:val="00CE3B7F"/>
    <w:rsid w:val="00CE3D02"/>
    <w:rsid w:val="00CE490E"/>
    <w:rsid w:val="00CE4A47"/>
    <w:rsid w:val="00CE4E77"/>
    <w:rsid w:val="00CE4F26"/>
    <w:rsid w:val="00CE52F9"/>
    <w:rsid w:val="00CE5CEF"/>
    <w:rsid w:val="00CE798D"/>
    <w:rsid w:val="00CE7A42"/>
    <w:rsid w:val="00CE7CAC"/>
    <w:rsid w:val="00CE7EA6"/>
    <w:rsid w:val="00CF0EB5"/>
    <w:rsid w:val="00CF1C26"/>
    <w:rsid w:val="00CF1CFE"/>
    <w:rsid w:val="00CF249D"/>
    <w:rsid w:val="00CF2CE2"/>
    <w:rsid w:val="00CF3EB7"/>
    <w:rsid w:val="00CF54E0"/>
    <w:rsid w:val="00CF5665"/>
    <w:rsid w:val="00CF5829"/>
    <w:rsid w:val="00CF6698"/>
    <w:rsid w:val="00CF68DF"/>
    <w:rsid w:val="00CF6D25"/>
    <w:rsid w:val="00CF7516"/>
    <w:rsid w:val="00CF7565"/>
    <w:rsid w:val="00CF79F7"/>
    <w:rsid w:val="00CF7AE1"/>
    <w:rsid w:val="00D00EF2"/>
    <w:rsid w:val="00D01083"/>
    <w:rsid w:val="00D01DD1"/>
    <w:rsid w:val="00D026F6"/>
    <w:rsid w:val="00D0295D"/>
    <w:rsid w:val="00D0393A"/>
    <w:rsid w:val="00D04565"/>
    <w:rsid w:val="00D04680"/>
    <w:rsid w:val="00D04C8E"/>
    <w:rsid w:val="00D055DE"/>
    <w:rsid w:val="00D05C92"/>
    <w:rsid w:val="00D0733D"/>
    <w:rsid w:val="00D07690"/>
    <w:rsid w:val="00D07866"/>
    <w:rsid w:val="00D07AF8"/>
    <w:rsid w:val="00D07BC6"/>
    <w:rsid w:val="00D07D69"/>
    <w:rsid w:val="00D10AF8"/>
    <w:rsid w:val="00D10F0E"/>
    <w:rsid w:val="00D113FC"/>
    <w:rsid w:val="00D11B2E"/>
    <w:rsid w:val="00D11CC8"/>
    <w:rsid w:val="00D133C6"/>
    <w:rsid w:val="00D1415E"/>
    <w:rsid w:val="00D14229"/>
    <w:rsid w:val="00D1430A"/>
    <w:rsid w:val="00D145A8"/>
    <w:rsid w:val="00D14920"/>
    <w:rsid w:val="00D14BAF"/>
    <w:rsid w:val="00D14E95"/>
    <w:rsid w:val="00D14F67"/>
    <w:rsid w:val="00D15352"/>
    <w:rsid w:val="00D15FEB"/>
    <w:rsid w:val="00D16736"/>
    <w:rsid w:val="00D16754"/>
    <w:rsid w:val="00D171CC"/>
    <w:rsid w:val="00D173BB"/>
    <w:rsid w:val="00D176F5"/>
    <w:rsid w:val="00D203BB"/>
    <w:rsid w:val="00D208FA"/>
    <w:rsid w:val="00D20C01"/>
    <w:rsid w:val="00D20E67"/>
    <w:rsid w:val="00D21C60"/>
    <w:rsid w:val="00D221C5"/>
    <w:rsid w:val="00D22C14"/>
    <w:rsid w:val="00D237DA"/>
    <w:rsid w:val="00D23FDE"/>
    <w:rsid w:val="00D24237"/>
    <w:rsid w:val="00D24AD6"/>
    <w:rsid w:val="00D24EFA"/>
    <w:rsid w:val="00D25297"/>
    <w:rsid w:val="00D25A8C"/>
    <w:rsid w:val="00D25B68"/>
    <w:rsid w:val="00D25C88"/>
    <w:rsid w:val="00D26574"/>
    <w:rsid w:val="00D26914"/>
    <w:rsid w:val="00D26D95"/>
    <w:rsid w:val="00D273EA"/>
    <w:rsid w:val="00D3004B"/>
    <w:rsid w:val="00D31288"/>
    <w:rsid w:val="00D31F93"/>
    <w:rsid w:val="00D3229E"/>
    <w:rsid w:val="00D32B85"/>
    <w:rsid w:val="00D331E7"/>
    <w:rsid w:val="00D34166"/>
    <w:rsid w:val="00D341F0"/>
    <w:rsid w:val="00D35C97"/>
    <w:rsid w:val="00D35FE8"/>
    <w:rsid w:val="00D3638C"/>
    <w:rsid w:val="00D36E4F"/>
    <w:rsid w:val="00D400D6"/>
    <w:rsid w:val="00D4033D"/>
    <w:rsid w:val="00D40C56"/>
    <w:rsid w:val="00D40D12"/>
    <w:rsid w:val="00D419AC"/>
    <w:rsid w:val="00D41A5A"/>
    <w:rsid w:val="00D424CD"/>
    <w:rsid w:val="00D4265A"/>
    <w:rsid w:val="00D43BA7"/>
    <w:rsid w:val="00D43C3D"/>
    <w:rsid w:val="00D44165"/>
    <w:rsid w:val="00D44582"/>
    <w:rsid w:val="00D44923"/>
    <w:rsid w:val="00D44B98"/>
    <w:rsid w:val="00D44BCB"/>
    <w:rsid w:val="00D469A6"/>
    <w:rsid w:val="00D46F36"/>
    <w:rsid w:val="00D46FAE"/>
    <w:rsid w:val="00D4709B"/>
    <w:rsid w:val="00D47DAC"/>
    <w:rsid w:val="00D50AAC"/>
    <w:rsid w:val="00D516EB"/>
    <w:rsid w:val="00D51DA1"/>
    <w:rsid w:val="00D52AEF"/>
    <w:rsid w:val="00D52F1A"/>
    <w:rsid w:val="00D5356A"/>
    <w:rsid w:val="00D539C5"/>
    <w:rsid w:val="00D553E4"/>
    <w:rsid w:val="00D55F6B"/>
    <w:rsid w:val="00D560C0"/>
    <w:rsid w:val="00D56403"/>
    <w:rsid w:val="00D567A8"/>
    <w:rsid w:val="00D6057A"/>
    <w:rsid w:val="00D60B00"/>
    <w:rsid w:val="00D64227"/>
    <w:rsid w:val="00D643B0"/>
    <w:rsid w:val="00D646D7"/>
    <w:rsid w:val="00D64D44"/>
    <w:rsid w:val="00D65032"/>
    <w:rsid w:val="00D653DE"/>
    <w:rsid w:val="00D6569F"/>
    <w:rsid w:val="00D65827"/>
    <w:rsid w:val="00D65F22"/>
    <w:rsid w:val="00D6601C"/>
    <w:rsid w:val="00D665C7"/>
    <w:rsid w:val="00D66B7B"/>
    <w:rsid w:val="00D66C6E"/>
    <w:rsid w:val="00D675F9"/>
    <w:rsid w:val="00D67E67"/>
    <w:rsid w:val="00D703D9"/>
    <w:rsid w:val="00D70B5C"/>
    <w:rsid w:val="00D70CD9"/>
    <w:rsid w:val="00D71284"/>
    <w:rsid w:val="00D714BA"/>
    <w:rsid w:val="00D71E07"/>
    <w:rsid w:val="00D71F38"/>
    <w:rsid w:val="00D7278D"/>
    <w:rsid w:val="00D734A0"/>
    <w:rsid w:val="00D73601"/>
    <w:rsid w:val="00D7379D"/>
    <w:rsid w:val="00D73984"/>
    <w:rsid w:val="00D73D56"/>
    <w:rsid w:val="00D7417F"/>
    <w:rsid w:val="00D742DF"/>
    <w:rsid w:val="00D74AD8"/>
    <w:rsid w:val="00D74BC6"/>
    <w:rsid w:val="00D74D3B"/>
    <w:rsid w:val="00D75B32"/>
    <w:rsid w:val="00D75BBD"/>
    <w:rsid w:val="00D76059"/>
    <w:rsid w:val="00D762F7"/>
    <w:rsid w:val="00D76551"/>
    <w:rsid w:val="00D767EC"/>
    <w:rsid w:val="00D769C6"/>
    <w:rsid w:val="00D76B79"/>
    <w:rsid w:val="00D76EF0"/>
    <w:rsid w:val="00D77DC5"/>
    <w:rsid w:val="00D8010C"/>
    <w:rsid w:val="00D80F2C"/>
    <w:rsid w:val="00D81FA7"/>
    <w:rsid w:val="00D8228C"/>
    <w:rsid w:val="00D8389C"/>
    <w:rsid w:val="00D84455"/>
    <w:rsid w:val="00D84CDC"/>
    <w:rsid w:val="00D856B5"/>
    <w:rsid w:val="00D85731"/>
    <w:rsid w:val="00D85AC5"/>
    <w:rsid w:val="00D87020"/>
    <w:rsid w:val="00D87B39"/>
    <w:rsid w:val="00D87BCE"/>
    <w:rsid w:val="00D905C4"/>
    <w:rsid w:val="00D90CBE"/>
    <w:rsid w:val="00D9139B"/>
    <w:rsid w:val="00D91AE5"/>
    <w:rsid w:val="00D91D49"/>
    <w:rsid w:val="00D92467"/>
    <w:rsid w:val="00D926C6"/>
    <w:rsid w:val="00D92A5A"/>
    <w:rsid w:val="00D92BDD"/>
    <w:rsid w:val="00D9380C"/>
    <w:rsid w:val="00D9438E"/>
    <w:rsid w:val="00D95D5F"/>
    <w:rsid w:val="00D968B8"/>
    <w:rsid w:val="00D96AA1"/>
    <w:rsid w:val="00D96B6C"/>
    <w:rsid w:val="00D97616"/>
    <w:rsid w:val="00D97830"/>
    <w:rsid w:val="00D97BC0"/>
    <w:rsid w:val="00D97BEA"/>
    <w:rsid w:val="00D97C52"/>
    <w:rsid w:val="00DA0854"/>
    <w:rsid w:val="00DA0874"/>
    <w:rsid w:val="00DA0C1A"/>
    <w:rsid w:val="00DA0E2B"/>
    <w:rsid w:val="00DA0E3B"/>
    <w:rsid w:val="00DA0EF3"/>
    <w:rsid w:val="00DA0F64"/>
    <w:rsid w:val="00DA177A"/>
    <w:rsid w:val="00DA1A76"/>
    <w:rsid w:val="00DA232B"/>
    <w:rsid w:val="00DA2B69"/>
    <w:rsid w:val="00DA2F48"/>
    <w:rsid w:val="00DA3765"/>
    <w:rsid w:val="00DA389C"/>
    <w:rsid w:val="00DA3A20"/>
    <w:rsid w:val="00DA3A78"/>
    <w:rsid w:val="00DA3E9A"/>
    <w:rsid w:val="00DA4822"/>
    <w:rsid w:val="00DA493D"/>
    <w:rsid w:val="00DA54FD"/>
    <w:rsid w:val="00DA5826"/>
    <w:rsid w:val="00DA58E6"/>
    <w:rsid w:val="00DA6A1A"/>
    <w:rsid w:val="00DA6AD6"/>
    <w:rsid w:val="00DA6D97"/>
    <w:rsid w:val="00DA6FF4"/>
    <w:rsid w:val="00DA745C"/>
    <w:rsid w:val="00DA75CB"/>
    <w:rsid w:val="00DA7A01"/>
    <w:rsid w:val="00DA7C95"/>
    <w:rsid w:val="00DA7FA9"/>
    <w:rsid w:val="00DB03D1"/>
    <w:rsid w:val="00DB0731"/>
    <w:rsid w:val="00DB087A"/>
    <w:rsid w:val="00DB09E8"/>
    <w:rsid w:val="00DB0BF5"/>
    <w:rsid w:val="00DB18F1"/>
    <w:rsid w:val="00DB26B3"/>
    <w:rsid w:val="00DB30BD"/>
    <w:rsid w:val="00DB3929"/>
    <w:rsid w:val="00DB40C8"/>
    <w:rsid w:val="00DB493C"/>
    <w:rsid w:val="00DB4D80"/>
    <w:rsid w:val="00DB5F23"/>
    <w:rsid w:val="00DB64A2"/>
    <w:rsid w:val="00DB6BFE"/>
    <w:rsid w:val="00DB6D43"/>
    <w:rsid w:val="00DB711D"/>
    <w:rsid w:val="00DB797C"/>
    <w:rsid w:val="00DB79D5"/>
    <w:rsid w:val="00DB7B67"/>
    <w:rsid w:val="00DC2F2E"/>
    <w:rsid w:val="00DC3CE6"/>
    <w:rsid w:val="00DC42E0"/>
    <w:rsid w:val="00DC4775"/>
    <w:rsid w:val="00DC54A4"/>
    <w:rsid w:val="00DC5D66"/>
    <w:rsid w:val="00DC6793"/>
    <w:rsid w:val="00DC7522"/>
    <w:rsid w:val="00DC75A6"/>
    <w:rsid w:val="00DD015E"/>
    <w:rsid w:val="00DD0EDF"/>
    <w:rsid w:val="00DD1B28"/>
    <w:rsid w:val="00DD27EB"/>
    <w:rsid w:val="00DD2B08"/>
    <w:rsid w:val="00DD301D"/>
    <w:rsid w:val="00DD438B"/>
    <w:rsid w:val="00DD45CA"/>
    <w:rsid w:val="00DD46CD"/>
    <w:rsid w:val="00DD4A16"/>
    <w:rsid w:val="00DD536A"/>
    <w:rsid w:val="00DD5DA2"/>
    <w:rsid w:val="00DD663C"/>
    <w:rsid w:val="00DD6790"/>
    <w:rsid w:val="00DD74D2"/>
    <w:rsid w:val="00DD78FC"/>
    <w:rsid w:val="00DE00E0"/>
    <w:rsid w:val="00DE00F4"/>
    <w:rsid w:val="00DE1B43"/>
    <w:rsid w:val="00DE241B"/>
    <w:rsid w:val="00DE262E"/>
    <w:rsid w:val="00DE2655"/>
    <w:rsid w:val="00DE2F46"/>
    <w:rsid w:val="00DE3258"/>
    <w:rsid w:val="00DE3407"/>
    <w:rsid w:val="00DE353F"/>
    <w:rsid w:val="00DE36A6"/>
    <w:rsid w:val="00DE406E"/>
    <w:rsid w:val="00DE41A6"/>
    <w:rsid w:val="00DE5020"/>
    <w:rsid w:val="00DE6EAA"/>
    <w:rsid w:val="00DE7164"/>
    <w:rsid w:val="00DE78BF"/>
    <w:rsid w:val="00DE7BE6"/>
    <w:rsid w:val="00DF03C4"/>
    <w:rsid w:val="00DF0B59"/>
    <w:rsid w:val="00DF1EF6"/>
    <w:rsid w:val="00DF2BC7"/>
    <w:rsid w:val="00DF2DF0"/>
    <w:rsid w:val="00DF308E"/>
    <w:rsid w:val="00DF312E"/>
    <w:rsid w:val="00DF31EC"/>
    <w:rsid w:val="00DF47B0"/>
    <w:rsid w:val="00DF4B1E"/>
    <w:rsid w:val="00DF5754"/>
    <w:rsid w:val="00DF5B7B"/>
    <w:rsid w:val="00DF5D68"/>
    <w:rsid w:val="00DF73AC"/>
    <w:rsid w:val="00DF7815"/>
    <w:rsid w:val="00DF7823"/>
    <w:rsid w:val="00DF7E65"/>
    <w:rsid w:val="00E00167"/>
    <w:rsid w:val="00E0022D"/>
    <w:rsid w:val="00E0081C"/>
    <w:rsid w:val="00E00DEF"/>
    <w:rsid w:val="00E00F11"/>
    <w:rsid w:val="00E01B06"/>
    <w:rsid w:val="00E01CB9"/>
    <w:rsid w:val="00E024C4"/>
    <w:rsid w:val="00E03D0C"/>
    <w:rsid w:val="00E04104"/>
    <w:rsid w:val="00E0415D"/>
    <w:rsid w:val="00E046F2"/>
    <w:rsid w:val="00E047BA"/>
    <w:rsid w:val="00E04BBE"/>
    <w:rsid w:val="00E04C15"/>
    <w:rsid w:val="00E05EAB"/>
    <w:rsid w:val="00E065CA"/>
    <w:rsid w:val="00E06E47"/>
    <w:rsid w:val="00E11290"/>
    <w:rsid w:val="00E11315"/>
    <w:rsid w:val="00E1136E"/>
    <w:rsid w:val="00E11462"/>
    <w:rsid w:val="00E12106"/>
    <w:rsid w:val="00E127F7"/>
    <w:rsid w:val="00E12CBA"/>
    <w:rsid w:val="00E13043"/>
    <w:rsid w:val="00E1342D"/>
    <w:rsid w:val="00E13733"/>
    <w:rsid w:val="00E13C32"/>
    <w:rsid w:val="00E13C97"/>
    <w:rsid w:val="00E14F3B"/>
    <w:rsid w:val="00E15020"/>
    <w:rsid w:val="00E15F97"/>
    <w:rsid w:val="00E1612E"/>
    <w:rsid w:val="00E161A2"/>
    <w:rsid w:val="00E164FA"/>
    <w:rsid w:val="00E16BB6"/>
    <w:rsid w:val="00E16F20"/>
    <w:rsid w:val="00E17773"/>
    <w:rsid w:val="00E17B45"/>
    <w:rsid w:val="00E2034E"/>
    <w:rsid w:val="00E20503"/>
    <w:rsid w:val="00E20D86"/>
    <w:rsid w:val="00E21AB1"/>
    <w:rsid w:val="00E2325F"/>
    <w:rsid w:val="00E233DA"/>
    <w:rsid w:val="00E2352B"/>
    <w:rsid w:val="00E25564"/>
    <w:rsid w:val="00E2558F"/>
    <w:rsid w:val="00E25A21"/>
    <w:rsid w:val="00E26FB1"/>
    <w:rsid w:val="00E273E4"/>
    <w:rsid w:val="00E27A24"/>
    <w:rsid w:val="00E30040"/>
    <w:rsid w:val="00E300FF"/>
    <w:rsid w:val="00E322FF"/>
    <w:rsid w:val="00E325E3"/>
    <w:rsid w:val="00E329E9"/>
    <w:rsid w:val="00E32C27"/>
    <w:rsid w:val="00E33201"/>
    <w:rsid w:val="00E333D6"/>
    <w:rsid w:val="00E336D0"/>
    <w:rsid w:val="00E33719"/>
    <w:rsid w:val="00E337CC"/>
    <w:rsid w:val="00E337F1"/>
    <w:rsid w:val="00E339B8"/>
    <w:rsid w:val="00E35065"/>
    <w:rsid w:val="00E356F0"/>
    <w:rsid w:val="00E36021"/>
    <w:rsid w:val="00E363B6"/>
    <w:rsid w:val="00E366DD"/>
    <w:rsid w:val="00E36A8C"/>
    <w:rsid w:val="00E36E0E"/>
    <w:rsid w:val="00E37175"/>
    <w:rsid w:val="00E37439"/>
    <w:rsid w:val="00E376BE"/>
    <w:rsid w:val="00E37B57"/>
    <w:rsid w:val="00E37C02"/>
    <w:rsid w:val="00E37F9B"/>
    <w:rsid w:val="00E40204"/>
    <w:rsid w:val="00E4022D"/>
    <w:rsid w:val="00E417F0"/>
    <w:rsid w:val="00E42544"/>
    <w:rsid w:val="00E42876"/>
    <w:rsid w:val="00E4295A"/>
    <w:rsid w:val="00E429B1"/>
    <w:rsid w:val="00E42DCD"/>
    <w:rsid w:val="00E45132"/>
    <w:rsid w:val="00E45366"/>
    <w:rsid w:val="00E457BE"/>
    <w:rsid w:val="00E45EA2"/>
    <w:rsid w:val="00E45F99"/>
    <w:rsid w:val="00E474DD"/>
    <w:rsid w:val="00E477D1"/>
    <w:rsid w:val="00E47A57"/>
    <w:rsid w:val="00E507CE"/>
    <w:rsid w:val="00E510F8"/>
    <w:rsid w:val="00E515A4"/>
    <w:rsid w:val="00E51BF9"/>
    <w:rsid w:val="00E52772"/>
    <w:rsid w:val="00E5307A"/>
    <w:rsid w:val="00E533F9"/>
    <w:rsid w:val="00E53C32"/>
    <w:rsid w:val="00E54292"/>
    <w:rsid w:val="00E544BE"/>
    <w:rsid w:val="00E548E5"/>
    <w:rsid w:val="00E56FE9"/>
    <w:rsid w:val="00E5725E"/>
    <w:rsid w:val="00E577F8"/>
    <w:rsid w:val="00E579C0"/>
    <w:rsid w:val="00E57D19"/>
    <w:rsid w:val="00E57F67"/>
    <w:rsid w:val="00E6063E"/>
    <w:rsid w:val="00E607C0"/>
    <w:rsid w:val="00E60BE8"/>
    <w:rsid w:val="00E6203C"/>
    <w:rsid w:val="00E62270"/>
    <w:rsid w:val="00E62F79"/>
    <w:rsid w:val="00E635D6"/>
    <w:rsid w:val="00E63864"/>
    <w:rsid w:val="00E63B8E"/>
    <w:rsid w:val="00E64D75"/>
    <w:rsid w:val="00E65C43"/>
    <w:rsid w:val="00E65CDA"/>
    <w:rsid w:val="00E65FC2"/>
    <w:rsid w:val="00E663E7"/>
    <w:rsid w:val="00E66AD3"/>
    <w:rsid w:val="00E66BCB"/>
    <w:rsid w:val="00E67E77"/>
    <w:rsid w:val="00E67FE5"/>
    <w:rsid w:val="00E7017C"/>
    <w:rsid w:val="00E71220"/>
    <w:rsid w:val="00E71E38"/>
    <w:rsid w:val="00E720EF"/>
    <w:rsid w:val="00E72C89"/>
    <w:rsid w:val="00E741D0"/>
    <w:rsid w:val="00E76A79"/>
    <w:rsid w:val="00E76DF5"/>
    <w:rsid w:val="00E77579"/>
    <w:rsid w:val="00E80035"/>
    <w:rsid w:val="00E806A0"/>
    <w:rsid w:val="00E80B66"/>
    <w:rsid w:val="00E81699"/>
    <w:rsid w:val="00E82A3C"/>
    <w:rsid w:val="00E82EFE"/>
    <w:rsid w:val="00E8396D"/>
    <w:rsid w:val="00E839D7"/>
    <w:rsid w:val="00E83FFC"/>
    <w:rsid w:val="00E84660"/>
    <w:rsid w:val="00E84DB2"/>
    <w:rsid w:val="00E8531E"/>
    <w:rsid w:val="00E85672"/>
    <w:rsid w:val="00E85E6F"/>
    <w:rsid w:val="00E86476"/>
    <w:rsid w:val="00E870E8"/>
    <w:rsid w:val="00E87341"/>
    <w:rsid w:val="00E8744C"/>
    <w:rsid w:val="00E9094C"/>
    <w:rsid w:val="00E90AA2"/>
    <w:rsid w:val="00E90B07"/>
    <w:rsid w:val="00E91492"/>
    <w:rsid w:val="00E92205"/>
    <w:rsid w:val="00E93769"/>
    <w:rsid w:val="00E94D74"/>
    <w:rsid w:val="00E94F7D"/>
    <w:rsid w:val="00E95127"/>
    <w:rsid w:val="00E95749"/>
    <w:rsid w:val="00E9591E"/>
    <w:rsid w:val="00E9689B"/>
    <w:rsid w:val="00E97369"/>
    <w:rsid w:val="00E97C43"/>
    <w:rsid w:val="00EA027D"/>
    <w:rsid w:val="00EA0E65"/>
    <w:rsid w:val="00EA167C"/>
    <w:rsid w:val="00EA1CBF"/>
    <w:rsid w:val="00EA2369"/>
    <w:rsid w:val="00EA2F4B"/>
    <w:rsid w:val="00EA2F6B"/>
    <w:rsid w:val="00EA33FC"/>
    <w:rsid w:val="00EA3BD0"/>
    <w:rsid w:val="00EA3CA9"/>
    <w:rsid w:val="00EA45EC"/>
    <w:rsid w:val="00EA5391"/>
    <w:rsid w:val="00EA5F89"/>
    <w:rsid w:val="00EA61F9"/>
    <w:rsid w:val="00EA659E"/>
    <w:rsid w:val="00EA687D"/>
    <w:rsid w:val="00EA70EA"/>
    <w:rsid w:val="00EA7FCF"/>
    <w:rsid w:val="00EB0B5D"/>
    <w:rsid w:val="00EB12E7"/>
    <w:rsid w:val="00EB1A77"/>
    <w:rsid w:val="00EB249E"/>
    <w:rsid w:val="00EB2BD8"/>
    <w:rsid w:val="00EB3506"/>
    <w:rsid w:val="00EB35CF"/>
    <w:rsid w:val="00EB467D"/>
    <w:rsid w:val="00EB5003"/>
    <w:rsid w:val="00EB51E1"/>
    <w:rsid w:val="00EB5E95"/>
    <w:rsid w:val="00EB6144"/>
    <w:rsid w:val="00EB62E1"/>
    <w:rsid w:val="00EB68C2"/>
    <w:rsid w:val="00EB6BC1"/>
    <w:rsid w:val="00EB6DDD"/>
    <w:rsid w:val="00EB721F"/>
    <w:rsid w:val="00EB79EF"/>
    <w:rsid w:val="00EB7D07"/>
    <w:rsid w:val="00EB7FD6"/>
    <w:rsid w:val="00EC0899"/>
    <w:rsid w:val="00EC093F"/>
    <w:rsid w:val="00EC0DA5"/>
    <w:rsid w:val="00EC0FD4"/>
    <w:rsid w:val="00EC1B9F"/>
    <w:rsid w:val="00EC1D6D"/>
    <w:rsid w:val="00EC204A"/>
    <w:rsid w:val="00EC247B"/>
    <w:rsid w:val="00EC28A2"/>
    <w:rsid w:val="00EC2AF8"/>
    <w:rsid w:val="00EC2E6D"/>
    <w:rsid w:val="00EC3450"/>
    <w:rsid w:val="00EC3DAB"/>
    <w:rsid w:val="00EC40CC"/>
    <w:rsid w:val="00EC4430"/>
    <w:rsid w:val="00EC4435"/>
    <w:rsid w:val="00EC457F"/>
    <w:rsid w:val="00EC503D"/>
    <w:rsid w:val="00EC56CD"/>
    <w:rsid w:val="00EC66FE"/>
    <w:rsid w:val="00EC6950"/>
    <w:rsid w:val="00EC7971"/>
    <w:rsid w:val="00EC7B83"/>
    <w:rsid w:val="00EC7D70"/>
    <w:rsid w:val="00ED0D5B"/>
    <w:rsid w:val="00ED0D6F"/>
    <w:rsid w:val="00ED1200"/>
    <w:rsid w:val="00ED121C"/>
    <w:rsid w:val="00ED12F2"/>
    <w:rsid w:val="00ED1364"/>
    <w:rsid w:val="00ED19F9"/>
    <w:rsid w:val="00ED1CF2"/>
    <w:rsid w:val="00ED21D8"/>
    <w:rsid w:val="00ED2244"/>
    <w:rsid w:val="00ED2C0E"/>
    <w:rsid w:val="00ED2E21"/>
    <w:rsid w:val="00ED3319"/>
    <w:rsid w:val="00ED38A0"/>
    <w:rsid w:val="00ED4413"/>
    <w:rsid w:val="00ED448F"/>
    <w:rsid w:val="00ED47BD"/>
    <w:rsid w:val="00ED4D92"/>
    <w:rsid w:val="00ED5298"/>
    <w:rsid w:val="00ED55C5"/>
    <w:rsid w:val="00ED61D6"/>
    <w:rsid w:val="00ED6DD7"/>
    <w:rsid w:val="00ED7233"/>
    <w:rsid w:val="00ED78F6"/>
    <w:rsid w:val="00ED7CB7"/>
    <w:rsid w:val="00EE0031"/>
    <w:rsid w:val="00EE07E7"/>
    <w:rsid w:val="00EE10B2"/>
    <w:rsid w:val="00EE11B6"/>
    <w:rsid w:val="00EE1236"/>
    <w:rsid w:val="00EE2827"/>
    <w:rsid w:val="00EE2AE5"/>
    <w:rsid w:val="00EE2E3A"/>
    <w:rsid w:val="00EE3B7A"/>
    <w:rsid w:val="00EE3F80"/>
    <w:rsid w:val="00EE4499"/>
    <w:rsid w:val="00EE46EA"/>
    <w:rsid w:val="00EE5A76"/>
    <w:rsid w:val="00EE5DEC"/>
    <w:rsid w:val="00EE64A4"/>
    <w:rsid w:val="00EE71B9"/>
    <w:rsid w:val="00EE72BB"/>
    <w:rsid w:val="00EF0807"/>
    <w:rsid w:val="00EF0A2A"/>
    <w:rsid w:val="00EF1197"/>
    <w:rsid w:val="00EF1426"/>
    <w:rsid w:val="00EF1640"/>
    <w:rsid w:val="00EF181C"/>
    <w:rsid w:val="00EF191B"/>
    <w:rsid w:val="00EF1D56"/>
    <w:rsid w:val="00EF1D8E"/>
    <w:rsid w:val="00EF1FF4"/>
    <w:rsid w:val="00EF4574"/>
    <w:rsid w:val="00EF4BED"/>
    <w:rsid w:val="00EF5BD4"/>
    <w:rsid w:val="00EF6B57"/>
    <w:rsid w:val="00EF7FA2"/>
    <w:rsid w:val="00F00022"/>
    <w:rsid w:val="00F007E3"/>
    <w:rsid w:val="00F00D99"/>
    <w:rsid w:val="00F00EB8"/>
    <w:rsid w:val="00F01032"/>
    <w:rsid w:val="00F0162B"/>
    <w:rsid w:val="00F019D9"/>
    <w:rsid w:val="00F01BB2"/>
    <w:rsid w:val="00F01DEE"/>
    <w:rsid w:val="00F021A5"/>
    <w:rsid w:val="00F03EFF"/>
    <w:rsid w:val="00F044B1"/>
    <w:rsid w:val="00F04A10"/>
    <w:rsid w:val="00F04DD7"/>
    <w:rsid w:val="00F05349"/>
    <w:rsid w:val="00F05A86"/>
    <w:rsid w:val="00F05FB8"/>
    <w:rsid w:val="00F06466"/>
    <w:rsid w:val="00F065E0"/>
    <w:rsid w:val="00F07302"/>
    <w:rsid w:val="00F10426"/>
    <w:rsid w:val="00F10C2E"/>
    <w:rsid w:val="00F10D00"/>
    <w:rsid w:val="00F10F76"/>
    <w:rsid w:val="00F11033"/>
    <w:rsid w:val="00F110B4"/>
    <w:rsid w:val="00F11162"/>
    <w:rsid w:val="00F111FF"/>
    <w:rsid w:val="00F1136F"/>
    <w:rsid w:val="00F11DD0"/>
    <w:rsid w:val="00F12091"/>
    <w:rsid w:val="00F122D0"/>
    <w:rsid w:val="00F12C72"/>
    <w:rsid w:val="00F1352B"/>
    <w:rsid w:val="00F13781"/>
    <w:rsid w:val="00F13786"/>
    <w:rsid w:val="00F13870"/>
    <w:rsid w:val="00F13D0F"/>
    <w:rsid w:val="00F144A3"/>
    <w:rsid w:val="00F1452A"/>
    <w:rsid w:val="00F152C0"/>
    <w:rsid w:val="00F15D78"/>
    <w:rsid w:val="00F15F3A"/>
    <w:rsid w:val="00F160CD"/>
    <w:rsid w:val="00F16B87"/>
    <w:rsid w:val="00F16C8F"/>
    <w:rsid w:val="00F16CDC"/>
    <w:rsid w:val="00F16EB1"/>
    <w:rsid w:val="00F1717E"/>
    <w:rsid w:val="00F2133F"/>
    <w:rsid w:val="00F218E9"/>
    <w:rsid w:val="00F21AC8"/>
    <w:rsid w:val="00F21C7D"/>
    <w:rsid w:val="00F2215C"/>
    <w:rsid w:val="00F2484B"/>
    <w:rsid w:val="00F2497F"/>
    <w:rsid w:val="00F24AB8"/>
    <w:rsid w:val="00F24E0E"/>
    <w:rsid w:val="00F24EB3"/>
    <w:rsid w:val="00F26707"/>
    <w:rsid w:val="00F26AB3"/>
    <w:rsid w:val="00F26AEA"/>
    <w:rsid w:val="00F27219"/>
    <w:rsid w:val="00F302D7"/>
    <w:rsid w:val="00F30BA0"/>
    <w:rsid w:val="00F30BF3"/>
    <w:rsid w:val="00F3122F"/>
    <w:rsid w:val="00F31F1E"/>
    <w:rsid w:val="00F320A3"/>
    <w:rsid w:val="00F330AC"/>
    <w:rsid w:val="00F33AF1"/>
    <w:rsid w:val="00F33B89"/>
    <w:rsid w:val="00F33F4B"/>
    <w:rsid w:val="00F3423B"/>
    <w:rsid w:val="00F344D1"/>
    <w:rsid w:val="00F34795"/>
    <w:rsid w:val="00F34810"/>
    <w:rsid w:val="00F3572A"/>
    <w:rsid w:val="00F35D39"/>
    <w:rsid w:val="00F36439"/>
    <w:rsid w:val="00F36877"/>
    <w:rsid w:val="00F3704B"/>
    <w:rsid w:val="00F370F7"/>
    <w:rsid w:val="00F3718C"/>
    <w:rsid w:val="00F3734E"/>
    <w:rsid w:val="00F37698"/>
    <w:rsid w:val="00F37759"/>
    <w:rsid w:val="00F379A4"/>
    <w:rsid w:val="00F37BB7"/>
    <w:rsid w:val="00F37C39"/>
    <w:rsid w:val="00F40B4D"/>
    <w:rsid w:val="00F41549"/>
    <w:rsid w:val="00F41920"/>
    <w:rsid w:val="00F41A45"/>
    <w:rsid w:val="00F41AAF"/>
    <w:rsid w:val="00F43193"/>
    <w:rsid w:val="00F431FE"/>
    <w:rsid w:val="00F43FA9"/>
    <w:rsid w:val="00F444B4"/>
    <w:rsid w:val="00F459A2"/>
    <w:rsid w:val="00F45DD4"/>
    <w:rsid w:val="00F45F58"/>
    <w:rsid w:val="00F460E9"/>
    <w:rsid w:val="00F469DD"/>
    <w:rsid w:val="00F46E78"/>
    <w:rsid w:val="00F46E98"/>
    <w:rsid w:val="00F4738D"/>
    <w:rsid w:val="00F47516"/>
    <w:rsid w:val="00F47A9B"/>
    <w:rsid w:val="00F47B23"/>
    <w:rsid w:val="00F47C17"/>
    <w:rsid w:val="00F47FC7"/>
    <w:rsid w:val="00F505C3"/>
    <w:rsid w:val="00F50F0B"/>
    <w:rsid w:val="00F51274"/>
    <w:rsid w:val="00F527EC"/>
    <w:rsid w:val="00F52B68"/>
    <w:rsid w:val="00F52EFF"/>
    <w:rsid w:val="00F54525"/>
    <w:rsid w:val="00F54A0B"/>
    <w:rsid w:val="00F54F54"/>
    <w:rsid w:val="00F55629"/>
    <w:rsid w:val="00F55F1D"/>
    <w:rsid w:val="00F560F5"/>
    <w:rsid w:val="00F5627B"/>
    <w:rsid w:val="00F566AA"/>
    <w:rsid w:val="00F56953"/>
    <w:rsid w:val="00F56FFD"/>
    <w:rsid w:val="00F57135"/>
    <w:rsid w:val="00F57245"/>
    <w:rsid w:val="00F57959"/>
    <w:rsid w:val="00F57B54"/>
    <w:rsid w:val="00F57B8D"/>
    <w:rsid w:val="00F6012B"/>
    <w:rsid w:val="00F6069C"/>
    <w:rsid w:val="00F61358"/>
    <w:rsid w:val="00F625D2"/>
    <w:rsid w:val="00F63790"/>
    <w:rsid w:val="00F63BE5"/>
    <w:rsid w:val="00F63EF7"/>
    <w:rsid w:val="00F644CD"/>
    <w:rsid w:val="00F66064"/>
    <w:rsid w:val="00F66AF4"/>
    <w:rsid w:val="00F7096F"/>
    <w:rsid w:val="00F70978"/>
    <w:rsid w:val="00F70D9E"/>
    <w:rsid w:val="00F711A6"/>
    <w:rsid w:val="00F71FA4"/>
    <w:rsid w:val="00F72017"/>
    <w:rsid w:val="00F7266B"/>
    <w:rsid w:val="00F72E5F"/>
    <w:rsid w:val="00F7473B"/>
    <w:rsid w:val="00F74AC1"/>
    <w:rsid w:val="00F74B1B"/>
    <w:rsid w:val="00F74B50"/>
    <w:rsid w:val="00F74F74"/>
    <w:rsid w:val="00F752FA"/>
    <w:rsid w:val="00F753E4"/>
    <w:rsid w:val="00F757CF"/>
    <w:rsid w:val="00F759CE"/>
    <w:rsid w:val="00F7609C"/>
    <w:rsid w:val="00F77397"/>
    <w:rsid w:val="00F779B5"/>
    <w:rsid w:val="00F77E1D"/>
    <w:rsid w:val="00F80484"/>
    <w:rsid w:val="00F80773"/>
    <w:rsid w:val="00F80AB7"/>
    <w:rsid w:val="00F80B47"/>
    <w:rsid w:val="00F80B57"/>
    <w:rsid w:val="00F82766"/>
    <w:rsid w:val="00F82D4B"/>
    <w:rsid w:val="00F83D48"/>
    <w:rsid w:val="00F83EB4"/>
    <w:rsid w:val="00F83F40"/>
    <w:rsid w:val="00F84781"/>
    <w:rsid w:val="00F84CC1"/>
    <w:rsid w:val="00F85AB3"/>
    <w:rsid w:val="00F862B9"/>
    <w:rsid w:val="00F866D3"/>
    <w:rsid w:val="00F868D1"/>
    <w:rsid w:val="00F86A82"/>
    <w:rsid w:val="00F8735F"/>
    <w:rsid w:val="00F874CE"/>
    <w:rsid w:val="00F879E0"/>
    <w:rsid w:val="00F87B32"/>
    <w:rsid w:val="00F906B1"/>
    <w:rsid w:val="00F9078E"/>
    <w:rsid w:val="00F92289"/>
    <w:rsid w:val="00F92A66"/>
    <w:rsid w:val="00F933BE"/>
    <w:rsid w:val="00F93572"/>
    <w:rsid w:val="00F937FF"/>
    <w:rsid w:val="00F9384F"/>
    <w:rsid w:val="00F93858"/>
    <w:rsid w:val="00F945DE"/>
    <w:rsid w:val="00F94815"/>
    <w:rsid w:val="00F94EC8"/>
    <w:rsid w:val="00F951E0"/>
    <w:rsid w:val="00F95242"/>
    <w:rsid w:val="00F95AEC"/>
    <w:rsid w:val="00F95C95"/>
    <w:rsid w:val="00F96875"/>
    <w:rsid w:val="00F97403"/>
    <w:rsid w:val="00F97620"/>
    <w:rsid w:val="00F97A11"/>
    <w:rsid w:val="00FA01DA"/>
    <w:rsid w:val="00FA0442"/>
    <w:rsid w:val="00FA085D"/>
    <w:rsid w:val="00FA08F7"/>
    <w:rsid w:val="00FA0A13"/>
    <w:rsid w:val="00FA0DC8"/>
    <w:rsid w:val="00FA1477"/>
    <w:rsid w:val="00FA1F3C"/>
    <w:rsid w:val="00FA21B8"/>
    <w:rsid w:val="00FA2F85"/>
    <w:rsid w:val="00FA317C"/>
    <w:rsid w:val="00FA3377"/>
    <w:rsid w:val="00FA33D0"/>
    <w:rsid w:val="00FA464B"/>
    <w:rsid w:val="00FA5231"/>
    <w:rsid w:val="00FA5851"/>
    <w:rsid w:val="00FA6617"/>
    <w:rsid w:val="00FA67CB"/>
    <w:rsid w:val="00FA7C22"/>
    <w:rsid w:val="00FA7F99"/>
    <w:rsid w:val="00FB03DD"/>
    <w:rsid w:val="00FB0583"/>
    <w:rsid w:val="00FB068B"/>
    <w:rsid w:val="00FB0AAF"/>
    <w:rsid w:val="00FB0C69"/>
    <w:rsid w:val="00FB2802"/>
    <w:rsid w:val="00FB359E"/>
    <w:rsid w:val="00FB390D"/>
    <w:rsid w:val="00FB41C4"/>
    <w:rsid w:val="00FB4711"/>
    <w:rsid w:val="00FB4EDD"/>
    <w:rsid w:val="00FB5315"/>
    <w:rsid w:val="00FB5CAB"/>
    <w:rsid w:val="00FB61C9"/>
    <w:rsid w:val="00FB635E"/>
    <w:rsid w:val="00FB6C78"/>
    <w:rsid w:val="00FB749D"/>
    <w:rsid w:val="00FB7AF1"/>
    <w:rsid w:val="00FC01EF"/>
    <w:rsid w:val="00FC03C9"/>
    <w:rsid w:val="00FC0889"/>
    <w:rsid w:val="00FC1637"/>
    <w:rsid w:val="00FC1C34"/>
    <w:rsid w:val="00FC2BAE"/>
    <w:rsid w:val="00FC2F50"/>
    <w:rsid w:val="00FC3B07"/>
    <w:rsid w:val="00FC3D97"/>
    <w:rsid w:val="00FC4307"/>
    <w:rsid w:val="00FC4830"/>
    <w:rsid w:val="00FC5DE4"/>
    <w:rsid w:val="00FC6C14"/>
    <w:rsid w:val="00FC6F3D"/>
    <w:rsid w:val="00FC712A"/>
    <w:rsid w:val="00FC7160"/>
    <w:rsid w:val="00FC7739"/>
    <w:rsid w:val="00FD02CE"/>
    <w:rsid w:val="00FD044C"/>
    <w:rsid w:val="00FD17ED"/>
    <w:rsid w:val="00FD19F4"/>
    <w:rsid w:val="00FD21BF"/>
    <w:rsid w:val="00FD2542"/>
    <w:rsid w:val="00FD2614"/>
    <w:rsid w:val="00FD33D2"/>
    <w:rsid w:val="00FD33FD"/>
    <w:rsid w:val="00FD35BC"/>
    <w:rsid w:val="00FD3A13"/>
    <w:rsid w:val="00FD3EFE"/>
    <w:rsid w:val="00FD46FE"/>
    <w:rsid w:val="00FD4C5B"/>
    <w:rsid w:val="00FD4FB8"/>
    <w:rsid w:val="00FD54C6"/>
    <w:rsid w:val="00FD68BB"/>
    <w:rsid w:val="00FD6B76"/>
    <w:rsid w:val="00FD6ECC"/>
    <w:rsid w:val="00FD7229"/>
    <w:rsid w:val="00FD7A9E"/>
    <w:rsid w:val="00FE0A64"/>
    <w:rsid w:val="00FE116A"/>
    <w:rsid w:val="00FE1893"/>
    <w:rsid w:val="00FE1D86"/>
    <w:rsid w:val="00FE1F27"/>
    <w:rsid w:val="00FE1F81"/>
    <w:rsid w:val="00FE2DEE"/>
    <w:rsid w:val="00FE3F3A"/>
    <w:rsid w:val="00FE424B"/>
    <w:rsid w:val="00FE51BE"/>
    <w:rsid w:val="00FE5D0E"/>
    <w:rsid w:val="00FE5E18"/>
    <w:rsid w:val="00FE662B"/>
    <w:rsid w:val="00FE6E83"/>
    <w:rsid w:val="00FE7223"/>
    <w:rsid w:val="00FE731A"/>
    <w:rsid w:val="00FE78F8"/>
    <w:rsid w:val="00FE7A98"/>
    <w:rsid w:val="00FF09A5"/>
    <w:rsid w:val="00FF0B36"/>
    <w:rsid w:val="00FF15E4"/>
    <w:rsid w:val="00FF1A68"/>
    <w:rsid w:val="00FF1B32"/>
    <w:rsid w:val="00FF1F9C"/>
    <w:rsid w:val="00FF2252"/>
    <w:rsid w:val="00FF24F2"/>
    <w:rsid w:val="00FF277E"/>
    <w:rsid w:val="00FF2F10"/>
    <w:rsid w:val="00FF2F99"/>
    <w:rsid w:val="00FF3048"/>
    <w:rsid w:val="00FF39EE"/>
    <w:rsid w:val="00FF3BE2"/>
    <w:rsid w:val="00FF3C85"/>
    <w:rsid w:val="00FF4208"/>
    <w:rsid w:val="00FF4C4D"/>
    <w:rsid w:val="00FF4D54"/>
    <w:rsid w:val="00FF4F34"/>
    <w:rsid w:val="00FF60BC"/>
    <w:rsid w:val="00FF6FB6"/>
    <w:rsid w:val="00FF7251"/>
    <w:rsid w:val="00FF7819"/>
    <w:rsid w:val="00FF7C3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0B64AE7"/>
  <w15:docId w15:val="{B31A779C-92CD-4B5F-BC6F-48BD8FFB8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51519"/>
    <w:pPr>
      <w:spacing w:after="120"/>
      <w:jc w:val="both"/>
    </w:pPr>
    <w:rPr>
      <w:rFonts w:ascii="Garamond" w:hAnsi="Garamond"/>
      <w:sz w:val="22"/>
      <w:szCs w:val="24"/>
      <w:lang w:val="en-GB" w:eastAsia="zh-CN"/>
    </w:rPr>
  </w:style>
  <w:style w:type="paragraph" w:styleId="Heading1">
    <w:name w:val="heading 1"/>
    <w:basedOn w:val="Normal"/>
    <w:next w:val="Normal"/>
    <w:link w:val="Heading1Char"/>
    <w:uiPriority w:val="9"/>
    <w:qFormat/>
    <w:rsid w:val="00951519"/>
    <w:pPr>
      <w:keepNext/>
      <w:spacing w:before="840" w:after="720"/>
      <w:jc w:val="center"/>
      <w:outlineLvl w:val="0"/>
    </w:pPr>
    <w:rPr>
      <w:rFonts w:ascii="Myriad Pro Cond" w:hAnsi="Myriad Pro Cond"/>
      <w:b/>
      <w:bCs/>
      <w:caps/>
      <w:color w:val="0070C0"/>
      <w:sz w:val="56"/>
    </w:rPr>
  </w:style>
  <w:style w:type="paragraph" w:styleId="Heading2">
    <w:name w:val="heading 2"/>
    <w:basedOn w:val="Normal"/>
    <w:next w:val="Normal"/>
    <w:link w:val="Heading2Char"/>
    <w:qFormat/>
    <w:rsid w:val="00951519"/>
    <w:pPr>
      <w:keepNext/>
      <w:numPr>
        <w:ilvl w:val="1"/>
        <w:numId w:val="2"/>
      </w:numPr>
      <w:spacing w:before="480" w:after="240"/>
      <w:jc w:val="left"/>
      <w:outlineLvl w:val="1"/>
    </w:pPr>
    <w:rPr>
      <w:rFonts w:ascii="Myriad Pro Cond" w:hAnsi="Myriad Pro Cond"/>
      <w:b/>
      <w:bCs/>
      <w:caps/>
      <w:color w:val="0070C0"/>
      <w:sz w:val="32"/>
    </w:rPr>
  </w:style>
  <w:style w:type="paragraph" w:styleId="Heading3">
    <w:name w:val="heading 3"/>
    <w:basedOn w:val="Normal"/>
    <w:next w:val="Normal"/>
    <w:link w:val="Heading3Char"/>
    <w:qFormat/>
    <w:rsid w:val="00951519"/>
    <w:pPr>
      <w:keepNext/>
      <w:numPr>
        <w:ilvl w:val="2"/>
        <w:numId w:val="2"/>
      </w:numPr>
      <w:spacing w:before="360" w:after="240"/>
      <w:jc w:val="left"/>
      <w:outlineLvl w:val="2"/>
    </w:pPr>
    <w:rPr>
      <w:rFonts w:ascii="Myriad Pro Cond" w:hAnsi="Myriad Pro Cond"/>
      <w:b/>
      <w:bCs/>
      <w:color w:val="0070C0"/>
      <w:sz w:val="28"/>
    </w:rPr>
  </w:style>
  <w:style w:type="paragraph" w:styleId="Heading4">
    <w:name w:val="heading 4"/>
    <w:basedOn w:val="Normal"/>
    <w:next w:val="Normal"/>
    <w:link w:val="Heading4Char"/>
    <w:qFormat/>
    <w:rsid w:val="00714640"/>
    <w:pPr>
      <w:keepNext/>
      <w:numPr>
        <w:ilvl w:val="3"/>
        <w:numId w:val="2"/>
      </w:numPr>
      <w:tabs>
        <w:tab w:val="left" w:pos="900"/>
        <w:tab w:val="left" w:pos="1890"/>
      </w:tabs>
      <w:spacing w:before="240" w:after="240"/>
      <w:jc w:val="left"/>
      <w:outlineLvl w:val="3"/>
    </w:pPr>
    <w:rPr>
      <w:b/>
      <w:bCs/>
    </w:rPr>
  </w:style>
  <w:style w:type="paragraph" w:styleId="Heading5">
    <w:name w:val="heading 5"/>
    <w:basedOn w:val="Normal"/>
    <w:next w:val="Normal"/>
    <w:link w:val="Heading5Char"/>
    <w:qFormat/>
    <w:rsid w:val="00C74BFB"/>
    <w:pPr>
      <w:keepNext/>
      <w:numPr>
        <w:ilvl w:val="4"/>
        <w:numId w:val="2"/>
      </w:numPr>
      <w:spacing w:before="240" w:after="240"/>
      <w:jc w:val="left"/>
      <w:outlineLvl w:val="4"/>
    </w:pPr>
    <w:rPr>
      <w:b/>
      <w:bCs/>
    </w:rPr>
  </w:style>
  <w:style w:type="paragraph" w:styleId="Heading6">
    <w:name w:val="heading 6"/>
    <w:basedOn w:val="Normal"/>
    <w:next w:val="Normal"/>
    <w:link w:val="Heading6Char"/>
    <w:qFormat/>
    <w:rsid w:val="00C74BFB"/>
    <w:pPr>
      <w:keepNext/>
      <w:numPr>
        <w:ilvl w:val="5"/>
        <w:numId w:val="2"/>
      </w:numPr>
      <w:spacing w:before="240" w:after="240"/>
      <w:jc w:val="left"/>
      <w:outlineLvl w:val="5"/>
    </w:pPr>
    <w:rPr>
      <w:b/>
      <w:bCs/>
    </w:rPr>
  </w:style>
  <w:style w:type="paragraph" w:styleId="Heading7">
    <w:name w:val="heading 7"/>
    <w:basedOn w:val="Normal"/>
    <w:next w:val="Normal"/>
    <w:link w:val="Heading7Char"/>
    <w:qFormat/>
    <w:rsid w:val="00C74BFB"/>
    <w:pPr>
      <w:keepNext/>
      <w:numPr>
        <w:ilvl w:val="6"/>
        <w:numId w:val="2"/>
      </w:numPr>
      <w:spacing w:before="240" w:after="240"/>
      <w:jc w:val="left"/>
      <w:outlineLvl w:val="6"/>
    </w:pPr>
    <w:rPr>
      <w:b/>
      <w:bCs/>
    </w:rPr>
  </w:style>
  <w:style w:type="paragraph" w:styleId="Heading8">
    <w:name w:val="heading 8"/>
    <w:basedOn w:val="Normal"/>
    <w:next w:val="Normal"/>
    <w:link w:val="Heading8Char"/>
    <w:qFormat/>
    <w:rsid w:val="00C74BFB"/>
    <w:pPr>
      <w:keepNext/>
      <w:numPr>
        <w:ilvl w:val="7"/>
        <w:numId w:val="2"/>
      </w:numPr>
      <w:spacing w:before="240" w:after="240"/>
      <w:jc w:val="left"/>
      <w:outlineLvl w:val="7"/>
    </w:pPr>
    <w:rPr>
      <w:b/>
      <w:bCs/>
    </w:rPr>
  </w:style>
  <w:style w:type="paragraph" w:styleId="Heading9">
    <w:name w:val="heading 9"/>
    <w:basedOn w:val="Normal"/>
    <w:next w:val="Normal"/>
    <w:link w:val="Heading9Char"/>
    <w:qFormat/>
    <w:rsid w:val="00C74BFB"/>
    <w:pPr>
      <w:keepNext/>
      <w:numPr>
        <w:ilvl w:val="8"/>
        <w:numId w:val="2"/>
      </w:numPr>
      <w:outlineLvl w:val="8"/>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74BFB"/>
    <w:pPr>
      <w:jc w:val="center"/>
    </w:pPr>
    <w:rPr>
      <w:b/>
      <w:bCs/>
      <w:sz w:val="32"/>
    </w:rPr>
  </w:style>
  <w:style w:type="paragraph" w:styleId="BodyText3">
    <w:name w:val="Body Text 3"/>
    <w:basedOn w:val="Normal"/>
    <w:rsid w:val="00C74BFB"/>
    <w:pPr>
      <w:jc w:val="left"/>
    </w:pPr>
    <w:rPr>
      <w:b/>
      <w:bCs/>
    </w:rPr>
  </w:style>
  <w:style w:type="paragraph" w:styleId="PlainText">
    <w:name w:val="Plain Text"/>
    <w:basedOn w:val="Normal"/>
    <w:rsid w:val="00C74BFB"/>
    <w:pPr>
      <w:jc w:val="left"/>
    </w:pPr>
    <w:rPr>
      <w:rFonts w:ascii="Courier New" w:eastAsia="Times New Roman" w:hAnsi="Courier New" w:cs="Courier New"/>
      <w:szCs w:val="20"/>
      <w:lang w:eastAsia="en-US"/>
    </w:rPr>
  </w:style>
  <w:style w:type="character" w:styleId="FollowedHyperlink">
    <w:name w:val="FollowedHyperlink"/>
    <w:basedOn w:val="DefaultParagraphFont"/>
    <w:rsid w:val="00C74BFB"/>
    <w:rPr>
      <w:color w:val="800080"/>
      <w:u w:val="single"/>
    </w:rPr>
  </w:style>
  <w:style w:type="paragraph" w:styleId="Header">
    <w:name w:val="header"/>
    <w:basedOn w:val="Normal"/>
    <w:link w:val="HeaderChar"/>
    <w:uiPriority w:val="99"/>
    <w:rsid w:val="00C74BFB"/>
    <w:pPr>
      <w:tabs>
        <w:tab w:val="center" w:pos="4153"/>
        <w:tab w:val="right" w:pos="8306"/>
      </w:tabs>
    </w:pPr>
  </w:style>
  <w:style w:type="paragraph" w:styleId="Footer">
    <w:name w:val="footer"/>
    <w:basedOn w:val="Normal"/>
    <w:link w:val="FooterChar"/>
    <w:uiPriority w:val="99"/>
    <w:rsid w:val="00C74BFB"/>
    <w:pPr>
      <w:tabs>
        <w:tab w:val="center" w:pos="4153"/>
        <w:tab w:val="right" w:pos="8306"/>
      </w:tabs>
    </w:pPr>
  </w:style>
  <w:style w:type="character" w:styleId="PageNumber">
    <w:name w:val="page number"/>
    <w:basedOn w:val="DefaultParagraphFont"/>
    <w:rsid w:val="00C74BFB"/>
  </w:style>
  <w:style w:type="paragraph" w:customStyle="1" w:styleId="TableCaption">
    <w:name w:val="TableCaption"/>
    <w:basedOn w:val="Normal"/>
    <w:link w:val="TableCaptionChar"/>
    <w:rsid w:val="00C74BFB"/>
    <w:pPr>
      <w:jc w:val="center"/>
    </w:pPr>
    <w:rPr>
      <w:rFonts w:ascii="Arial" w:hAnsi="Arial"/>
      <w:bCs/>
    </w:rPr>
  </w:style>
  <w:style w:type="paragraph" w:customStyle="1" w:styleId="FigureCaption">
    <w:name w:val="FigureCaption"/>
    <w:basedOn w:val="TableCaption"/>
    <w:link w:val="FigureCaptionChar"/>
    <w:rsid w:val="00C74BFB"/>
  </w:style>
  <w:style w:type="paragraph" w:customStyle="1" w:styleId="ReferenceList">
    <w:name w:val="ReferenceList"/>
    <w:basedOn w:val="Normal"/>
    <w:rsid w:val="00C74BFB"/>
    <w:pPr>
      <w:ind w:left="454" w:hanging="454"/>
    </w:pPr>
  </w:style>
  <w:style w:type="paragraph" w:styleId="TOC1">
    <w:name w:val="toc 1"/>
    <w:basedOn w:val="Normal"/>
    <w:next w:val="Normal"/>
    <w:autoRedefine/>
    <w:uiPriority w:val="39"/>
    <w:rsid w:val="00FD33FD"/>
    <w:pPr>
      <w:tabs>
        <w:tab w:val="left" w:pos="480"/>
        <w:tab w:val="right" w:leader="dot" w:pos="9639"/>
      </w:tabs>
      <w:spacing w:before="180" w:after="80"/>
    </w:pPr>
    <w:rPr>
      <w:rFonts w:ascii="Myriad Pro Cond" w:hAnsi="Myriad Pro Cond"/>
      <w:b/>
      <w:bCs/>
      <w:caps/>
      <w:noProof/>
      <w:color w:val="0070C0"/>
      <w:szCs w:val="20"/>
    </w:rPr>
  </w:style>
  <w:style w:type="paragraph" w:styleId="TOC2">
    <w:name w:val="toc 2"/>
    <w:basedOn w:val="Normal"/>
    <w:next w:val="Normal"/>
    <w:autoRedefine/>
    <w:uiPriority w:val="39"/>
    <w:rsid w:val="009A239D"/>
    <w:pPr>
      <w:tabs>
        <w:tab w:val="left" w:pos="960"/>
        <w:tab w:val="right" w:leader="dot" w:pos="9639"/>
      </w:tabs>
      <w:spacing w:after="0"/>
      <w:ind w:left="238"/>
    </w:pPr>
    <w:rPr>
      <w:rFonts w:ascii="Myriad Pro Cond" w:hAnsi="Myriad Pro Cond"/>
      <w:i/>
      <w:sz w:val="18"/>
    </w:rPr>
  </w:style>
  <w:style w:type="paragraph" w:styleId="TOC3">
    <w:name w:val="toc 3"/>
    <w:basedOn w:val="Normal"/>
    <w:next w:val="Normal"/>
    <w:autoRedefine/>
    <w:uiPriority w:val="39"/>
    <w:rsid w:val="009A239D"/>
    <w:pPr>
      <w:tabs>
        <w:tab w:val="left" w:pos="1200"/>
        <w:tab w:val="right" w:leader="dot" w:pos="9639"/>
      </w:tabs>
      <w:spacing w:after="60"/>
      <w:ind w:left="238"/>
    </w:pPr>
    <w:rPr>
      <w:rFonts w:ascii="Myriad Pro Cond" w:hAnsi="Myriad Pro Cond"/>
      <w:i/>
      <w:sz w:val="18"/>
    </w:rPr>
  </w:style>
  <w:style w:type="paragraph" w:styleId="TOC4">
    <w:name w:val="toc 4"/>
    <w:basedOn w:val="Normal"/>
    <w:next w:val="Normal"/>
    <w:autoRedefine/>
    <w:uiPriority w:val="39"/>
    <w:rsid w:val="009A239D"/>
    <w:pPr>
      <w:tabs>
        <w:tab w:val="left" w:pos="1200"/>
        <w:tab w:val="right" w:leader="dot" w:pos="9060"/>
      </w:tabs>
      <w:spacing w:after="0"/>
      <w:ind w:left="567"/>
    </w:pPr>
    <w:rPr>
      <w:rFonts w:ascii="Myriad Pro Cond" w:hAnsi="Myriad Pro Cond"/>
      <w:caps/>
      <w:sz w:val="18"/>
    </w:rPr>
  </w:style>
  <w:style w:type="paragraph" w:styleId="TOC5">
    <w:name w:val="toc 5"/>
    <w:basedOn w:val="Normal"/>
    <w:next w:val="Normal"/>
    <w:autoRedefine/>
    <w:uiPriority w:val="39"/>
    <w:rsid w:val="00DA0E3B"/>
    <w:pPr>
      <w:spacing w:after="0"/>
      <w:ind w:left="851"/>
    </w:pPr>
    <w:rPr>
      <w:rFonts w:ascii="Myriad Pro Cond" w:hAnsi="Myriad Pro Cond"/>
      <w:sz w:val="18"/>
    </w:rPr>
  </w:style>
  <w:style w:type="paragraph" w:styleId="TOC6">
    <w:name w:val="toc 6"/>
    <w:basedOn w:val="Normal"/>
    <w:next w:val="Normal"/>
    <w:autoRedefine/>
    <w:uiPriority w:val="39"/>
    <w:rsid w:val="00C74BFB"/>
    <w:pPr>
      <w:ind w:left="1200"/>
    </w:pPr>
  </w:style>
  <w:style w:type="paragraph" w:styleId="TOC7">
    <w:name w:val="toc 7"/>
    <w:basedOn w:val="Normal"/>
    <w:next w:val="Normal"/>
    <w:autoRedefine/>
    <w:uiPriority w:val="39"/>
    <w:rsid w:val="00C74BFB"/>
    <w:pPr>
      <w:ind w:left="1440"/>
    </w:pPr>
  </w:style>
  <w:style w:type="paragraph" w:styleId="TOC8">
    <w:name w:val="toc 8"/>
    <w:basedOn w:val="Normal"/>
    <w:next w:val="Normal"/>
    <w:autoRedefine/>
    <w:uiPriority w:val="39"/>
    <w:rsid w:val="00C74BFB"/>
    <w:pPr>
      <w:ind w:left="1680"/>
    </w:pPr>
  </w:style>
  <w:style w:type="paragraph" w:styleId="TOC9">
    <w:name w:val="toc 9"/>
    <w:basedOn w:val="Normal"/>
    <w:next w:val="Normal"/>
    <w:autoRedefine/>
    <w:uiPriority w:val="39"/>
    <w:rsid w:val="00C74BFB"/>
    <w:pPr>
      <w:ind w:left="1920"/>
    </w:pPr>
  </w:style>
  <w:style w:type="character" w:styleId="Hyperlink">
    <w:name w:val="Hyperlink"/>
    <w:basedOn w:val="DefaultParagraphFont"/>
    <w:uiPriority w:val="99"/>
    <w:rsid w:val="00C74BFB"/>
    <w:rPr>
      <w:color w:val="0000FF"/>
      <w:u w:val="single"/>
    </w:rPr>
  </w:style>
  <w:style w:type="paragraph" w:customStyle="1" w:styleId="AbstractText">
    <w:name w:val="AbstractText"/>
    <w:basedOn w:val="Normal"/>
    <w:rsid w:val="00C74BFB"/>
    <w:pPr>
      <w:ind w:left="567" w:right="567"/>
    </w:pPr>
  </w:style>
  <w:style w:type="paragraph" w:styleId="BodyText2">
    <w:name w:val="Body Text 2"/>
    <w:basedOn w:val="Normal"/>
    <w:rsid w:val="00C74BFB"/>
    <w:pPr>
      <w:jc w:val="center"/>
    </w:pPr>
    <w:rPr>
      <w:rFonts w:ascii="Arial" w:eastAsia="Batang" w:hAnsi="Arial" w:cs="Arial"/>
      <w:sz w:val="16"/>
      <w:lang w:eastAsia="ko-KR"/>
    </w:rPr>
  </w:style>
  <w:style w:type="paragraph" w:styleId="BodyTextIndent">
    <w:name w:val="Body Text Indent"/>
    <w:basedOn w:val="Normal"/>
    <w:link w:val="BodyTextIndentChar"/>
    <w:rsid w:val="00C74BFB"/>
    <w:pPr>
      <w:ind w:left="360"/>
    </w:pPr>
    <w:rPr>
      <w:rFonts w:eastAsia="Times New Roman"/>
      <w:lang w:val="en-US" w:eastAsia="en-US"/>
    </w:rPr>
  </w:style>
  <w:style w:type="paragraph" w:styleId="Caption">
    <w:name w:val="caption"/>
    <w:basedOn w:val="Normal"/>
    <w:next w:val="Normal"/>
    <w:link w:val="CaptionChar"/>
    <w:uiPriority w:val="35"/>
    <w:qFormat/>
    <w:rsid w:val="00C62E8B"/>
    <w:pPr>
      <w:spacing w:before="120"/>
      <w:jc w:val="center"/>
    </w:pPr>
    <w:rPr>
      <w:rFonts w:ascii="Myriad Pro Cond" w:eastAsia="Times New Roman" w:hAnsi="Myriad Pro Cond"/>
      <w:b/>
      <w:bCs/>
      <w:sz w:val="18"/>
      <w:szCs w:val="20"/>
      <w:lang w:eastAsia="en-US"/>
    </w:rPr>
  </w:style>
  <w:style w:type="paragraph" w:customStyle="1" w:styleId="heading40">
    <w:name w:val="heading4"/>
    <w:basedOn w:val="BodyTextIndent"/>
    <w:rsid w:val="00C74BFB"/>
    <w:pPr>
      <w:ind w:left="0"/>
    </w:pPr>
    <w:rPr>
      <w:szCs w:val="20"/>
    </w:rPr>
  </w:style>
  <w:style w:type="paragraph" w:styleId="TableofFigures">
    <w:name w:val="table of figures"/>
    <w:aliases w:val="List of Tables"/>
    <w:basedOn w:val="Normal"/>
    <w:next w:val="Normal"/>
    <w:autoRedefine/>
    <w:rsid w:val="004B0A24"/>
    <w:pPr>
      <w:jc w:val="center"/>
    </w:pPr>
    <w:rPr>
      <w:rFonts w:eastAsia="Times New Roman"/>
      <w:b/>
      <w:lang w:val="es-ES_tradnl" w:eastAsia="en-US"/>
    </w:rPr>
  </w:style>
  <w:style w:type="paragraph" w:styleId="BodyTextIndent2">
    <w:name w:val="Body Text Indent 2"/>
    <w:basedOn w:val="Normal"/>
    <w:rsid w:val="00C74BFB"/>
    <w:pPr>
      <w:ind w:left="600"/>
    </w:pPr>
  </w:style>
  <w:style w:type="table" w:styleId="TableGrid">
    <w:name w:val="Table Grid"/>
    <w:basedOn w:val="TableNormal"/>
    <w:uiPriority w:val="39"/>
    <w:rsid w:val="00C74BFB"/>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74BFB"/>
    <w:pPr>
      <w:autoSpaceDE w:val="0"/>
      <w:autoSpaceDN w:val="0"/>
      <w:adjustRightInd w:val="0"/>
    </w:pPr>
    <w:rPr>
      <w:color w:val="000000"/>
      <w:sz w:val="24"/>
      <w:szCs w:val="24"/>
    </w:rPr>
  </w:style>
  <w:style w:type="paragraph" w:customStyle="1" w:styleId="CM1">
    <w:name w:val="CM1"/>
    <w:basedOn w:val="Default"/>
    <w:next w:val="Default"/>
    <w:rsid w:val="00D71E07"/>
    <w:pPr>
      <w:widowControl w:val="0"/>
      <w:spacing w:line="276" w:lineRule="atLeast"/>
    </w:pPr>
    <w:rPr>
      <w:rFonts w:ascii="GJNIF B+ Times New Roman PSMT" w:hAnsi="GJNIF B+ Times New Roman PSMT"/>
      <w:color w:val="auto"/>
    </w:rPr>
  </w:style>
  <w:style w:type="paragraph" w:customStyle="1" w:styleId="CM2">
    <w:name w:val="CM2"/>
    <w:basedOn w:val="Default"/>
    <w:next w:val="Default"/>
    <w:rsid w:val="00D71E07"/>
    <w:pPr>
      <w:widowControl w:val="0"/>
      <w:spacing w:line="331" w:lineRule="atLeast"/>
    </w:pPr>
    <w:rPr>
      <w:rFonts w:ascii="GJNIF B+ Times New Roman PSMT" w:hAnsi="GJNIF B+ Times New Roman PSMT"/>
      <w:color w:val="auto"/>
    </w:rPr>
  </w:style>
  <w:style w:type="paragraph" w:customStyle="1" w:styleId="CM3">
    <w:name w:val="CM3"/>
    <w:basedOn w:val="Default"/>
    <w:next w:val="Default"/>
    <w:rsid w:val="00D71E07"/>
    <w:pPr>
      <w:widowControl w:val="0"/>
      <w:spacing w:after="663"/>
    </w:pPr>
    <w:rPr>
      <w:rFonts w:ascii="GJNIF B+ Times New Roman PSMT" w:hAnsi="GJNIF B+ Times New Roman PSMT"/>
      <w:color w:val="auto"/>
    </w:rPr>
  </w:style>
  <w:style w:type="paragraph" w:customStyle="1" w:styleId="CM4">
    <w:name w:val="CM4"/>
    <w:basedOn w:val="Default"/>
    <w:next w:val="Default"/>
    <w:rsid w:val="00D71E07"/>
    <w:pPr>
      <w:widowControl w:val="0"/>
      <w:spacing w:after="275"/>
    </w:pPr>
    <w:rPr>
      <w:rFonts w:ascii="GJNIF B+ Times New Roman PSMT" w:hAnsi="GJNIF B+ Times New Roman PSMT"/>
      <w:color w:val="auto"/>
    </w:rPr>
  </w:style>
  <w:style w:type="table" w:styleId="TableClassic1">
    <w:name w:val="Table Classic 1"/>
    <w:basedOn w:val="TableNormal"/>
    <w:rsid w:val="00A2119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StyleHeading112pt">
    <w:name w:val="Style Heading 1 + 12 pt"/>
    <w:basedOn w:val="Heading1"/>
    <w:rsid w:val="00F80B57"/>
    <w:rPr>
      <w:sz w:val="28"/>
    </w:rPr>
  </w:style>
  <w:style w:type="table" w:customStyle="1" w:styleId="TableVictor">
    <w:name w:val="Table Victor"/>
    <w:basedOn w:val="TableNormal"/>
    <w:rsid w:val="00B71F99"/>
    <w:rPr>
      <w:sz w:val="16"/>
    </w:rPr>
    <w:tblPr/>
    <w:tblStylePr w:type="firstRow">
      <w:tblPr/>
      <w:tcPr>
        <w:tcBorders>
          <w:top w:val="single" w:sz="12" w:space="0" w:color="008000"/>
          <w:left w:val="nil"/>
          <w:bottom w:val="nil"/>
          <w:right w:val="nil"/>
          <w:insideH w:val="nil"/>
          <w:insideV w:val="nil"/>
          <w:tl2br w:val="nil"/>
          <w:tr2bl w:val="nil"/>
        </w:tcBorders>
      </w:tcPr>
    </w:tblStylePr>
    <w:tblStylePr w:type="lastRow">
      <w:tblPr/>
      <w:tcPr>
        <w:tcBorders>
          <w:top w:val="nil"/>
          <w:left w:val="nil"/>
          <w:bottom w:val="single" w:sz="12" w:space="0" w:color="008000"/>
          <w:right w:val="nil"/>
          <w:insideH w:val="nil"/>
          <w:insideV w:val="nil"/>
          <w:tl2br w:val="nil"/>
          <w:tr2bl w:val="nil"/>
        </w:tcBorders>
      </w:tcPr>
    </w:tblStylePr>
  </w:style>
  <w:style w:type="paragraph" w:styleId="BalloonText">
    <w:name w:val="Balloon Text"/>
    <w:basedOn w:val="Normal"/>
    <w:link w:val="BalloonTextChar"/>
    <w:uiPriority w:val="99"/>
    <w:rsid w:val="00330505"/>
    <w:rPr>
      <w:rFonts w:ascii="Tahoma" w:hAnsi="Tahoma" w:cs="Tahoma"/>
      <w:sz w:val="16"/>
      <w:szCs w:val="16"/>
    </w:rPr>
  </w:style>
  <w:style w:type="paragraph" w:styleId="ListParagraph">
    <w:name w:val="List Paragraph"/>
    <w:basedOn w:val="Normal"/>
    <w:link w:val="ListParagraphChar"/>
    <w:uiPriority w:val="34"/>
    <w:qFormat/>
    <w:rsid w:val="009B0510"/>
    <w:pPr>
      <w:spacing w:before="60" w:after="60"/>
      <w:ind w:left="720"/>
      <w:contextualSpacing/>
    </w:pPr>
    <w:rPr>
      <w:rFonts w:eastAsia="Calibri"/>
      <w:szCs w:val="22"/>
      <w:lang w:eastAsia="en-US"/>
    </w:rPr>
  </w:style>
  <w:style w:type="paragraph" w:styleId="Title">
    <w:name w:val="Title"/>
    <w:basedOn w:val="Normal"/>
    <w:next w:val="Normal"/>
    <w:link w:val="TitleChar"/>
    <w:qFormat/>
    <w:rsid w:val="0066115C"/>
    <w:pPr>
      <w:spacing w:before="720" w:after="360"/>
      <w:jc w:val="center"/>
      <w:outlineLvl w:val="0"/>
    </w:pPr>
    <w:rPr>
      <w:rFonts w:ascii="Myriad Pro Cond" w:eastAsia="Times New Roman" w:hAnsi="Myriad Pro Cond"/>
      <w:bCs/>
      <w:color w:val="0070C0"/>
      <w:kern w:val="28"/>
      <w:sz w:val="48"/>
      <w:szCs w:val="32"/>
    </w:rPr>
  </w:style>
  <w:style w:type="character" w:customStyle="1" w:styleId="TitleChar">
    <w:name w:val="Title Char"/>
    <w:basedOn w:val="DefaultParagraphFont"/>
    <w:link w:val="Title"/>
    <w:rsid w:val="0066115C"/>
    <w:rPr>
      <w:rFonts w:ascii="Myriad Pro Cond" w:hAnsi="Myriad Pro Cond"/>
      <w:bCs/>
      <w:color w:val="0070C0"/>
      <w:kern w:val="28"/>
      <w:sz w:val="48"/>
      <w:szCs w:val="32"/>
      <w:lang w:val="en-GB" w:eastAsia="zh-CN"/>
    </w:rPr>
  </w:style>
  <w:style w:type="character" w:customStyle="1" w:styleId="CaptionChar">
    <w:name w:val="Caption Char"/>
    <w:basedOn w:val="DefaultParagraphFont"/>
    <w:link w:val="Caption"/>
    <w:uiPriority w:val="35"/>
    <w:rsid w:val="00C62E8B"/>
    <w:rPr>
      <w:rFonts w:ascii="Myriad Pro Cond" w:hAnsi="Myriad Pro Cond"/>
      <w:b/>
      <w:bCs/>
      <w:sz w:val="18"/>
      <w:lang w:val="en-GB"/>
    </w:rPr>
  </w:style>
  <w:style w:type="character" w:customStyle="1" w:styleId="CaptionChar1">
    <w:name w:val="Caption Char1"/>
    <w:basedOn w:val="DefaultParagraphFont"/>
    <w:rsid w:val="00DB3929"/>
    <w:rPr>
      <w:b/>
      <w:bCs/>
    </w:rPr>
  </w:style>
  <w:style w:type="character" w:customStyle="1" w:styleId="HeaderChar">
    <w:name w:val="Header Char"/>
    <w:basedOn w:val="DefaultParagraphFont"/>
    <w:link w:val="Header"/>
    <w:uiPriority w:val="99"/>
    <w:rsid w:val="00F94815"/>
    <w:rPr>
      <w:rFonts w:ascii="Calibri" w:eastAsia="SimSun" w:hAnsi="Calibri"/>
      <w:szCs w:val="24"/>
      <w:lang w:val="en-GB" w:eastAsia="zh-CN"/>
    </w:rPr>
  </w:style>
  <w:style w:type="paragraph" w:styleId="NormalWeb">
    <w:name w:val="Normal (Web)"/>
    <w:basedOn w:val="Normal"/>
    <w:uiPriority w:val="99"/>
    <w:unhideWhenUsed/>
    <w:rsid w:val="00C15D1E"/>
    <w:pPr>
      <w:spacing w:before="100" w:beforeAutospacing="1" w:after="100" w:afterAutospacing="1"/>
      <w:jc w:val="left"/>
    </w:pPr>
    <w:rPr>
      <w:rFonts w:ascii="Times New Roman" w:eastAsia="Times New Roman" w:hAnsi="Times New Roman"/>
      <w:sz w:val="24"/>
      <w:lang w:val="en-US" w:eastAsia="en-US"/>
    </w:rPr>
  </w:style>
  <w:style w:type="paragraph" w:customStyle="1" w:styleId="FF">
    <w:name w:val="FF"/>
    <w:basedOn w:val="Normal"/>
    <w:next w:val="Normal"/>
    <w:qFormat/>
    <w:rsid w:val="00B6175D"/>
    <w:pPr>
      <w:spacing w:before="180"/>
      <w:jc w:val="center"/>
    </w:pPr>
    <w:rPr>
      <w:sz w:val="18"/>
    </w:rPr>
  </w:style>
  <w:style w:type="paragraph" w:customStyle="1" w:styleId="FT">
    <w:name w:val="FT"/>
    <w:basedOn w:val="Normal"/>
    <w:qFormat/>
    <w:rsid w:val="00CD4DFB"/>
    <w:pPr>
      <w:spacing w:after="0"/>
      <w:jc w:val="left"/>
    </w:pPr>
    <w:rPr>
      <w:sz w:val="18"/>
      <w:szCs w:val="18"/>
    </w:rPr>
  </w:style>
  <w:style w:type="character" w:customStyle="1" w:styleId="Heading3Char">
    <w:name w:val="Heading 3 Char"/>
    <w:basedOn w:val="DefaultParagraphFont"/>
    <w:link w:val="Heading3"/>
    <w:rsid w:val="00951519"/>
    <w:rPr>
      <w:rFonts w:ascii="Myriad Pro Cond" w:eastAsia="SimSun" w:hAnsi="Myriad Pro Cond"/>
      <w:b/>
      <w:bCs/>
      <w:color w:val="0070C0"/>
      <w:sz w:val="28"/>
      <w:szCs w:val="24"/>
      <w:lang w:val="en-GB" w:eastAsia="zh-CN"/>
    </w:rPr>
  </w:style>
  <w:style w:type="character" w:customStyle="1" w:styleId="Heading1Char">
    <w:name w:val="Heading 1 Char"/>
    <w:basedOn w:val="DefaultParagraphFont"/>
    <w:link w:val="Heading1"/>
    <w:uiPriority w:val="9"/>
    <w:rsid w:val="00951519"/>
    <w:rPr>
      <w:rFonts w:ascii="Myriad Pro Cond" w:eastAsia="SimSun" w:hAnsi="Myriad Pro Cond"/>
      <w:b/>
      <w:bCs/>
      <w:caps/>
      <w:color w:val="0070C0"/>
      <w:sz w:val="56"/>
      <w:szCs w:val="24"/>
      <w:lang w:val="en-GB" w:eastAsia="zh-CN"/>
    </w:rPr>
  </w:style>
  <w:style w:type="character" w:customStyle="1" w:styleId="Heading2Char">
    <w:name w:val="Heading 2 Char"/>
    <w:basedOn w:val="DefaultParagraphFont"/>
    <w:link w:val="Heading2"/>
    <w:rsid w:val="00951519"/>
    <w:rPr>
      <w:rFonts w:ascii="Myriad Pro Cond" w:eastAsia="SimSun" w:hAnsi="Myriad Pro Cond"/>
      <w:b/>
      <w:bCs/>
      <w:caps/>
      <w:color w:val="0070C0"/>
      <w:sz w:val="32"/>
      <w:szCs w:val="24"/>
      <w:lang w:val="en-GB" w:eastAsia="zh-CN"/>
    </w:rPr>
  </w:style>
  <w:style w:type="character" w:customStyle="1" w:styleId="Heading4Char">
    <w:name w:val="Heading 4 Char"/>
    <w:basedOn w:val="DefaultParagraphFont"/>
    <w:link w:val="Heading4"/>
    <w:rsid w:val="00714640"/>
    <w:rPr>
      <w:rFonts w:ascii="Garamond" w:eastAsia="SimSun" w:hAnsi="Garamond"/>
      <w:b/>
      <w:bCs/>
      <w:sz w:val="22"/>
      <w:szCs w:val="24"/>
      <w:lang w:val="en-GB" w:eastAsia="zh-CN"/>
    </w:rPr>
  </w:style>
  <w:style w:type="character" w:customStyle="1" w:styleId="BalloonTextChar">
    <w:name w:val="Balloon Text Char"/>
    <w:basedOn w:val="DefaultParagraphFont"/>
    <w:link w:val="BalloonText"/>
    <w:uiPriority w:val="99"/>
    <w:rsid w:val="007C2B94"/>
    <w:rPr>
      <w:rFonts w:ascii="Tahoma" w:eastAsia="SimSun" w:hAnsi="Tahoma" w:cs="Tahoma"/>
      <w:sz w:val="16"/>
      <w:szCs w:val="16"/>
      <w:lang w:val="en-GB" w:eastAsia="zh-CN"/>
    </w:rPr>
  </w:style>
  <w:style w:type="character" w:customStyle="1" w:styleId="FooterChar">
    <w:name w:val="Footer Char"/>
    <w:basedOn w:val="DefaultParagraphFont"/>
    <w:link w:val="Footer"/>
    <w:uiPriority w:val="99"/>
    <w:rsid w:val="007C2B94"/>
    <w:rPr>
      <w:rFonts w:ascii="Euclid" w:eastAsia="SimSun" w:hAnsi="Euclid"/>
      <w:szCs w:val="24"/>
      <w:lang w:val="en-GB" w:eastAsia="zh-CN"/>
    </w:rPr>
  </w:style>
  <w:style w:type="paragraph" w:customStyle="1" w:styleId="Body">
    <w:name w:val="Body"/>
    <w:aliases w:val="b"/>
    <w:basedOn w:val="Normal"/>
    <w:next w:val="Normal"/>
    <w:link w:val="BodyChar"/>
    <w:rsid w:val="007C2B94"/>
    <w:pPr>
      <w:spacing w:after="0" w:line="280" w:lineRule="atLeast"/>
    </w:pPr>
    <w:rPr>
      <w:rFonts w:ascii="Times New Roman" w:eastAsia="Times New Roman" w:hAnsi="Times New Roman"/>
      <w:sz w:val="24"/>
      <w:lang w:val="en-AU" w:eastAsia="en-US"/>
    </w:rPr>
  </w:style>
  <w:style w:type="character" w:customStyle="1" w:styleId="FigureCaptionChar">
    <w:name w:val="FigureCaption Char"/>
    <w:basedOn w:val="CaptionChar"/>
    <w:link w:val="FigureCaption"/>
    <w:rsid w:val="007C2B94"/>
    <w:rPr>
      <w:rFonts w:ascii="Arial" w:eastAsia="SimSun" w:hAnsi="Arial"/>
      <w:b/>
      <w:bCs/>
      <w:sz w:val="16"/>
      <w:szCs w:val="24"/>
      <w:lang w:val="en-GB" w:eastAsia="zh-CN"/>
    </w:rPr>
  </w:style>
  <w:style w:type="paragraph" w:customStyle="1" w:styleId="EquationCaption">
    <w:name w:val="Equation Caption"/>
    <w:basedOn w:val="Caption"/>
    <w:next w:val="Body"/>
    <w:link w:val="EquationCaptionChar"/>
    <w:rsid w:val="007C2B94"/>
    <w:pPr>
      <w:keepNext/>
      <w:tabs>
        <w:tab w:val="left" w:pos="7020"/>
      </w:tabs>
      <w:spacing w:before="0" w:after="0"/>
      <w:jc w:val="left"/>
    </w:pPr>
    <w:rPr>
      <w:rFonts w:ascii="Monotype Corsiva" w:hAnsi="Monotype Corsiva"/>
      <w:color w:val="000000"/>
      <w:sz w:val="24"/>
      <w:lang w:val="en-US"/>
    </w:rPr>
  </w:style>
  <w:style w:type="character" w:customStyle="1" w:styleId="EquationCaptionChar">
    <w:name w:val="Equation Caption Char"/>
    <w:basedOn w:val="CaptionChar"/>
    <w:link w:val="EquationCaption"/>
    <w:rsid w:val="007C2B94"/>
    <w:rPr>
      <w:rFonts w:ascii="Monotype Corsiva" w:hAnsi="Monotype Corsiva"/>
      <w:b/>
      <w:bCs/>
      <w:color w:val="000000"/>
      <w:sz w:val="24"/>
      <w:lang w:val="en-GB"/>
    </w:rPr>
  </w:style>
  <w:style w:type="character" w:customStyle="1" w:styleId="TableCaptionChar">
    <w:name w:val="TableCaption Char"/>
    <w:basedOn w:val="CaptionChar"/>
    <w:link w:val="TableCaption"/>
    <w:rsid w:val="007C2B94"/>
    <w:rPr>
      <w:rFonts w:ascii="Arial" w:eastAsia="SimSun" w:hAnsi="Arial"/>
      <w:b/>
      <w:bCs/>
      <w:sz w:val="16"/>
      <w:szCs w:val="24"/>
      <w:lang w:val="en-GB" w:eastAsia="zh-CN"/>
    </w:rPr>
  </w:style>
  <w:style w:type="character" w:customStyle="1" w:styleId="BodyChar">
    <w:name w:val="Body Char"/>
    <w:aliases w:val="b Char"/>
    <w:basedOn w:val="DefaultParagraphFont"/>
    <w:link w:val="Body"/>
    <w:rsid w:val="007C2B94"/>
    <w:rPr>
      <w:sz w:val="24"/>
      <w:szCs w:val="24"/>
      <w:lang w:val="en-AU"/>
    </w:rPr>
  </w:style>
  <w:style w:type="character" w:styleId="CommentReference">
    <w:name w:val="annotation reference"/>
    <w:basedOn w:val="DefaultParagraphFont"/>
    <w:uiPriority w:val="99"/>
    <w:unhideWhenUsed/>
    <w:rsid w:val="005D4F67"/>
    <w:rPr>
      <w:sz w:val="16"/>
      <w:szCs w:val="16"/>
    </w:rPr>
  </w:style>
  <w:style w:type="paragraph" w:styleId="CommentText">
    <w:name w:val="annotation text"/>
    <w:basedOn w:val="Normal"/>
    <w:link w:val="CommentTextChar"/>
    <w:uiPriority w:val="99"/>
    <w:unhideWhenUsed/>
    <w:rsid w:val="005D4F67"/>
    <w:pPr>
      <w:spacing w:after="0"/>
    </w:pPr>
    <w:rPr>
      <w:rFonts w:ascii="Times New Roman" w:hAnsi="Times New Roman"/>
      <w:szCs w:val="20"/>
    </w:rPr>
  </w:style>
  <w:style w:type="character" w:customStyle="1" w:styleId="CommentTextChar">
    <w:name w:val="Comment Text Char"/>
    <w:basedOn w:val="DefaultParagraphFont"/>
    <w:link w:val="CommentText"/>
    <w:uiPriority w:val="99"/>
    <w:rsid w:val="005D4F67"/>
    <w:rPr>
      <w:rFonts w:eastAsia="SimSun"/>
      <w:lang w:val="en-GB" w:eastAsia="zh-CN"/>
    </w:rPr>
  </w:style>
  <w:style w:type="character" w:styleId="PlaceholderText">
    <w:name w:val="Placeholder Text"/>
    <w:basedOn w:val="DefaultParagraphFont"/>
    <w:uiPriority w:val="99"/>
    <w:semiHidden/>
    <w:rsid w:val="005D4F67"/>
    <w:rPr>
      <w:color w:val="808080"/>
    </w:rPr>
  </w:style>
  <w:style w:type="character" w:customStyle="1" w:styleId="apple-style-span">
    <w:name w:val="apple-style-span"/>
    <w:basedOn w:val="DefaultParagraphFont"/>
    <w:rsid w:val="005D4F67"/>
  </w:style>
  <w:style w:type="paragraph" w:customStyle="1" w:styleId="Titletable">
    <w:name w:val="Title table"/>
    <w:basedOn w:val="Normal"/>
    <w:next w:val="Normal"/>
    <w:rsid w:val="005D4F67"/>
    <w:pPr>
      <w:numPr>
        <w:numId w:val="3"/>
      </w:numPr>
      <w:jc w:val="center"/>
    </w:pPr>
    <w:rPr>
      <w:rFonts w:ascii="Times New Roman" w:eastAsia="Times New Roman" w:hAnsi="Times New Roman"/>
      <w:b/>
      <w:lang w:val="en-US" w:eastAsia="en-US"/>
    </w:rPr>
  </w:style>
  <w:style w:type="paragraph" w:styleId="Bibliography">
    <w:name w:val="Bibliography"/>
    <w:basedOn w:val="Normal"/>
    <w:next w:val="Normal"/>
    <w:uiPriority w:val="37"/>
    <w:semiHidden/>
    <w:unhideWhenUsed/>
    <w:rsid w:val="005D4F67"/>
  </w:style>
  <w:style w:type="paragraph" w:styleId="BlockText">
    <w:name w:val="Block Text"/>
    <w:basedOn w:val="Normal"/>
    <w:rsid w:val="005D4F67"/>
    <w:pPr>
      <w:pBdr>
        <w:top w:val="single" w:sz="2" w:space="10" w:color="4F81BD" w:themeColor="accent1" w:shadow="1"/>
        <w:left w:val="single" w:sz="2" w:space="10" w:color="4F81BD" w:themeColor="accent1" w:shadow="1"/>
        <w:bottom w:val="single" w:sz="2" w:space="10" w:color="4F81BD" w:themeColor="accent1" w:shadow="1"/>
        <w:right w:val="single" w:sz="2" w:space="10" w:color="4F81BD" w:themeColor="accent1" w:shadow="1"/>
      </w:pBdr>
      <w:ind w:left="1152" w:right="1152"/>
    </w:pPr>
    <w:rPr>
      <w:rFonts w:eastAsiaTheme="minorEastAsia" w:cstheme="minorBidi"/>
      <w:i/>
      <w:iCs/>
      <w:color w:val="4F81BD" w:themeColor="accent1"/>
    </w:rPr>
  </w:style>
  <w:style w:type="paragraph" w:styleId="BodyTextFirstIndent">
    <w:name w:val="Body Text First Indent"/>
    <w:basedOn w:val="BodyText"/>
    <w:link w:val="BodyTextFirstIndentChar"/>
    <w:rsid w:val="005D4F67"/>
    <w:pPr>
      <w:ind w:firstLine="360"/>
      <w:jc w:val="both"/>
    </w:pPr>
    <w:rPr>
      <w:b w:val="0"/>
      <w:bCs w:val="0"/>
      <w:sz w:val="20"/>
    </w:rPr>
  </w:style>
  <w:style w:type="character" w:customStyle="1" w:styleId="BodyTextChar">
    <w:name w:val="Body Text Char"/>
    <w:basedOn w:val="DefaultParagraphFont"/>
    <w:link w:val="BodyText"/>
    <w:rsid w:val="005D4F67"/>
    <w:rPr>
      <w:rFonts w:ascii="Euclid" w:eastAsia="SimSun" w:hAnsi="Euclid"/>
      <w:b/>
      <w:bCs/>
      <w:sz w:val="32"/>
      <w:szCs w:val="24"/>
      <w:lang w:val="en-GB" w:eastAsia="zh-CN"/>
    </w:rPr>
  </w:style>
  <w:style w:type="character" w:customStyle="1" w:styleId="BodyTextFirstIndentChar">
    <w:name w:val="Body Text First Indent Char"/>
    <w:basedOn w:val="BodyTextChar"/>
    <w:link w:val="BodyTextFirstIndent"/>
    <w:rsid w:val="005D4F67"/>
    <w:rPr>
      <w:rFonts w:ascii="Euclid" w:eastAsia="SimSun" w:hAnsi="Euclid"/>
      <w:b/>
      <w:bCs/>
      <w:sz w:val="32"/>
      <w:szCs w:val="24"/>
      <w:lang w:val="en-GB" w:eastAsia="zh-CN"/>
    </w:rPr>
  </w:style>
  <w:style w:type="paragraph" w:styleId="BodyTextFirstIndent2">
    <w:name w:val="Body Text First Indent 2"/>
    <w:basedOn w:val="BodyTextIndent"/>
    <w:link w:val="BodyTextFirstIndent2Char"/>
    <w:rsid w:val="005D4F67"/>
    <w:pPr>
      <w:ind w:firstLine="360"/>
    </w:pPr>
    <w:rPr>
      <w:rFonts w:eastAsia="SimSun"/>
      <w:lang w:val="en-GB" w:eastAsia="zh-CN"/>
    </w:rPr>
  </w:style>
  <w:style w:type="character" w:customStyle="1" w:styleId="BodyTextIndentChar">
    <w:name w:val="Body Text Indent Char"/>
    <w:basedOn w:val="DefaultParagraphFont"/>
    <w:link w:val="BodyTextIndent"/>
    <w:rsid w:val="005D4F67"/>
    <w:rPr>
      <w:rFonts w:ascii="Euclid" w:hAnsi="Euclid"/>
      <w:szCs w:val="24"/>
    </w:rPr>
  </w:style>
  <w:style w:type="character" w:customStyle="1" w:styleId="BodyTextFirstIndent2Char">
    <w:name w:val="Body Text First Indent 2 Char"/>
    <w:basedOn w:val="BodyTextIndentChar"/>
    <w:link w:val="BodyTextFirstIndent2"/>
    <w:rsid w:val="005D4F67"/>
    <w:rPr>
      <w:rFonts w:ascii="Euclid" w:eastAsia="SimSun" w:hAnsi="Euclid"/>
      <w:szCs w:val="24"/>
      <w:lang w:val="en-GB" w:eastAsia="zh-CN"/>
    </w:rPr>
  </w:style>
  <w:style w:type="paragraph" w:styleId="BodyTextIndent3">
    <w:name w:val="Body Text Indent 3"/>
    <w:basedOn w:val="Normal"/>
    <w:link w:val="BodyTextIndent3Char"/>
    <w:rsid w:val="005D4F67"/>
    <w:pPr>
      <w:ind w:left="283"/>
    </w:pPr>
    <w:rPr>
      <w:sz w:val="16"/>
      <w:szCs w:val="16"/>
    </w:rPr>
  </w:style>
  <w:style w:type="character" w:customStyle="1" w:styleId="BodyTextIndent3Char">
    <w:name w:val="Body Text Indent 3 Char"/>
    <w:basedOn w:val="DefaultParagraphFont"/>
    <w:link w:val="BodyTextIndent3"/>
    <w:rsid w:val="005D4F67"/>
    <w:rPr>
      <w:rFonts w:ascii="Euclid" w:eastAsia="SimSun" w:hAnsi="Euclid"/>
      <w:sz w:val="16"/>
      <w:szCs w:val="16"/>
      <w:lang w:val="en-GB" w:eastAsia="zh-CN"/>
    </w:rPr>
  </w:style>
  <w:style w:type="paragraph" w:styleId="Closing">
    <w:name w:val="Closing"/>
    <w:basedOn w:val="Normal"/>
    <w:link w:val="ClosingChar"/>
    <w:rsid w:val="005D4F67"/>
    <w:pPr>
      <w:spacing w:after="0"/>
      <w:ind w:left="4252"/>
    </w:pPr>
  </w:style>
  <w:style w:type="character" w:customStyle="1" w:styleId="ClosingChar">
    <w:name w:val="Closing Char"/>
    <w:basedOn w:val="DefaultParagraphFont"/>
    <w:link w:val="Closing"/>
    <w:rsid w:val="005D4F67"/>
    <w:rPr>
      <w:rFonts w:ascii="Euclid" w:eastAsia="SimSun" w:hAnsi="Euclid"/>
      <w:szCs w:val="24"/>
      <w:lang w:val="en-GB" w:eastAsia="zh-CN"/>
    </w:rPr>
  </w:style>
  <w:style w:type="paragraph" w:styleId="CommentSubject">
    <w:name w:val="annotation subject"/>
    <w:basedOn w:val="CommentText"/>
    <w:next w:val="CommentText"/>
    <w:link w:val="CommentSubjectChar"/>
    <w:rsid w:val="005D4F67"/>
    <w:pPr>
      <w:spacing w:before="120" w:after="120"/>
    </w:pPr>
    <w:rPr>
      <w:rFonts w:ascii="Euclid" w:hAnsi="Euclid"/>
      <w:b/>
      <w:bCs/>
    </w:rPr>
  </w:style>
  <w:style w:type="character" w:customStyle="1" w:styleId="CommentSubjectChar">
    <w:name w:val="Comment Subject Char"/>
    <w:basedOn w:val="CommentTextChar"/>
    <w:link w:val="CommentSubject"/>
    <w:rsid w:val="005D4F67"/>
    <w:rPr>
      <w:rFonts w:ascii="Euclid" w:eastAsia="SimSun" w:hAnsi="Euclid"/>
      <w:b/>
      <w:bCs/>
      <w:lang w:val="en-GB" w:eastAsia="zh-CN"/>
    </w:rPr>
  </w:style>
  <w:style w:type="paragraph" w:styleId="Date">
    <w:name w:val="Date"/>
    <w:basedOn w:val="Normal"/>
    <w:next w:val="Normal"/>
    <w:link w:val="DateChar"/>
    <w:rsid w:val="005D4F67"/>
  </w:style>
  <w:style w:type="character" w:customStyle="1" w:styleId="DateChar">
    <w:name w:val="Date Char"/>
    <w:basedOn w:val="DefaultParagraphFont"/>
    <w:link w:val="Date"/>
    <w:rsid w:val="005D4F67"/>
    <w:rPr>
      <w:rFonts w:ascii="Euclid" w:eastAsia="SimSun" w:hAnsi="Euclid"/>
      <w:szCs w:val="24"/>
      <w:lang w:val="en-GB" w:eastAsia="zh-CN"/>
    </w:rPr>
  </w:style>
  <w:style w:type="paragraph" w:styleId="DocumentMap">
    <w:name w:val="Document Map"/>
    <w:basedOn w:val="Normal"/>
    <w:link w:val="DocumentMapChar"/>
    <w:rsid w:val="005D4F67"/>
    <w:pPr>
      <w:spacing w:after="0"/>
    </w:pPr>
    <w:rPr>
      <w:rFonts w:ascii="Tahoma" w:hAnsi="Tahoma" w:cs="Tahoma"/>
      <w:sz w:val="16"/>
      <w:szCs w:val="16"/>
    </w:rPr>
  </w:style>
  <w:style w:type="character" w:customStyle="1" w:styleId="DocumentMapChar">
    <w:name w:val="Document Map Char"/>
    <w:basedOn w:val="DefaultParagraphFont"/>
    <w:link w:val="DocumentMap"/>
    <w:rsid w:val="005D4F67"/>
    <w:rPr>
      <w:rFonts w:ascii="Tahoma" w:eastAsia="SimSun" w:hAnsi="Tahoma" w:cs="Tahoma"/>
      <w:sz w:val="16"/>
      <w:szCs w:val="16"/>
      <w:lang w:val="en-GB" w:eastAsia="zh-CN"/>
    </w:rPr>
  </w:style>
  <w:style w:type="paragraph" w:styleId="EmailSignature">
    <w:name w:val="E-mail Signature"/>
    <w:basedOn w:val="Normal"/>
    <w:link w:val="EmailSignatureChar"/>
    <w:rsid w:val="005D4F67"/>
    <w:pPr>
      <w:spacing w:after="0"/>
    </w:pPr>
  </w:style>
  <w:style w:type="character" w:customStyle="1" w:styleId="EmailSignatureChar">
    <w:name w:val="Email Signature Char"/>
    <w:basedOn w:val="DefaultParagraphFont"/>
    <w:link w:val="EmailSignature"/>
    <w:rsid w:val="005D4F67"/>
    <w:rPr>
      <w:rFonts w:ascii="Euclid" w:eastAsia="SimSun" w:hAnsi="Euclid"/>
      <w:szCs w:val="24"/>
      <w:lang w:val="en-GB" w:eastAsia="zh-CN"/>
    </w:rPr>
  </w:style>
  <w:style w:type="paragraph" w:styleId="EndnoteText">
    <w:name w:val="endnote text"/>
    <w:basedOn w:val="Normal"/>
    <w:link w:val="EndnoteTextChar"/>
    <w:rsid w:val="005D4F67"/>
    <w:pPr>
      <w:spacing w:after="0"/>
    </w:pPr>
    <w:rPr>
      <w:szCs w:val="20"/>
    </w:rPr>
  </w:style>
  <w:style w:type="character" w:customStyle="1" w:styleId="EndnoteTextChar">
    <w:name w:val="Endnote Text Char"/>
    <w:basedOn w:val="DefaultParagraphFont"/>
    <w:link w:val="EndnoteText"/>
    <w:rsid w:val="005D4F67"/>
    <w:rPr>
      <w:rFonts w:ascii="Euclid" w:eastAsia="SimSun" w:hAnsi="Euclid"/>
      <w:lang w:val="en-GB" w:eastAsia="zh-CN"/>
    </w:rPr>
  </w:style>
  <w:style w:type="paragraph" w:styleId="EnvelopeAddress">
    <w:name w:val="envelope address"/>
    <w:basedOn w:val="Normal"/>
    <w:rsid w:val="005D4F67"/>
    <w:pPr>
      <w:framePr w:w="7920" w:h="1980" w:hRule="exact" w:hSpace="180" w:wrap="auto" w:hAnchor="page" w:xAlign="center" w:yAlign="bottom"/>
      <w:spacing w:after="0"/>
      <w:ind w:left="2880"/>
    </w:pPr>
    <w:rPr>
      <w:rFonts w:asciiTheme="majorHAnsi" w:eastAsiaTheme="majorEastAsia" w:hAnsiTheme="majorHAnsi" w:cstheme="majorBidi"/>
      <w:sz w:val="24"/>
    </w:rPr>
  </w:style>
  <w:style w:type="paragraph" w:styleId="EnvelopeReturn">
    <w:name w:val="envelope return"/>
    <w:basedOn w:val="Normal"/>
    <w:rsid w:val="005D4F67"/>
    <w:pPr>
      <w:spacing w:after="0"/>
    </w:pPr>
    <w:rPr>
      <w:rFonts w:asciiTheme="majorHAnsi" w:eastAsiaTheme="majorEastAsia" w:hAnsiTheme="majorHAnsi" w:cstheme="majorBidi"/>
      <w:szCs w:val="20"/>
    </w:rPr>
  </w:style>
  <w:style w:type="paragraph" w:styleId="FootnoteText">
    <w:name w:val="footnote text"/>
    <w:basedOn w:val="Normal"/>
    <w:link w:val="FootnoteTextChar"/>
    <w:rsid w:val="005D4F67"/>
    <w:pPr>
      <w:spacing w:after="0"/>
    </w:pPr>
    <w:rPr>
      <w:szCs w:val="20"/>
    </w:rPr>
  </w:style>
  <w:style w:type="character" w:customStyle="1" w:styleId="FootnoteTextChar">
    <w:name w:val="Footnote Text Char"/>
    <w:basedOn w:val="DefaultParagraphFont"/>
    <w:link w:val="FootnoteText"/>
    <w:rsid w:val="005D4F67"/>
    <w:rPr>
      <w:rFonts w:ascii="Euclid" w:eastAsia="SimSun" w:hAnsi="Euclid"/>
      <w:lang w:val="en-GB" w:eastAsia="zh-CN"/>
    </w:rPr>
  </w:style>
  <w:style w:type="paragraph" w:styleId="HTMLAddress">
    <w:name w:val="HTML Address"/>
    <w:basedOn w:val="Normal"/>
    <w:link w:val="HTMLAddressChar"/>
    <w:rsid w:val="005D4F67"/>
    <w:pPr>
      <w:spacing w:after="0"/>
    </w:pPr>
    <w:rPr>
      <w:i/>
      <w:iCs/>
    </w:rPr>
  </w:style>
  <w:style w:type="character" w:customStyle="1" w:styleId="HTMLAddressChar">
    <w:name w:val="HTML Address Char"/>
    <w:basedOn w:val="DefaultParagraphFont"/>
    <w:link w:val="HTMLAddress"/>
    <w:rsid w:val="005D4F67"/>
    <w:rPr>
      <w:rFonts w:ascii="Euclid" w:eastAsia="SimSun" w:hAnsi="Euclid"/>
      <w:i/>
      <w:iCs/>
      <w:szCs w:val="24"/>
      <w:lang w:val="en-GB" w:eastAsia="zh-CN"/>
    </w:rPr>
  </w:style>
  <w:style w:type="paragraph" w:styleId="HTMLPreformatted">
    <w:name w:val="HTML Preformatted"/>
    <w:basedOn w:val="Normal"/>
    <w:link w:val="HTMLPreformattedChar"/>
    <w:rsid w:val="005D4F67"/>
    <w:pPr>
      <w:spacing w:after="0"/>
    </w:pPr>
    <w:rPr>
      <w:rFonts w:ascii="Consolas" w:hAnsi="Consolas"/>
      <w:szCs w:val="20"/>
    </w:rPr>
  </w:style>
  <w:style w:type="character" w:customStyle="1" w:styleId="HTMLPreformattedChar">
    <w:name w:val="HTML Preformatted Char"/>
    <w:basedOn w:val="DefaultParagraphFont"/>
    <w:link w:val="HTMLPreformatted"/>
    <w:rsid w:val="005D4F67"/>
    <w:rPr>
      <w:rFonts w:ascii="Consolas" w:eastAsia="SimSun" w:hAnsi="Consolas"/>
      <w:lang w:val="en-GB" w:eastAsia="zh-CN"/>
    </w:rPr>
  </w:style>
  <w:style w:type="paragraph" w:styleId="Index1">
    <w:name w:val="index 1"/>
    <w:basedOn w:val="Normal"/>
    <w:next w:val="Normal"/>
    <w:autoRedefine/>
    <w:rsid w:val="005D4F67"/>
    <w:pPr>
      <w:spacing w:after="0"/>
      <w:ind w:left="200" w:hanging="200"/>
    </w:pPr>
  </w:style>
  <w:style w:type="paragraph" w:styleId="Index2">
    <w:name w:val="index 2"/>
    <w:basedOn w:val="Normal"/>
    <w:next w:val="Normal"/>
    <w:autoRedefine/>
    <w:rsid w:val="005D4F67"/>
    <w:pPr>
      <w:spacing w:after="0"/>
      <w:ind w:left="400" w:hanging="200"/>
    </w:pPr>
  </w:style>
  <w:style w:type="paragraph" w:styleId="Index3">
    <w:name w:val="index 3"/>
    <w:basedOn w:val="Normal"/>
    <w:next w:val="Normal"/>
    <w:autoRedefine/>
    <w:rsid w:val="005D4F67"/>
    <w:pPr>
      <w:spacing w:after="0"/>
      <w:ind w:left="600" w:hanging="200"/>
    </w:pPr>
  </w:style>
  <w:style w:type="paragraph" w:styleId="Index4">
    <w:name w:val="index 4"/>
    <w:basedOn w:val="Normal"/>
    <w:next w:val="Normal"/>
    <w:autoRedefine/>
    <w:rsid w:val="005D4F67"/>
    <w:pPr>
      <w:spacing w:after="0"/>
      <w:ind w:left="800" w:hanging="200"/>
    </w:pPr>
  </w:style>
  <w:style w:type="paragraph" w:styleId="Index5">
    <w:name w:val="index 5"/>
    <w:basedOn w:val="Normal"/>
    <w:next w:val="Normal"/>
    <w:autoRedefine/>
    <w:rsid w:val="005D4F67"/>
    <w:pPr>
      <w:spacing w:after="0"/>
      <w:ind w:left="1000" w:hanging="200"/>
    </w:pPr>
  </w:style>
  <w:style w:type="paragraph" w:styleId="Index6">
    <w:name w:val="index 6"/>
    <w:basedOn w:val="Normal"/>
    <w:next w:val="Normal"/>
    <w:autoRedefine/>
    <w:rsid w:val="005D4F67"/>
    <w:pPr>
      <w:spacing w:after="0"/>
      <w:ind w:left="1200" w:hanging="200"/>
    </w:pPr>
  </w:style>
  <w:style w:type="paragraph" w:styleId="Index7">
    <w:name w:val="index 7"/>
    <w:basedOn w:val="Normal"/>
    <w:next w:val="Normal"/>
    <w:autoRedefine/>
    <w:rsid w:val="005D4F67"/>
    <w:pPr>
      <w:spacing w:after="0"/>
      <w:ind w:left="1400" w:hanging="200"/>
    </w:pPr>
  </w:style>
  <w:style w:type="paragraph" w:styleId="Index8">
    <w:name w:val="index 8"/>
    <w:basedOn w:val="Normal"/>
    <w:next w:val="Normal"/>
    <w:autoRedefine/>
    <w:rsid w:val="005D4F67"/>
    <w:pPr>
      <w:spacing w:after="0"/>
      <w:ind w:left="1600" w:hanging="200"/>
    </w:pPr>
  </w:style>
  <w:style w:type="paragraph" w:styleId="Index9">
    <w:name w:val="index 9"/>
    <w:basedOn w:val="Normal"/>
    <w:next w:val="Normal"/>
    <w:autoRedefine/>
    <w:rsid w:val="005D4F67"/>
    <w:pPr>
      <w:spacing w:after="0"/>
      <w:ind w:left="1800" w:hanging="200"/>
    </w:pPr>
  </w:style>
  <w:style w:type="paragraph" w:styleId="IndexHeading">
    <w:name w:val="index heading"/>
    <w:basedOn w:val="Normal"/>
    <w:next w:val="Index1"/>
    <w:rsid w:val="005D4F67"/>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rsid w:val="005D4F67"/>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5D4F67"/>
    <w:rPr>
      <w:rFonts w:ascii="Euclid" w:eastAsia="SimSun" w:hAnsi="Euclid"/>
      <w:b/>
      <w:bCs/>
      <w:i/>
      <w:iCs/>
      <w:color w:val="4F81BD" w:themeColor="accent1"/>
      <w:szCs w:val="24"/>
      <w:lang w:val="en-GB" w:eastAsia="zh-CN"/>
    </w:rPr>
  </w:style>
  <w:style w:type="paragraph" w:styleId="List">
    <w:name w:val="List"/>
    <w:basedOn w:val="Normal"/>
    <w:rsid w:val="005D4F67"/>
    <w:pPr>
      <w:ind w:left="283" w:hanging="283"/>
      <w:contextualSpacing/>
    </w:pPr>
  </w:style>
  <w:style w:type="paragraph" w:styleId="List2">
    <w:name w:val="List 2"/>
    <w:basedOn w:val="Normal"/>
    <w:rsid w:val="005D4F67"/>
    <w:pPr>
      <w:ind w:left="566" w:hanging="283"/>
      <w:contextualSpacing/>
    </w:pPr>
  </w:style>
  <w:style w:type="paragraph" w:styleId="List3">
    <w:name w:val="List 3"/>
    <w:basedOn w:val="Normal"/>
    <w:rsid w:val="005D4F67"/>
    <w:pPr>
      <w:ind w:left="849" w:hanging="283"/>
      <w:contextualSpacing/>
    </w:pPr>
  </w:style>
  <w:style w:type="paragraph" w:styleId="List4">
    <w:name w:val="List 4"/>
    <w:basedOn w:val="Normal"/>
    <w:rsid w:val="005D4F67"/>
    <w:pPr>
      <w:ind w:left="1132" w:hanging="283"/>
      <w:contextualSpacing/>
    </w:pPr>
  </w:style>
  <w:style w:type="paragraph" w:styleId="List5">
    <w:name w:val="List 5"/>
    <w:basedOn w:val="Normal"/>
    <w:rsid w:val="005D4F67"/>
    <w:pPr>
      <w:ind w:left="1415" w:hanging="283"/>
      <w:contextualSpacing/>
    </w:pPr>
  </w:style>
  <w:style w:type="paragraph" w:styleId="ListBullet">
    <w:name w:val="List Bullet"/>
    <w:basedOn w:val="Normal"/>
    <w:rsid w:val="005D4F67"/>
    <w:pPr>
      <w:numPr>
        <w:numId w:val="4"/>
      </w:numPr>
      <w:contextualSpacing/>
    </w:pPr>
  </w:style>
  <w:style w:type="paragraph" w:styleId="ListBullet2">
    <w:name w:val="List Bullet 2"/>
    <w:basedOn w:val="Normal"/>
    <w:rsid w:val="005D4F67"/>
    <w:pPr>
      <w:numPr>
        <w:numId w:val="5"/>
      </w:numPr>
      <w:contextualSpacing/>
    </w:pPr>
  </w:style>
  <w:style w:type="paragraph" w:styleId="ListBullet3">
    <w:name w:val="List Bullet 3"/>
    <w:basedOn w:val="Normal"/>
    <w:rsid w:val="005D4F67"/>
    <w:pPr>
      <w:numPr>
        <w:numId w:val="6"/>
      </w:numPr>
      <w:contextualSpacing/>
    </w:pPr>
  </w:style>
  <w:style w:type="paragraph" w:styleId="ListBullet4">
    <w:name w:val="List Bullet 4"/>
    <w:basedOn w:val="Normal"/>
    <w:rsid w:val="005D4F67"/>
    <w:pPr>
      <w:numPr>
        <w:numId w:val="7"/>
      </w:numPr>
      <w:contextualSpacing/>
    </w:pPr>
  </w:style>
  <w:style w:type="paragraph" w:styleId="ListBullet5">
    <w:name w:val="List Bullet 5"/>
    <w:basedOn w:val="Normal"/>
    <w:rsid w:val="005D4F67"/>
    <w:pPr>
      <w:numPr>
        <w:numId w:val="8"/>
      </w:numPr>
      <w:contextualSpacing/>
    </w:pPr>
  </w:style>
  <w:style w:type="paragraph" w:styleId="ListContinue">
    <w:name w:val="List Continue"/>
    <w:basedOn w:val="Normal"/>
    <w:rsid w:val="005D4F67"/>
    <w:pPr>
      <w:ind w:left="283"/>
      <w:contextualSpacing/>
    </w:pPr>
  </w:style>
  <w:style w:type="paragraph" w:styleId="ListContinue2">
    <w:name w:val="List Continue 2"/>
    <w:basedOn w:val="Normal"/>
    <w:rsid w:val="005D4F67"/>
    <w:pPr>
      <w:ind w:left="566"/>
      <w:contextualSpacing/>
    </w:pPr>
  </w:style>
  <w:style w:type="paragraph" w:styleId="ListContinue3">
    <w:name w:val="List Continue 3"/>
    <w:basedOn w:val="Normal"/>
    <w:rsid w:val="005D4F67"/>
    <w:pPr>
      <w:ind w:left="849"/>
      <w:contextualSpacing/>
    </w:pPr>
  </w:style>
  <w:style w:type="paragraph" w:styleId="ListContinue4">
    <w:name w:val="List Continue 4"/>
    <w:basedOn w:val="Normal"/>
    <w:rsid w:val="005D4F67"/>
    <w:pPr>
      <w:ind w:left="1132"/>
      <w:contextualSpacing/>
    </w:pPr>
  </w:style>
  <w:style w:type="paragraph" w:styleId="ListContinue5">
    <w:name w:val="List Continue 5"/>
    <w:basedOn w:val="Normal"/>
    <w:rsid w:val="005D4F67"/>
    <w:pPr>
      <w:ind w:left="1415"/>
      <w:contextualSpacing/>
    </w:pPr>
  </w:style>
  <w:style w:type="paragraph" w:styleId="ListNumber">
    <w:name w:val="List Number"/>
    <w:basedOn w:val="Normal"/>
    <w:rsid w:val="005D4F67"/>
    <w:pPr>
      <w:numPr>
        <w:numId w:val="9"/>
      </w:numPr>
      <w:contextualSpacing/>
    </w:pPr>
  </w:style>
  <w:style w:type="paragraph" w:styleId="ListNumber2">
    <w:name w:val="List Number 2"/>
    <w:basedOn w:val="Normal"/>
    <w:rsid w:val="005D4F67"/>
    <w:pPr>
      <w:numPr>
        <w:numId w:val="10"/>
      </w:numPr>
      <w:contextualSpacing/>
    </w:pPr>
  </w:style>
  <w:style w:type="paragraph" w:styleId="ListNumber3">
    <w:name w:val="List Number 3"/>
    <w:basedOn w:val="Normal"/>
    <w:rsid w:val="005D4F67"/>
    <w:pPr>
      <w:numPr>
        <w:numId w:val="11"/>
      </w:numPr>
      <w:contextualSpacing/>
    </w:pPr>
  </w:style>
  <w:style w:type="paragraph" w:styleId="ListNumber4">
    <w:name w:val="List Number 4"/>
    <w:basedOn w:val="Normal"/>
    <w:rsid w:val="005D4F67"/>
    <w:pPr>
      <w:numPr>
        <w:numId w:val="12"/>
      </w:numPr>
      <w:contextualSpacing/>
    </w:pPr>
  </w:style>
  <w:style w:type="paragraph" w:styleId="ListNumber5">
    <w:name w:val="List Number 5"/>
    <w:basedOn w:val="Normal"/>
    <w:rsid w:val="005D4F67"/>
    <w:pPr>
      <w:numPr>
        <w:numId w:val="13"/>
      </w:numPr>
      <w:contextualSpacing/>
    </w:pPr>
  </w:style>
  <w:style w:type="paragraph" w:styleId="MacroText">
    <w:name w:val="macro"/>
    <w:link w:val="MacroTextChar"/>
    <w:rsid w:val="005D4F67"/>
    <w:pPr>
      <w:tabs>
        <w:tab w:val="left" w:pos="480"/>
        <w:tab w:val="left" w:pos="960"/>
        <w:tab w:val="left" w:pos="1440"/>
        <w:tab w:val="left" w:pos="1920"/>
        <w:tab w:val="left" w:pos="2400"/>
        <w:tab w:val="left" w:pos="2880"/>
        <w:tab w:val="left" w:pos="3360"/>
        <w:tab w:val="left" w:pos="3840"/>
        <w:tab w:val="left" w:pos="4320"/>
      </w:tabs>
      <w:spacing w:before="120" w:line="180" w:lineRule="auto"/>
      <w:jc w:val="both"/>
    </w:pPr>
    <w:rPr>
      <w:rFonts w:ascii="Consolas" w:hAnsi="Consolas"/>
      <w:lang w:val="en-GB" w:eastAsia="zh-CN"/>
    </w:rPr>
  </w:style>
  <w:style w:type="character" w:customStyle="1" w:styleId="MacroTextChar">
    <w:name w:val="Macro Text Char"/>
    <w:basedOn w:val="DefaultParagraphFont"/>
    <w:link w:val="MacroText"/>
    <w:rsid w:val="005D4F67"/>
    <w:rPr>
      <w:rFonts w:ascii="Consolas" w:eastAsia="SimSun" w:hAnsi="Consolas"/>
      <w:lang w:val="en-GB" w:eastAsia="zh-CN"/>
    </w:rPr>
  </w:style>
  <w:style w:type="paragraph" w:styleId="MessageHeader">
    <w:name w:val="Message Header"/>
    <w:basedOn w:val="Normal"/>
    <w:link w:val="MessageHeaderChar"/>
    <w:rsid w:val="005D4F67"/>
    <w:pPr>
      <w:pBdr>
        <w:top w:val="single" w:sz="6" w:space="1" w:color="auto"/>
        <w:left w:val="single" w:sz="6" w:space="1" w:color="auto"/>
        <w:bottom w:val="single" w:sz="6" w:space="1" w:color="auto"/>
        <w:right w:val="single" w:sz="6" w:space="1" w:color="auto"/>
      </w:pBdr>
      <w:shd w:val="pct20" w:color="auto" w:fill="auto"/>
      <w:spacing w:after="0"/>
      <w:ind w:left="1134" w:hanging="1134"/>
    </w:pPr>
    <w:rPr>
      <w:rFonts w:asciiTheme="majorHAnsi" w:eastAsiaTheme="majorEastAsia" w:hAnsiTheme="majorHAnsi" w:cstheme="majorBidi"/>
      <w:sz w:val="24"/>
    </w:rPr>
  </w:style>
  <w:style w:type="character" w:customStyle="1" w:styleId="MessageHeaderChar">
    <w:name w:val="Message Header Char"/>
    <w:basedOn w:val="DefaultParagraphFont"/>
    <w:link w:val="MessageHeader"/>
    <w:rsid w:val="005D4F67"/>
    <w:rPr>
      <w:rFonts w:asciiTheme="majorHAnsi" w:eastAsiaTheme="majorEastAsia" w:hAnsiTheme="majorHAnsi" w:cstheme="majorBidi"/>
      <w:sz w:val="24"/>
      <w:szCs w:val="24"/>
      <w:shd w:val="pct20" w:color="auto" w:fill="auto"/>
      <w:lang w:val="en-GB" w:eastAsia="zh-CN"/>
    </w:rPr>
  </w:style>
  <w:style w:type="paragraph" w:styleId="NoSpacing">
    <w:name w:val="No Spacing"/>
    <w:uiPriority w:val="1"/>
    <w:qFormat/>
    <w:rsid w:val="005D4F67"/>
    <w:pPr>
      <w:jc w:val="both"/>
    </w:pPr>
    <w:rPr>
      <w:rFonts w:ascii="Euclid" w:hAnsi="Euclid"/>
      <w:szCs w:val="24"/>
      <w:lang w:val="en-GB" w:eastAsia="zh-CN"/>
    </w:rPr>
  </w:style>
  <w:style w:type="paragraph" w:styleId="NormalIndent">
    <w:name w:val="Normal Indent"/>
    <w:basedOn w:val="Normal"/>
    <w:rsid w:val="005D4F67"/>
    <w:pPr>
      <w:ind w:left="720"/>
    </w:pPr>
  </w:style>
  <w:style w:type="paragraph" w:styleId="NoteHeading">
    <w:name w:val="Note Heading"/>
    <w:basedOn w:val="Normal"/>
    <w:next w:val="Normal"/>
    <w:link w:val="NoteHeadingChar"/>
    <w:rsid w:val="005D4F67"/>
    <w:pPr>
      <w:spacing w:after="0"/>
    </w:pPr>
  </w:style>
  <w:style w:type="character" w:customStyle="1" w:styleId="NoteHeadingChar">
    <w:name w:val="Note Heading Char"/>
    <w:basedOn w:val="DefaultParagraphFont"/>
    <w:link w:val="NoteHeading"/>
    <w:rsid w:val="005D4F67"/>
    <w:rPr>
      <w:rFonts w:ascii="Euclid" w:eastAsia="SimSun" w:hAnsi="Euclid"/>
      <w:szCs w:val="24"/>
      <w:lang w:val="en-GB" w:eastAsia="zh-CN"/>
    </w:rPr>
  </w:style>
  <w:style w:type="paragraph" w:styleId="Quote">
    <w:name w:val="Quote"/>
    <w:basedOn w:val="Normal"/>
    <w:next w:val="Normal"/>
    <w:link w:val="QuoteChar"/>
    <w:uiPriority w:val="29"/>
    <w:qFormat/>
    <w:rsid w:val="005D4F67"/>
    <w:rPr>
      <w:i/>
      <w:iCs/>
      <w:color w:val="000000" w:themeColor="text1"/>
    </w:rPr>
  </w:style>
  <w:style w:type="character" w:customStyle="1" w:styleId="QuoteChar">
    <w:name w:val="Quote Char"/>
    <w:basedOn w:val="DefaultParagraphFont"/>
    <w:link w:val="Quote"/>
    <w:uiPriority w:val="29"/>
    <w:rsid w:val="005D4F67"/>
    <w:rPr>
      <w:rFonts w:ascii="Euclid" w:eastAsia="SimSun" w:hAnsi="Euclid"/>
      <w:i/>
      <w:iCs/>
      <w:color w:val="000000" w:themeColor="text1"/>
      <w:szCs w:val="24"/>
      <w:lang w:val="en-GB" w:eastAsia="zh-CN"/>
    </w:rPr>
  </w:style>
  <w:style w:type="paragraph" w:styleId="Salutation">
    <w:name w:val="Salutation"/>
    <w:basedOn w:val="Normal"/>
    <w:next w:val="Normal"/>
    <w:link w:val="SalutationChar"/>
    <w:rsid w:val="005D4F67"/>
  </w:style>
  <w:style w:type="character" w:customStyle="1" w:styleId="SalutationChar">
    <w:name w:val="Salutation Char"/>
    <w:basedOn w:val="DefaultParagraphFont"/>
    <w:link w:val="Salutation"/>
    <w:rsid w:val="005D4F67"/>
    <w:rPr>
      <w:rFonts w:ascii="Euclid" w:eastAsia="SimSun" w:hAnsi="Euclid"/>
      <w:szCs w:val="24"/>
      <w:lang w:val="en-GB" w:eastAsia="zh-CN"/>
    </w:rPr>
  </w:style>
  <w:style w:type="paragraph" w:styleId="Signature">
    <w:name w:val="Signature"/>
    <w:basedOn w:val="Normal"/>
    <w:link w:val="SignatureChar"/>
    <w:rsid w:val="005D4F67"/>
    <w:pPr>
      <w:spacing w:after="0"/>
      <w:ind w:left="4252"/>
    </w:pPr>
  </w:style>
  <w:style w:type="character" w:customStyle="1" w:styleId="SignatureChar">
    <w:name w:val="Signature Char"/>
    <w:basedOn w:val="DefaultParagraphFont"/>
    <w:link w:val="Signature"/>
    <w:rsid w:val="005D4F67"/>
    <w:rPr>
      <w:rFonts w:ascii="Euclid" w:eastAsia="SimSun" w:hAnsi="Euclid"/>
      <w:szCs w:val="24"/>
      <w:lang w:val="en-GB" w:eastAsia="zh-CN"/>
    </w:rPr>
  </w:style>
  <w:style w:type="paragraph" w:styleId="Subtitle">
    <w:name w:val="Subtitle"/>
    <w:basedOn w:val="Normal"/>
    <w:next w:val="Normal"/>
    <w:link w:val="SubtitleChar"/>
    <w:qFormat/>
    <w:rsid w:val="005D4F67"/>
    <w:pPr>
      <w:numPr>
        <w:ilvl w:val="1"/>
      </w:numPr>
    </w:pPr>
    <w:rPr>
      <w:rFonts w:asciiTheme="majorHAnsi" w:eastAsiaTheme="majorEastAsia" w:hAnsiTheme="majorHAnsi" w:cstheme="majorBidi"/>
      <w:i/>
      <w:iCs/>
      <w:color w:val="4F81BD" w:themeColor="accent1"/>
      <w:spacing w:val="15"/>
      <w:sz w:val="24"/>
    </w:rPr>
  </w:style>
  <w:style w:type="character" w:customStyle="1" w:styleId="SubtitleChar">
    <w:name w:val="Subtitle Char"/>
    <w:basedOn w:val="DefaultParagraphFont"/>
    <w:link w:val="Subtitle"/>
    <w:rsid w:val="005D4F67"/>
    <w:rPr>
      <w:rFonts w:asciiTheme="majorHAnsi" w:eastAsiaTheme="majorEastAsia" w:hAnsiTheme="majorHAnsi" w:cstheme="majorBidi"/>
      <w:i/>
      <w:iCs/>
      <w:color w:val="4F81BD" w:themeColor="accent1"/>
      <w:spacing w:val="15"/>
      <w:sz w:val="24"/>
      <w:szCs w:val="24"/>
      <w:lang w:val="en-GB" w:eastAsia="zh-CN"/>
    </w:rPr>
  </w:style>
  <w:style w:type="paragraph" w:styleId="TableofAuthorities">
    <w:name w:val="table of authorities"/>
    <w:basedOn w:val="Normal"/>
    <w:next w:val="Normal"/>
    <w:rsid w:val="005D4F67"/>
    <w:pPr>
      <w:spacing w:after="0"/>
      <w:ind w:left="200" w:hanging="200"/>
    </w:pPr>
  </w:style>
  <w:style w:type="paragraph" w:styleId="TOAHeading">
    <w:name w:val="toa heading"/>
    <w:basedOn w:val="Normal"/>
    <w:next w:val="Normal"/>
    <w:rsid w:val="005D4F67"/>
    <w:rPr>
      <w:rFonts w:asciiTheme="majorHAnsi" w:eastAsiaTheme="majorEastAsia" w:hAnsiTheme="majorHAnsi" w:cstheme="majorBidi"/>
      <w:b/>
      <w:bCs/>
      <w:sz w:val="24"/>
    </w:rPr>
  </w:style>
  <w:style w:type="paragraph" w:styleId="TOCHeading">
    <w:name w:val="TOC Heading"/>
    <w:basedOn w:val="Heading1"/>
    <w:next w:val="Normal"/>
    <w:uiPriority w:val="39"/>
    <w:unhideWhenUsed/>
    <w:qFormat/>
    <w:rsid w:val="005D4F67"/>
    <w:pPr>
      <w:keepLines/>
      <w:spacing w:before="480" w:after="0"/>
      <w:jc w:val="both"/>
      <w:outlineLvl w:val="9"/>
    </w:pPr>
    <w:rPr>
      <w:rFonts w:asciiTheme="majorHAnsi" w:eastAsiaTheme="majorEastAsia" w:hAnsiTheme="majorHAnsi" w:cstheme="majorBidi"/>
      <w:color w:val="365F91" w:themeColor="accent1" w:themeShade="BF"/>
      <w:sz w:val="28"/>
      <w:szCs w:val="28"/>
    </w:rPr>
  </w:style>
  <w:style w:type="paragraph" w:customStyle="1" w:styleId="StyleHeading2Left0cmFirstline0cm">
    <w:name w:val="Style Heading 2 + Left:  0 cm First line:  0 cm"/>
    <w:basedOn w:val="Heading2"/>
    <w:rsid w:val="005D4F67"/>
    <w:pPr>
      <w:numPr>
        <w:numId w:val="1"/>
      </w:numPr>
      <w:tabs>
        <w:tab w:val="num" w:pos="576"/>
      </w:tabs>
      <w:spacing w:before="240"/>
      <w:ind w:left="0" w:firstLine="0"/>
      <w:jc w:val="both"/>
    </w:pPr>
    <w:rPr>
      <w:rFonts w:ascii="Times New Roman" w:eastAsia="Times New Roman" w:hAnsi="Times New Roman"/>
      <w:kern w:val="32"/>
      <w:szCs w:val="20"/>
      <w:lang w:val="en-US" w:eastAsia="en-US"/>
    </w:rPr>
  </w:style>
  <w:style w:type="paragraph" w:customStyle="1" w:styleId="Titlefigures">
    <w:name w:val="Title figures"/>
    <w:basedOn w:val="Normal"/>
    <w:next w:val="Normal"/>
    <w:rsid w:val="005D4F67"/>
    <w:pPr>
      <w:numPr>
        <w:numId w:val="14"/>
      </w:numPr>
      <w:spacing w:after="180"/>
      <w:jc w:val="center"/>
    </w:pPr>
    <w:rPr>
      <w:rFonts w:ascii="Times New Roman" w:eastAsia="Times New Roman" w:hAnsi="Times New Roman"/>
      <w:b/>
      <w:lang w:val="en-US" w:eastAsia="en-US"/>
    </w:rPr>
  </w:style>
  <w:style w:type="paragraph" w:customStyle="1" w:styleId="xl106">
    <w:name w:val="xl106"/>
    <w:basedOn w:val="Normal"/>
    <w:rsid w:val="005D4F67"/>
    <w:pPr>
      <w:pBdr>
        <w:left w:val="single" w:sz="4" w:space="0" w:color="auto"/>
        <w:bottom w:val="single" w:sz="4" w:space="0" w:color="auto"/>
        <w:right w:val="single" w:sz="4" w:space="0" w:color="auto"/>
      </w:pBdr>
      <w:spacing w:before="100" w:beforeAutospacing="1" w:after="100" w:afterAutospacing="1"/>
      <w:jc w:val="left"/>
    </w:pPr>
    <w:rPr>
      <w:rFonts w:ascii="CG Times" w:eastAsia="Arial Unicode MS" w:hAnsi="CG Times" w:cs="Arial Unicode MS"/>
      <w:sz w:val="24"/>
      <w:lang w:eastAsia="en-US"/>
    </w:rPr>
  </w:style>
  <w:style w:type="paragraph" w:customStyle="1" w:styleId="Level1">
    <w:name w:val="Level 1"/>
    <w:basedOn w:val="Normal"/>
    <w:rsid w:val="005D4F67"/>
    <w:pPr>
      <w:widowControl w:val="0"/>
      <w:numPr>
        <w:numId w:val="15"/>
      </w:numPr>
      <w:spacing w:after="0"/>
      <w:ind w:left="2080" w:hanging="288"/>
      <w:jc w:val="left"/>
      <w:outlineLvl w:val="0"/>
    </w:pPr>
    <w:rPr>
      <w:rFonts w:ascii="CG Times" w:eastAsia="Times New Roman" w:hAnsi="CG Times"/>
      <w:sz w:val="24"/>
      <w:szCs w:val="20"/>
      <w:lang w:eastAsia="en-US"/>
    </w:rPr>
  </w:style>
  <w:style w:type="paragraph" w:customStyle="1" w:styleId="font6">
    <w:name w:val="font6"/>
    <w:basedOn w:val="Normal"/>
    <w:rsid w:val="005D4F67"/>
    <w:pPr>
      <w:spacing w:before="100" w:beforeAutospacing="1" w:after="100" w:afterAutospacing="1"/>
      <w:jc w:val="left"/>
    </w:pPr>
    <w:rPr>
      <w:rFonts w:ascii="CG Times" w:eastAsia="Arial Unicode MS" w:hAnsi="CG Times" w:cs="Arial Unicode MS"/>
      <w:szCs w:val="20"/>
      <w:lang w:eastAsia="en-US"/>
    </w:rPr>
  </w:style>
  <w:style w:type="paragraph" w:customStyle="1" w:styleId="Timesnewroman">
    <w:name w:val="Times new roman"/>
    <w:basedOn w:val="Normal"/>
    <w:rsid w:val="005D4F67"/>
    <w:rPr>
      <w:rFonts w:ascii="Times New Roman" w:eastAsia="Times New Roman" w:hAnsi="Times New Roman"/>
      <w:sz w:val="24"/>
      <w:lang w:val="en-US" w:eastAsia="en-US"/>
    </w:rPr>
  </w:style>
  <w:style w:type="paragraph" w:customStyle="1" w:styleId="xl143">
    <w:name w:val="xl143"/>
    <w:basedOn w:val="Normal"/>
    <w:rsid w:val="005D4F67"/>
    <w:pPr>
      <w:spacing w:before="100" w:beforeAutospacing="1" w:after="100" w:afterAutospacing="1"/>
      <w:jc w:val="left"/>
    </w:pPr>
    <w:rPr>
      <w:rFonts w:ascii="Times New Roman" w:eastAsia="Arial Unicode MS" w:hAnsi="Times New Roman"/>
      <w:b/>
      <w:bCs/>
      <w:sz w:val="28"/>
      <w:szCs w:val="28"/>
      <w:lang w:eastAsia="en-US"/>
    </w:rPr>
  </w:style>
  <w:style w:type="paragraph" w:customStyle="1" w:styleId="StyleCaptionCentered">
    <w:name w:val="Style Caption + Centered"/>
    <w:basedOn w:val="Caption"/>
    <w:next w:val="Normal"/>
    <w:rsid w:val="005D4F67"/>
    <w:pPr>
      <w:spacing w:before="0"/>
      <w:contextualSpacing/>
    </w:pPr>
    <w:rPr>
      <w:rFonts w:ascii="Times New Roman" w:hAnsi="Times New Roman"/>
      <w:sz w:val="20"/>
    </w:rPr>
  </w:style>
  <w:style w:type="paragraph" w:customStyle="1" w:styleId="StyleCaptionCentered1">
    <w:name w:val="Style Caption + Centered1"/>
    <w:basedOn w:val="Caption"/>
    <w:next w:val="Normal"/>
    <w:rsid w:val="005D4F67"/>
    <w:pPr>
      <w:spacing w:before="0"/>
    </w:pPr>
    <w:rPr>
      <w:rFonts w:ascii="Times New Roman" w:hAnsi="Times New Roman"/>
      <w:sz w:val="20"/>
      <w:lang w:val="en-US"/>
    </w:rPr>
  </w:style>
  <w:style w:type="paragraph" w:customStyle="1" w:styleId="StyleHeading4AsianBatang">
    <w:name w:val="Style Heading 4 + (Asian) Batang"/>
    <w:basedOn w:val="Heading4"/>
    <w:link w:val="StyleHeading4AsianBatangChar"/>
    <w:rsid w:val="005D4F67"/>
    <w:pPr>
      <w:numPr>
        <w:numId w:val="1"/>
      </w:numPr>
      <w:tabs>
        <w:tab w:val="clear" w:pos="900"/>
        <w:tab w:val="clear" w:pos="1890"/>
        <w:tab w:val="num" w:pos="864"/>
      </w:tabs>
      <w:spacing w:after="120"/>
      <w:ind w:left="862" w:hanging="862"/>
      <w:jc w:val="both"/>
    </w:pPr>
    <w:rPr>
      <w:rFonts w:ascii="Times New Roman" w:eastAsia="Batang" w:hAnsi="Times New Roman"/>
      <w:i/>
      <w:iCs/>
      <w:color w:val="1F497D"/>
      <w:sz w:val="24"/>
      <w:lang w:val="en-US" w:eastAsia="en-US"/>
    </w:rPr>
  </w:style>
  <w:style w:type="character" w:customStyle="1" w:styleId="StyleHeading4AsianBatangChar">
    <w:name w:val="Style Heading 4 + (Asian) Batang Char"/>
    <w:basedOn w:val="Heading4Char"/>
    <w:link w:val="StyleHeading4AsianBatang"/>
    <w:locked/>
    <w:rsid w:val="005D4F67"/>
    <w:rPr>
      <w:rFonts w:ascii="Garamond" w:eastAsia="Batang" w:hAnsi="Garamond"/>
      <w:b/>
      <w:bCs/>
      <w:i/>
      <w:iCs/>
      <w:color w:val="1F497D"/>
      <w:sz w:val="24"/>
      <w:szCs w:val="24"/>
      <w:lang w:val="en-GB" w:eastAsia="zh-CN"/>
    </w:rPr>
  </w:style>
  <w:style w:type="paragraph" w:customStyle="1" w:styleId="StyleHeading4AsianMSMincho">
    <w:name w:val="Style Heading 4 + (Asian) MS Mincho"/>
    <w:basedOn w:val="Heading4"/>
    <w:rsid w:val="005D4F67"/>
    <w:pPr>
      <w:numPr>
        <w:ilvl w:val="0"/>
        <w:numId w:val="0"/>
      </w:numPr>
      <w:tabs>
        <w:tab w:val="clear" w:pos="900"/>
        <w:tab w:val="clear" w:pos="1890"/>
        <w:tab w:val="num" w:pos="864"/>
        <w:tab w:val="num" w:pos="2880"/>
      </w:tabs>
      <w:spacing w:after="120"/>
      <w:ind w:left="862" w:hanging="862"/>
      <w:jc w:val="both"/>
    </w:pPr>
    <w:rPr>
      <w:rFonts w:ascii="Times New Roman" w:eastAsia="MS Mincho" w:hAnsi="Times New Roman"/>
      <w:i/>
      <w:iCs/>
      <w:color w:val="1F497D"/>
      <w:sz w:val="24"/>
      <w:lang w:val="en-US" w:eastAsia="en-US"/>
    </w:rPr>
  </w:style>
  <w:style w:type="paragraph" w:customStyle="1" w:styleId="StyleHeading3AsianMSMincho">
    <w:name w:val="Style Heading 3 + (Asian) MS Mincho"/>
    <w:basedOn w:val="Heading3"/>
    <w:rsid w:val="005D4F67"/>
    <w:pPr>
      <w:numPr>
        <w:numId w:val="1"/>
      </w:numPr>
      <w:tabs>
        <w:tab w:val="num" w:pos="720"/>
      </w:tabs>
      <w:jc w:val="both"/>
    </w:pPr>
    <w:rPr>
      <w:rFonts w:ascii="Times New Roman" w:eastAsia="MS Mincho" w:hAnsi="Times New Roman" w:cs="Arial"/>
      <w:b w:val="0"/>
      <w:caps/>
      <w:sz w:val="24"/>
      <w:lang w:val="en-US" w:eastAsia="en-US"/>
    </w:rPr>
  </w:style>
  <w:style w:type="paragraph" w:customStyle="1" w:styleId="StyleHeading2AsianMSMincho">
    <w:name w:val="Style Heading 2 + (Asian) MS Mincho"/>
    <w:basedOn w:val="Heading2"/>
    <w:rsid w:val="005D4F67"/>
    <w:pPr>
      <w:numPr>
        <w:ilvl w:val="0"/>
        <w:numId w:val="0"/>
      </w:numPr>
      <w:tabs>
        <w:tab w:val="num" w:pos="576"/>
        <w:tab w:val="num" w:pos="1440"/>
      </w:tabs>
      <w:spacing w:before="240"/>
      <w:ind w:left="578" w:hanging="578"/>
      <w:jc w:val="both"/>
    </w:pPr>
    <w:rPr>
      <w:rFonts w:ascii="Times New Roman" w:eastAsia="MS Mincho" w:hAnsi="Times New Roman" w:cs="Arial"/>
      <w:kern w:val="32"/>
      <w:szCs w:val="28"/>
      <w:lang w:val="en-US" w:eastAsia="en-US"/>
    </w:rPr>
  </w:style>
  <w:style w:type="paragraph" w:customStyle="1" w:styleId="StyleHeading2AsianBatang">
    <w:name w:val="Style Heading 2 + (Asian) Batang"/>
    <w:basedOn w:val="Heading2"/>
    <w:rsid w:val="005D4F67"/>
    <w:pPr>
      <w:numPr>
        <w:ilvl w:val="0"/>
        <w:numId w:val="0"/>
      </w:numPr>
      <w:tabs>
        <w:tab w:val="num" w:pos="576"/>
        <w:tab w:val="num" w:pos="1440"/>
      </w:tabs>
      <w:spacing w:before="240"/>
      <w:ind w:left="578" w:hanging="578"/>
      <w:jc w:val="both"/>
    </w:pPr>
    <w:rPr>
      <w:rFonts w:ascii="Times New Roman" w:eastAsia="Batang" w:hAnsi="Times New Roman" w:cs="Arial"/>
      <w:kern w:val="32"/>
      <w:szCs w:val="32"/>
      <w:lang w:val="en-US" w:eastAsia="en-US"/>
    </w:rPr>
  </w:style>
  <w:style w:type="paragraph" w:customStyle="1" w:styleId="Normal10pt">
    <w:name w:val="Normal + 10 pt"/>
    <w:basedOn w:val="Normal"/>
    <w:rsid w:val="005D4F67"/>
    <w:pPr>
      <w:spacing w:after="0"/>
    </w:pPr>
    <w:rPr>
      <w:rFonts w:ascii="Times New Roman" w:eastAsia="Times New Roman" w:hAnsi="Times New Roman"/>
      <w:b/>
      <w:bCs/>
      <w:i/>
      <w:iCs/>
      <w:sz w:val="32"/>
      <w:lang w:val="en-US" w:eastAsia="en-US"/>
    </w:rPr>
  </w:style>
  <w:style w:type="character" w:styleId="FootnoteReference">
    <w:name w:val="footnote reference"/>
    <w:basedOn w:val="DefaultParagraphFont"/>
    <w:rsid w:val="005D4F67"/>
    <w:rPr>
      <w:rFonts w:cs="Times New Roman"/>
      <w:vertAlign w:val="superscript"/>
    </w:rPr>
  </w:style>
  <w:style w:type="paragraph" w:customStyle="1" w:styleId="NormalLeft">
    <w:name w:val="Normal + Left"/>
    <w:aliases w:val="After:  0 pt"/>
    <w:basedOn w:val="Normal"/>
    <w:rsid w:val="005D4F67"/>
    <w:pPr>
      <w:autoSpaceDE w:val="0"/>
      <w:autoSpaceDN w:val="0"/>
      <w:adjustRightInd w:val="0"/>
      <w:spacing w:after="0"/>
      <w:jc w:val="left"/>
    </w:pPr>
    <w:rPr>
      <w:rFonts w:ascii="Times New Roman" w:eastAsia="Times New Roman" w:hAnsi="Times New Roman"/>
      <w:sz w:val="24"/>
      <w:lang w:val="en-US" w:eastAsia="en-US"/>
    </w:rPr>
  </w:style>
  <w:style w:type="character" w:styleId="Strong">
    <w:name w:val="Strong"/>
    <w:basedOn w:val="DefaultParagraphFont"/>
    <w:qFormat/>
    <w:rsid w:val="00FB6C78"/>
    <w:rPr>
      <w:b/>
      <w:bCs/>
    </w:rPr>
  </w:style>
  <w:style w:type="character" w:styleId="EndnoteReference">
    <w:name w:val="endnote reference"/>
    <w:basedOn w:val="DefaultParagraphFont"/>
    <w:rsid w:val="004B0C2D"/>
    <w:rPr>
      <w:vertAlign w:val="superscript"/>
    </w:rPr>
  </w:style>
  <w:style w:type="character" w:customStyle="1" w:styleId="Heading5Char">
    <w:name w:val="Heading 5 Char"/>
    <w:basedOn w:val="DefaultParagraphFont"/>
    <w:link w:val="Heading5"/>
    <w:rsid w:val="00481D8F"/>
    <w:rPr>
      <w:rFonts w:ascii="Garamond" w:eastAsia="SimSun" w:hAnsi="Garamond"/>
      <w:b/>
      <w:bCs/>
      <w:sz w:val="22"/>
      <w:szCs w:val="24"/>
      <w:lang w:val="en-GB" w:eastAsia="zh-CN"/>
    </w:rPr>
  </w:style>
  <w:style w:type="character" w:customStyle="1" w:styleId="Heading6Char">
    <w:name w:val="Heading 6 Char"/>
    <w:basedOn w:val="DefaultParagraphFont"/>
    <w:link w:val="Heading6"/>
    <w:rsid w:val="00481D8F"/>
    <w:rPr>
      <w:rFonts w:ascii="Garamond" w:eastAsia="SimSun" w:hAnsi="Garamond"/>
      <w:b/>
      <w:bCs/>
      <w:sz w:val="22"/>
      <w:szCs w:val="24"/>
      <w:lang w:val="en-GB" w:eastAsia="zh-CN"/>
    </w:rPr>
  </w:style>
  <w:style w:type="character" w:customStyle="1" w:styleId="Heading7Char">
    <w:name w:val="Heading 7 Char"/>
    <w:basedOn w:val="DefaultParagraphFont"/>
    <w:link w:val="Heading7"/>
    <w:rsid w:val="00481D8F"/>
    <w:rPr>
      <w:rFonts w:ascii="Garamond" w:eastAsia="SimSun" w:hAnsi="Garamond"/>
      <w:b/>
      <w:bCs/>
      <w:sz w:val="22"/>
      <w:szCs w:val="24"/>
      <w:lang w:val="en-GB" w:eastAsia="zh-CN"/>
    </w:rPr>
  </w:style>
  <w:style w:type="character" w:customStyle="1" w:styleId="Heading8Char">
    <w:name w:val="Heading 8 Char"/>
    <w:basedOn w:val="DefaultParagraphFont"/>
    <w:link w:val="Heading8"/>
    <w:rsid w:val="00481D8F"/>
    <w:rPr>
      <w:rFonts w:ascii="Garamond" w:eastAsia="SimSun" w:hAnsi="Garamond"/>
      <w:b/>
      <w:bCs/>
      <w:sz w:val="22"/>
      <w:szCs w:val="24"/>
      <w:lang w:val="en-GB" w:eastAsia="zh-CN"/>
    </w:rPr>
  </w:style>
  <w:style w:type="character" w:customStyle="1" w:styleId="Heading9Char">
    <w:name w:val="Heading 9 Char"/>
    <w:basedOn w:val="DefaultParagraphFont"/>
    <w:link w:val="Heading9"/>
    <w:rsid w:val="00481D8F"/>
    <w:rPr>
      <w:rFonts w:ascii="Garamond" w:eastAsia="SimSun" w:hAnsi="Garamond"/>
      <w:b/>
      <w:bCs/>
      <w:sz w:val="22"/>
      <w:szCs w:val="24"/>
      <w:lang w:val="en-GB" w:eastAsia="zh-CN"/>
    </w:rPr>
  </w:style>
  <w:style w:type="paragraph" w:customStyle="1" w:styleId="Style10ptLeft">
    <w:name w:val="Style 10 pt Left"/>
    <w:basedOn w:val="Normal"/>
    <w:rsid w:val="00261559"/>
    <w:pPr>
      <w:spacing w:after="0"/>
      <w:jc w:val="left"/>
    </w:pPr>
    <w:rPr>
      <w:rFonts w:ascii="Times New Roman" w:eastAsia="Times New Roman" w:hAnsi="Times New Roman"/>
      <w:szCs w:val="20"/>
      <w:lang w:eastAsia="en-US"/>
    </w:rPr>
  </w:style>
  <w:style w:type="paragraph" w:customStyle="1" w:styleId="Style10ptLeft1">
    <w:name w:val="Style 10 pt Left1"/>
    <w:basedOn w:val="Normal"/>
    <w:rsid w:val="00666D79"/>
    <w:pPr>
      <w:spacing w:after="0"/>
      <w:jc w:val="left"/>
    </w:pPr>
    <w:rPr>
      <w:rFonts w:ascii="Times New Roman" w:eastAsia="Times New Roman" w:hAnsi="Times New Roman"/>
      <w:szCs w:val="20"/>
      <w:lang w:eastAsia="en-US"/>
    </w:rPr>
  </w:style>
  <w:style w:type="paragraph" w:customStyle="1" w:styleId="Style10ptLeft2">
    <w:name w:val="Style 10 pt Left2"/>
    <w:basedOn w:val="Normal"/>
    <w:rsid w:val="00666D79"/>
    <w:pPr>
      <w:spacing w:after="0"/>
      <w:jc w:val="left"/>
    </w:pPr>
    <w:rPr>
      <w:rFonts w:ascii="Times New Roman" w:eastAsia="Times New Roman" w:hAnsi="Times New Roman"/>
      <w:szCs w:val="20"/>
      <w:lang w:eastAsia="en-US"/>
    </w:rPr>
  </w:style>
  <w:style w:type="paragraph" w:customStyle="1" w:styleId="Style10ptBoldLeft">
    <w:name w:val="Style 10 pt Bold Left"/>
    <w:basedOn w:val="Normal"/>
    <w:rsid w:val="00412407"/>
    <w:pPr>
      <w:spacing w:after="0"/>
      <w:jc w:val="left"/>
    </w:pPr>
    <w:rPr>
      <w:rFonts w:ascii="Times New Roman" w:eastAsia="Times New Roman" w:hAnsi="Times New Roman"/>
      <w:b/>
      <w:bCs/>
      <w:szCs w:val="20"/>
      <w:lang w:eastAsia="en-US"/>
    </w:rPr>
  </w:style>
  <w:style w:type="paragraph" w:customStyle="1" w:styleId="Style10ptLeft3">
    <w:name w:val="Style 10 pt Left3"/>
    <w:basedOn w:val="Normal"/>
    <w:rsid w:val="00412407"/>
    <w:pPr>
      <w:spacing w:after="0"/>
      <w:jc w:val="left"/>
    </w:pPr>
    <w:rPr>
      <w:rFonts w:ascii="Times New Roman" w:eastAsia="Times New Roman" w:hAnsi="Times New Roman"/>
      <w:szCs w:val="20"/>
      <w:lang w:eastAsia="en-US"/>
    </w:rPr>
  </w:style>
  <w:style w:type="character" w:styleId="Emphasis">
    <w:name w:val="Emphasis"/>
    <w:basedOn w:val="DefaultParagraphFont"/>
    <w:qFormat/>
    <w:rsid w:val="00166356"/>
    <w:rPr>
      <w:i/>
      <w:iCs/>
    </w:rPr>
  </w:style>
  <w:style w:type="paragraph" w:customStyle="1" w:styleId="EndNoteBibliographyTitle">
    <w:name w:val="EndNote Bibliography Title"/>
    <w:basedOn w:val="Normal"/>
    <w:link w:val="EndNoteBibliographyTitleChar"/>
    <w:rsid w:val="004333E2"/>
    <w:pPr>
      <w:spacing w:after="0"/>
      <w:jc w:val="center"/>
    </w:pPr>
    <w:rPr>
      <w:noProof/>
      <w:sz w:val="16"/>
    </w:rPr>
  </w:style>
  <w:style w:type="character" w:customStyle="1" w:styleId="EndNoteBibliographyTitleChar">
    <w:name w:val="EndNote Bibliography Title Char"/>
    <w:basedOn w:val="DefaultParagraphFont"/>
    <w:link w:val="EndNoteBibliographyTitle"/>
    <w:rsid w:val="004333E2"/>
    <w:rPr>
      <w:rFonts w:ascii="Garamond" w:hAnsi="Garamond"/>
      <w:noProof/>
      <w:sz w:val="16"/>
      <w:szCs w:val="24"/>
      <w:lang w:val="en-GB" w:eastAsia="zh-CN"/>
    </w:rPr>
  </w:style>
  <w:style w:type="paragraph" w:customStyle="1" w:styleId="EndNoteBibliography">
    <w:name w:val="EndNote Bibliography"/>
    <w:basedOn w:val="Normal"/>
    <w:link w:val="EndNoteBibliographyChar"/>
    <w:rsid w:val="004333E2"/>
    <w:rPr>
      <w:noProof/>
      <w:sz w:val="16"/>
    </w:rPr>
  </w:style>
  <w:style w:type="character" w:customStyle="1" w:styleId="EndNoteBibliographyChar">
    <w:name w:val="EndNote Bibliography Char"/>
    <w:basedOn w:val="DefaultParagraphFont"/>
    <w:link w:val="EndNoteBibliography"/>
    <w:rsid w:val="004333E2"/>
    <w:rPr>
      <w:rFonts w:ascii="Garamond" w:hAnsi="Garamond"/>
      <w:noProof/>
      <w:sz w:val="16"/>
      <w:szCs w:val="24"/>
      <w:lang w:val="en-GB" w:eastAsia="zh-CN"/>
    </w:rPr>
  </w:style>
  <w:style w:type="paragraph" w:customStyle="1" w:styleId="StyleEndNoteBibliographyLeft0cmHanging099cm">
    <w:name w:val="Style EndNote Bibliography + Left:  0 cm Hanging:  0.99 cm"/>
    <w:basedOn w:val="EndNoteBibliography"/>
    <w:rsid w:val="004333E2"/>
    <w:pPr>
      <w:spacing w:after="0"/>
      <w:ind w:left="561" w:hanging="561"/>
    </w:pPr>
    <w:rPr>
      <w:rFonts w:ascii="Calibri" w:hAnsi="Calibri"/>
    </w:rPr>
  </w:style>
  <w:style w:type="paragraph" w:customStyle="1" w:styleId="StyleEndNoteBibliographyLeft0cmHanging099cmAfter">
    <w:name w:val="Style EndNote Bibliography + Left:  0 cm Hanging:  0.99 cm After:..."/>
    <w:basedOn w:val="EndNoteBibliography"/>
    <w:rsid w:val="004333E2"/>
    <w:pPr>
      <w:spacing w:after="0"/>
      <w:ind w:left="561" w:hanging="561"/>
    </w:pPr>
    <w:rPr>
      <w:rFonts w:ascii="Calibri" w:eastAsia="Times New Roman" w:hAnsi="Calibri"/>
      <w:szCs w:val="20"/>
    </w:rPr>
  </w:style>
  <w:style w:type="paragraph" w:customStyle="1" w:styleId="StyleEndNoteBibliographyLeft0cmHanging099cmAfter1">
    <w:name w:val="Style EndNote Bibliography + Left:  0 cm Hanging:  0.99 cm After:...1"/>
    <w:basedOn w:val="EndNoteBibliography"/>
    <w:rsid w:val="009B77EF"/>
    <w:pPr>
      <w:spacing w:after="0"/>
      <w:ind w:left="561" w:hanging="561"/>
    </w:pPr>
    <w:rPr>
      <w:rFonts w:eastAsia="Times New Roman"/>
      <w:sz w:val="18"/>
      <w:szCs w:val="20"/>
    </w:rPr>
  </w:style>
  <w:style w:type="paragraph" w:customStyle="1" w:styleId="Authors">
    <w:name w:val="Authors"/>
    <w:basedOn w:val="Normal"/>
    <w:link w:val="AuthorsChar"/>
    <w:qFormat/>
    <w:rsid w:val="009B604D"/>
    <w:rPr>
      <w:rFonts w:ascii="Myriad Pro Cond" w:hAnsi="Myriad Pro Cond"/>
      <w:b/>
    </w:rPr>
  </w:style>
  <w:style w:type="paragraph" w:customStyle="1" w:styleId="Reviewers">
    <w:name w:val="Reviewers"/>
    <w:basedOn w:val="Normal"/>
    <w:link w:val="ReviewersChar"/>
    <w:qFormat/>
    <w:rsid w:val="009B604D"/>
    <w:rPr>
      <w:rFonts w:ascii="Myriad Pro Cond" w:hAnsi="Myriad Pro Cond"/>
      <w:b/>
    </w:rPr>
  </w:style>
  <w:style w:type="character" w:customStyle="1" w:styleId="AuthorsChar">
    <w:name w:val="Authors Char"/>
    <w:basedOn w:val="DefaultParagraphFont"/>
    <w:link w:val="Authors"/>
    <w:rsid w:val="009B604D"/>
    <w:rPr>
      <w:rFonts w:ascii="Myriad Pro Cond" w:eastAsia="SimSun" w:hAnsi="Myriad Pro Cond"/>
      <w:b/>
      <w:sz w:val="22"/>
      <w:szCs w:val="24"/>
      <w:lang w:val="en-GB" w:eastAsia="zh-CN"/>
    </w:rPr>
  </w:style>
  <w:style w:type="character" w:customStyle="1" w:styleId="ListParagraphChar">
    <w:name w:val="List Paragraph Char"/>
    <w:basedOn w:val="DefaultParagraphFont"/>
    <w:link w:val="ListParagraph"/>
    <w:uiPriority w:val="34"/>
    <w:rsid w:val="007B1790"/>
    <w:rPr>
      <w:rFonts w:ascii="Garamond" w:eastAsia="Calibri" w:hAnsi="Garamond"/>
      <w:sz w:val="22"/>
      <w:szCs w:val="22"/>
      <w:lang w:val="en-GB"/>
    </w:rPr>
  </w:style>
  <w:style w:type="character" w:customStyle="1" w:styleId="ReviewersChar">
    <w:name w:val="Reviewers Char"/>
    <w:basedOn w:val="DefaultParagraphFont"/>
    <w:link w:val="Reviewers"/>
    <w:rsid w:val="009B604D"/>
    <w:rPr>
      <w:rFonts w:ascii="Myriad Pro Cond" w:eastAsia="SimSun" w:hAnsi="Myriad Pro Cond"/>
      <w:b/>
      <w:sz w:val="22"/>
      <w:szCs w:val="24"/>
      <w:lang w:val="en-GB" w:eastAsia="zh-CN"/>
    </w:rPr>
  </w:style>
  <w:style w:type="table" w:customStyle="1" w:styleId="TableGridLight1">
    <w:name w:val="Table Grid Light1"/>
    <w:basedOn w:val="TableNormal"/>
    <w:uiPriority w:val="40"/>
    <w:rsid w:val="009D7805"/>
    <w:rPr>
      <w:rFonts w:eastAsiaTheme="minorEastAsia"/>
      <w:lang w:val="nl-NL" w:eastAsia="zh-CN"/>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Normalblue">
    <w:name w:val="Normal blue"/>
    <w:basedOn w:val="Normal"/>
    <w:qFormat/>
    <w:rsid w:val="00902C74"/>
    <w:pPr>
      <w:spacing w:after="160" w:line="259" w:lineRule="auto"/>
      <w:jc w:val="left"/>
    </w:pPr>
    <w:rPr>
      <w:rFonts w:ascii="Times New Roman" w:eastAsiaTheme="minorHAnsi" w:hAnsi="Times New Roman" w:cstheme="minorBidi"/>
      <w:color w:val="002060"/>
      <w:szCs w:val="22"/>
      <w:lang w:eastAsia="en-US"/>
    </w:rPr>
  </w:style>
  <w:style w:type="character" w:customStyle="1" w:styleId="UnresolvedMention1">
    <w:name w:val="Unresolved Mention1"/>
    <w:basedOn w:val="DefaultParagraphFont"/>
    <w:uiPriority w:val="99"/>
    <w:semiHidden/>
    <w:unhideWhenUsed/>
    <w:rsid w:val="00BA3A99"/>
    <w:rPr>
      <w:color w:val="605E5C"/>
      <w:shd w:val="clear" w:color="auto" w:fill="E1DFDD"/>
    </w:rPr>
  </w:style>
  <w:style w:type="character" w:customStyle="1" w:styleId="UnresolvedMention2">
    <w:name w:val="Unresolved Mention2"/>
    <w:basedOn w:val="DefaultParagraphFont"/>
    <w:uiPriority w:val="99"/>
    <w:semiHidden/>
    <w:unhideWhenUsed/>
    <w:rsid w:val="00320426"/>
    <w:rPr>
      <w:color w:val="605E5C"/>
      <w:shd w:val="clear" w:color="auto" w:fill="E1DFDD"/>
    </w:rPr>
  </w:style>
  <w:style w:type="character" w:styleId="UnresolvedMention">
    <w:name w:val="Unresolved Mention"/>
    <w:basedOn w:val="DefaultParagraphFont"/>
    <w:uiPriority w:val="99"/>
    <w:semiHidden/>
    <w:unhideWhenUsed/>
    <w:rsid w:val="00E363B6"/>
    <w:rPr>
      <w:color w:val="605E5C"/>
      <w:shd w:val="clear" w:color="auto" w:fill="E1DFDD"/>
    </w:rPr>
  </w:style>
  <w:style w:type="table" w:styleId="GridTable4-Accent1">
    <w:name w:val="Grid Table 4 Accent 1"/>
    <w:basedOn w:val="TableNormal"/>
    <w:uiPriority w:val="49"/>
    <w:rsid w:val="00BF3E64"/>
    <w:rPr>
      <w:rFonts w:asciiTheme="minorHAnsi" w:eastAsiaTheme="minorHAnsi" w:hAnsiTheme="minorHAnsi" w:cstheme="minorBidi"/>
      <w:sz w:val="24"/>
      <w:szCs w:val="24"/>
      <w:lang w:val="en-IE"/>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given-name">
    <w:name w:val="given-name"/>
    <w:basedOn w:val="DefaultParagraphFont"/>
    <w:rsid w:val="00E04BBE"/>
  </w:style>
  <w:style w:type="character" w:customStyle="1" w:styleId="text">
    <w:name w:val="text"/>
    <w:basedOn w:val="DefaultParagraphFont"/>
    <w:rsid w:val="00E04BBE"/>
  </w:style>
  <w:style w:type="paragraph" w:styleId="Revision">
    <w:name w:val="Revision"/>
    <w:hidden/>
    <w:uiPriority w:val="99"/>
    <w:semiHidden/>
    <w:rsid w:val="009F1F48"/>
    <w:rPr>
      <w:rFonts w:ascii="Garamond" w:hAnsi="Garamond"/>
      <w:sz w:val="22"/>
      <w:szCs w:val="24"/>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802514">
      <w:bodyDiv w:val="1"/>
      <w:marLeft w:val="0"/>
      <w:marRight w:val="0"/>
      <w:marTop w:val="0"/>
      <w:marBottom w:val="0"/>
      <w:divBdr>
        <w:top w:val="none" w:sz="0" w:space="0" w:color="auto"/>
        <w:left w:val="none" w:sz="0" w:space="0" w:color="auto"/>
        <w:bottom w:val="none" w:sz="0" w:space="0" w:color="auto"/>
        <w:right w:val="none" w:sz="0" w:space="0" w:color="auto"/>
      </w:divBdr>
    </w:div>
    <w:div w:id="150753481">
      <w:bodyDiv w:val="1"/>
      <w:marLeft w:val="0"/>
      <w:marRight w:val="0"/>
      <w:marTop w:val="0"/>
      <w:marBottom w:val="0"/>
      <w:divBdr>
        <w:top w:val="none" w:sz="0" w:space="0" w:color="auto"/>
        <w:left w:val="none" w:sz="0" w:space="0" w:color="auto"/>
        <w:bottom w:val="none" w:sz="0" w:space="0" w:color="auto"/>
        <w:right w:val="none" w:sz="0" w:space="0" w:color="auto"/>
      </w:divBdr>
    </w:div>
    <w:div w:id="164518737">
      <w:bodyDiv w:val="1"/>
      <w:marLeft w:val="0"/>
      <w:marRight w:val="0"/>
      <w:marTop w:val="0"/>
      <w:marBottom w:val="0"/>
      <w:divBdr>
        <w:top w:val="none" w:sz="0" w:space="0" w:color="auto"/>
        <w:left w:val="none" w:sz="0" w:space="0" w:color="auto"/>
        <w:bottom w:val="none" w:sz="0" w:space="0" w:color="auto"/>
        <w:right w:val="none" w:sz="0" w:space="0" w:color="auto"/>
      </w:divBdr>
    </w:div>
    <w:div w:id="238291827">
      <w:bodyDiv w:val="1"/>
      <w:marLeft w:val="0"/>
      <w:marRight w:val="0"/>
      <w:marTop w:val="0"/>
      <w:marBottom w:val="0"/>
      <w:divBdr>
        <w:top w:val="none" w:sz="0" w:space="0" w:color="auto"/>
        <w:left w:val="none" w:sz="0" w:space="0" w:color="auto"/>
        <w:bottom w:val="none" w:sz="0" w:space="0" w:color="auto"/>
        <w:right w:val="none" w:sz="0" w:space="0" w:color="auto"/>
      </w:divBdr>
    </w:div>
    <w:div w:id="288048376">
      <w:bodyDiv w:val="1"/>
      <w:marLeft w:val="0"/>
      <w:marRight w:val="0"/>
      <w:marTop w:val="0"/>
      <w:marBottom w:val="0"/>
      <w:divBdr>
        <w:top w:val="none" w:sz="0" w:space="0" w:color="auto"/>
        <w:left w:val="none" w:sz="0" w:space="0" w:color="auto"/>
        <w:bottom w:val="none" w:sz="0" w:space="0" w:color="auto"/>
        <w:right w:val="none" w:sz="0" w:space="0" w:color="auto"/>
      </w:divBdr>
    </w:div>
    <w:div w:id="309017402">
      <w:bodyDiv w:val="1"/>
      <w:marLeft w:val="0"/>
      <w:marRight w:val="0"/>
      <w:marTop w:val="0"/>
      <w:marBottom w:val="0"/>
      <w:divBdr>
        <w:top w:val="none" w:sz="0" w:space="0" w:color="auto"/>
        <w:left w:val="none" w:sz="0" w:space="0" w:color="auto"/>
        <w:bottom w:val="none" w:sz="0" w:space="0" w:color="auto"/>
        <w:right w:val="none" w:sz="0" w:space="0" w:color="auto"/>
      </w:divBdr>
      <w:divsChild>
        <w:div w:id="318271320">
          <w:marLeft w:val="605"/>
          <w:marRight w:val="0"/>
          <w:marTop w:val="96"/>
          <w:marBottom w:val="0"/>
          <w:divBdr>
            <w:top w:val="none" w:sz="0" w:space="0" w:color="auto"/>
            <w:left w:val="none" w:sz="0" w:space="0" w:color="auto"/>
            <w:bottom w:val="none" w:sz="0" w:space="0" w:color="auto"/>
            <w:right w:val="none" w:sz="0" w:space="0" w:color="auto"/>
          </w:divBdr>
        </w:div>
        <w:div w:id="965507754">
          <w:marLeft w:val="605"/>
          <w:marRight w:val="0"/>
          <w:marTop w:val="96"/>
          <w:marBottom w:val="0"/>
          <w:divBdr>
            <w:top w:val="none" w:sz="0" w:space="0" w:color="auto"/>
            <w:left w:val="none" w:sz="0" w:space="0" w:color="auto"/>
            <w:bottom w:val="none" w:sz="0" w:space="0" w:color="auto"/>
            <w:right w:val="none" w:sz="0" w:space="0" w:color="auto"/>
          </w:divBdr>
        </w:div>
        <w:div w:id="1885940035">
          <w:marLeft w:val="605"/>
          <w:marRight w:val="0"/>
          <w:marTop w:val="96"/>
          <w:marBottom w:val="0"/>
          <w:divBdr>
            <w:top w:val="none" w:sz="0" w:space="0" w:color="auto"/>
            <w:left w:val="none" w:sz="0" w:space="0" w:color="auto"/>
            <w:bottom w:val="none" w:sz="0" w:space="0" w:color="auto"/>
            <w:right w:val="none" w:sz="0" w:space="0" w:color="auto"/>
          </w:divBdr>
        </w:div>
      </w:divsChild>
    </w:div>
    <w:div w:id="351540353">
      <w:bodyDiv w:val="1"/>
      <w:marLeft w:val="0"/>
      <w:marRight w:val="0"/>
      <w:marTop w:val="0"/>
      <w:marBottom w:val="0"/>
      <w:divBdr>
        <w:top w:val="none" w:sz="0" w:space="0" w:color="auto"/>
        <w:left w:val="none" w:sz="0" w:space="0" w:color="auto"/>
        <w:bottom w:val="none" w:sz="0" w:space="0" w:color="auto"/>
        <w:right w:val="none" w:sz="0" w:space="0" w:color="auto"/>
      </w:divBdr>
    </w:div>
    <w:div w:id="578368634">
      <w:bodyDiv w:val="1"/>
      <w:marLeft w:val="0"/>
      <w:marRight w:val="0"/>
      <w:marTop w:val="0"/>
      <w:marBottom w:val="0"/>
      <w:divBdr>
        <w:top w:val="none" w:sz="0" w:space="0" w:color="auto"/>
        <w:left w:val="none" w:sz="0" w:space="0" w:color="auto"/>
        <w:bottom w:val="none" w:sz="0" w:space="0" w:color="auto"/>
        <w:right w:val="none" w:sz="0" w:space="0" w:color="auto"/>
      </w:divBdr>
    </w:div>
    <w:div w:id="589121445">
      <w:bodyDiv w:val="1"/>
      <w:marLeft w:val="0"/>
      <w:marRight w:val="0"/>
      <w:marTop w:val="0"/>
      <w:marBottom w:val="0"/>
      <w:divBdr>
        <w:top w:val="none" w:sz="0" w:space="0" w:color="auto"/>
        <w:left w:val="none" w:sz="0" w:space="0" w:color="auto"/>
        <w:bottom w:val="none" w:sz="0" w:space="0" w:color="auto"/>
        <w:right w:val="none" w:sz="0" w:space="0" w:color="auto"/>
      </w:divBdr>
    </w:div>
    <w:div w:id="655761681">
      <w:bodyDiv w:val="1"/>
      <w:marLeft w:val="0"/>
      <w:marRight w:val="0"/>
      <w:marTop w:val="0"/>
      <w:marBottom w:val="0"/>
      <w:divBdr>
        <w:top w:val="none" w:sz="0" w:space="0" w:color="auto"/>
        <w:left w:val="none" w:sz="0" w:space="0" w:color="auto"/>
        <w:bottom w:val="none" w:sz="0" w:space="0" w:color="auto"/>
        <w:right w:val="none" w:sz="0" w:space="0" w:color="auto"/>
      </w:divBdr>
    </w:div>
    <w:div w:id="656417827">
      <w:bodyDiv w:val="1"/>
      <w:marLeft w:val="0"/>
      <w:marRight w:val="0"/>
      <w:marTop w:val="0"/>
      <w:marBottom w:val="0"/>
      <w:divBdr>
        <w:top w:val="none" w:sz="0" w:space="0" w:color="auto"/>
        <w:left w:val="none" w:sz="0" w:space="0" w:color="auto"/>
        <w:bottom w:val="none" w:sz="0" w:space="0" w:color="auto"/>
        <w:right w:val="none" w:sz="0" w:space="0" w:color="auto"/>
      </w:divBdr>
    </w:div>
    <w:div w:id="706832672">
      <w:bodyDiv w:val="1"/>
      <w:marLeft w:val="0"/>
      <w:marRight w:val="0"/>
      <w:marTop w:val="0"/>
      <w:marBottom w:val="0"/>
      <w:divBdr>
        <w:top w:val="none" w:sz="0" w:space="0" w:color="auto"/>
        <w:left w:val="none" w:sz="0" w:space="0" w:color="auto"/>
        <w:bottom w:val="none" w:sz="0" w:space="0" w:color="auto"/>
        <w:right w:val="none" w:sz="0" w:space="0" w:color="auto"/>
      </w:divBdr>
    </w:div>
    <w:div w:id="847446061">
      <w:bodyDiv w:val="1"/>
      <w:marLeft w:val="0"/>
      <w:marRight w:val="0"/>
      <w:marTop w:val="0"/>
      <w:marBottom w:val="0"/>
      <w:divBdr>
        <w:top w:val="none" w:sz="0" w:space="0" w:color="auto"/>
        <w:left w:val="none" w:sz="0" w:space="0" w:color="auto"/>
        <w:bottom w:val="none" w:sz="0" w:space="0" w:color="auto"/>
        <w:right w:val="none" w:sz="0" w:space="0" w:color="auto"/>
      </w:divBdr>
    </w:div>
    <w:div w:id="995766325">
      <w:bodyDiv w:val="1"/>
      <w:marLeft w:val="0"/>
      <w:marRight w:val="0"/>
      <w:marTop w:val="0"/>
      <w:marBottom w:val="0"/>
      <w:divBdr>
        <w:top w:val="none" w:sz="0" w:space="0" w:color="auto"/>
        <w:left w:val="none" w:sz="0" w:space="0" w:color="auto"/>
        <w:bottom w:val="none" w:sz="0" w:space="0" w:color="auto"/>
        <w:right w:val="none" w:sz="0" w:space="0" w:color="auto"/>
      </w:divBdr>
    </w:div>
    <w:div w:id="1012411804">
      <w:bodyDiv w:val="1"/>
      <w:marLeft w:val="0"/>
      <w:marRight w:val="0"/>
      <w:marTop w:val="0"/>
      <w:marBottom w:val="0"/>
      <w:divBdr>
        <w:top w:val="none" w:sz="0" w:space="0" w:color="auto"/>
        <w:left w:val="none" w:sz="0" w:space="0" w:color="auto"/>
        <w:bottom w:val="none" w:sz="0" w:space="0" w:color="auto"/>
        <w:right w:val="none" w:sz="0" w:space="0" w:color="auto"/>
      </w:divBdr>
    </w:div>
    <w:div w:id="1057780066">
      <w:bodyDiv w:val="1"/>
      <w:marLeft w:val="0"/>
      <w:marRight w:val="0"/>
      <w:marTop w:val="0"/>
      <w:marBottom w:val="0"/>
      <w:divBdr>
        <w:top w:val="none" w:sz="0" w:space="0" w:color="auto"/>
        <w:left w:val="none" w:sz="0" w:space="0" w:color="auto"/>
        <w:bottom w:val="none" w:sz="0" w:space="0" w:color="auto"/>
        <w:right w:val="none" w:sz="0" w:space="0" w:color="auto"/>
      </w:divBdr>
    </w:div>
    <w:div w:id="1081872047">
      <w:bodyDiv w:val="1"/>
      <w:marLeft w:val="0"/>
      <w:marRight w:val="0"/>
      <w:marTop w:val="0"/>
      <w:marBottom w:val="0"/>
      <w:divBdr>
        <w:top w:val="none" w:sz="0" w:space="0" w:color="auto"/>
        <w:left w:val="none" w:sz="0" w:space="0" w:color="auto"/>
        <w:bottom w:val="none" w:sz="0" w:space="0" w:color="auto"/>
        <w:right w:val="none" w:sz="0" w:space="0" w:color="auto"/>
      </w:divBdr>
    </w:div>
    <w:div w:id="1134254279">
      <w:bodyDiv w:val="1"/>
      <w:marLeft w:val="0"/>
      <w:marRight w:val="0"/>
      <w:marTop w:val="0"/>
      <w:marBottom w:val="0"/>
      <w:divBdr>
        <w:top w:val="none" w:sz="0" w:space="0" w:color="auto"/>
        <w:left w:val="none" w:sz="0" w:space="0" w:color="auto"/>
        <w:bottom w:val="none" w:sz="0" w:space="0" w:color="auto"/>
        <w:right w:val="none" w:sz="0" w:space="0" w:color="auto"/>
      </w:divBdr>
    </w:div>
    <w:div w:id="1178080328">
      <w:bodyDiv w:val="1"/>
      <w:marLeft w:val="0"/>
      <w:marRight w:val="0"/>
      <w:marTop w:val="0"/>
      <w:marBottom w:val="0"/>
      <w:divBdr>
        <w:top w:val="none" w:sz="0" w:space="0" w:color="auto"/>
        <w:left w:val="none" w:sz="0" w:space="0" w:color="auto"/>
        <w:bottom w:val="none" w:sz="0" w:space="0" w:color="auto"/>
        <w:right w:val="none" w:sz="0" w:space="0" w:color="auto"/>
      </w:divBdr>
    </w:div>
    <w:div w:id="1221208452">
      <w:bodyDiv w:val="1"/>
      <w:marLeft w:val="0"/>
      <w:marRight w:val="0"/>
      <w:marTop w:val="0"/>
      <w:marBottom w:val="0"/>
      <w:divBdr>
        <w:top w:val="none" w:sz="0" w:space="0" w:color="auto"/>
        <w:left w:val="none" w:sz="0" w:space="0" w:color="auto"/>
        <w:bottom w:val="none" w:sz="0" w:space="0" w:color="auto"/>
        <w:right w:val="none" w:sz="0" w:space="0" w:color="auto"/>
      </w:divBdr>
    </w:div>
    <w:div w:id="1416852844">
      <w:bodyDiv w:val="1"/>
      <w:marLeft w:val="0"/>
      <w:marRight w:val="0"/>
      <w:marTop w:val="0"/>
      <w:marBottom w:val="0"/>
      <w:divBdr>
        <w:top w:val="none" w:sz="0" w:space="0" w:color="auto"/>
        <w:left w:val="none" w:sz="0" w:space="0" w:color="auto"/>
        <w:bottom w:val="none" w:sz="0" w:space="0" w:color="auto"/>
        <w:right w:val="none" w:sz="0" w:space="0" w:color="auto"/>
      </w:divBdr>
    </w:div>
    <w:div w:id="1493989370">
      <w:bodyDiv w:val="1"/>
      <w:marLeft w:val="0"/>
      <w:marRight w:val="0"/>
      <w:marTop w:val="0"/>
      <w:marBottom w:val="0"/>
      <w:divBdr>
        <w:top w:val="none" w:sz="0" w:space="0" w:color="auto"/>
        <w:left w:val="none" w:sz="0" w:space="0" w:color="auto"/>
        <w:bottom w:val="none" w:sz="0" w:space="0" w:color="auto"/>
        <w:right w:val="none" w:sz="0" w:space="0" w:color="auto"/>
      </w:divBdr>
    </w:div>
    <w:div w:id="1505515576">
      <w:bodyDiv w:val="1"/>
      <w:marLeft w:val="0"/>
      <w:marRight w:val="0"/>
      <w:marTop w:val="0"/>
      <w:marBottom w:val="0"/>
      <w:divBdr>
        <w:top w:val="none" w:sz="0" w:space="0" w:color="auto"/>
        <w:left w:val="none" w:sz="0" w:space="0" w:color="auto"/>
        <w:bottom w:val="none" w:sz="0" w:space="0" w:color="auto"/>
        <w:right w:val="none" w:sz="0" w:space="0" w:color="auto"/>
      </w:divBdr>
    </w:div>
    <w:div w:id="1513297206">
      <w:bodyDiv w:val="1"/>
      <w:marLeft w:val="0"/>
      <w:marRight w:val="0"/>
      <w:marTop w:val="0"/>
      <w:marBottom w:val="0"/>
      <w:divBdr>
        <w:top w:val="none" w:sz="0" w:space="0" w:color="auto"/>
        <w:left w:val="none" w:sz="0" w:space="0" w:color="auto"/>
        <w:bottom w:val="none" w:sz="0" w:space="0" w:color="auto"/>
        <w:right w:val="none" w:sz="0" w:space="0" w:color="auto"/>
      </w:divBdr>
    </w:div>
    <w:div w:id="1524787456">
      <w:bodyDiv w:val="1"/>
      <w:marLeft w:val="0"/>
      <w:marRight w:val="0"/>
      <w:marTop w:val="0"/>
      <w:marBottom w:val="0"/>
      <w:divBdr>
        <w:top w:val="none" w:sz="0" w:space="0" w:color="auto"/>
        <w:left w:val="none" w:sz="0" w:space="0" w:color="auto"/>
        <w:bottom w:val="none" w:sz="0" w:space="0" w:color="auto"/>
        <w:right w:val="none" w:sz="0" w:space="0" w:color="auto"/>
      </w:divBdr>
    </w:div>
    <w:div w:id="1629126492">
      <w:bodyDiv w:val="1"/>
      <w:marLeft w:val="0"/>
      <w:marRight w:val="0"/>
      <w:marTop w:val="0"/>
      <w:marBottom w:val="0"/>
      <w:divBdr>
        <w:top w:val="none" w:sz="0" w:space="0" w:color="auto"/>
        <w:left w:val="none" w:sz="0" w:space="0" w:color="auto"/>
        <w:bottom w:val="none" w:sz="0" w:space="0" w:color="auto"/>
        <w:right w:val="none" w:sz="0" w:space="0" w:color="auto"/>
      </w:divBdr>
    </w:div>
    <w:div w:id="1700426373">
      <w:bodyDiv w:val="1"/>
      <w:marLeft w:val="0"/>
      <w:marRight w:val="0"/>
      <w:marTop w:val="0"/>
      <w:marBottom w:val="0"/>
      <w:divBdr>
        <w:top w:val="none" w:sz="0" w:space="0" w:color="auto"/>
        <w:left w:val="none" w:sz="0" w:space="0" w:color="auto"/>
        <w:bottom w:val="none" w:sz="0" w:space="0" w:color="auto"/>
        <w:right w:val="none" w:sz="0" w:space="0" w:color="auto"/>
      </w:divBdr>
    </w:div>
    <w:div w:id="1779567697">
      <w:bodyDiv w:val="1"/>
      <w:marLeft w:val="0"/>
      <w:marRight w:val="0"/>
      <w:marTop w:val="0"/>
      <w:marBottom w:val="0"/>
      <w:divBdr>
        <w:top w:val="none" w:sz="0" w:space="0" w:color="auto"/>
        <w:left w:val="none" w:sz="0" w:space="0" w:color="auto"/>
        <w:bottom w:val="none" w:sz="0" w:space="0" w:color="auto"/>
        <w:right w:val="none" w:sz="0" w:space="0" w:color="auto"/>
      </w:divBdr>
    </w:div>
    <w:div w:id="1809862846">
      <w:bodyDiv w:val="1"/>
      <w:marLeft w:val="0"/>
      <w:marRight w:val="0"/>
      <w:marTop w:val="0"/>
      <w:marBottom w:val="0"/>
      <w:divBdr>
        <w:top w:val="none" w:sz="0" w:space="0" w:color="auto"/>
        <w:left w:val="none" w:sz="0" w:space="0" w:color="auto"/>
        <w:bottom w:val="none" w:sz="0" w:space="0" w:color="auto"/>
        <w:right w:val="none" w:sz="0" w:space="0" w:color="auto"/>
      </w:divBdr>
    </w:div>
    <w:div w:id="1829398864">
      <w:bodyDiv w:val="1"/>
      <w:marLeft w:val="0"/>
      <w:marRight w:val="0"/>
      <w:marTop w:val="0"/>
      <w:marBottom w:val="0"/>
      <w:divBdr>
        <w:top w:val="none" w:sz="0" w:space="0" w:color="auto"/>
        <w:left w:val="none" w:sz="0" w:space="0" w:color="auto"/>
        <w:bottom w:val="none" w:sz="0" w:space="0" w:color="auto"/>
        <w:right w:val="none" w:sz="0" w:space="0" w:color="auto"/>
      </w:divBdr>
      <w:divsChild>
        <w:div w:id="1234463707">
          <w:marLeft w:val="302"/>
          <w:marRight w:val="0"/>
          <w:marTop w:val="90"/>
          <w:marBottom w:val="90"/>
          <w:divBdr>
            <w:top w:val="none" w:sz="0" w:space="0" w:color="auto"/>
            <w:left w:val="none" w:sz="0" w:space="0" w:color="auto"/>
            <w:bottom w:val="none" w:sz="0" w:space="0" w:color="auto"/>
            <w:right w:val="none" w:sz="0" w:space="0" w:color="auto"/>
          </w:divBdr>
        </w:div>
        <w:div w:id="1847479745">
          <w:marLeft w:val="302"/>
          <w:marRight w:val="0"/>
          <w:marTop w:val="90"/>
          <w:marBottom w:val="90"/>
          <w:divBdr>
            <w:top w:val="none" w:sz="0" w:space="0" w:color="auto"/>
            <w:left w:val="none" w:sz="0" w:space="0" w:color="auto"/>
            <w:bottom w:val="none" w:sz="0" w:space="0" w:color="auto"/>
            <w:right w:val="none" w:sz="0" w:space="0" w:color="auto"/>
          </w:divBdr>
        </w:div>
        <w:div w:id="1586567846">
          <w:marLeft w:val="302"/>
          <w:marRight w:val="0"/>
          <w:marTop w:val="90"/>
          <w:marBottom w:val="90"/>
          <w:divBdr>
            <w:top w:val="none" w:sz="0" w:space="0" w:color="auto"/>
            <w:left w:val="none" w:sz="0" w:space="0" w:color="auto"/>
            <w:bottom w:val="none" w:sz="0" w:space="0" w:color="auto"/>
            <w:right w:val="none" w:sz="0" w:space="0" w:color="auto"/>
          </w:divBdr>
        </w:div>
      </w:divsChild>
    </w:div>
    <w:div w:id="1905487981">
      <w:bodyDiv w:val="1"/>
      <w:marLeft w:val="0"/>
      <w:marRight w:val="0"/>
      <w:marTop w:val="0"/>
      <w:marBottom w:val="0"/>
      <w:divBdr>
        <w:top w:val="none" w:sz="0" w:space="0" w:color="auto"/>
        <w:left w:val="none" w:sz="0" w:space="0" w:color="auto"/>
        <w:bottom w:val="none" w:sz="0" w:space="0" w:color="auto"/>
        <w:right w:val="none" w:sz="0" w:space="0" w:color="auto"/>
      </w:divBdr>
    </w:div>
    <w:div w:id="2051496031">
      <w:bodyDiv w:val="1"/>
      <w:marLeft w:val="0"/>
      <w:marRight w:val="0"/>
      <w:marTop w:val="0"/>
      <w:marBottom w:val="0"/>
      <w:divBdr>
        <w:top w:val="none" w:sz="0" w:space="0" w:color="auto"/>
        <w:left w:val="none" w:sz="0" w:space="0" w:color="auto"/>
        <w:bottom w:val="none" w:sz="0" w:space="0" w:color="auto"/>
        <w:right w:val="none" w:sz="0" w:space="0" w:color="auto"/>
      </w:divBdr>
    </w:div>
    <w:div w:id="2078477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enome.gov/about-genomics/fact-sheets/DNA-Sequencing-Costs-Data" TargetMode="External"/><Relationship Id="rId18" Type="http://schemas.openxmlformats.org/officeDocument/2006/relationships/image" Target="media/image4.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hyperlink" Target="https://figshare.com/articles/dataset/developments_in_NGS/100940?file=5470844" TargetMode="External"/><Relationship Id="rId17" Type="http://schemas.openxmlformats.org/officeDocument/2006/relationships/image" Target="media/image3.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drive.google.com/drive/folders/1DQVaqD2VpSx6YbZUjOMHI97XcNP4Go_I?usp=share_link"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drive.google.com/drive/folders/1swJIv9Z1pyD52Jo630d-ivBTOhxt7dHu?usp=share_link" TargetMode="External"/><Relationship Id="rId23"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s://drive.google.com/drive/folders/1I_wbxtSBsYaL_OIy1wPlWqnkGIhin4Zg?usp=share_lin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4C814AC407C1640ADB0CC0E943091A5"/>
        <w:category>
          <w:name w:val="General"/>
          <w:gallery w:val="placeholder"/>
        </w:category>
        <w:types>
          <w:type w:val="bbPlcHdr"/>
        </w:types>
        <w:behaviors>
          <w:behavior w:val="content"/>
        </w:behaviors>
        <w:guid w:val="{72874F8A-C9D8-E645-92E6-016F642B1144}"/>
      </w:docPartPr>
      <w:docPartBody>
        <w:p w:rsidR="007715F5" w:rsidRDefault="007715F5" w:rsidP="007715F5">
          <w:pPr>
            <w:pStyle w:val="84C814AC407C1640ADB0CC0E943091A5"/>
          </w:pPr>
          <w:r w:rsidRPr="00C64CEC">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2" w:usb2="00000000" w:usb3="00000000" w:csb0="0000009F" w:csb1="00000000"/>
  </w:font>
  <w:font w:name="Myriad Pro Cond">
    <w:altName w:val="Segoe UI"/>
    <w:panose1 w:val="020B0703030403020204"/>
    <w:charset w:val="00"/>
    <w:family w:val="swiss"/>
    <w:notTrueType/>
    <w:pitch w:val="variable"/>
    <w:sig w:usb0="20000287" w:usb1="00000001"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GJNIF B+ Times New Roman PSMT">
    <w:altName w:val="Cambria"/>
    <w:panose1 w:val="020B0604020202020204"/>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clid">
    <w:altName w:val="Bell MT"/>
    <w:panose1 w:val="020B0604020202020204"/>
    <w:charset w:val="00"/>
    <w:family w:val="roman"/>
    <w:pitch w:val="variable"/>
    <w:sig w:usb0="8000002F" w:usb1="0000000A"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10006FF" w:usb1="4000FCFF" w:usb2="00000009" w:usb3="00000000" w:csb0="0000019F" w:csb1="00000000"/>
  </w:font>
  <w:font w:name="CG Times">
    <w:panose1 w:val="020B0604020202020204"/>
    <w:charset w:val="00"/>
    <w:family w:val="roman"/>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Myanmar Text">
    <w:panose1 w:val="020B0502040204020203"/>
    <w:charset w:val="00"/>
    <w:family w:val="swiss"/>
    <w:pitch w:val="variable"/>
    <w:sig w:usb0="80000003" w:usb1="00000000" w:usb2="00000400" w:usb3="00000000" w:csb0="00000001"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7576"/>
    <w:rsid w:val="001C7576"/>
    <w:rsid w:val="004F2D3D"/>
    <w:rsid w:val="006F7AD5"/>
    <w:rsid w:val="007715F5"/>
    <w:rsid w:val="00B27FF8"/>
    <w:rsid w:val="00E43DF6"/>
  </w:rsids>
  <m:mathPr>
    <m:mathFont m:val="Cambria Math"/>
    <m:brkBin m:val="before"/>
    <m:brkBinSub m:val="--"/>
    <m:smallFrac m:val="0"/>
    <m:dispDef/>
    <m:lMargin m:val="0"/>
    <m:rMargin m:val="0"/>
    <m:defJc m:val="centerGroup"/>
    <m:wrapIndent m:val="1440"/>
    <m:intLim m:val="subSup"/>
    <m:naryLim m:val="undOvr"/>
  </m:mathPr>
  <w:themeFontLang w:val="en-IE"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IE"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715F5"/>
    <w:rPr>
      <w:color w:val="808080"/>
    </w:rPr>
  </w:style>
  <w:style w:type="paragraph" w:customStyle="1" w:styleId="C7A35A0DCF8D884BA3B380FB22445E10">
    <w:name w:val="C7A35A0DCF8D884BA3B380FB22445E10"/>
    <w:rsid w:val="001C7576"/>
  </w:style>
  <w:style w:type="paragraph" w:customStyle="1" w:styleId="A77D67D815EB4B478D5252D0C7E3BFAC">
    <w:name w:val="A77D67D815EB4B478D5252D0C7E3BFAC"/>
    <w:rsid w:val="001C7576"/>
  </w:style>
  <w:style w:type="paragraph" w:customStyle="1" w:styleId="FB674120C443BA4EA4BE99ED91360D3A">
    <w:name w:val="FB674120C443BA4EA4BE99ED91360D3A"/>
    <w:rsid w:val="001C7576"/>
  </w:style>
  <w:style w:type="paragraph" w:customStyle="1" w:styleId="55B926F6101F8D4EB7BBFDD7150D9A95">
    <w:name w:val="55B926F6101F8D4EB7BBFDD7150D9A95"/>
    <w:rsid w:val="001C7576"/>
  </w:style>
  <w:style w:type="paragraph" w:customStyle="1" w:styleId="84C814AC407C1640ADB0CC0E943091A5">
    <w:name w:val="84C814AC407C1640ADB0CC0E943091A5"/>
    <w:rsid w:val="007715F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c7a2cb5-8c6c-41ba-9350-d7339e4598d0" xsi:nil="true"/>
    <lcf76f155ced4ddcb4097134ff3c332f xmlns="907b8a54-93a1-4852-97b5-fb95f61fe8b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858169225B8E214EB9EE20C117514AA9" ma:contentTypeVersion="14" ma:contentTypeDescription="Opret et nyt dokument." ma:contentTypeScope="" ma:versionID="e0ac80bbba8e3027f739b05b077db320">
  <xsd:schema xmlns:xsd="http://www.w3.org/2001/XMLSchema" xmlns:xs="http://www.w3.org/2001/XMLSchema" xmlns:p="http://schemas.microsoft.com/office/2006/metadata/properties" xmlns:ns2="907b8a54-93a1-4852-97b5-fb95f61fe8b1" xmlns:ns3="0c7a2cb5-8c6c-41ba-9350-d7339e4598d0" targetNamespace="http://schemas.microsoft.com/office/2006/metadata/properties" ma:root="true" ma:fieldsID="419f344fdb0bc882c757d5174cc79d88" ns2:_="" ns3:_="">
    <xsd:import namespace="907b8a54-93a1-4852-97b5-fb95f61fe8b1"/>
    <xsd:import namespace="0c7a2cb5-8c6c-41ba-9350-d7339e4598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b8a54-93a1-4852-97b5-fb95f61fe8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Billedmærker" ma:readOnly="false" ma:fieldId="{5cf76f15-5ced-4ddc-b409-7134ff3c332f}" ma:taxonomyMulti="true" ma:sspId="1e24f276-14dc-4e54-a0cf-bc34c614c50f"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7a2cb5-8c6c-41ba-9350-d7339e4598d0" elementFormDefault="qualified">
    <xsd:import namespace="http://schemas.microsoft.com/office/2006/documentManagement/types"/>
    <xsd:import namespace="http://schemas.microsoft.com/office/infopath/2007/PartnerControls"/>
    <xsd:element name="SharedWithUsers" ma:index="12" nillable="true" ma:displayName="Del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lt med detaljer" ma:internalName="SharedWithDetails" ma:readOnly="true">
      <xsd:simpleType>
        <xsd:restriction base="dms:Note">
          <xsd:maxLength value="255"/>
        </xsd:restriction>
      </xsd:simpleType>
    </xsd:element>
    <xsd:element name="TaxCatchAll" ma:index="16" nillable="true" ma:displayName="Taxonomy Catch All Column" ma:hidden="true" ma:list="{5d7fa461-9936-472c-9b75-f3228f586dfe}" ma:internalName="TaxCatchAll" ma:showField="CatchAllData" ma:web="0c7a2cb5-8c6c-41ba-9350-d7339e4598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dhol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143B13D3-EBB5-459D-BA7D-14D7854DDD15}">
  <ds:schemaRefs>
    <ds:schemaRef ds:uri="http://schemas.microsoft.com/office/2006/metadata/properties"/>
    <ds:schemaRef ds:uri="http://schemas.microsoft.com/office/infopath/2007/PartnerControls"/>
    <ds:schemaRef ds:uri="0c7a2cb5-8c6c-41ba-9350-d7339e4598d0"/>
    <ds:schemaRef ds:uri="907b8a54-93a1-4852-97b5-fb95f61fe8b1"/>
  </ds:schemaRefs>
</ds:datastoreItem>
</file>

<file path=customXml/itemProps2.xml><?xml version="1.0" encoding="utf-8"?>
<ds:datastoreItem xmlns:ds="http://schemas.openxmlformats.org/officeDocument/2006/customXml" ds:itemID="{3CA59427-6C80-4804-938E-3646AD7C1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b8a54-93a1-4852-97b5-fb95f61fe8b1"/>
    <ds:schemaRef ds:uri="0c7a2cb5-8c6c-41ba-9350-d7339e4598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4108BB4-1173-446A-9896-85C4A1CFFC92}">
  <ds:schemaRefs>
    <ds:schemaRef ds:uri="http://schemas.microsoft.com/sharepoint/v3/contenttype/forms"/>
  </ds:schemaRefs>
</ds:datastoreItem>
</file>

<file path=customXml/itemProps4.xml><?xml version="1.0" encoding="utf-8"?>
<ds:datastoreItem xmlns:ds="http://schemas.openxmlformats.org/officeDocument/2006/customXml" ds:itemID="{40177198-1399-7F4D-A571-A631F0E9AF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23</Pages>
  <Words>7922</Words>
  <Characters>51822</Characters>
  <Application>Microsoft Office Word</Application>
  <DocSecurity>0</DocSecurity>
  <Lines>431</Lines>
  <Paragraphs>119</Paragraphs>
  <ScaleCrop>false</ScaleCrop>
  <HeadingPairs>
    <vt:vector size="2" baseType="variant">
      <vt:variant>
        <vt:lpstr>Title</vt:lpstr>
      </vt:variant>
      <vt:variant>
        <vt:i4>1</vt:i4>
      </vt:variant>
    </vt:vector>
  </HeadingPairs>
  <TitlesOfParts>
    <vt:vector size="1" baseType="lpstr">
      <vt:lpstr>Membrane technology in water treatment</vt:lpstr>
    </vt:vector>
  </TitlesOfParts>
  <Company>UNESCO-IHE Institute for Water Education</Company>
  <LinksUpToDate>false</LinksUpToDate>
  <CharactersWithSpaces>59625</CharactersWithSpaces>
  <SharedDoc>false</SharedDoc>
  <HLinks>
    <vt:vector size="702" baseType="variant">
      <vt:variant>
        <vt:i4>1179702</vt:i4>
      </vt:variant>
      <vt:variant>
        <vt:i4>698</vt:i4>
      </vt:variant>
      <vt:variant>
        <vt:i4>0</vt:i4>
      </vt:variant>
      <vt:variant>
        <vt:i4>5</vt:i4>
      </vt:variant>
      <vt:variant>
        <vt:lpwstr/>
      </vt:variant>
      <vt:variant>
        <vt:lpwstr>_Toc253421558</vt:lpwstr>
      </vt:variant>
      <vt:variant>
        <vt:i4>1179702</vt:i4>
      </vt:variant>
      <vt:variant>
        <vt:i4>692</vt:i4>
      </vt:variant>
      <vt:variant>
        <vt:i4>0</vt:i4>
      </vt:variant>
      <vt:variant>
        <vt:i4>5</vt:i4>
      </vt:variant>
      <vt:variant>
        <vt:lpwstr/>
      </vt:variant>
      <vt:variant>
        <vt:lpwstr>_Toc253421557</vt:lpwstr>
      </vt:variant>
      <vt:variant>
        <vt:i4>1179702</vt:i4>
      </vt:variant>
      <vt:variant>
        <vt:i4>686</vt:i4>
      </vt:variant>
      <vt:variant>
        <vt:i4>0</vt:i4>
      </vt:variant>
      <vt:variant>
        <vt:i4>5</vt:i4>
      </vt:variant>
      <vt:variant>
        <vt:lpwstr/>
      </vt:variant>
      <vt:variant>
        <vt:lpwstr>_Toc253421556</vt:lpwstr>
      </vt:variant>
      <vt:variant>
        <vt:i4>1179702</vt:i4>
      </vt:variant>
      <vt:variant>
        <vt:i4>680</vt:i4>
      </vt:variant>
      <vt:variant>
        <vt:i4>0</vt:i4>
      </vt:variant>
      <vt:variant>
        <vt:i4>5</vt:i4>
      </vt:variant>
      <vt:variant>
        <vt:lpwstr/>
      </vt:variant>
      <vt:variant>
        <vt:lpwstr>_Toc253421555</vt:lpwstr>
      </vt:variant>
      <vt:variant>
        <vt:i4>1179702</vt:i4>
      </vt:variant>
      <vt:variant>
        <vt:i4>674</vt:i4>
      </vt:variant>
      <vt:variant>
        <vt:i4>0</vt:i4>
      </vt:variant>
      <vt:variant>
        <vt:i4>5</vt:i4>
      </vt:variant>
      <vt:variant>
        <vt:lpwstr/>
      </vt:variant>
      <vt:variant>
        <vt:lpwstr>_Toc253421554</vt:lpwstr>
      </vt:variant>
      <vt:variant>
        <vt:i4>1179702</vt:i4>
      </vt:variant>
      <vt:variant>
        <vt:i4>668</vt:i4>
      </vt:variant>
      <vt:variant>
        <vt:i4>0</vt:i4>
      </vt:variant>
      <vt:variant>
        <vt:i4>5</vt:i4>
      </vt:variant>
      <vt:variant>
        <vt:lpwstr/>
      </vt:variant>
      <vt:variant>
        <vt:lpwstr>_Toc253421553</vt:lpwstr>
      </vt:variant>
      <vt:variant>
        <vt:i4>1179702</vt:i4>
      </vt:variant>
      <vt:variant>
        <vt:i4>662</vt:i4>
      </vt:variant>
      <vt:variant>
        <vt:i4>0</vt:i4>
      </vt:variant>
      <vt:variant>
        <vt:i4>5</vt:i4>
      </vt:variant>
      <vt:variant>
        <vt:lpwstr/>
      </vt:variant>
      <vt:variant>
        <vt:lpwstr>_Toc253421552</vt:lpwstr>
      </vt:variant>
      <vt:variant>
        <vt:i4>1179702</vt:i4>
      </vt:variant>
      <vt:variant>
        <vt:i4>656</vt:i4>
      </vt:variant>
      <vt:variant>
        <vt:i4>0</vt:i4>
      </vt:variant>
      <vt:variant>
        <vt:i4>5</vt:i4>
      </vt:variant>
      <vt:variant>
        <vt:lpwstr/>
      </vt:variant>
      <vt:variant>
        <vt:lpwstr>_Toc253421551</vt:lpwstr>
      </vt:variant>
      <vt:variant>
        <vt:i4>1179702</vt:i4>
      </vt:variant>
      <vt:variant>
        <vt:i4>650</vt:i4>
      </vt:variant>
      <vt:variant>
        <vt:i4>0</vt:i4>
      </vt:variant>
      <vt:variant>
        <vt:i4>5</vt:i4>
      </vt:variant>
      <vt:variant>
        <vt:lpwstr/>
      </vt:variant>
      <vt:variant>
        <vt:lpwstr>_Toc253421550</vt:lpwstr>
      </vt:variant>
      <vt:variant>
        <vt:i4>1245238</vt:i4>
      </vt:variant>
      <vt:variant>
        <vt:i4>644</vt:i4>
      </vt:variant>
      <vt:variant>
        <vt:i4>0</vt:i4>
      </vt:variant>
      <vt:variant>
        <vt:i4>5</vt:i4>
      </vt:variant>
      <vt:variant>
        <vt:lpwstr/>
      </vt:variant>
      <vt:variant>
        <vt:lpwstr>_Toc253421549</vt:lpwstr>
      </vt:variant>
      <vt:variant>
        <vt:i4>1245238</vt:i4>
      </vt:variant>
      <vt:variant>
        <vt:i4>638</vt:i4>
      </vt:variant>
      <vt:variant>
        <vt:i4>0</vt:i4>
      </vt:variant>
      <vt:variant>
        <vt:i4>5</vt:i4>
      </vt:variant>
      <vt:variant>
        <vt:lpwstr/>
      </vt:variant>
      <vt:variant>
        <vt:lpwstr>_Toc253421548</vt:lpwstr>
      </vt:variant>
      <vt:variant>
        <vt:i4>1245238</vt:i4>
      </vt:variant>
      <vt:variant>
        <vt:i4>632</vt:i4>
      </vt:variant>
      <vt:variant>
        <vt:i4>0</vt:i4>
      </vt:variant>
      <vt:variant>
        <vt:i4>5</vt:i4>
      </vt:variant>
      <vt:variant>
        <vt:lpwstr/>
      </vt:variant>
      <vt:variant>
        <vt:lpwstr>_Toc253421547</vt:lpwstr>
      </vt:variant>
      <vt:variant>
        <vt:i4>1245238</vt:i4>
      </vt:variant>
      <vt:variant>
        <vt:i4>626</vt:i4>
      </vt:variant>
      <vt:variant>
        <vt:i4>0</vt:i4>
      </vt:variant>
      <vt:variant>
        <vt:i4>5</vt:i4>
      </vt:variant>
      <vt:variant>
        <vt:lpwstr/>
      </vt:variant>
      <vt:variant>
        <vt:lpwstr>_Toc253421546</vt:lpwstr>
      </vt:variant>
      <vt:variant>
        <vt:i4>1245238</vt:i4>
      </vt:variant>
      <vt:variant>
        <vt:i4>620</vt:i4>
      </vt:variant>
      <vt:variant>
        <vt:i4>0</vt:i4>
      </vt:variant>
      <vt:variant>
        <vt:i4>5</vt:i4>
      </vt:variant>
      <vt:variant>
        <vt:lpwstr/>
      </vt:variant>
      <vt:variant>
        <vt:lpwstr>_Toc253421545</vt:lpwstr>
      </vt:variant>
      <vt:variant>
        <vt:i4>1245238</vt:i4>
      </vt:variant>
      <vt:variant>
        <vt:i4>614</vt:i4>
      </vt:variant>
      <vt:variant>
        <vt:i4>0</vt:i4>
      </vt:variant>
      <vt:variant>
        <vt:i4>5</vt:i4>
      </vt:variant>
      <vt:variant>
        <vt:lpwstr/>
      </vt:variant>
      <vt:variant>
        <vt:lpwstr>_Toc253421544</vt:lpwstr>
      </vt:variant>
      <vt:variant>
        <vt:i4>1245238</vt:i4>
      </vt:variant>
      <vt:variant>
        <vt:i4>608</vt:i4>
      </vt:variant>
      <vt:variant>
        <vt:i4>0</vt:i4>
      </vt:variant>
      <vt:variant>
        <vt:i4>5</vt:i4>
      </vt:variant>
      <vt:variant>
        <vt:lpwstr/>
      </vt:variant>
      <vt:variant>
        <vt:lpwstr>_Toc253421543</vt:lpwstr>
      </vt:variant>
      <vt:variant>
        <vt:i4>1245238</vt:i4>
      </vt:variant>
      <vt:variant>
        <vt:i4>602</vt:i4>
      </vt:variant>
      <vt:variant>
        <vt:i4>0</vt:i4>
      </vt:variant>
      <vt:variant>
        <vt:i4>5</vt:i4>
      </vt:variant>
      <vt:variant>
        <vt:lpwstr/>
      </vt:variant>
      <vt:variant>
        <vt:lpwstr>_Toc253421542</vt:lpwstr>
      </vt:variant>
      <vt:variant>
        <vt:i4>1245238</vt:i4>
      </vt:variant>
      <vt:variant>
        <vt:i4>596</vt:i4>
      </vt:variant>
      <vt:variant>
        <vt:i4>0</vt:i4>
      </vt:variant>
      <vt:variant>
        <vt:i4>5</vt:i4>
      </vt:variant>
      <vt:variant>
        <vt:lpwstr/>
      </vt:variant>
      <vt:variant>
        <vt:lpwstr>_Toc253421541</vt:lpwstr>
      </vt:variant>
      <vt:variant>
        <vt:i4>1245238</vt:i4>
      </vt:variant>
      <vt:variant>
        <vt:i4>590</vt:i4>
      </vt:variant>
      <vt:variant>
        <vt:i4>0</vt:i4>
      </vt:variant>
      <vt:variant>
        <vt:i4>5</vt:i4>
      </vt:variant>
      <vt:variant>
        <vt:lpwstr/>
      </vt:variant>
      <vt:variant>
        <vt:lpwstr>_Toc253421540</vt:lpwstr>
      </vt:variant>
      <vt:variant>
        <vt:i4>1310774</vt:i4>
      </vt:variant>
      <vt:variant>
        <vt:i4>584</vt:i4>
      </vt:variant>
      <vt:variant>
        <vt:i4>0</vt:i4>
      </vt:variant>
      <vt:variant>
        <vt:i4>5</vt:i4>
      </vt:variant>
      <vt:variant>
        <vt:lpwstr/>
      </vt:variant>
      <vt:variant>
        <vt:lpwstr>_Toc253421539</vt:lpwstr>
      </vt:variant>
      <vt:variant>
        <vt:i4>1310774</vt:i4>
      </vt:variant>
      <vt:variant>
        <vt:i4>578</vt:i4>
      </vt:variant>
      <vt:variant>
        <vt:i4>0</vt:i4>
      </vt:variant>
      <vt:variant>
        <vt:i4>5</vt:i4>
      </vt:variant>
      <vt:variant>
        <vt:lpwstr/>
      </vt:variant>
      <vt:variant>
        <vt:lpwstr>_Toc253421538</vt:lpwstr>
      </vt:variant>
      <vt:variant>
        <vt:i4>1310774</vt:i4>
      </vt:variant>
      <vt:variant>
        <vt:i4>572</vt:i4>
      </vt:variant>
      <vt:variant>
        <vt:i4>0</vt:i4>
      </vt:variant>
      <vt:variant>
        <vt:i4>5</vt:i4>
      </vt:variant>
      <vt:variant>
        <vt:lpwstr/>
      </vt:variant>
      <vt:variant>
        <vt:lpwstr>_Toc253421537</vt:lpwstr>
      </vt:variant>
      <vt:variant>
        <vt:i4>1310774</vt:i4>
      </vt:variant>
      <vt:variant>
        <vt:i4>566</vt:i4>
      </vt:variant>
      <vt:variant>
        <vt:i4>0</vt:i4>
      </vt:variant>
      <vt:variant>
        <vt:i4>5</vt:i4>
      </vt:variant>
      <vt:variant>
        <vt:lpwstr/>
      </vt:variant>
      <vt:variant>
        <vt:lpwstr>_Toc253421536</vt:lpwstr>
      </vt:variant>
      <vt:variant>
        <vt:i4>1310774</vt:i4>
      </vt:variant>
      <vt:variant>
        <vt:i4>560</vt:i4>
      </vt:variant>
      <vt:variant>
        <vt:i4>0</vt:i4>
      </vt:variant>
      <vt:variant>
        <vt:i4>5</vt:i4>
      </vt:variant>
      <vt:variant>
        <vt:lpwstr/>
      </vt:variant>
      <vt:variant>
        <vt:lpwstr>_Toc253421535</vt:lpwstr>
      </vt:variant>
      <vt:variant>
        <vt:i4>1310774</vt:i4>
      </vt:variant>
      <vt:variant>
        <vt:i4>554</vt:i4>
      </vt:variant>
      <vt:variant>
        <vt:i4>0</vt:i4>
      </vt:variant>
      <vt:variant>
        <vt:i4>5</vt:i4>
      </vt:variant>
      <vt:variant>
        <vt:lpwstr/>
      </vt:variant>
      <vt:variant>
        <vt:lpwstr>_Toc253421534</vt:lpwstr>
      </vt:variant>
      <vt:variant>
        <vt:i4>1310774</vt:i4>
      </vt:variant>
      <vt:variant>
        <vt:i4>548</vt:i4>
      </vt:variant>
      <vt:variant>
        <vt:i4>0</vt:i4>
      </vt:variant>
      <vt:variant>
        <vt:i4>5</vt:i4>
      </vt:variant>
      <vt:variant>
        <vt:lpwstr/>
      </vt:variant>
      <vt:variant>
        <vt:lpwstr>_Toc253421533</vt:lpwstr>
      </vt:variant>
      <vt:variant>
        <vt:i4>1310774</vt:i4>
      </vt:variant>
      <vt:variant>
        <vt:i4>542</vt:i4>
      </vt:variant>
      <vt:variant>
        <vt:i4>0</vt:i4>
      </vt:variant>
      <vt:variant>
        <vt:i4>5</vt:i4>
      </vt:variant>
      <vt:variant>
        <vt:lpwstr/>
      </vt:variant>
      <vt:variant>
        <vt:lpwstr>_Toc253421532</vt:lpwstr>
      </vt:variant>
      <vt:variant>
        <vt:i4>1310774</vt:i4>
      </vt:variant>
      <vt:variant>
        <vt:i4>536</vt:i4>
      </vt:variant>
      <vt:variant>
        <vt:i4>0</vt:i4>
      </vt:variant>
      <vt:variant>
        <vt:i4>5</vt:i4>
      </vt:variant>
      <vt:variant>
        <vt:lpwstr/>
      </vt:variant>
      <vt:variant>
        <vt:lpwstr>_Toc253421531</vt:lpwstr>
      </vt:variant>
      <vt:variant>
        <vt:i4>1310774</vt:i4>
      </vt:variant>
      <vt:variant>
        <vt:i4>530</vt:i4>
      </vt:variant>
      <vt:variant>
        <vt:i4>0</vt:i4>
      </vt:variant>
      <vt:variant>
        <vt:i4>5</vt:i4>
      </vt:variant>
      <vt:variant>
        <vt:lpwstr/>
      </vt:variant>
      <vt:variant>
        <vt:lpwstr>_Toc253421530</vt:lpwstr>
      </vt:variant>
      <vt:variant>
        <vt:i4>1376310</vt:i4>
      </vt:variant>
      <vt:variant>
        <vt:i4>524</vt:i4>
      </vt:variant>
      <vt:variant>
        <vt:i4>0</vt:i4>
      </vt:variant>
      <vt:variant>
        <vt:i4>5</vt:i4>
      </vt:variant>
      <vt:variant>
        <vt:lpwstr/>
      </vt:variant>
      <vt:variant>
        <vt:lpwstr>_Toc253421529</vt:lpwstr>
      </vt:variant>
      <vt:variant>
        <vt:i4>1376310</vt:i4>
      </vt:variant>
      <vt:variant>
        <vt:i4>518</vt:i4>
      </vt:variant>
      <vt:variant>
        <vt:i4>0</vt:i4>
      </vt:variant>
      <vt:variant>
        <vt:i4>5</vt:i4>
      </vt:variant>
      <vt:variant>
        <vt:lpwstr/>
      </vt:variant>
      <vt:variant>
        <vt:lpwstr>_Toc253421528</vt:lpwstr>
      </vt:variant>
      <vt:variant>
        <vt:i4>1376310</vt:i4>
      </vt:variant>
      <vt:variant>
        <vt:i4>512</vt:i4>
      </vt:variant>
      <vt:variant>
        <vt:i4>0</vt:i4>
      </vt:variant>
      <vt:variant>
        <vt:i4>5</vt:i4>
      </vt:variant>
      <vt:variant>
        <vt:lpwstr/>
      </vt:variant>
      <vt:variant>
        <vt:lpwstr>_Toc253421527</vt:lpwstr>
      </vt:variant>
      <vt:variant>
        <vt:i4>1376310</vt:i4>
      </vt:variant>
      <vt:variant>
        <vt:i4>506</vt:i4>
      </vt:variant>
      <vt:variant>
        <vt:i4>0</vt:i4>
      </vt:variant>
      <vt:variant>
        <vt:i4>5</vt:i4>
      </vt:variant>
      <vt:variant>
        <vt:lpwstr/>
      </vt:variant>
      <vt:variant>
        <vt:lpwstr>_Toc253421526</vt:lpwstr>
      </vt:variant>
      <vt:variant>
        <vt:i4>1376310</vt:i4>
      </vt:variant>
      <vt:variant>
        <vt:i4>500</vt:i4>
      </vt:variant>
      <vt:variant>
        <vt:i4>0</vt:i4>
      </vt:variant>
      <vt:variant>
        <vt:i4>5</vt:i4>
      </vt:variant>
      <vt:variant>
        <vt:lpwstr/>
      </vt:variant>
      <vt:variant>
        <vt:lpwstr>_Toc253421525</vt:lpwstr>
      </vt:variant>
      <vt:variant>
        <vt:i4>1376310</vt:i4>
      </vt:variant>
      <vt:variant>
        <vt:i4>494</vt:i4>
      </vt:variant>
      <vt:variant>
        <vt:i4>0</vt:i4>
      </vt:variant>
      <vt:variant>
        <vt:i4>5</vt:i4>
      </vt:variant>
      <vt:variant>
        <vt:lpwstr/>
      </vt:variant>
      <vt:variant>
        <vt:lpwstr>_Toc253421524</vt:lpwstr>
      </vt:variant>
      <vt:variant>
        <vt:i4>1376310</vt:i4>
      </vt:variant>
      <vt:variant>
        <vt:i4>488</vt:i4>
      </vt:variant>
      <vt:variant>
        <vt:i4>0</vt:i4>
      </vt:variant>
      <vt:variant>
        <vt:i4>5</vt:i4>
      </vt:variant>
      <vt:variant>
        <vt:lpwstr/>
      </vt:variant>
      <vt:variant>
        <vt:lpwstr>_Toc253421523</vt:lpwstr>
      </vt:variant>
      <vt:variant>
        <vt:i4>1376310</vt:i4>
      </vt:variant>
      <vt:variant>
        <vt:i4>482</vt:i4>
      </vt:variant>
      <vt:variant>
        <vt:i4>0</vt:i4>
      </vt:variant>
      <vt:variant>
        <vt:i4>5</vt:i4>
      </vt:variant>
      <vt:variant>
        <vt:lpwstr/>
      </vt:variant>
      <vt:variant>
        <vt:lpwstr>_Toc253421522</vt:lpwstr>
      </vt:variant>
      <vt:variant>
        <vt:i4>1376310</vt:i4>
      </vt:variant>
      <vt:variant>
        <vt:i4>476</vt:i4>
      </vt:variant>
      <vt:variant>
        <vt:i4>0</vt:i4>
      </vt:variant>
      <vt:variant>
        <vt:i4>5</vt:i4>
      </vt:variant>
      <vt:variant>
        <vt:lpwstr/>
      </vt:variant>
      <vt:variant>
        <vt:lpwstr>_Toc253421521</vt:lpwstr>
      </vt:variant>
      <vt:variant>
        <vt:i4>1376310</vt:i4>
      </vt:variant>
      <vt:variant>
        <vt:i4>470</vt:i4>
      </vt:variant>
      <vt:variant>
        <vt:i4>0</vt:i4>
      </vt:variant>
      <vt:variant>
        <vt:i4>5</vt:i4>
      </vt:variant>
      <vt:variant>
        <vt:lpwstr/>
      </vt:variant>
      <vt:variant>
        <vt:lpwstr>_Toc253421520</vt:lpwstr>
      </vt:variant>
      <vt:variant>
        <vt:i4>1441846</vt:i4>
      </vt:variant>
      <vt:variant>
        <vt:i4>464</vt:i4>
      </vt:variant>
      <vt:variant>
        <vt:i4>0</vt:i4>
      </vt:variant>
      <vt:variant>
        <vt:i4>5</vt:i4>
      </vt:variant>
      <vt:variant>
        <vt:lpwstr/>
      </vt:variant>
      <vt:variant>
        <vt:lpwstr>_Toc253421519</vt:lpwstr>
      </vt:variant>
      <vt:variant>
        <vt:i4>1441846</vt:i4>
      </vt:variant>
      <vt:variant>
        <vt:i4>458</vt:i4>
      </vt:variant>
      <vt:variant>
        <vt:i4>0</vt:i4>
      </vt:variant>
      <vt:variant>
        <vt:i4>5</vt:i4>
      </vt:variant>
      <vt:variant>
        <vt:lpwstr/>
      </vt:variant>
      <vt:variant>
        <vt:lpwstr>_Toc253421518</vt:lpwstr>
      </vt:variant>
      <vt:variant>
        <vt:i4>1441846</vt:i4>
      </vt:variant>
      <vt:variant>
        <vt:i4>452</vt:i4>
      </vt:variant>
      <vt:variant>
        <vt:i4>0</vt:i4>
      </vt:variant>
      <vt:variant>
        <vt:i4>5</vt:i4>
      </vt:variant>
      <vt:variant>
        <vt:lpwstr/>
      </vt:variant>
      <vt:variant>
        <vt:lpwstr>_Toc253421517</vt:lpwstr>
      </vt:variant>
      <vt:variant>
        <vt:i4>1441846</vt:i4>
      </vt:variant>
      <vt:variant>
        <vt:i4>446</vt:i4>
      </vt:variant>
      <vt:variant>
        <vt:i4>0</vt:i4>
      </vt:variant>
      <vt:variant>
        <vt:i4>5</vt:i4>
      </vt:variant>
      <vt:variant>
        <vt:lpwstr/>
      </vt:variant>
      <vt:variant>
        <vt:lpwstr>_Toc253421516</vt:lpwstr>
      </vt:variant>
      <vt:variant>
        <vt:i4>1441846</vt:i4>
      </vt:variant>
      <vt:variant>
        <vt:i4>440</vt:i4>
      </vt:variant>
      <vt:variant>
        <vt:i4>0</vt:i4>
      </vt:variant>
      <vt:variant>
        <vt:i4>5</vt:i4>
      </vt:variant>
      <vt:variant>
        <vt:lpwstr/>
      </vt:variant>
      <vt:variant>
        <vt:lpwstr>_Toc253421515</vt:lpwstr>
      </vt:variant>
      <vt:variant>
        <vt:i4>1441846</vt:i4>
      </vt:variant>
      <vt:variant>
        <vt:i4>434</vt:i4>
      </vt:variant>
      <vt:variant>
        <vt:i4>0</vt:i4>
      </vt:variant>
      <vt:variant>
        <vt:i4>5</vt:i4>
      </vt:variant>
      <vt:variant>
        <vt:lpwstr/>
      </vt:variant>
      <vt:variant>
        <vt:lpwstr>_Toc253421514</vt:lpwstr>
      </vt:variant>
      <vt:variant>
        <vt:i4>1441846</vt:i4>
      </vt:variant>
      <vt:variant>
        <vt:i4>428</vt:i4>
      </vt:variant>
      <vt:variant>
        <vt:i4>0</vt:i4>
      </vt:variant>
      <vt:variant>
        <vt:i4>5</vt:i4>
      </vt:variant>
      <vt:variant>
        <vt:lpwstr/>
      </vt:variant>
      <vt:variant>
        <vt:lpwstr>_Toc253421513</vt:lpwstr>
      </vt:variant>
      <vt:variant>
        <vt:i4>1441846</vt:i4>
      </vt:variant>
      <vt:variant>
        <vt:i4>422</vt:i4>
      </vt:variant>
      <vt:variant>
        <vt:i4>0</vt:i4>
      </vt:variant>
      <vt:variant>
        <vt:i4>5</vt:i4>
      </vt:variant>
      <vt:variant>
        <vt:lpwstr/>
      </vt:variant>
      <vt:variant>
        <vt:lpwstr>_Toc253421512</vt:lpwstr>
      </vt:variant>
      <vt:variant>
        <vt:i4>1441846</vt:i4>
      </vt:variant>
      <vt:variant>
        <vt:i4>416</vt:i4>
      </vt:variant>
      <vt:variant>
        <vt:i4>0</vt:i4>
      </vt:variant>
      <vt:variant>
        <vt:i4>5</vt:i4>
      </vt:variant>
      <vt:variant>
        <vt:lpwstr/>
      </vt:variant>
      <vt:variant>
        <vt:lpwstr>_Toc253421511</vt:lpwstr>
      </vt:variant>
      <vt:variant>
        <vt:i4>1441846</vt:i4>
      </vt:variant>
      <vt:variant>
        <vt:i4>410</vt:i4>
      </vt:variant>
      <vt:variant>
        <vt:i4>0</vt:i4>
      </vt:variant>
      <vt:variant>
        <vt:i4>5</vt:i4>
      </vt:variant>
      <vt:variant>
        <vt:lpwstr/>
      </vt:variant>
      <vt:variant>
        <vt:lpwstr>_Toc253421510</vt:lpwstr>
      </vt:variant>
      <vt:variant>
        <vt:i4>1507382</vt:i4>
      </vt:variant>
      <vt:variant>
        <vt:i4>404</vt:i4>
      </vt:variant>
      <vt:variant>
        <vt:i4>0</vt:i4>
      </vt:variant>
      <vt:variant>
        <vt:i4>5</vt:i4>
      </vt:variant>
      <vt:variant>
        <vt:lpwstr/>
      </vt:variant>
      <vt:variant>
        <vt:lpwstr>_Toc253421509</vt:lpwstr>
      </vt:variant>
      <vt:variant>
        <vt:i4>1507382</vt:i4>
      </vt:variant>
      <vt:variant>
        <vt:i4>398</vt:i4>
      </vt:variant>
      <vt:variant>
        <vt:i4>0</vt:i4>
      </vt:variant>
      <vt:variant>
        <vt:i4>5</vt:i4>
      </vt:variant>
      <vt:variant>
        <vt:lpwstr/>
      </vt:variant>
      <vt:variant>
        <vt:lpwstr>_Toc253421508</vt:lpwstr>
      </vt:variant>
      <vt:variant>
        <vt:i4>1507382</vt:i4>
      </vt:variant>
      <vt:variant>
        <vt:i4>392</vt:i4>
      </vt:variant>
      <vt:variant>
        <vt:i4>0</vt:i4>
      </vt:variant>
      <vt:variant>
        <vt:i4>5</vt:i4>
      </vt:variant>
      <vt:variant>
        <vt:lpwstr/>
      </vt:variant>
      <vt:variant>
        <vt:lpwstr>_Toc253421507</vt:lpwstr>
      </vt:variant>
      <vt:variant>
        <vt:i4>1507382</vt:i4>
      </vt:variant>
      <vt:variant>
        <vt:i4>386</vt:i4>
      </vt:variant>
      <vt:variant>
        <vt:i4>0</vt:i4>
      </vt:variant>
      <vt:variant>
        <vt:i4>5</vt:i4>
      </vt:variant>
      <vt:variant>
        <vt:lpwstr/>
      </vt:variant>
      <vt:variant>
        <vt:lpwstr>_Toc253421506</vt:lpwstr>
      </vt:variant>
      <vt:variant>
        <vt:i4>1507382</vt:i4>
      </vt:variant>
      <vt:variant>
        <vt:i4>380</vt:i4>
      </vt:variant>
      <vt:variant>
        <vt:i4>0</vt:i4>
      </vt:variant>
      <vt:variant>
        <vt:i4>5</vt:i4>
      </vt:variant>
      <vt:variant>
        <vt:lpwstr/>
      </vt:variant>
      <vt:variant>
        <vt:lpwstr>_Toc253421505</vt:lpwstr>
      </vt:variant>
      <vt:variant>
        <vt:i4>1507382</vt:i4>
      </vt:variant>
      <vt:variant>
        <vt:i4>374</vt:i4>
      </vt:variant>
      <vt:variant>
        <vt:i4>0</vt:i4>
      </vt:variant>
      <vt:variant>
        <vt:i4>5</vt:i4>
      </vt:variant>
      <vt:variant>
        <vt:lpwstr/>
      </vt:variant>
      <vt:variant>
        <vt:lpwstr>_Toc253421504</vt:lpwstr>
      </vt:variant>
      <vt:variant>
        <vt:i4>1507382</vt:i4>
      </vt:variant>
      <vt:variant>
        <vt:i4>368</vt:i4>
      </vt:variant>
      <vt:variant>
        <vt:i4>0</vt:i4>
      </vt:variant>
      <vt:variant>
        <vt:i4>5</vt:i4>
      </vt:variant>
      <vt:variant>
        <vt:lpwstr/>
      </vt:variant>
      <vt:variant>
        <vt:lpwstr>_Toc253421503</vt:lpwstr>
      </vt:variant>
      <vt:variant>
        <vt:i4>1507382</vt:i4>
      </vt:variant>
      <vt:variant>
        <vt:i4>362</vt:i4>
      </vt:variant>
      <vt:variant>
        <vt:i4>0</vt:i4>
      </vt:variant>
      <vt:variant>
        <vt:i4>5</vt:i4>
      </vt:variant>
      <vt:variant>
        <vt:lpwstr/>
      </vt:variant>
      <vt:variant>
        <vt:lpwstr>_Toc253421502</vt:lpwstr>
      </vt:variant>
      <vt:variant>
        <vt:i4>1507382</vt:i4>
      </vt:variant>
      <vt:variant>
        <vt:i4>356</vt:i4>
      </vt:variant>
      <vt:variant>
        <vt:i4>0</vt:i4>
      </vt:variant>
      <vt:variant>
        <vt:i4>5</vt:i4>
      </vt:variant>
      <vt:variant>
        <vt:lpwstr/>
      </vt:variant>
      <vt:variant>
        <vt:lpwstr>_Toc253421501</vt:lpwstr>
      </vt:variant>
      <vt:variant>
        <vt:i4>1507382</vt:i4>
      </vt:variant>
      <vt:variant>
        <vt:i4>350</vt:i4>
      </vt:variant>
      <vt:variant>
        <vt:i4>0</vt:i4>
      </vt:variant>
      <vt:variant>
        <vt:i4>5</vt:i4>
      </vt:variant>
      <vt:variant>
        <vt:lpwstr/>
      </vt:variant>
      <vt:variant>
        <vt:lpwstr>_Toc253421500</vt:lpwstr>
      </vt:variant>
      <vt:variant>
        <vt:i4>1966135</vt:i4>
      </vt:variant>
      <vt:variant>
        <vt:i4>344</vt:i4>
      </vt:variant>
      <vt:variant>
        <vt:i4>0</vt:i4>
      </vt:variant>
      <vt:variant>
        <vt:i4>5</vt:i4>
      </vt:variant>
      <vt:variant>
        <vt:lpwstr/>
      </vt:variant>
      <vt:variant>
        <vt:lpwstr>_Toc253421499</vt:lpwstr>
      </vt:variant>
      <vt:variant>
        <vt:i4>1966135</vt:i4>
      </vt:variant>
      <vt:variant>
        <vt:i4>338</vt:i4>
      </vt:variant>
      <vt:variant>
        <vt:i4>0</vt:i4>
      </vt:variant>
      <vt:variant>
        <vt:i4>5</vt:i4>
      </vt:variant>
      <vt:variant>
        <vt:lpwstr/>
      </vt:variant>
      <vt:variant>
        <vt:lpwstr>_Toc253421498</vt:lpwstr>
      </vt:variant>
      <vt:variant>
        <vt:i4>1966135</vt:i4>
      </vt:variant>
      <vt:variant>
        <vt:i4>332</vt:i4>
      </vt:variant>
      <vt:variant>
        <vt:i4>0</vt:i4>
      </vt:variant>
      <vt:variant>
        <vt:i4>5</vt:i4>
      </vt:variant>
      <vt:variant>
        <vt:lpwstr/>
      </vt:variant>
      <vt:variant>
        <vt:lpwstr>_Toc253421497</vt:lpwstr>
      </vt:variant>
      <vt:variant>
        <vt:i4>1966135</vt:i4>
      </vt:variant>
      <vt:variant>
        <vt:i4>326</vt:i4>
      </vt:variant>
      <vt:variant>
        <vt:i4>0</vt:i4>
      </vt:variant>
      <vt:variant>
        <vt:i4>5</vt:i4>
      </vt:variant>
      <vt:variant>
        <vt:lpwstr/>
      </vt:variant>
      <vt:variant>
        <vt:lpwstr>_Toc253421496</vt:lpwstr>
      </vt:variant>
      <vt:variant>
        <vt:i4>1966135</vt:i4>
      </vt:variant>
      <vt:variant>
        <vt:i4>320</vt:i4>
      </vt:variant>
      <vt:variant>
        <vt:i4>0</vt:i4>
      </vt:variant>
      <vt:variant>
        <vt:i4>5</vt:i4>
      </vt:variant>
      <vt:variant>
        <vt:lpwstr/>
      </vt:variant>
      <vt:variant>
        <vt:lpwstr>_Toc253421495</vt:lpwstr>
      </vt:variant>
      <vt:variant>
        <vt:i4>1966135</vt:i4>
      </vt:variant>
      <vt:variant>
        <vt:i4>314</vt:i4>
      </vt:variant>
      <vt:variant>
        <vt:i4>0</vt:i4>
      </vt:variant>
      <vt:variant>
        <vt:i4>5</vt:i4>
      </vt:variant>
      <vt:variant>
        <vt:lpwstr/>
      </vt:variant>
      <vt:variant>
        <vt:lpwstr>_Toc253421494</vt:lpwstr>
      </vt:variant>
      <vt:variant>
        <vt:i4>1966135</vt:i4>
      </vt:variant>
      <vt:variant>
        <vt:i4>308</vt:i4>
      </vt:variant>
      <vt:variant>
        <vt:i4>0</vt:i4>
      </vt:variant>
      <vt:variant>
        <vt:i4>5</vt:i4>
      </vt:variant>
      <vt:variant>
        <vt:lpwstr/>
      </vt:variant>
      <vt:variant>
        <vt:lpwstr>_Toc253421493</vt:lpwstr>
      </vt:variant>
      <vt:variant>
        <vt:i4>1966135</vt:i4>
      </vt:variant>
      <vt:variant>
        <vt:i4>302</vt:i4>
      </vt:variant>
      <vt:variant>
        <vt:i4>0</vt:i4>
      </vt:variant>
      <vt:variant>
        <vt:i4>5</vt:i4>
      </vt:variant>
      <vt:variant>
        <vt:lpwstr/>
      </vt:variant>
      <vt:variant>
        <vt:lpwstr>_Toc253421492</vt:lpwstr>
      </vt:variant>
      <vt:variant>
        <vt:i4>1966135</vt:i4>
      </vt:variant>
      <vt:variant>
        <vt:i4>296</vt:i4>
      </vt:variant>
      <vt:variant>
        <vt:i4>0</vt:i4>
      </vt:variant>
      <vt:variant>
        <vt:i4>5</vt:i4>
      </vt:variant>
      <vt:variant>
        <vt:lpwstr/>
      </vt:variant>
      <vt:variant>
        <vt:lpwstr>_Toc253421491</vt:lpwstr>
      </vt:variant>
      <vt:variant>
        <vt:i4>1966135</vt:i4>
      </vt:variant>
      <vt:variant>
        <vt:i4>290</vt:i4>
      </vt:variant>
      <vt:variant>
        <vt:i4>0</vt:i4>
      </vt:variant>
      <vt:variant>
        <vt:i4>5</vt:i4>
      </vt:variant>
      <vt:variant>
        <vt:lpwstr/>
      </vt:variant>
      <vt:variant>
        <vt:lpwstr>_Toc253421490</vt:lpwstr>
      </vt:variant>
      <vt:variant>
        <vt:i4>2031671</vt:i4>
      </vt:variant>
      <vt:variant>
        <vt:i4>284</vt:i4>
      </vt:variant>
      <vt:variant>
        <vt:i4>0</vt:i4>
      </vt:variant>
      <vt:variant>
        <vt:i4>5</vt:i4>
      </vt:variant>
      <vt:variant>
        <vt:lpwstr/>
      </vt:variant>
      <vt:variant>
        <vt:lpwstr>_Toc253421489</vt:lpwstr>
      </vt:variant>
      <vt:variant>
        <vt:i4>2031671</vt:i4>
      </vt:variant>
      <vt:variant>
        <vt:i4>278</vt:i4>
      </vt:variant>
      <vt:variant>
        <vt:i4>0</vt:i4>
      </vt:variant>
      <vt:variant>
        <vt:i4>5</vt:i4>
      </vt:variant>
      <vt:variant>
        <vt:lpwstr/>
      </vt:variant>
      <vt:variant>
        <vt:lpwstr>_Toc253421488</vt:lpwstr>
      </vt:variant>
      <vt:variant>
        <vt:i4>2031671</vt:i4>
      </vt:variant>
      <vt:variant>
        <vt:i4>272</vt:i4>
      </vt:variant>
      <vt:variant>
        <vt:i4>0</vt:i4>
      </vt:variant>
      <vt:variant>
        <vt:i4>5</vt:i4>
      </vt:variant>
      <vt:variant>
        <vt:lpwstr/>
      </vt:variant>
      <vt:variant>
        <vt:lpwstr>_Toc253421487</vt:lpwstr>
      </vt:variant>
      <vt:variant>
        <vt:i4>2031671</vt:i4>
      </vt:variant>
      <vt:variant>
        <vt:i4>266</vt:i4>
      </vt:variant>
      <vt:variant>
        <vt:i4>0</vt:i4>
      </vt:variant>
      <vt:variant>
        <vt:i4>5</vt:i4>
      </vt:variant>
      <vt:variant>
        <vt:lpwstr/>
      </vt:variant>
      <vt:variant>
        <vt:lpwstr>_Toc253421486</vt:lpwstr>
      </vt:variant>
      <vt:variant>
        <vt:i4>2031671</vt:i4>
      </vt:variant>
      <vt:variant>
        <vt:i4>260</vt:i4>
      </vt:variant>
      <vt:variant>
        <vt:i4>0</vt:i4>
      </vt:variant>
      <vt:variant>
        <vt:i4>5</vt:i4>
      </vt:variant>
      <vt:variant>
        <vt:lpwstr/>
      </vt:variant>
      <vt:variant>
        <vt:lpwstr>_Toc253421485</vt:lpwstr>
      </vt:variant>
      <vt:variant>
        <vt:i4>2031671</vt:i4>
      </vt:variant>
      <vt:variant>
        <vt:i4>254</vt:i4>
      </vt:variant>
      <vt:variant>
        <vt:i4>0</vt:i4>
      </vt:variant>
      <vt:variant>
        <vt:i4>5</vt:i4>
      </vt:variant>
      <vt:variant>
        <vt:lpwstr/>
      </vt:variant>
      <vt:variant>
        <vt:lpwstr>_Toc253421484</vt:lpwstr>
      </vt:variant>
      <vt:variant>
        <vt:i4>2031671</vt:i4>
      </vt:variant>
      <vt:variant>
        <vt:i4>248</vt:i4>
      </vt:variant>
      <vt:variant>
        <vt:i4>0</vt:i4>
      </vt:variant>
      <vt:variant>
        <vt:i4>5</vt:i4>
      </vt:variant>
      <vt:variant>
        <vt:lpwstr/>
      </vt:variant>
      <vt:variant>
        <vt:lpwstr>_Toc253421483</vt:lpwstr>
      </vt:variant>
      <vt:variant>
        <vt:i4>2031671</vt:i4>
      </vt:variant>
      <vt:variant>
        <vt:i4>242</vt:i4>
      </vt:variant>
      <vt:variant>
        <vt:i4>0</vt:i4>
      </vt:variant>
      <vt:variant>
        <vt:i4>5</vt:i4>
      </vt:variant>
      <vt:variant>
        <vt:lpwstr/>
      </vt:variant>
      <vt:variant>
        <vt:lpwstr>_Toc253421482</vt:lpwstr>
      </vt:variant>
      <vt:variant>
        <vt:i4>2031671</vt:i4>
      </vt:variant>
      <vt:variant>
        <vt:i4>236</vt:i4>
      </vt:variant>
      <vt:variant>
        <vt:i4>0</vt:i4>
      </vt:variant>
      <vt:variant>
        <vt:i4>5</vt:i4>
      </vt:variant>
      <vt:variant>
        <vt:lpwstr/>
      </vt:variant>
      <vt:variant>
        <vt:lpwstr>_Toc253421481</vt:lpwstr>
      </vt:variant>
      <vt:variant>
        <vt:i4>2031671</vt:i4>
      </vt:variant>
      <vt:variant>
        <vt:i4>230</vt:i4>
      </vt:variant>
      <vt:variant>
        <vt:i4>0</vt:i4>
      </vt:variant>
      <vt:variant>
        <vt:i4>5</vt:i4>
      </vt:variant>
      <vt:variant>
        <vt:lpwstr/>
      </vt:variant>
      <vt:variant>
        <vt:lpwstr>_Toc253421480</vt:lpwstr>
      </vt:variant>
      <vt:variant>
        <vt:i4>1048631</vt:i4>
      </vt:variant>
      <vt:variant>
        <vt:i4>224</vt:i4>
      </vt:variant>
      <vt:variant>
        <vt:i4>0</vt:i4>
      </vt:variant>
      <vt:variant>
        <vt:i4>5</vt:i4>
      </vt:variant>
      <vt:variant>
        <vt:lpwstr/>
      </vt:variant>
      <vt:variant>
        <vt:lpwstr>_Toc253421479</vt:lpwstr>
      </vt:variant>
      <vt:variant>
        <vt:i4>1048631</vt:i4>
      </vt:variant>
      <vt:variant>
        <vt:i4>218</vt:i4>
      </vt:variant>
      <vt:variant>
        <vt:i4>0</vt:i4>
      </vt:variant>
      <vt:variant>
        <vt:i4>5</vt:i4>
      </vt:variant>
      <vt:variant>
        <vt:lpwstr/>
      </vt:variant>
      <vt:variant>
        <vt:lpwstr>_Toc253421478</vt:lpwstr>
      </vt:variant>
      <vt:variant>
        <vt:i4>1048631</vt:i4>
      </vt:variant>
      <vt:variant>
        <vt:i4>212</vt:i4>
      </vt:variant>
      <vt:variant>
        <vt:i4>0</vt:i4>
      </vt:variant>
      <vt:variant>
        <vt:i4>5</vt:i4>
      </vt:variant>
      <vt:variant>
        <vt:lpwstr/>
      </vt:variant>
      <vt:variant>
        <vt:lpwstr>_Toc253421477</vt:lpwstr>
      </vt:variant>
      <vt:variant>
        <vt:i4>1048631</vt:i4>
      </vt:variant>
      <vt:variant>
        <vt:i4>206</vt:i4>
      </vt:variant>
      <vt:variant>
        <vt:i4>0</vt:i4>
      </vt:variant>
      <vt:variant>
        <vt:i4>5</vt:i4>
      </vt:variant>
      <vt:variant>
        <vt:lpwstr/>
      </vt:variant>
      <vt:variant>
        <vt:lpwstr>_Toc253421476</vt:lpwstr>
      </vt:variant>
      <vt:variant>
        <vt:i4>1048631</vt:i4>
      </vt:variant>
      <vt:variant>
        <vt:i4>200</vt:i4>
      </vt:variant>
      <vt:variant>
        <vt:i4>0</vt:i4>
      </vt:variant>
      <vt:variant>
        <vt:i4>5</vt:i4>
      </vt:variant>
      <vt:variant>
        <vt:lpwstr/>
      </vt:variant>
      <vt:variant>
        <vt:lpwstr>_Toc253421475</vt:lpwstr>
      </vt:variant>
      <vt:variant>
        <vt:i4>1048631</vt:i4>
      </vt:variant>
      <vt:variant>
        <vt:i4>194</vt:i4>
      </vt:variant>
      <vt:variant>
        <vt:i4>0</vt:i4>
      </vt:variant>
      <vt:variant>
        <vt:i4>5</vt:i4>
      </vt:variant>
      <vt:variant>
        <vt:lpwstr/>
      </vt:variant>
      <vt:variant>
        <vt:lpwstr>_Toc253421474</vt:lpwstr>
      </vt:variant>
      <vt:variant>
        <vt:i4>1048631</vt:i4>
      </vt:variant>
      <vt:variant>
        <vt:i4>188</vt:i4>
      </vt:variant>
      <vt:variant>
        <vt:i4>0</vt:i4>
      </vt:variant>
      <vt:variant>
        <vt:i4>5</vt:i4>
      </vt:variant>
      <vt:variant>
        <vt:lpwstr/>
      </vt:variant>
      <vt:variant>
        <vt:lpwstr>_Toc253421473</vt:lpwstr>
      </vt:variant>
      <vt:variant>
        <vt:i4>1048631</vt:i4>
      </vt:variant>
      <vt:variant>
        <vt:i4>182</vt:i4>
      </vt:variant>
      <vt:variant>
        <vt:i4>0</vt:i4>
      </vt:variant>
      <vt:variant>
        <vt:i4>5</vt:i4>
      </vt:variant>
      <vt:variant>
        <vt:lpwstr/>
      </vt:variant>
      <vt:variant>
        <vt:lpwstr>_Toc253421472</vt:lpwstr>
      </vt:variant>
      <vt:variant>
        <vt:i4>1048631</vt:i4>
      </vt:variant>
      <vt:variant>
        <vt:i4>176</vt:i4>
      </vt:variant>
      <vt:variant>
        <vt:i4>0</vt:i4>
      </vt:variant>
      <vt:variant>
        <vt:i4>5</vt:i4>
      </vt:variant>
      <vt:variant>
        <vt:lpwstr/>
      </vt:variant>
      <vt:variant>
        <vt:lpwstr>_Toc253421471</vt:lpwstr>
      </vt:variant>
      <vt:variant>
        <vt:i4>1048631</vt:i4>
      </vt:variant>
      <vt:variant>
        <vt:i4>170</vt:i4>
      </vt:variant>
      <vt:variant>
        <vt:i4>0</vt:i4>
      </vt:variant>
      <vt:variant>
        <vt:i4>5</vt:i4>
      </vt:variant>
      <vt:variant>
        <vt:lpwstr/>
      </vt:variant>
      <vt:variant>
        <vt:lpwstr>_Toc253421470</vt:lpwstr>
      </vt:variant>
      <vt:variant>
        <vt:i4>1114167</vt:i4>
      </vt:variant>
      <vt:variant>
        <vt:i4>164</vt:i4>
      </vt:variant>
      <vt:variant>
        <vt:i4>0</vt:i4>
      </vt:variant>
      <vt:variant>
        <vt:i4>5</vt:i4>
      </vt:variant>
      <vt:variant>
        <vt:lpwstr/>
      </vt:variant>
      <vt:variant>
        <vt:lpwstr>_Toc253421469</vt:lpwstr>
      </vt:variant>
      <vt:variant>
        <vt:i4>1114167</vt:i4>
      </vt:variant>
      <vt:variant>
        <vt:i4>158</vt:i4>
      </vt:variant>
      <vt:variant>
        <vt:i4>0</vt:i4>
      </vt:variant>
      <vt:variant>
        <vt:i4>5</vt:i4>
      </vt:variant>
      <vt:variant>
        <vt:lpwstr/>
      </vt:variant>
      <vt:variant>
        <vt:lpwstr>_Toc253421468</vt:lpwstr>
      </vt:variant>
      <vt:variant>
        <vt:i4>1114167</vt:i4>
      </vt:variant>
      <vt:variant>
        <vt:i4>152</vt:i4>
      </vt:variant>
      <vt:variant>
        <vt:i4>0</vt:i4>
      </vt:variant>
      <vt:variant>
        <vt:i4>5</vt:i4>
      </vt:variant>
      <vt:variant>
        <vt:lpwstr/>
      </vt:variant>
      <vt:variant>
        <vt:lpwstr>_Toc253421467</vt:lpwstr>
      </vt:variant>
      <vt:variant>
        <vt:i4>1114167</vt:i4>
      </vt:variant>
      <vt:variant>
        <vt:i4>146</vt:i4>
      </vt:variant>
      <vt:variant>
        <vt:i4>0</vt:i4>
      </vt:variant>
      <vt:variant>
        <vt:i4>5</vt:i4>
      </vt:variant>
      <vt:variant>
        <vt:lpwstr/>
      </vt:variant>
      <vt:variant>
        <vt:lpwstr>_Toc253421466</vt:lpwstr>
      </vt:variant>
      <vt:variant>
        <vt:i4>1114167</vt:i4>
      </vt:variant>
      <vt:variant>
        <vt:i4>140</vt:i4>
      </vt:variant>
      <vt:variant>
        <vt:i4>0</vt:i4>
      </vt:variant>
      <vt:variant>
        <vt:i4>5</vt:i4>
      </vt:variant>
      <vt:variant>
        <vt:lpwstr/>
      </vt:variant>
      <vt:variant>
        <vt:lpwstr>_Toc253421465</vt:lpwstr>
      </vt:variant>
      <vt:variant>
        <vt:i4>1114167</vt:i4>
      </vt:variant>
      <vt:variant>
        <vt:i4>134</vt:i4>
      </vt:variant>
      <vt:variant>
        <vt:i4>0</vt:i4>
      </vt:variant>
      <vt:variant>
        <vt:i4>5</vt:i4>
      </vt:variant>
      <vt:variant>
        <vt:lpwstr/>
      </vt:variant>
      <vt:variant>
        <vt:lpwstr>_Toc253421464</vt:lpwstr>
      </vt:variant>
      <vt:variant>
        <vt:i4>1114167</vt:i4>
      </vt:variant>
      <vt:variant>
        <vt:i4>128</vt:i4>
      </vt:variant>
      <vt:variant>
        <vt:i4>0</vt:i4>
      </vt:variant>
      <vt:variant>
        <vt:i4>5</vt:i4>
      </vt:variant>
      <vt:variant>
        <vt:lpwstr/>
      </vt:variant>
      <vt:variant>
        <vt:lpwstr>_Toc253421463</vt:lpwstr>
      </vt:variant>
      <vt:variant>
        <vt:i4>1114167</vt:i4>
      </vt:variant>
      <vt:variant>
        <vt:i4>122</vt:i4>
      </vt:variant>
      <vt:variant>
        <vt:i4>0</vt:i4>
      </vt:variant>
      <vt:variant>
        <vt:i4>5</vt:i4>
      </vt:variant>
      <vt:variant>
        <vt:lpwstr/>
      </vt:variant>
      <vt:variant>
        <vt:lpwstr>_Toc253421462</vt:lpwstr>
      </vt:variant>
      <vt:variant>
        <vt:i4>1114167</vt:i4>
      </vt:variant>
      <vt:variant>
        <vt:i4>116</vt:i4>
      </vt:variant>
      <vt:variant>
        <vt:i4>0</vt:i4>
      </vt:variant>
      <vt:variant>
        <vt:i4>5</vt:i4>
      </vt:variant>
      <vt:variant>
        <vt:lpwstr/>
      </vt:variant>
      <vt:variant>
        <vt:lpwstr>_Toc253421461</vt:lpwstr>
      </vt:variant>
      <vt:variant>
        <vt:i4>1114167</vt:i4>
      </vt:variant>
      <vt:variant>
        <vt:i4>110</vt:i4>
      </vt:variant>
      <vt:variant>
        <vt:i4>0</vt:i4>
      </vt:variant>
      <vt:variant>
        <vt:i4>5</vt:i4>
      </vt:variant>
      <vt:variant>
        <vt:lpwstr/>
      </vt:variant>
      <vt:variant>
        <vt:lpwstr>_Toc253421460</vt:lpwstr>
      </vt:variant>
      <vt:variant>
        <vt:i4>1179703</vt:i4>
      </vt:variant>
      <vt:variant>
        <vt:i4>104</vt:i4>
      </vt:variant>
      <vt:variant>
        <vt:i4>0</vt:i4>
      </vt:variant>
      <vt:variant>
        <vt:i4>5</vt:i4>
      </vt:variant>
      <vt:variant>
        <vt:lpwstr/>
      </vt:variant>
      <vt:variant>
        <vt:lpwstr>_Toc253421459</vt:lpwstr>
      </vt:variant>
      <vt:variant>
        <vt:i4>1179703</vt:i4>
      </vt:variant>
      <vt:variant>
        <vt:i4>98</vt:i4>
      </vt:variant>
      <vt:variant>
        <vt:i4>0</vt:i4>
      </vt:variant>
      <vt:variant>
        <vt:i4>5</vt:i4>
      </vt:variant>
      <vt:variant>
        <vt:lpwstr/>
      </vt:variant>
      <vt:variant>
        <vt:lpwstr>_Toc253421458</vt:lpwstr>
      </vt:variant>
      <vt:variant>
        <vt:i4>1179703</vt:i4>
      </vt:variant>
      <vt:variant>
        <vt:i4>92</vt:i4>
      </vt:variant>
      <vt:variant>
        <vt:i4>0</vt:i4>
      </vt:variant>
      <vt:variant>
        <vt:i4>5</vt:i4>
      </vt:variant>
      <vt:variant>
        <vt:lpwstr/>
      </vt:variant>
      <vt:variant>
        <vt:lpwstr>_Toc253421457</vt:lpwstr>
      </vt:variant>
      <vt:variant>
        <vt:i4>1179703</vt:i4>
      </vt:variant>
      <vt:variant>
        <vt:i4>86</vt:i4>
      </vt:variant>
      <vt:variant>
        <vt:i4>0</vt:i4>
      </vt:variant>
      <vt:variant>
        <vt:i4>5</vt:i4>
      </vt:variant>
      <vt:variant>
        <vt:lpwstr/>
      </vt:variant>
      <vt:variant>
        <vt:lpwstr>_Toc253421456</vt:lpwstr>
      </vt:variant>
      <vt:variant>
        <vt:i4>1179703</vt:i4>
      </vt:variant>
      <vt:variant>
        <vt:i4>80</vt:i4>
      </vt:variant>
      <vt:variant>
        <vt:i4>0</vt:i4>
      </vt:variant>
      <vt:variant>
        <vt:i4>5</vt:i4>
      </vt:variant>
      <vt:variant>
        <vt:lpwstr/>
      </vt:variant>
      <vt:variant>
        <vt:lpwstr>_Toc253421455</vt:lpwstr>
      </vt:variant>
      <vt:variant>
        <vt:i4>1179703</vt:i4>
      </vt:variant>
      <vt:variant>
        <vt:i4>74</vt:i4>
      </vt:variant>
      <vt:variant>
        <vt:i4>0</vt:i4>
      </vt:variant>
      <vt:variant>
        <vt:i4>5</vt:i4>
      </vt:variant>
      <vt:variant>
        <vt:lpwstr/>
      </vt:variant>
      <vt:variant>
        <vt:lpwstr>_Toc253421454</vt:lpwstr>
      </vt:variant>
      <vt:variant>
        <vt:i4>1179703</vt:i4>
      </vt:variant>
      <vt:variant>
        <vt:i4>68</vt:i4>
      </vt:variant>
      <vt:variant>
        <vt:i4>0</vt:i4>
      </vt:variant>
      <vt:variant>
        <vt:i4>5</vt:i4>
      </vt:variant>
      <vt:variant>
        <vt:lpwstr/>
      </vt:variant>
      <vt:variant>
        <vt:lpwstr>_Toc253421453</vt:lpwstr>
      </vt:variant>
      <vt:variant>
        <vt:i4>1179703</vt:i4>
      </vt:variant>
      <vt:variant>
        <vt:i4>62</vt:i4>
      </vt:variant>
      <vt:variant>
        <vt:i4>0</vt:i4>
      </vt:variant>
      <vt:variant>
        <vt:i4>5</vt:i4>
      </vt:variant>
      <vt:variant>
        <vt:lpwstr/>
      </vt:variant>
      <vt:variant>
        <vt:lpwstr>_Toc253421452</vt:lpwstr>
      </vt:variant>
      <vt:variant>
        <vt:i4>1179703</vt:i4>
      </vt:variant>
      <vt:variant>
        <vt:i4>56</vt:i4>
      </vt:variant>
      <vt:variant>
        <vt:i4>0</vt:i4>
      </vt:variant>
      <vt:variant>
        <vt:i4>5</vt:i4>
      </vt:variant>
      <vt:variant>
        <vt:lpwstr/>
      </vt:variant>
      <vt:variant>
        <vt:lpwstr>_Toc253421451</vt:lpwstr>
      </vt:variant>
      <vt:variant>
        <vt:i4>1179703</vt:i4>
      </vt:variant>
      <vt:variant>
        <vt:i4>50</vt:i4>
      </vt:variant>
      <vt:variant>
        <vt:i4>0</vt:i4>
      </vt:variant>
      <vt:variant>
        <vt:i4>5</vt:i4>
      </vt:variant>
      <vt:variant>
        <vt:lpwstr/>
      </vt:variant>
      <vt:variant>
        <vt:lpwstr>_Toc253421450</vt:lpwstr>
      </vt:variant>
      <vt:variant>
        <vt:i4>1245239</vt:i4>
      </vt:variant>
      <vt:variant>
        <vt:i4>44</vt:i4>
      </vt:variant>
      <vt:variant>
        <vt:i4>0</vt:i4>
      </vt:variant>
      <vt:variant>
        <vt:i4>5</vt:i4>
      </vt:variant>
      <vt:variant>
        <vt:lpwstr/>
      </vt:variant>
      <vt:variant>
        <vt:lpwstr>_Toc253421449</vt:lpwstr>
      </vt:variant>
      <vt:variant>
        <vt:i4>1245239</vt:i4>
      </vt:variant>
      <vt:variant>
        <vt:i4>38</vt:i4>
      </vt:variant>
      <vt:variant>
        <vt:i4>0</vt:i4>
      </vt:variant>
      <vt:variant>
        <vt:i4>5</vt:i4>
      </vt:variant>
      <vt:variant>
        <vt:lpwstr/>
      </vt:variant>
      <vt:variant>
        <vt:lpwstr>_Toc253421448</vt:lpwstr>
      </vt:variant>
      <vt:variant>
        <vt:i4>1245239</vt:i4>
      </vt:variant>
      <vt:variant>
        <vt:i4>32</vt:i4>
      </vt:variant>
      <vt:variant>
        <vt:i4>0</vt:i4>
      </vt:variant>
      <vt:variant>
        <vt:i4>5</vt:i4>
      </vt:variant>
      <vt:variant>
        <vt:lpwstr/>
      </vt:variant>
      <vt:variant>
        <vt:lpwstr>_Toc253421447</vt:lpwstr>
      </vt:variant>
      <vt:variant>
        <vt:i4>1245239</vt:i4>
      </vt:variant>
      <vt:variant>
        <vt:i4>26</vt:i4>
      </vt:variant>
      <vt:variant>
        <vt:i4>0</vt:i4>
      </vt:variant>
      <vt:variant>
        <vt:i4>5</vt:i4>
      </vt:variant>
      <vt:variant>
        <vt:lpwstr/>
      </vt:variant>
      <vt:variant>
        <vt:lpwstr>_Toc253421446</vt:lpwstr>
      </vt:variant>
      <vt:variant>
        <vt:i4>1245239</vt:i4>
      </vt:variant>
      <vt:variant>
        <vt:i4>20</vt:i4>
      </vt:variant>
      <vt:variant>
        <vt:i4>0</vt:i4>
      </vt:variant>
      <vt:variant>
        <vt:i4>5</vt:i4>
      </vt:variant>
      <vt:variant>
        <vt:lpwstr/>
      </vt:variant>
      <vt:variant>
        <vt:lpwstr>_Toc253421445</vt:lpwstr>
      </vt:variant>
      <vt:variant>
        <vt:i4>1245239</vt:i4>
      </vt:variant>
      <vt:variant>
        <vt:i4>14</vt:i4>
      </vt:variant>
      <vt:variant>
        <vt:i4>0</vt:i4>
      </vt:variant>
      <vt:variant>
        <vt:i4>5</vt:i4>
      </vt:variant>
      <vt:variant>
        <vt:lpwstr/>
      </vt:variant>
      <vt:variant>
        <vt:lpwstr>_Toc253421444</vt:lpwstr>
      </vt:variant>
      <vt:variant>
        <vt:i4>1245239</vt:i4>
      </vt:variant>
      <vt:variant>
        <vt:i4>8</vt:i4>
      </vt:variant>
      <vt:variant>
        <vt:i4>0</vt:i4>
      </vt:variant>
      <vt:variant>
        <vt:i4>5</vt:i4>
      </vt:variant>
      <vt:variant>
        <vt:lpwstr/>
      </vt:variant>
      <vt:variant>
        <vt:lpwstr>_Toc253421443</vt:lpwstr>
      </vt:variant>
      <vt:variant>
        <vt:i4>1245239</vt:i4>
      </vt:variant>
      <vt:variant>
        <vt:i4>2</vt:i4>
      </vt:variant>
      <vt:variant>
        <vt:i4>0</vt:i4>
      </vt:variant>
      <vt:variant>
        <vt:i4>5</vt:i4>
      </vt:variant>
      <vt:variant>
        <vt:lpwstr/>
      </vt:variant>
      <vt:variant>
        <vt:lpwstr>_Toc253421442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Membrane technology in water treatment</dc:title>
  <dc:creator>Sergio Salinas R.</dc:creator>
  <cp:lastModifiedBy>Muhammad Ali</cp:lastModifiedBy>
  <cp:revision>8</cp:revision>
  <cp:lastPrinted>2021-01-18T19:39:00Z</cp:lastPrinted>
  <dcterms:created xsi:type="dcterms:W3CDTF">2023-07-19T03:24:00Z</dcterms:created>
  <dcterms:modified xsi:type="dcterms:W3CDTF">2023-07-19T11:25:00Z</dcterms:modified>
  <cp:category>Dissertation</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ContentTypeId">
    <vt:lpwstr>0x010100858169225B8E214EB9EE20C117514AA9</vt:lpwstr>
  </property>
</Properties>
</file>